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B9F8" w14:textId="77777777" w:rsidR="0059146A" w:rsidRDefault="0059146A" w:rsidP="005B5769">
      <w:pPr>
        <w:pStyle w:val="ListBullet"/>
        <w:tabs>
          <w:tab w:val="clear" w:pos="284"/>
        </w:tabs>
      </w:pPr>
      <w:bookmarkStart w:id="0" w:name="_GoBack"/>
      <w:bookmarkEnd w:id="0"/>
    </w:p>
    <w:p w14:paraId="24983809" w14:textId="77777777" w:rsidR="0059146A" w:rsidRDefault="0059146A" w:rsidP="005B5769">
      <w:pPr>
        <w:pStyle w:val="ListBullet"/>
        <w:tabs>
          <w:tab w:val="clear" w:pos="284"/>
        </w:tabs>
      </w:pPr>
    </w:p>
    <w:p w14:paraId="7EAA7C0B" w14:textId="77777777" w:rsidR="0059146A" w:rsidRPr="0059146A" w:rsidRDefault="0059146A" w:rsidP="005B5769">
      <w:pPr>
        <w:pStyle w:val="ListBullet"/>
        <w:tabs>
          <w:tab w:val="clear" w:pos="284"/>
        </w:tabs>
      </w:pPr>
    </w:p>
    <w:p w14:paraId="6D65BCD6" w14:textId="77777777" w:rsidR="00A56F14" w:rsidRPr="0059146A" w:rsidRDefault="00A56F14" w:rsidP="0059146A">
      <w:pPr>
        <w:pStyle w:val="ListBullet"/>
        <w:tabs>
          <w:tab w:val="clear" w:pos="284"/>
        </w:tabs>
      </w:pPr>
    </w:p>
    <w:p w14:paraId="730A4DE8" w14:textId="77777777" w:rsidR="00A56F14" w:rsidRDefault="00A56F14" w:rsidP="00A56F14">
      <w:pPr>
        <w:spacing w:after="200" w:line="276" w:lineRule="auto"/>
        <w:rPr>
          <w:b/>
        </w:rPr>
      </w:pPr>
    </w:p>
    <w:p w14:paraId="6D5BBA56" w14:textId="77777777" w:rsidR="00A56F14" w:rsidRDefault="00A56F14" w:rsidP="00A56F14">
      <w:pPr>
        <w:spacing w:after="200" w:line="276" w:lineRule="auto"/>
        <w:rPr>
          <w:b/>
        </w:rPr>
      </w:pPr>
    </w:p>
    <w:p w14:paraId="73085539" w14:textId="77777777" w:rsidR="00C6626C" w:rsidRDefault="00C6626C" w:rsidP="00A56F14"/>
    <w:p w14:paraId="21BA5FC6" w14:textId="77777777" w:rsidR="00C6626C" w:rsidRDefault="00C6626C" w:rsidP="00A56F14"/>
    <w:p w14:paraId="05F8F059" w14:textId="77777777" w:rsidR="00C6626C" w:rsidRDefault="00C6626C" w:rsidP="00A56F14"/>
    <w:p w14:paraId="3A292966" w14:textId="77777777" w:rsidR="00C6626C" w:rsidRDefault="00C6626C" w:rsidP="00A56F14"/>
    <w:p w14:paraId="58260831" w14:textId="77777777" w:rsidR="00C6626C" w:rsidRDefault="00C6626C" w:rsidP="00A56F14"/>
    <w:p w14:paraId="46152D59" w14:textId="77777777" w:rsidR="00C6626C" w:rsidRDefault="00C6626C" w:rsidP="00A56F14"/>
    <w:p w14:paraId="3579783D" w14:textId="77777777" w:rsidR="00C6626C" w:rsidRDefault="00C6626C" w:rsidP="00A56F14"/>
    <w:p w14:paraId="10068BE3" w14:textId="77777777" w:rsidR="00C6626C" w:rsidRDefault="00C6626C" w:rsidP="00A56F14"/>
    <w:p w14:paraId="66314121" w14:textId="77777777" w:rsidR="00C6626C" w:rsidRDefault="00C6626C" w:rsidP="00A56F14"/>
    <w:p w14:paraId="0A9C7BA3" w14:textId="77777777" w:rsidR="00C6626C" w:rsidRDefault="00C6626C" w:rsidP="00A56F14"/>
    <w:p w14:paraId="303FDE3A" w14:textId="77777777" w:rsidR="00C6626C" w:rsidRDefault="00C6626C" w:rsidP="00A56F14"/>
    <w:p w14:paraId="1D3D31E3" w14:textId="77777777" w:rsidR="00C6626C" w:rsidRDefault="00C6626C" w:rsidP="00A56F14"/>
    <w:p w14:paraId="4FAF8AA2" w14:textId="77777777" w:rsidR="00C6626C" w:rsidRDefault="00C6626C" w:rsidP="00A56F14"/>
    <w:p w14:paraId="1C665965" w14:textId="77777777" w:rsidR="00C6626C" w:rsidRDefault="00C6626C" w:rsidP="00A56F14"/>
    <w:p w14:paraId="1D804ACA" w14:textId="77777777" w:rsidR="00C6626C" w:rsidRDefault="00C6626C" w:rsidP="00A56F14"/>
    <w:p w14:paraId="5DC1EBB7" w14:textId="77777777" w:rsidR="00C6626C" w:rsidRDefault="00C6626C" w:rsidP="00A56F14"/>
    <w:p w14:paraId="737CBE7E" w14:textId="77777777" w:rsidR="00C6626C" w:rsidRDefault="00C6626C" w:rsidP="00A56F14"/>
    <w:p w14:paraId="13A4E103" w14:textId="77777777" w:rsidR="00C6626C" w:rsidRDefault="00C6626C" w:rsidP="00A56F14"/>
    <w:p w14:paraId="3758DFAC" w14:textId="77777777" w:rsidR="00C6626C" w:rsidRDefault="00C6626C" w:rsidP="00A56F14"/>
    <w:p w14:paraId="67898A12" w14:textId="77777777" w:rsidR="00C6626C" w:rsidRDefault="00C6626C" w:rsidP="00A56F14"/>
    <w:p w14:paraId="2282C469" w14:textId="77777777" w:rsidR="00C6626C" w:rsidRDefault="00C6626C" w:rsidP="00A56F14"/>
    <w:p w14:paraId="0DB5AAE4" w14:textId="77777777" w:rsidR="00C6626C"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6CFA8F41" wp14:editId="6356ABB8">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0F069C78" wp14:editId="0BAD6D48">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Aid Program Performance Report 201</w:t>
      </w:r>
      <w:r w:rsidR="00055688">
        <w:rPr>
          <w:spacing w:val="-20"/>
          <w:sz w:val="60"/>
        </w:rPr>
        <w:t>7</w:t>
      </w:r>
      <w:r w:rsidR="00C6626C" w:rsidRPr="002A51CA">
        <w:rPr>
          <w:spacing w:val="-20"/>
          <w:sz w:val="60"/>
        </w:rPr>
        <w:t>-1</w:t>
      </w:r>
      <w:r w:rsidR="00055688">
        <w:rPr>
          <w:spacing w:val="-20"/>
          <w:sz w:val="60"/>
        </w:rPr>
        <w:t>8</w:t>
      </w:r>
    </w:p>
    <w:p w14:paraId="0D69AFE4" w14:textId="77777777" w:rsidR="00C6626C" w:rsidRDefault="00737400" w:rsidP="00A56F14">
      <w:r>
        <w:rPr>
          <w:sz w:val="40"/>
        </w:rPr>
        <w:t>FIJI</w:t>
      </w:r>
    </w:p>
    <w:p w14:paraId="2A8D871C" w14:textId="77777777" w:rsidR="00C6626C" w:rsidRDefault="00854D02"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r>
        <w:rPr>
          <w:sz w:val="24"/>
        </w:rPr>
        <w:t>September 201</w:t>
      </w:r>
      <w:r w:rsidR="00ED4F02">
        <w:rPr>
          <w:sz w:val="24"/>
        </w:rPr>
        <w:t>8</w:t>
      </w:r>
    </w:p>
    <w:p w14:paraId="12850961" w14:textId="77777777" w:rsidR="00C6626C" w:rsidRPr="00C61187" w:rsidRDefault="00C6626C" w:rsidP="00591835">
      <w:pPr>
        <w:pStyle w:val="Title"/>
      </w:pPr>
      <w:r w:rsidRPr="002A51CA">
        <w:lastRenderedPageBreak/>
        <w:t>Key Messages</w:t>
      </w:r>
      <w:r w:rsidRPr="00C61187">
        <w:rPr>
          <w:rFonts w:ascii="Helvetica" w:hAnsi="Helvetica" w:cs="Arial"/>
          <w:color w:val="007FAD"/>
          <w:sz w:val="28"/>
          <w:szCs w:val="28"/>
        </w:rPr>
        <w:tab/>
      </w:r>
      <w:r w:rsidRPr="00C61187">
        <w:rPr>
          <w:rFonts w:ascii="Helvetica" w:hAnsi="Helvetica" w:cs="Arial"/>
          <w:color w:val="007FAD"/>
          <w:sz w:val="24"/>
          <w:szCs w:val="28"/>
        </w:rPr>
        <w:tab/>
      </w:r>
      <w:r w:rsidRPr="00C61187">
        <w:rPr>
          <w:rFonts w:ascii="Helvetica" w:hAnsi="Helvetica" w:cs="Arial"/>
          <w:color w:val="007FAD"/>
          <w:sz w:val="32"/>
          <w:szCs w:val="32"/>
        </w:rPr>
        <w:tab/>
      </w:r>
      <w:r w:rsidRPr="00C61187">
        <w:rPr>
          <w:rFonts w:ascii="Helvetica" w:hAnsi="Helvetica" w:cs="Arial"/>
          <w:color w:val="007FAD"/>
          <w:sz w:val="32"/>
          <w:szCs w:val="32"/>
        </w:rPr>
        <w:tab/>
      </w:r>
      <w:r w:rsidRPr="00C61187">
        <w:rPr>
          <w:rFonts w:ascii="Helvetica" w:hAnsi="Helvetica" w:cs="Arial"/>
          <w:color w:val="007FAD"/>
          <w:sz w:val="32"/>
          <w:szCs w:val="32"/>
        </w:rPr>
        <w:tab/>
      </w:r>
      <w:r w:rsidRPr="00C61187">
        <w:rPr>
          <w:rFonts w:ascii="Helvetica" w:hAnsi="Helvetica" w:cs="Arial"/>
          <w:color w:val="007FAD"/>
          <w:sz w:val="32"/>
          <w:szCs w:val="32"/>
        </w:rPr>
        <w:tab/>
      </w:r>
    </w:p>
    <w:p w14:paraId="14C5774D" w14:textId="1A9DFFBF" w:rsidR="007C5432" w:rsidRPr="007C5432" w:rsidRDefault="007C5432" w:rsidP="007C5432">
      <w:r w:rsidRPr="007C5432">
        <w:t xml:space="preserve">This report summarises the performance of Australia’s </w:t>
      </w:r>
      <w:r w:rsidR="006A31D8">
        <w:t>A</w:t>
      </w:r>
      <w:r w:rsidRPr="007C5432">
        <w:t xml:space="preserve">id </w:t>
      </w:r>
      <w:r w:rsidR="006A31D8">
        <w:t>P</w:t>
      </w:r>
      <w:r w:rsidRPr="007C5432">
        <w:t xml:space="preserve">rogram in Fiji from July 2017 to June 2018 against the Fiji Aid Investment Plan </w:t>
      </w:r>
      <w:r w:rsidR="004506C4">
        <w:t>(</w:t>
      </w:r>
      <w:r w:rsidR="004506C4">
        <w:rPr>
          <w:b/>
        </w:rPr>
        <w:t>AIP</w:t>
      </w:r>
      <w:r w:rsidR="004506C4">
        <w:t>)</w:t>
      </w:r>
      <w:r w:rsidR="004506C4" w:rsidRPr="007C5432">
        <w:t xml:space="preserve"> </w:t>
      </w:r>
      <w:r w:rsidRPr="007C5432">
        <w:t xml:space="preserve">(2015-16 to 2018-19). </w:t>
      </w:r>
      <w:r w:rsidR="005B43BE">
        <w:t xml:space="preserve"> </w:t>
      </w:r>
      <w:r w:rsidRPr="007C5432">
        <w:t xml:space="preserve">Overall, we delivered a </w:t>
      </w:r>
      <w:r w:rsidR="007430D4">
        <w:t>P</w:t>
      </w:r>
      <w:r w:rsidRPr="007C5432">
        <w:t xml:space="preserve">rogram </w:t>
      </w:r>
      <w:r w:rsidR="00A25793">
        <w:t>that</w:t>
      </w:r>
      <w:r w:rsidR="00A25793" w:rsidRPr="007C5432">
        <w:t xml:space="preserve"> </w:t>
      </w:r>
      <w:r w:rsidR="00A26AD4">
        <w:t xml:space="preserve">aligned with Government of Fiji priorities and </w:t>
      </w:r>
      <w:r w:rsidRPr="007C5432">
        <w:t xml:space="preserve">contributed strongly to our </w:t>
      </w:r>
      <w:r w:rsidR="00A25793">
        <w:t>Program</w:t>
      </w:r>
      <w:r w:rsidR="00A25793" w:rsidRPr="007C5432">
        <w:t xml:space="preserve"> </w:t>
      </w:r>
      <w:r w:rsidRPr="007C5432">
        <w:t>objectives of private sector development, human development and recovery from Tropical Cyclone Winston</w:t>
      </w:r>
      <w:r w:rsidR="00AC50CE">
        <w:t xml:space="preserve"> (</w:t>
      </w:r>
      <w:r w:rsidR="00AC50CE" w:rsidRPr="005B43BE">
        <w:rPr>
          <w:b/>
        </w:rPr>
        <w:t>TC Winston</w:t>
      </w:r>
      <w:r w:rsidR="00AC50CE">
        <w:t>)</w:t>
      </w:r>
      <w:r w:rsidR="00334089">
        <w:t xml:space="preserve"> </w:t>
      </w:r>
      <w:r w:rsidR="004D72E4">
        <w:t xml:space="preserve">through a range of bilateral and regional interventions. </w:t>
      </w:r>
      <w:r w:rsidR="00A25793">
        <w:t xml:space="preserve"> </w:t>
      </w:r>
      <w:r w:rsidRPr="007C5432">
        <w:t xml:space="preserve">An internal review conducted in 2017 found </w:t>
      </w:r>
      <w:r w:rsidR="00070488">
        <w:t>t</w:t>
      </w:r>
      <w:r w:rsidR="007F39B4">
        <w:t xml:space="preserve">he </w:t>
      </w:r>
      <w:r w:rsidR="00AE796A">
        <w:t>A</w:t>
      </w:r>
      <w:r w:rsidR="004D72E4">
        <w:t xml:space="preserve">id </w:t>
      </w:r>
      <w:r w:rsidR="00AE796A">
        <w:t>P</w:t>
      </w:r>
      <w:r w:rsidR="00070488">
        <w:t>rogram</w:t>
      </w:r>
      <w:r w:rsidRPr="007C5432">
        <w:t xml:space="preserve"> </w:t>
      </w:r>
      <w:r w:rsidR="004D72E4">
        <w:t xml:space="preserve">in Fiji </w:t>
      </w:r>
      <w:r w:rsidRPr="007C5432">
        <w:t xml:space="preserve">was performing well. </w:t>
      </w:r>
      <w:r w:rsidR="004D72E4">
        <w:t xml:space="preserve"> </w:t>
      </w:r>
      <w:r w:rsidR="00AE796A">
        <w:t xml:space="preserve">While we </w:t>
      </w:r>
      <w:r w:rsidR="007430D4">
        <w:t xml:space="preserve">have </w:t>
      </w:r>
      <w:r w:rsidR="00AE796A">
        <w:t>continue</w:t>
      </w:r>
      <w:r w:rsidR="007430D4">
        <w:t>d</w:t>
      </w:r>
      <w:r w:rsidR="00AE796A">
        <w:t xml:space="preserve"> to be focused on supporting Fiji </w:t>
      </w:r>
      <w:r w:rsidR="00773F93">
        <w:t xml:space="preserve">to </w:t>
      </w:r>
      <w:r w:rsidR="00AE796A">
        <w:t>achieve its long-term development objectives</w:t>
      </w:r>
      <w:r w:rsidR="00A26AD4">
        <w:t xml:space="preserve"> as an upper middle-income country</w:t>
      </w:r>
      <w:r w:rsidR="00AE796A">
        <w:t xml:space="preserve">, we have </w:t>
      </w:r>
      <w:r w:rsidR="007430D4">
        <w:t>also been</w:t>
      </w:r>
      <w:r w:rsidR="00AE796A">
        <w:t xml:space="preserve"> flexible, responding </w:t>
      </w:r>
      <w:r w:rsidR="007430D4">
        <w:t xml:space="preserve">effectively </w:t>
      </w:r>
      <w:r w:rsidR="00AE796A">
        <w:t xml:space="preserve">to new </w:t>
      </w:r>
      <w:r w:rsidR="00A25793">
        <w:t xml:space="preserve">and emerging </w:t>
      </w:r>
      <w:r w:rsidR="00AE796A">
        <w:t xml:space="preserve">priorities in close coordination with the Government of Fiji.  </w:t>
      </w:r>
    </w:p>
    <w:p w14:paraId="767E8D20" w14:textId="77777777" w:rsidR="007C5432" w:rsidRPr="007C5432" w:rsidRDefault="007C5432" w:rsidP="007C5432">
      <w:r w:rsidRPr="007C5432">
        <w:t>Our support for private sector development delivered</w:t>
      </w:r>
      <w:r>
        <w:t xml:space="preserve"> strong</w:t>
      </w:r>
      <w:r w:rsidRPr="007C5432">
        <w:t xml:space="preserve"> outcomes</w:t>
      </w:r>
      <w:r w:rsidR="0082547D">
        <w:t xml:space="preserve"> during the reporting period</w:t>
      </w:r>
      <w:r w:rsidRPr="007C5432">
        <w:t xml:space="preserve">. </w:t>
      </w:r>
      <w:r w:rsidR="006A31D8">
        <w:t xml:space="preserve"> </w:t>
      </w:r>
      <w:r w:rsidRPr="007C5432">
        <w:t>Under the DFAT-International Finance Corporation (</w:t>
      </w:r>
      <w:r w:rsidRPr="00F520BA">
        <w:rPr>
          <w:b/>
        </w:rPr>
        <w:t>IFC</w:t>
      </w:r>
      <w:r w:rsidRPr="007C5432">
        <w:t xml:space="preserve">) partnership, the IFC worked with the Reserve Bank of Fiji to issue the first sovereign Green Bond by a developing country to fund climate change mitigation and adaption. </w:t>
      </w:r>
      <w:r w:rsidR="00AC50CE">
        <w:t xml:space="preserve"> </w:t>
      </w:r>
      <w:r w:rsidR="00996D28">
        <w:t>The Bond</w:t>
      </w:r>
      <w:r w:rsidR="00996D28" w:rsidRPr="007C5432">
        <w:t xml:space="preserve"> </w:t>
      </w:r>
      <w:r w:rsidRPr="007C5432">
        <w:t xml:space="preserve">was launched by </w:t>
      </w:r>
      <w:r w:rsidR="00F520BA">
        <w:t>Fijian</w:t>
      </w:r>
      <w:r w:rsidRPr="007C5432">
        <w:t xml:space="preserve"> Prime Minister Bainimarama at</w:t>
      </w:r>
      <w:r w:rsidR="00641CA5">
        <w:t xml:space="preserve"> COP23</w:t>
      </w:r>
      <w:r w:rsidR="00987FAA">
        <w:rPr>
          <w:rStyle w:val="FootnoteReference"/>
        </w:rPr>
        <w:footnoteReference w:id="1"/>
      </w:r>
      <w:r w:rsidR="00420435">
        <w:t xml:space="preserve"> </w:t>
      </w:r>
      <w:r w:rsidR="00641CA5">
        <w:t xml:space="preserve">in Bonn in November 2017 and listed on </w:t>
      </w:r>
      <w:r w:rsidRPr="007C5432">
        <w:t>the London Stock Exchange in London in April</w:t>
      </w:r>
      <w:r w:rsidR="00A25793">
        <w:t xml:space="preserve"> </w:t>
      </w:r>
      <w:r w:rsidR="00C91C85">
        <w:t>201</w:t>
      </w:r>
      <w:r w:rsidR="00C91C85" w:rsidRPr="00C91C85">
        <w:t>8</w:t>
      </w:r>
      <w:r w:rsidRPr="00C91C85">
        <w:t>.</w:t>
      </w:r>
      <w:r w:rsidRPr="007C5432">
        <w:t xml:space="preserve"> </w:t>
      </w:r>
      <w:r w:rsidR="00C27FDB">
        <w:t xml:space="preserve"> </w:t>
      </w:r>
      <w:r w:rsidRPr="007C5432">
        <w:t xml:space="preserve">Strategic support </w:t>
      </w:r>
      <w:r w:rsidR="00996D28">
        <w:t>was also</w:t>
      </w:r>
      <w:r w:rsidRPr="007C5432">
        <w:t xml:space="preserve"> provided </w:t>
      </w:r>
      <w:r w:rsidR="00AC50CE">
        <w:t xml:space="preserve">to Fiji’s public sector </w:t>
      </w:r>
      <w:r w:rsidR="00EE3F76">
        <w:t xml:space="preserve">to </w:t>
      </w:r>
      <w:r w:rsidR="00334089">
        <w:t xml:space="preserve">enhance </w:t>
      </w:r>
      <w:r w:rsidR="00420435">
        <w:t>the</w:t>
      </w:r>
      <w:r w:rsidR="00EE3F76">
        <w:t xml:space="preserve"> enabling environment for </w:t>
      </w:r>
      <w:r w:rsidR="00AC50CE">
        <w:t>private sector development</w:t>
      </w:r>
      <w:r w:rsidR="00232988">
        <w:t xml:space="preserve">.  </w:t>
      </w:r>
    </w:p>
    <w:p w14:paraId="6FF901C1" w14:textId="77777777" w:rsidR="002D2D24" w:rsidRDefault="007C5432" w:rsidP="00E265A5">
      <w:r w:rsidRPr="00AC50CE">
        <w:t xml:space="preserve">Australia </w:t>
      </w:r>
      <w:r w:rsidR="000954A8" w:rsidRPr="00AC50CE">
        <w:t>co</w:t>
      </w:r>
      <w:r w:rsidR="00AC50CE">
        <w:t>ntinued to support programs to strengthen human development in Fiji</w:t>
      </w:r>
      <w:r w:rsidR="000954A8" w:rsidRPr="00AC50CE">
        <w:t xml:space="preserve">. </w:t>
      </w:r>
      <w:r w:rsidR="00E265A5" w:rsidRPr="00AC50CE">
        <w:t xml:space="preserve"> </w:t>
      </w:r>
      <w:r w:rsidR="002D2D24" w:rsidRPr="00AC50CE">
        <w:t>A</w:t>
      </w:r>
      <w:r w:rsidR="002D2D24">
        <w:t xml:space="preserve"> new health sector support program commenced in July 2017 and </w:t>
      </w:r>
      <w:r w:rsidR="007430D4">
        <w:t xml:space="preserve">assisted Fiji </w:t>
      </w:r>
      <w:r w:rsidR="00996D28">
        <w:t xml:space="preserve">to </w:t>
      </w:r>
      <w:r w:rsidR="007430D4">
        <w:t xml:space="preserve">make progress in the </w:t>
      </w:r>
      <w:r w:rsidR="002D2D24">
        <w:t>planning and</w:t>
      </w:r>
      <w:r w:rsidR="002D2D24" w:rsidRPr="006854F7">
        <w:t xml:space="preserve"> delivery of </w:t>
      </w:r>
      <w:r w:rsidR="002D2D24">
        <w:t xml:space="preserve">health care for mothers and children </w:t>
      </w:r>
      <w:r w:rsidR="002D2D24" w:rsidRPr="006854F7">
        <w:t>across Fiji</w:t>
      </w:r>
      <w:r w:rsidR="00996D28">
        <w:t>,</w:t>
      </w:r>
      <w:r w:rsidR="002D2D24" w:rsidRPr="006854F7">
        <w:t xml:space="preserve"> and</w:t>
      </w:r>
      <w:r w:rsidR="002D2D24">
        <w:t xml:space="preserve"> </w:t>
      </w:r>
      <w:r w:rsidR="007430D4">
        <w:t>in improving</w:t>
      </w:r>
      <w:r w:rsidR="007430D4" w:rsidRPr="006854F7">
        <w:t xml:space="preserve"> </w:t>
      </w:r>
      <w:r w:rsidR="002D2D24" w:rsidRPr="006854F7">
        <w:t>the quality of those services</w:t>
      </w:r>
      <w:r w:rsidR="002D2D24">
        <w:t xml:space="preserve">.  </w:t>
      </w:r>
      <w:r w:rsidR="00E265A5">
        <w:t xml:space="preserve">Following the completion of </w:t>
      </w:r>
      <w:r w:rsidR="00AC50CE">
        <w:t>our</w:t>
      </w:r>
      <w:r w:rsidR="00E265A5">
        <w:t xml:space="preserve"> Access to Quality Education Program (</w:t>
      </w:r>
      <w:r w:rsidR="00E265A5" w:rsidRPr="00F520BA">
        <w:rPr>
          <w:b/>
        </w:rPr>
        <w:t>AQEP</w:t>
      </w:r>
      <w:r w:rsidR="00E265A5">
        <w:t xml:space="preserve">) in mid-2017, </w:t>
      </w:r>
      <w:r w:rsidR="00580737">
        <w:t>Australia</w:t>
      </w:r>
      <w:r w:rsidR="00E265A5">
        <w:t xml:space="preserve"> delivered transitional </w:t>
      </w:r>
      <w:r w:rsidR="00580737">
        <w:t xml:space="preserve">education </w:t>
      </w:r>
      <w:r w:rsidR="00B844C5">
        <w:t xml:space="preserve">activities </w:t>
      </w:r>
      <w:r w:rsidR="00E265A5">
        <w:t>to maintain the best practices and relationships with partners established by AQEP</w:t>
      </w:r>
      <w:r w:rsidR="00996D28">
        <w:t>,</w:t>
      </w:r>
      <w:r w:rsidR="00EA0D47">
        <w:t xml:space="preserve"> and </w:t>
      </w:r>
      <w:r w:rsidR="00816235">
        <w:t xml:space="preserve">to </w:t>
      </w:r>
      <w:r w:rsidR="00EA0D47">
        <w:t>continue our contribution towards better learning outcomes at primary school level</w:t>
      </w:r>
      <w:r w:rsidR="00580737">
        <w:t>.  A</w:t>
      </w:r>
      <w:r w:rsidR="001C4BE6">
        <w:t>n</w:t>
      </w:r>
      <w:r w:rsidR="00580737">
        <w:t xml:space="preserve"> </w:t>
      </w:r>
      <w:r w:rsidR="00E265A5">
        <w:t xml:space="preserve">end of program evaluation </w:t>
      </w:r>
      <w:r w:rsidR="00580737">
        <w:t>in 2018 assessed</w:t>
      </w:r>
      <w:r w:rsidR="00E265A5">
        <w:t xml:space="preserve"> </w:t>
      </w:r>
      <w:r w:rsidR="00AC50CE">
        <w:t>AQEP</w:t>
      </w:r>
      <w:r w:rsidR="00E265A5">
        <w:t xml:space="preserve"> to have been a success overall, highly relevant and effective across all areas of work.</w:t>
      </w:r>
      <w:r w:rsidR="00EA0D47">
        <w:t xml:space="preserve">  We also completed the design for a new education program, which</w:t>
      </w:r>
      <w:r w:rsidR="006A31D8">
        <w:t xml:space="preserve"> </w:t>
      </w:r>
      <w:r w:rsidR="00EA0D47" w:rsidRPr="00406E8E">
        <w:t>commence</w:t>
      </w:r>
      <w:r w:rsidR="008C01BD">
        <w:t>d</w:t>
      </w:r>
      <w:r w:rsidR="00A24EF1" w:rsidRPr="00406E8E">
        <w:t xml:space="preserve"> in July 2018</w:t>
      </w:r>
      <w:r w:rsidR="008C01BD">
        <w:t>.</w:t>
      </w:r>
      <w:r w:rsidR="00406E8E">
        <w:t xml:space="preserve"> </w:t>
      </w:r>
    </w:p>
    <w:p w14:paraId="3EC53024" w14:textId="28A8069A" w:rsidR="007C5432" w:rsidRPr="007C5432" w:rsidRDefault="007C5432" w:rsidP="007C5432">
      <w:r w:rsidRPr="007C5432">
        <w:t xml:space="preserve">We continued to help Fiji </w:t>
      </w:r>
      <w:r w:rsidR="000C6682">
        <w:t xml:space="preserve">improve gender equality and </w:t>
      </w:r>
      <w:r w:rsidRPr="007C5432">
        <w:t>tackle gender violence.</w:t>
      </w:r>
      <w:r w:rsidR="000C6682">
        <w:t xml:space="preserve"> </w:t>
      </w:r>
      <w:r w:rsidRPr="007C5432">
        <w:t xml:space="preserve"> In 2017, 3,</w:t>
      </w:r>
      <w:r w:rsidR="006234A1">
        <w:t>306</w:t>
      </w:r>
      <w:r w:rsidRPr="007C5432">
        <w:t xml:space="preserve"> women survivors of violence</w:t>
      </w:r>
      <w:r w:rsidR="00334089">
        <w:t xml:space="preserve"> accessed</w:t>
      </w:r>
      <w:r w:rsidRPr="007C5432">
        <w:t xml:space="preserve"> counselling</w:t>
      </w:r>
      <w:r w:rsidR="00334089">
        <w:t xml:space="preserve"> and</w:t>
      </w:r>
      <w:r w:rsidRPr="007C5432">
        <w:t xml:space="preserve"> legal and medical services</w:t>
      </w:r>
      <w:r w:rsidR="001C4BE6">
        <w:t xml:space="preserve"> </w:t>
      </w:r>
      <w:r w:rsidR="001C4BE6" w:rsidRPr="00197E5E">
        <w:t>through Australian assistance</w:t>
      </w:r>
      <w:r w:rsidRPr="007C5432">
        <w:t xml:space="preserve">. </w:t>
      </w:r>
      <w:r>
        <w:t xml:space="preserve"> </w:t>
      </w:r>
      <w:r w:rsidR="006A31D8">
        <w:t xml:space="preserve">Australia </w:t>
      </w:r>
      <w:r w:rsidR="00F520BA">
        <w:t>continued to</w:t>
      </w:r>
      <w:r w:rsidR="006A31D8">
        <w:t xml:space="preserve"> provide a</w:t>
      </w:r>
      <w:r w:rsidRPr="007C5432">
        <w:t xml:space="preserve">ccess to higher education opportunities </w:t>
      </w:r>
      <w:r w:rsidR="006A31D8">
        <w:t xml:space="preserve">in the region, </w:t>
      </w:r>
      <w:r w:rsidR="006A31D8" w:rsidRPr="00420435">
        <w:t>supporting</w:t>
      </w:r>
      <w:r w:rsidR="002B08CA" w:rsidRPr="00420435">
        <w:t xml:space="preserve"> </w:t>
      </w:r>
      <w:r w:rsidRPr="00420435">
        <w:t>124</w:t>
      </w:r>
      <w:r w:rsidR="006A31D8" w:rsidRPr="00420435">
        <w:t xml:space="preserve"> Fijians</w:t>
      </w:r>
      <w:r w:rsidR="006A31D8">
        <w:t xml:space="preserve"> to study </w:t>
      </w:r>
      <w:r w:rsidRPr="007C5432">
        <w:t xml:space="preserve">in Australia and the Pacific </w:t>
      </w:r>
      <w:r w:rsidR="006A31D8">
        <w:t xml:space="preserve">under the Australia Awards scholarships program </w:t>
      </w:r>
      <w:r w:rsidRPr="007C5432">
        <w:t>in 2017-2018.</w:t>
      </w:r>
      <w:r w:rsidR="00C27FDB">
        <w:t xml:space="preserve"> </w:t>
      </w:r>
      <w:r w:rsidRPr="007C5432">
        <w:t xml:space="preserve"> We also supported </w:t>
      </w:r>
      <w:r w:rsidR="00C02DC9">
        <w:t>82</w:t>
      </w:r>
      <w:r w:rsidRPr="007C5432">
        <w:t xml:space="preserve"> Australian Volunteers for International Development in Fiji in 2017-18 (including 40 new volunteers)</w:t>
      </w:r>
      <w:r w:rsidR="006A31D8">
        <w:t>,</w:t>
      </w:r>
      <w:r w:rsidRPr="007C5432">
        <w:t xml:space="preserve"> who worked across government, regional organisations, </w:t>
      </w:r>
      <w:r w:rsidR="006A31D8">
        <w:t xml:space="preserve">the </w:t>
      </w:r>
      <w:r w:rsidRPr="007C5432">
        <w:t>private sector and civil society</w:t>
      </w:r>
      <w:r w:rsidR="00EA0D47">
        <w:t xml:space="preserve"> in key areas such as</w:t>
      </w:r>
      <w:r w:rsidR="00A24EF1">
        <w:t xml:space="preserve"> </w:t>
      </w:r>
      <w:r w:rsidR="00A24EF1" w:rsidRPr="00406E8E">
        <w:t>sexual and reproductive health</w:t>
      </w:r>
      <w:r w:rsidR="00B844C5">
        <w:t xml:space="preserve"> and health security</w:t>
      </w:r>
      <w:r w:rsidR="006A31D8">
        <w:t>.</w:t>
      </w:r>
      <w:r w:rsidR="00A25793">
        <w:t xml:space="preserve"> </w:t>
      </w:r>
    </w:p>
    <w:p w14:paraId="2DD4A5A1" w14:textId="189479DF" w:rsidR="007C5432" w:rsidRPr="007C5432" w:rsidRDefault="00AC50CE" w:rsidP="007C5432">
      <w:r>
        <w:t xml:space="preserve">We </w:t>
      </w:r>
      <w:r w:rsidR="001C4BE6">
        <w:t>continued to implement</w:t>
      </w:r>
      <w:r w:rsidR="007C5432" w:rsidRPr="007C5432">
        <w:t xml:space="preserve"> the final stages of our comprehensive assistance </w:t>
      </w:r>
      <w:r w:rsidR="00C27FDB">
        <w:t>to</w:t>
      </w:r>
      <w:r w:rsidR="007C5432" w:rsidRPr="007C5432">
        <w:t xml:space="preserve"> Fiji</w:t>
      </w:r>
      <w:r w:rsidR="00C27FDB">
        <w:t xml:space="preserve"> following TC Winston</w:t>
      </w:r>
      <w:r w:rsidR="002A50EB">
        <w:t xml:space="preserve"> in 2016</w:t>
      </w:r>
      <w:r w:rsidR="007C5432" w:rsidRPr="007C5432">
        <w:t xml:space="preserve">, </w:t>
      </w:r>
      <w:r w:rsidR="00C27FDB">
        <w:t>which includes the</w:t>
      </w:r>
      <w:r w:rsidR="007C5432" w:rsidRPr="007C5432">
        <w:t xml:space="preserve"> rebuilding </w:t>
      </w:r>
      <w:r w:rsidR="00C27FDB">
        <w:t xml:space="preserve">of </w:t>
      </w:r>
      <w:r>
        <w:t xml:space="preserve">damaged </w:t>
      </w:r>
      <w:r w:rsidR="00C27FDB">
        <w:t>educational, health and economic infrastructure</w:t>
      </w:r>
      <w:r w:rsidR="007C5432" w:rsidRPr="007C5432">
        <w:t xml:space="preserve">. </w:t>
      </w:r>
      <w:r w:rsidR="002A50EB">
        <w:t xml:space="preserve"> Our $20 </w:t>
      </w:r>
      <w:r w:rsidR="007C5432" w:rsidRPr="007C5432">
        <w:t xml:space="preserve">million recovery program has </w:t>
      </w:r>
      <w:r w:rsidR="00C27FDB">
        <w:t>been affected</w:t>
      </w:r>
      <w:r w:rsidR="007C5432" w:rsidRPr="007C5432">
        <w:t xml:space="preserve"> </w:t>
      </w:r>
      <w:r w:rsidR="00A24EF1">
        <w:t xml:space="preserve">by </w:t>
      </w:r>
      <w:r w:rsidR="007C5432" w:rsidRPr="007C5432">
        <w:t>delays</w:t>
      </w:r>
      <w:r w:rsidR="003A4851">
        <w:t xml:space="preserve">, resulting in </w:t>
      </w:r>
      <w:r w:rsidR="00C02DC9">
        <w:t>its</w:t>
      </w:r>
      <w:r w:rsidR="003A4851">
        <w:t xml:space="preserve"> consecutive amber rating</w:t>
      </w:r>
      <w:r w:rsidR="00773F93">
        <w:t xml:space="preserve">. </w:t>
      </w:r>
      <w:r w:rsidR="005B43BE">
        <w:t xml:space="preserve"> </w:t>
      </w:r>
      <w:r w:rsidR="00773F93">
        <w:t xml:space="preserve">We expect remaining works to complete </w:t>
      </w:r>
      <w:r w:rsidR="00C27FDB">
        <w:t>in</w:t>
      </w:r>
      <w:r>
        <w:t xml:space="preserve"> 2019</w:t>
      </w:r>
      <w:r w:rsidR="007C5432" w:rsidRPr="007C5432">
        <w:t xml:space="preserve">. </w:t>
      </w:r>
    </w:p>
    <w:p w14:paraId="51E2CF14"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14:paraId="052F17F2" w14:textId="77777777" w:rsidR="004D72E4" w:rsidRDefault="00406E8E" w:rsidP="004D72E4">
      <w:r>
        <w:t>Fiji is an upper</w:t>
      </w:r>
      <w:r w:rsidR="006A31D8">
        <w:t xml:space="preserve"> </w:t>
      </w:r>
      <w:r>
        <w:t>middle-income coun</w:t>
      </w:r>
      <w:r w:rsidR="008544A9">
        <w:t>try</w:t>
      </w:r>
      <w:r w:rsidR="007A6D3E">
        <w:t xml:space="preserve"> with ambitions of achieving high-income status in the coming decades.</w:t>
      </w:r>
      <w:r w:rsidR="008544A9">
        <w:t xml:space="preserve"> </w:t>
      </w:r>
      <w:r w:rsidR="007A6D3E">
        <w:t xml:space="preserve"> Fiji </w:t>
      </w:r>
      <w:r w:rsidR="007C5432" w:rsidRPr="007C5432">
        <w:t>record</w:t>
      </w:r>
      <w:r w:rsidR="008F6581">
        <w:t>ed</w:t>
      </w:r>
      <w:r w:rsidR="007C5432" w:rsidRPr="007C5432">
        <w:t xml:space="preserve"> its ninth consecutive year of growth in 2018</w:t>
      </w:r>
      <w:r w:rsidR="004D72E4">
        <w:t xml:space="preserve">. </w:t>
      </w:r>
      <w:r w:rsidR="007430D4">
        <w:t xml:space="preserve"> </w:t>
      </w:r>
      <w:r w:rsidR="004D72E4">
        <w:t>Strong tourism earnings</w:t>
      </w:r>
      <w:r w:rsidR="00641CA5">
        <w:t xml:space="preserve"> and conducive fiscal and monetary policies</w:t>
      </w:r>
      <w:r w:rsidR="004D72E4">
        <w:t xml:space="preserve"> have driven annual growth at around </w:t>
      </w:r>
      <w:r w:rsidR="007C5432" w:rsidRPr="007C5432">
        <w:t xml:space="preserve">four per cent </w:t>
      </w:r>
      <w:r w:rsidR="00982FDF">
        <w:t>over</w:t>
      </w:r>
      <w:r w:rsidR="007C5432" w:rsidRPr="007C5432">
        <w:t xml:space="preserve"> the last five years</w:t>
      </w:r>
      <w:r w:rsidR="00641CA5">
        <w:t>, despite a number of natural disasters.</w:t>
      </w:r>
      <w:r w:rsidR="007C5432" w:rsidRPr="007C5432">
        <w:t xml:space="preserve"> </w:t>
      </w:r>
      <w:r w:rsidR="00F975CE">
        <w:t xml:space="preserve"> </w:t>
      </w:r>
      <w:r w:rsidR="003762A5">
        <w:t>Aid plays a relatively</w:t>
      </w:r>
      <w:r w:rsidR="003762A5" w:rsidRPr="007C5432">
        <w:t xml:space="preserve"> minor role in </w:t>
      </w:r>
      <w:r w:rsidR="003762A5">
        <w:t xml:space="preserve">Fiji (total aid flows are approximately </w:t>
      </w:r>
      <w:r w:rsidR="003762A5" w:rsidRPr="00582612">
        <w:t>2</w:t>
      </w:r>
      <w:r w:rsidR="003762A5">
        <w:t>.5 </w:t>
      </w:r>
      <w:r w:rsidR="003762A5" w:rsidRPr="00582612">
        <w:t>per</w:t>
      </w:r>
      <w:r w:rsidR="003762A5">
        <w:t> </w:t>
      </w:r>
      <w:r w:rsidR="003762A5" w:rsidRPr="00582612">
        <w:t>cent</w:t>
      </w:r>
      <w:r w:rsidR="003762A5">
        <w:t xml:space="preserve"> of </w:t>
      </w:r>
      <w:r w:rsidR="00FF6936">
        <w:t>Gross National Income</w:t>
      </w:r>
      <w:r w:rsidR="003762A5" w:rsidRPr="007C5432">
        <w:t xml:space="preserve">). </w:t>
      </w:r>
      <w:r w:rsidR="00C91C85">
        <w:t xml:space="preserve"> </w:t>
      </w:r>
      <w:r w:rsidR="003762A5" w:rsidRPr="00F975CE">
        <w:t>Econo</w:t>
      </w:r>
      <w:r w:rsidR="00F520BA">
        <w:t xml:space="preserve">mic growth has been inclusive, </w:t>
      </w:r>
      <w:r w:rsidR="003762A5" w:rsidRPr="00F975CE">
        <w:t xml:space="preserve">an achievement not many middle-income countries can claim. </w:t>
      </w:r>
      <w:r w:rsidR="00C91C85">
        <w:t xml:space="preserve"> </w:t>
      </w:r>
      <w:r w:rsidR="00F975CE">
        <w:t>T</w:t>
      </w:r>
      <w:r w:rsidR="00F975CE" w:rsidRPr="00F975CE">
        <w:t xml:space="preserve">he World Bank </w:t>
      </w:r>
      <w:r w:rsidR="00F975CE">
        <w:t>has found</w:t>
      </w:r>
      <w:r w:rsidR="00F975CE" w:rsidRPr="00F975CE">
        <w:t xml:space="preserve"> inequality in Fiji has </w:t>
      </w:r>
      <w:r w:rsidR="003762A5">
        <w:t>decreased</w:t>
      </w:r>
      <w:r w:rsidR="003762A5" w:rsidRPr="00F975CE">
        <w:t xml:space="preserve"> </w:t>
      </w:r>
      <w:r w:rsidR="00C91C85">
        <w:t>-</w:t>
      </w:r>
      <w:r w:rsidR="00F975CE" w:rsidRPr="00F975CE">
        <w:t xml:space="preserve"> the incomes of the poorest quintile </w:t>
      </w:r>
      <w:r w:rsidR="00F520BA">
        <w:t>have grown</w:t>
      </w:r>
      <w:r w:rsidR="00F975CE" w:rsidRPr="00F975CE">
        <w:t xml:space="preserve"> faster than the richest.</w:t>
      </w:r>
      <w:r w:rsidR="00AC50CE" w:rsidRPr="00AC50CE">
        <w:rPr>
          <w:rStyle w:val="FootnoteReference"/>
          <w:color w:val="595959" w:themeColor="text1" w:themeTint="A6"/>
        </w:rPr>
        <w:t xml:space="preserve"> </w:t>
      </w:r>
      <w:r w:rsidR="00AC50CE">
        <w:rPr>
          <w:rStyle w:val="FootnoteReference"/>
          <w:color w:val="595959" w:themeColor="text1" w:themeTint="A6"/>
        </w:rPr>
        <w:footnoteReference w:id="2"/>
      </w:r>
      <w:r w:rsidR="00AC50CE" w:rsidRPr="00BE2622">
        <w:rPr>
          <w:color w:val="595959" w:themeColor="text1" w:themeTint="A6"/>
        </w:rPr>
        <w:t xml:space="preserve"> </w:t>
      </w:r>
      <w:r w:rsidR="00F975CE" w:rsidRPr="00F975CE">
        <w:t xml:space="preserve"> </w:t>
      </w:r>
      <w:r w:rsidR="003762A5">
        <w:t xml:space="preserve"> </w:t>
      </w:r>
    </w:p>
    <w:p w14:paraId="7AB6650B" w14:textId="41886A56" w:rsidR="00F64608" w:rsidRPr="00E23B65" w:rsidRDefault="00F64608" w:rsidP="00E23B65"/>
    <w:p w14:paraId="424F57CC" w14:textId="1B9FEFFE" w:rsidR="007430D4" w:rsidRPr="00E23B65" w:rsidRDefault="007430D4" w:rsidP="007430D4">
      <w:r>
        <w:lastRenderedPageBreak/>
        <w:t xml:space="preserve">Despite </w:t>
      </w:r>
      <w:r w:rsidR="00854D02">
        <w:t>its</w:t>
      </w:r>
      <w:r>
        <w:t xml:space="preserve"> impressive achievements, concerns remain about </w:t>
      </w:r>
      <w:r w:rsidR="005C7E39">
        <w:t>Fiji’s vulnerability to natural disasters and the</w:t>
      </w:r>
      <w:r w:rsidR="00854D02">
        <w:t>ir</w:t>
      </w:r>
      <w:r w:rsidR="005C7E39">
        <w:t xml:space="preserve"> social and economic impact, and the need to attract </w:t>
      </w:r>
      <w:r w:rsidR="00854D02">
        <w:t>more</w:t>
      </w:r>
      <w:r w:rsidR="005C7E39">
        <w:t xml:space="preserve"> private sector investment </w:t>
      </w:r>
      <w:r w:rsidR="00854D02">
        <w:t>to</w:t>
      </w:r>
      <w:r w:rsidR="005C7E39">
        <w:t xml:space="preserve"> the economy.</w:t>
      </w:r>
      <w:r>
        <w:t xml:space="preserve">  </w:t>
      </w:r>
      <w:r w:rsidR="005C7E39">
        <w:t>In 2017-18, t</w:t>
      </w:r>
      <w:r>
        <w:t xml:space="preserve">he Government of Fiji </w:t>
      </w:r>
      <w:r w:rsidR="005C7E39">
        <w:t xml:space="preserve">significantly sharpened its focus on improving insurance coverage </w:t>
      </w:r>
      <w:r w:rsidR="00854D02">
        <w:t>for</w:t>
      </w:r>
      <w:r w:rsidR="005C7E39">
        <w:t xml:space="preserve"> natural disasters and on supporting the growth of micro, small and medium enterprises and </w:t>
      </w:r>
      <w:r w:rsidR="00F520BA">
        <w:t xml:space="preserve">reducing red </w:t>
      </w:r>
      <w:r w:rsidR="005C7E39">
        <w:t xml:space="preserve">tape </w:t>
      </w:r>
      <w:r w:rsidR="00F520BA">
        <w:t>in business regulation</w:t>
      </w:r>
      <w:r w:rsidR="005C7E39">
        <w:t xml:space="preserve">.  </w:t>
      </w:r>
      <w:r>
        <w:t>Fiji</w:t>
      </w:r>
      <w:r w:rsidR="00773F93">
        <w:t>’s successful presidency of COP</w:t>
      </w:r>
      <w:r>
        <w:t>23</w:t>
      </w:r>
      <w:r w:rsidR="00662914">
        <w:t xml:space="preserve"> (</w:t>
      </w:r>
      <w:r>
        <w:t>to</w:t>
      </w:r>
      <w:r w:rsidR="00854D02">
        <w:t>wards</w:t>
      </w:r>
      <w:r>
        <w:t xml:space="preserve"> which </w:t>
      </w:r>
      <w:r w:rsidR="00662914">
        <w:t xml:space="preserve">Australia </w:t>
      </w:r>
      <w:r w:rsidR="00334089">
        <w:t>provided $6 </w:t>
      </w:r>
      <w:r>
        <w:t>million</w:t>
      </w:r>
      <w:r w:rsidR="00662914">
        <w:t>)</w:t>
      </w:r>
      <w:r>
        <w:t>, included the launch of the Talanoa Dia</w:t>
      </w:r>
      <w:r w:rsidR="00854D02">
        <w:t>logue to raise global ambition to address</w:t>
      </w:r>
      <w:r>
        <w:t xml:space="preserve"> climate change.  In late 2017, Fiji launched a National Adaptation Plan and the region’s first Climate Vulnerability Assessment.</w:t>
      </w:r>
      <w:r w:rsidR="006F5794">
        <w:t xml:space="preserve"> </w:t>
      </w:r>
    </w:p>
    <w:p w14:paraId="19B78C07" w14:textId="4DD7016E" w:rsidR="000E4E1D" w:rsidRDefault="007C5432" w:rsidP="000E4E1D">
      <w:r w:rsidRPr="007C5432">
        <w:t xml:space="preserve">Climate change was reflected </w:t>
      </w:r>
      <w:r w:rsidR="00334089">
        <w:t xml:space="preserve">strongly </w:t>
      </w:r>
      <w:r w:rsidRPr="007C5432">
        <w:t xml:space="preserve">in Fiji’s National Development Plan </w:t>
      </w:r>
      <w:r w:rsidR="003E41BD">
        <w:t>(</w:t>
      </w:r>
      <w:r w:rsidR="003E41BD" w:rsidRPr="00F520BA">
        <w:rPr>
          <w:b/>
        </w:rPr>
        <w:t>NDP</w:t>
      </w:r>
      <w:r w:rsidR="003E41BD">
        <w:t>).  R</w:t>
      </w:r>
      <w:r w:rsidRPr="007C5432">
        <w:t xml:space="preserve">eleased in late 2017, </w:t>
      </w:r>
      <w:r w:rsidR="003E41BD">
        <w:t>it outlined</w:t>
      </w:r>
      <w:r w:rsidRPr="007C5432">
        <w:t xml:space="preserve"> a five-year and 20-year development plan for the country. With the vision of “Transforming Fiji”, the </w:t>
      </w:r>
      <w:r w:rsidR="006921E5">
        <w:t>NDP</w:t>
      </w:r>
      <w:r w:rsidRPr="007C5432">
        <w:t xml:space="preserve"> provides a commitment to inclusive social and econom</w:t>
      </w:r>
      <w:r w:rsidR="003E41BD">
        <w:t>ic development for all Fijians</w:t>
      </w:r>
      <w:r w:rsidR="00D76D4A" w:rsidRPr="00CE038F">
        <w:t xml:space="preserve">, to be achieved through strategies </w:t>
      </w:r>
      <w:r w:rsidR="00D76D4A">
        <w:t>that</w:t>
      </w:r>
      <w:r w:rsidR="00D76D4A" w:rsidRPr="00CE038F">
        <w:t xml:space="preserve"> empower Fijians and widen the reach of programs, essential services and infrastructure</w:t>
      </w:r>
      <w:r w:rsidR="003E41BD">
        <w:t xml:space="preserve">.  </w:t>
      </w:r>
      <w:r w:rsidR="00582612">
        <w:t>The NDP</w:t>
      </w:r>
      <w:r w:rsidR="00582612" w:rsidRPr="00B3296C">
        <w:t xml:space="preserve"> </w:t>
      </w:r>
      <w:r w:rsidR="00565AF5">
        <w:t xml:space="preserve">makes clear the </w:t>
      </w:r>
      <w:r w:rsidR="00582612">
        <w:t>Government</w:t>
      </w:r>
      <w:r w:rsidR="00565AF5">
        <w:t xml:space="preserve"> of Fiji</w:t>
      </w:r>
      <w:r w:rsidR="00582612">
        <w:t xml:space="preserve">’s </w:t>
      </w:r>
      <w:r w:rsidR="00582612" w:rsidRPr="00B3296C">
        <w:t>intention</w:t>
      </w:r>
      <w:r w:rsidR="00582612">
        <w:t xml:space="preserve"> that Fiji </w:t>
      </w:r>
      <w:r w:rsidR="00582612" w:rsidRPr="00B3296C">
        <w:t xml:space="preserve">become a developed country and a modern regional hub for the Pacific </w:t>
      </w:r>
      <w:r w:rsidR="00C91C85">
        <w:t>including in</w:t>
      </w:r>
      <w:r w:rsidR="00582612" w:rsidRPr="00B3296C">
        <w:t xml:space="preserve"> healthcare </w:t>
      </w:r>
      <w:r w:rsidR="00C91C85">
        <w:t>and</w:t>
      </w:r>
      <w:r w:rsidR="00582612" w:rsidRPr="00B3296C">
        <w:t> security.</w:t>
      </w:r>
      <w:r w:rsidR="00D76D4A">
        <w:t xml:space="preserve">  </w:t>
      </w:r>
      <w:r w:rsidR="00C91C85">
        <w:t>Fiji’s</w:t>
      </w:r>
      <w:r w:rsidR="00D76D4A" w:rsidRPr="00CE038F">
        <w:t xml:space="preserve"> goals include improving access to quality education</w:t>
      </w:r>
      <w:r w:rsidR="007430D4">
        <w:t xml:space="preserve"> </w:t>
      </w:r>
      <w:r w:rsidR="00D76D4A" w:rsidRPr="00CE038F">
        <w:t>and healthcare, including reproductive healthcare; women’s empowerment</w:t>
      </w:r>
      <w:r w:rsidR="009B6268" w:rsidRPr="00CE038F">
        <w:t>; a</w:t>
      </w:r>
      <w:r w:rsidR="00D76D4A" w:rsidRPr="00CE038F">
        <w:t xml:space="preserve"> sound regulatory environment for inclusive and sustainable private sector development</w:t>
      </w:r>
      <w:r w:rsidR="006F5794">
        <w:t>; and</w:t>
      </w:r>
      <w:r w:rsidR="006F5794" w:rsidRPr="007D30DE">
        <w:t xml:space="preserve"> supporting business innovation through access to entrepreneurship training and mentoring programmes</w:t>
      </w:r>
      <w:r w:rsidR="00B54179" w:rsidRPr="007D30DE">
        <w:t>.</w:t>
      </w:r>
    </w:p>
    <w:p w14:paraId="7F22ABE5" w14:textId="54C15668" w:rsidR="00AC1FE9" w:rsidRDefault="00E26BA5" w:rsidP="000E4E1D">
      <w:r>
        <w:t>Fiji will hold its general election on 14 November 2018</w:t>
      </w:r>
      <w:r w:rsidRPr="007C5432">
        <w:t>.</w:t>
      </w:r>
      <w:r>
        <w:t xml:space="preserve"> </w:t>
      </w:r>
      <w:r w:rsidRPr="007C5432">
        <w:t xml:space="preserve"> Australia has supported </w:t>
      </w:r>
      <w:r>
        <w:t>the electoral</w:t>
      </w:r>
      <w:r w:rsidRPr="007C5432">
        <w:t xml:space="preserve"> process through technical advice to the Fijian</w:t>
      </w:r>
      <w:r w:rsidR="003475E0">
        <w:t xml:space="preserve"> Elections Office and the Fiji</w:t>
      </w:r>
      <w:r w:rsidRPr="007C5432">
        <w:t xml:space="preserve"> Electoral Commission. </w:t>
      </w:r>
      <w:r w:rsidRPr="00816235">
        <w:t xml:space="preserve"> </w:t>
      </w:r>
    </w:p>
    <w:p w14:paraId="5FC3453C" w14:textId="77777777" w:rsidR="00E26BA5" w:rsidRPr="007D30DE" w:rsidRDefault="00E26BA5" w:rsidP="000E4E1D"/>
    <w:p w14:paraId="02C61A84" w14:textId="2D6A9A30" w:rsidR="000E4E1D" w:rsidRPr="000E4E1D" w:rsidRDefault="000E4E1D" w:rsidP="00143F7F">
      <w:pPr>
        <w:rPr>
          <w:b/>
        </w:rPr>
      </w:pPr>
      <w:r w:rsidRPr="000E4E1D">
        <w:rPr>
          <w:b/>
        </w:rPr>
        <w:t>Australian aid to Fiji</w:t>
      </w:r>
    </w:p>
    <w:p w14:paraId="2F68CF4F" w14:textId="7213F5B5" w:rsidR="00662914" w:rsidRPr="007D30DE" w:rsidRDefault="003A4D34" w:rsidP="00143F7F">
      <w:r>
        <w:t xml:space="preserve">Australia </w:t>
      </w:r>
      <w:r w:rsidR="00F520BA">
        <w:t xml:space="preserve">is </w:t>
      </w:r>
      <w:r w:rsidR="00360ECB">
        <w:t xml:space="preserve">the largest bilateral donor to Fiji. </w:t>
      </w:r>
      <w:r w:rsidR="006921E5">
        <w:t xml:space="preserve"> </w:t>
      </w:r>
      <w:r w:rsidR="00360ECB">
        <w:t xml:space="preserve">We work closely with the other major donors, through joint funding to programs like the </w:t>
      </w:r>
      <w:r w:rsidR="00F520BA">
        <w:t>United Nations Development Program (</w:t>
      </w:r>
      <w:r w:rsidR="00F520BA" w:rsidRPr="00F520BA">
        <w:rPr>
          <w:b/>
        </w:rPr>
        <w:t>UNDP</w:t>
      </w:r>
      <w:r w:rsidR="00F520BA">
        <w:t>)</w:t>
      </w:r>
      <w:r w:rsidR="00360ECB">
        <w:t xml:space="preserve"> managed Parliament program (</w:t>
      </w:r>
      <w:r w:rsidR="008C01BD">
        <w:t xml:space="preserve">also </w:t>
      </w:r>
      <w:r w:rsidR="006921E5">
        <w:t xml:space="preserve">funded by </w:t>
      </w:r>
      <w:r w:rsidR="00360ECB">
        <w:t xml:space="preserve">Japan and New Zealand) and by ensuring information sharing and coordination. </w:t>
      </w:r>
      <w:r w:rsidR="008C01BD">
        <w:t xml:space="preserve">We </w:t>
      </w:r>
      <w:r w:rsidR="00360ECB">
        <w:t xml:space="preserve">also work closely with the World Bank Group, </w:t>
      </w:r>
      <w:r w:rsidR="008C01BD">
        <w:t>International Finance Corporation (</w:t>
      </w:r>
      <w:r w:rsidR="008C01BD" w:rsidRPr="00F520BA">
        <w:rPr>
          <w:b/>
        </w:rPr>
        <w:t>IFC</w:t>
      </w:r>
      <w:r w:rsidR="008C01BD">
        <w:t xml:space="preserve">) </w:t>
      </w:r>
      <w:r w:rsidR="00360ECB">
        <w:t xml:space="preserve">and </w:t>
      </w:r>
      <w:r w:rsidR="008C01BD">
        <w:t>Asian Development Bank (</w:t>
      </w:r>
      <w:r w:rsidR="00360ECB" w:rsidRPr="00F520BA">
        <w:rPr>
          <w:b/>
        </w:rPr>
        <w:t>ADB</w:t>
      </w:r>
      <w:r w:rsidR="008C01BD">
        <w:t>)</w:t>
      </w:r>
      <w:r w:rsidR="00360ECB">
        <w:t xml:space="preserve"> through co-financing</w:t>
      </w:r>
      <w:r w:rsidR="00F520BA">
        <w:t xml:space="preserve"> arrangements</w:t>
      </w:r>
      <w:r w:rsidR="00360ECB">
        <w:t xml:space="preserve"> and with key UN Agencies to deliver join</w:t>
      </w:r>
      <w:r w:rsidR="00693FCC">
        <w:t>t</w:t>
      </w:r>
      <w:r w:rsidR="00360ECB">
        <w:t xml:space="preserve"> programming. </w:t>
      </w:r>
      <w:r w:rsidR="005C7E39">
        <w:t xml:space="preserve"> </w:t>
      </w:r>
    </w:p>
    <w:p w14:paraId="23D64AAB" w14:textId="7FD72D6A" w:rsidR="00662914" w:rsidRDefault="00662914" w:rsidP="00143F7F">
      <w:r w:rsidRPr="00E23B65">
        <w:t>As an upper</w:t>
      </w:r>
      <w:r>
        <w:t xml:space="preserve"> </w:t>
      </w:r>
      <w:r w:rsidRPr="00E23B65">
        <w:t xml:space="preserve">middle-income country, the development challenges Fiji will face in coming decades inform a shift from basic service delivery to strengthening national systems and policy reform.  </w:t>
      </w:r>
      <w:r>
        <w:t xml:space="preserve"> Australian aid is supporting Fiji </w:t>
      </w:r>
      <w:r w:rsidR="0009075E">
        <w:t xml:space="preserve">to </w:t>
      </w:r>
      <w:r>
        <w:t>improve the conditions for</w:t>
      </w:r>
      <w:r>
        <w:rPr>
          <w:lang w:val="en-US"/>
        </w:rPr>
        <w:t xml:space="preserve"> economic growth and development and</w:t>
      </w:r>
      <w:r w:rsidR="0009075E">
        <w:rPr>
          <w:lang w:val="en-US"/>
        </w:rPr>
        <w:t xml:space="preserve"> to</w:t>
      </w:r>
      <w:r>
        <w:rPr>
          <w:lang w:val="en-US"/>
        </w:rPr>
        <w:t xml:space="preserve"> assist it achieve high-income status, including through investments to strengthen human and institutional capacity and </w:t>
      </w:r>
      <w:r w:rsidR="0009075E">
        <w:rPr>
          <w:lang w:val="en-US"/>
        </w:rPr>
        <w:t xml:space="preserve">to </w:t>
      </w:r>
      <w:r>
        <w:rPr>
          <w:lang w:val="en-US"/>
        </w:rPr>
        <w:t xml:space="preserve">ensure the poorest and most vulnerable </w:t>
      </w:r>
      <w:r>
        <w:t>share the benefits of increased economic growth.</w:t>
      </w:r>
      <w:r w:rsidRPr="00662914">
        <w:t xml:space="preserve"> </w:t>
      </w:r>
      <w:r>
        <w:t xml:space="preserve"> Our</w:t>
      </w:r>
      <w:r w:rsidRPr="00662914">
        <w:t xml:space="preserve"> assistance is flexible, evolving to respond to Fiji’s development trajectory and political momentum for reform and supporting Fiji </w:t>
      </w:r>
      <w:r w:rsidR="0009075E">
        <w:t>to utilise its own resources to best effect.</w:t>
      </w:r>
      <w:r w:rsidRPr="00662914">
        <w:t xml:space="preserve">  </w:t>
      </w:r>
    </w:p>
    <w:p w14:paraId="6EFB3811" w14:textId="77777777" w:rsidR="00662914" w:rsidRDefault="00662914" w:rsidP="00662914">
      <w:r>
        <w:t xml:space="preserve">The Aid Program in Fiji has undergone two important strategic shifts since 2014.  First, it has been re-oriented to work with the Government of Fiji.  As the 2017 </w:t>
      </w:r>
      <w:r w:rsidRPr="007D30DE">
        <w:t>Foreign Policy White Paper</w:t>
      </w:r>
      <w:r>
        <w:t xml:space="preserve"> states, Australia is committed to strong and productive relations with Fiji.</w:t>
      </w:r>
      <w:r w:rsidRPr="003475E0">
        <w:rPr>
          <w:rStyle w:val="FootnoteReference"/>
          <w:color w:val="595959" w:themeColor="text1" w:themeTint="A6"/>
        </w:rPr>
        <w:footnoteReference w:id="3"/>
      </w:r>
      <w:r>
        <w:t xml:space="preserve">  We now work with 26 ministries and government organisations in Fiji.  Second, we adjusted our Program to respond more effectively to the Government of Fiji’s related priorities of</w:t>
      </w:r>
      <w:r w:rsidRPr="00F90C8B">
        <w:t xml:space="preserve"> </w:t>
      </w:r>
      <w:r>
        <w:t xml:space="preserve">private sector development and civil service reform.  This was in addition to our long-standing support for health, education, gender, women’s empowerment and community development, which continues to play a key role in advancing Fiji’s economic ambitions.  </w:t>
      </w:r>
    </w:p>
    <w:p w14:paraId="36C1DFC4" w14:textId="6E3BCCEC" w:rsidR="007C5432" w:rsidRPr="007C5432" w:rsidRDefault="00C91C85" w:rsidP="007C5432">
      <w:r>
        <w:t xml:space="preserve">Looking ahead, we </w:t>
      </w:r>
      <w:r w:rsidR="00143F7F">
        <w:t>will</w:t>
      </w:r>
      <w:r w:rsidR="003E41BD">
        <w:t xml:space="preserve"> further</w:t>
      </w:r>
      <w:r w:rsidR="00143F7F">
        <w:t xml:space="preserve"> refocus the </w:t>
      </w:r>
      <w:r w:rsidR="00854D02">
        <w:t xml:space="preserve">Fiji </w:t>
      </w:r>
      <w:r w:rsidR="00143F7F">
        <w:t xml:space="preserve">Program, in close alignment with the NDP, through the development of a new Aid Investment Plan.  </w:t>
      </w:r>
      <w:r>
        <w:t xml:space="preserve"> </w:t>
      </w:r>
      <w:r w:rsidR="00143F7F">
        <w:t xml:space="preserve">As part of the </w:t>
      </w:r>
      <w:r w:rsidR="007C5432" w:rsidRPr="007C5432">
        <w:t>process</w:t>
      </w:r>
      <w:r w:rsidR="00682F6A">
        <w:t>, we will</w:t>
      </w:r>
      <w:r w:rsidR="007C5432" w:rsidRPr="007C5432">
        <w:t xml:space="preserve"> look </w:t>
      </w:r>
      <w:r w:rsidR="004D72E4">
        <w:t>to a broadening of the</w:t>
      </w:r>
      <w:r w:rsidR="007C5432" w:rsidRPr="007C5432">
        <w:t xml:space="preserve"> partnership</w:t>
      </w:r>
      <w:r w:rsidR="003E41BD">
        <w:t xml:space="preserve"> to c</w:t>
      </w:r>
      <w:r w:rsidR="00582612">
        <w:t>over</w:t>
      </w:r>
      <w:r w:rsidR="007C5432" w:rsidRPr="007C5432">
        <w:t xml:space="preserve"> trade, investment and security</w:t>
      </w:r>
      <w:r w:rsidR="00641E22">
        <w:t>, as well as development assistance</w:t>
      </w:r>
      <w:r w:rsidR="00F520BA">
        <w:t>, in recognition of Fiji’s economic potential and its capacity to serve as a regional hub for business, tourism, security cooperation, and humanitarian and disaster response coordination.</w:t>
      </w:r>
      <w:r w:rsidR="00F520BA" w:rsidRPr="000E4E1D">
        <w:rPr>
          <w:rStyle w:val="FootnoteReference"/>
          <w:color w:val="595959" w:themeColor="text1" w:themeTint="A6"/>
        </w:rPr>
        <w:footnoteReference w:id="4"/>
      </w:r>
    </w:p>
    <w:p w14:paraId="3D015753" w14:textId="21A54702" w:rsidR="00C6626C" w:rsidRPr="002A51CA" w:rsidRDefault="0047187B" w:rsidP="007D30DE">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r w:rsidR="00C6626C" w:rsidRPr="002A51CA">
        <w:rPr>
          <w:rFonts w:asciiTheme="majorHAnsi" w:eastAsiaTheme="majorEastAsia" w:hAnsiTheme="majorHAnsi" w:cstheme="majorBidi"/>
          <w:caps/>
          <w:sz w:val="38"/>
          <w:szCs w:val="26"/>
        </w:rPr>
        <w:lastRenderedPageBreak/>
        <w:t>Expenditure</w:t>
      </w:r>
    </w:p>
    <w:p w14:paraId="777FF120" w14:textId="77777777" w:rsidR="007F3C18" w:rsidRDefault="007F3C18" w:rsidP="007F3C18">
      <w:pPr>
        <w:rPr>
          <w:b/>
          <w:bCs/>
          <w:color w:val="44546A"/>
          <w:sz w:val="24"/>
          <w:szCs w:val="24"/>
        </w:rPr>
      </w:pPr>
      <w:r w:rsidRPr="00737400">
        <w:rPr>
          <w:b/>
          <w:bCs/>
          <w:sz w:val="24"/>
          <w:szCs w:val="24"/>
        </w:rPr>
        <w:t>Table 1 Total ODA Expenditure in FY 2017-18</w:t>
      </w:r>
    </w:p>
    <w:tbl>
      <w:tblPr>
        <w:tblW w:w="9639" w:type="dxa"/>
        <w:tblCellMar>
          <w:left w:w="0" w:type="dxa"/>
          <w:right w:w="0" w:type="dxa"/>
        </w:tblCellMar>
        <w:tblLook w:val="04A0" w:firstRow="1" w:lastRow="0" w:firstColumn="1" w:lastColumn="0" w:noHBand="0" w:noVBand="1"/>
      </w:tblPr>
      <w:tblGrid>
        <w:gridCol w:w="6374"/>
        <w:gridCol w:w="1423"/>
        <w:gridCol w:w="1842"/>
      </w:tblGrid>
      <w:tr w:rsidR="007F3C18" w14:paraId="4568D4D8" w14:textId="77777777" w:rsidTr="007F3C18">
        <w:tc>
          <w:tcPr>
            <w:tcW w:w="6374" w:type="dxa"/>
            <w:tcBorders>
              <w:top w:val="single" w:sz="12" w:space="0" w:color="auto"/>
              <w:left w:val="nil"/>
              <w:bottom w:val="nil"/>
              <w:right w:val="nil"/>
            </w:tcBorders>
            <w:tcMar>
              <w:top w:w="0" w:type="dxa"/>
              <w:left w:w="108" w:type="dxa"/>
              <w:bottom w:w="0" w:type="dxa"/>
              <w:right w:w="108" w:type="dxa"/>
            </w:tcMar>
            <w:hideMark/>
          </w:tcPr>
          <w:p w14:paraId="02526100" w14:textId="77777777" w:rsidR="007F3C18" w:rsidRDefault="007F3C18">
            <w:pPr>
              <w:rPr>
                <w:b/>
                <w:bCs/>
                <w:sz w:val="24"/>
                <w:szCs w:val="24"/>
              </w:rPr>
            </w:pPr>
            <w:r>
              <w:rPr>
                <w:sz w:val="20"/>
                <w:szCs w:val="20"/>
              </w:rPr>
              <w:t>Objective</w:t>
            </w:r>
          </w:p>
        </w:tc>
        <w:tc>
          <w:tcPr>
            <w:tcW w:w="1423" w:type="dxa"/>
            <w:tcBorders>
              <w:top w:val="single" w:sz="12" w:space="0" w:color="auto"/>
              <w:left w:val="nil"/>
              <w:bottom w:val="nil"/>
              <w:right w:val="nil"/>
            </w:tcBorders>
            <w:tcMar>
              <w:top w:w="0" w:type="dxa"/>
              <w:left w:w="108" w:type="dxa"/>
              <w:bottom w:w="0" w:type="dxa"/>
              <w:right w:w="108" w:type="dxa"/>
            </w:tcMar>
            <w:hideMark/>
          </w:tcPr>
          <w:p w14:paraId="2D5FE098" w14:textId="77777777" w:rsidR="007F3C18" w:rsidRDefault="007F3C18" w:rsidP="006921E5">
            <w:pPr>
              <w:rPr>
                <w:b/>
                <w:bCs/>
                <w:sz w:val="24"/>
                <w:szCs w:val="24"/>
              </w:rPr>
            </w:pPr>
            <w:r>
              <w:rPr>
                <w:sz w:val="20"/>
                <w:szCs w:val="20"/>
              </w:rPr>
              <w:t>A$ million</w:t>
            </w:r>
          </w:p>
        </w:tc>
        <w:tc>
          <w:tcPr>
            <w:tcW w:w="1842" w:type="dxa"/>
            <w:tcBorders>
              <w:top w:val="single" w:sz="12" w:space="0" w:color="auto"/>
              <w:left w:val="nil"/>
              <w:bottom w:val="nil"/>
              <w:right w:val="nil"/>
            </w:tcBorders>
            <w:tcMar>
              <w:top w:w="0" w:type="dxa"/>
              <w:left w:w="108" w:type="dxa"/>
              <w:bottom w:w="0" w:type="dxa"/>
              <w:right w:w="108" w:type="dxa"/>
            </w:tcMar>
            <w:hideMark/>
          </w:tcPr>
          <w:p w14:paraId="5237E569" w14:textId="77777777" w:rsidR="007F3C18" w:rsidRDefault="007F3C18" w:rsidP="006921E5">
            <w:pPr>
              <w:ind w:right="-546"/>
              <w:rPr>
                <w:b/>
                <w:bCs/>
                <w:sz w:val="24"/>
                <w:szCs w:val="24"/>
              </w:rPr>
            </w:pPr>
            <w:r>
              <w:rPr>
                <w:sz w:val="20"/>
                <w:szCs w:val="20"/>
              </w:rPr>
              <w:t>% of total ODA</w:t>
            </w:r>
          </w:p>
        </w:tc>
      </w:tr>
      <w:tr w:rsidR="007F3C18" w14:paraId="3AA9C9B2" w14:textId="77777777" w:rsidTr="007F3C18">
        <w:tc>
          <w:tcPr>
            <w:tcW w:w="6374" w:type="dxa"/>
            <w:tcMar>
              <w:top w:w="0" w:type="dxa"/>
              <w:left w:w="108" w:type="dxa"/>
              <w:bottom w:w="0" w:type="dxa"/>
              <w:right w:w="108" w:type="dxa"/>
            </w:tcMar>
            <w:hideMark/>
          </w:tcPr>
          <w:p w14:paraId="61BA4B4B" w14:textId="77777777" w:rsidR="007F3C18" w:rsidRDefault="008C01BD" w:rsidP="008C01BD">
            <w:pPr>
              <w:rPr>
                <w:b/>
                <w:bCs/>
                <w:sz w:val="24"/>
                <w:szCs w:val="24"/>
              </w:rPr>
            </w:pPr>
            <w:r>
              <w:rPr>
                <w:sz w:val="20"/>
                <w:szCs w:val="20"/>
              </w:rPr>
              <w:t xml:space="preserve">Objective 1: Increased Private Sector Development </w:t>
            </w:r>
          </w:p>
        </w:tc>
        <w:tc>
          <w:tcPr>
            <w:tcW w:w="1423" w:type="dxa"/>
            <w:tcMar>
              <w:top w:w="0" w:type="dxa"/>
              <w:left w:w="108" w:type="dxa"/>
              <w:bottom w:w="0" w:type="dxa"/>
              <w:right w:w="108" w:type="dxa"/>
            </w:tcMar>
            <w:hideMark/>
          </w:tcPr>
          <w:p w14:paraId="42E75A82" w14:textId="77777777" w:rsidR="007F3C18" w:rsidRPr="00B80F4D" w:rsidRDefault="007F3C18">
            <w:pPr>
              <w:rPr>
                <w:bCs/>
                <w:sz w:val="24"/>
                <w:szCs w:val="24"/>
              </w:rPr>
            </w:pPr>
            <w:r w:rsidRPr="00B80F4D">
              <w:rPr>
                <w:bCs/>
                <w:color w:val="1F497D"/>
                <w:sz w:val="24"/>
                <w:szCs w:val="24"/>
              </w:rPr>
              <w:t>11.6</w:t>
            </w:r>
          </w:p>
        </w:tc>
        <w:tc>
          <w:tcPr>
            <w:tcW w:w="1842" w:type="dxa"/>
            <w:tcMar>
              <w:top w:w="0" w:type="dxa"/>
              <w:left w:w="108" w:type="dxa"/>
              <w:bottom w:w="0" w:type="dxa"/>
              <w:right w:w="108" w:type="dxa"/>
            </w:tcMar>
            <w:hideMark/>
          </w:tcPr>
          <w:p w14:paraId="4087F409" w14:textId="77777777" w:rsidR="007F3C18" w:rsidRPr="00B80F4D" w:rsidRDefault="00B80F4D">
            <w:pPr>
              <w:rPr>
                <w:bCs/>
                <w:sz w:val="24"/>
                <w:szCs w:val="24"/>
              </w:rPr>
            </w:pPr>
            <w:r>
              <w:rPr>
                <w:bCs/>
                <w:color w:val="1F497D"/>
                <w:sz w:val="24"/>
                <w:szCs w:val="24"/>
              </w:rPr>
              <w:t>18.8</w:t>
            </w:r>
          </w:p>
        </w:tc>
      </w:tr>
      <w:tr w:rsidR="007F3C18" w14:paraId="49929982" w14:textId="77777777" w:rsidTr="007F3C18">
        <w:tc>
          <w:tcPr>
            <w:tcW w:w="6374" w:type="dxa"/>
            <w:tcMar>
              <w:top w:w="0" w:type="dxa"/>
              <w:left w:w="108" w:type="dxa"/>
              <w:bottom w:w="0" w:type="dxa"/>
              <w:right w:w="108" w:type="dxa"/>
            </w:tcMar>
            <w:hideMark/>
          </w:tcPr>
          <w:p w14:paraId="1EAB95FF" w14:textId="77777777" w:rsidR="007F3C18" w:rsidRDefault="007F3C18">
            <w:pPr>
              <w:rPr>
                <w:b/>
                <w:bCs/>
                <w:sz w:val="24"/>
                <w:szCs w:val="24"/>
              </w:rPr>
            </w:pPr>
            <w:r>
              <w:rPr>
                <w:sz w:val="20"/>
                <w:szCs w:val="20"/>
              </w:rPr>
              <w:t>Objective 2</w:t>
            </w:r>
            <w:r w:rsidR="008C01BD">
              <w:rPr>
                <w:sz w:val="20"/>
                <w:szCs w:val="20"/>
              </w:rPr>
              <w:t>: Improved Human Development</w:t>
            </w:r>
          </w:p>
        </w:tc>
        <w:tc>
          <w:tcPr>
            <w:tcW w:w="1423" w:type="dxa"/>
            <w:tcMar>
              <w:top w:w="0" w:type="dxa"/>
              <w:left w:w="108" w:type="dxa"/>
              <w:bottom w:w="0" w:type="dxa"/>
              <w:right w:w="108" w:type="dxa"/>
            </w:tcMar>
            <w:hideMark/>
          </w:tcPr>
          <w:p w14:paraId="37A6136E" w14:textId="77777777" w:rsidR="007F3C18" w:rsidRPr="00B80F4D" w:rsidRDefault="007F3C18">
            <w:pPr>
              <w:rPr>
                <w:bCs/>
                <w:sz w:val="24"/>
                <w:szCs w:val="24"/>
              </w:rPr>
            </w:pPr>
            <w:r w:rsidRPr="00B80F4D">
              <w:rPr>
                <w:bCs/>
                <w:color w:val="1F497D"/>
                <w:sz w:val="24"/>
                <w:szCs w:val="24"/>
              </w:rPr>
              <w:t>18.4</w:t>
            </w:r>
          </w:p>
        </w:tc>
        <w:tc>
          <w:tcPr>
            <w:tcW w:w="1842" w:type="dxa"/>
            <w:tcMar>
              <w:top w:w="0" w:type="dxa"/>
              <w:left w:w="108" w:type="dxa"/>
              <w:bottom w:w="0" w:type="dxa"/>
              <w:right w:w="108" w:type="dxa"/>
            </w:tcMar>
            <w:hideMark/>
          </w:tcPr>
          <w:p w14:paraId="79443AD9" w14:textId="77777777" w:rsidR="007F3C18" w:rsidRPr="00B80F4D" w:rsidRDefault="00B80F4D">
            <w:pPr>
              <w:rPr>
                <w:bCs/>
                <w:sz w:val="24"/>
                <w:szCs w:val="24"/>
              </w:rPr>
            </w:pPr>
            <w:r>
              <w:rPr>
                <w:bCs/>
                <w:color w:val="1F497D"/>
                <w:sz w:val="24"/>
                <w:szCs w:val="24"/>
              </w:rPr>
              <w:t>29.8</w:t>
            </w:r>
          </w:p>
        </w:tc>
      </w:tr>
      <w:tr w:rsidR="007F3C18" w14:paraId="4421FF39" w14:textId="77777777" w:rsidTr="007F3C18">
        <w:tc>
          <w:tcPr>
            <w:tcW w:w="6374" w:type="dxa"/>
            <w:tcMar>
              <w:top w:w="0" w:type="dxa"/>
              <w:left w:w="108" w:type="dxa"/>
              <w:bottom w:w="0" w:type="dxa"/>
              <w:right w:w="108" w:type="dxa"/>
            </w:tcMar>
            <w:hideMark/>
          </w:tcPr>
          <w:p w14:paraId="1817E1AD" w14:textId="77777777" w:rsidR="007F3C18" w:rsidRDefault="007F3C18">
            <w:pPr>
              <w:rPr>
                <w:b/>
                <w:bCs/>
                <w:sz w:val="24"/>
                <w:szCs w:val="24"/>
              </w:rPr>
            </w:pPr>
            <w:r>
              <w:rPr>
                <w:sz w:val="20"/>
                <w:szCs w:val="20"/>
              </w:rPr>
              <w:t>Objective 3</w:t>
            </w:r>
            <w:r w:rsidR="008C01BD">
              <w:rPr>
                <w:sz w:val="20"/>
                <w:szCs w:val="20"/>
              </w:rPr>
              <w:t>: Tropical Cyclone Winston Recovery</w:t>
            </w:r>
          </w:p>
        </w:tc>
        <w:tc>
          <w:tcPr>
            <w:tcW w:w="1423" w:type="dxa"/>
            <w:tcMar>
              <w:top w:w="0" w:type="dxa"/>
              <w:left w:w="108" w:type="dxa"/>
              <w:bottom w:w="0" w:type="dxa"/>
              <w:right w:w="108" w:type="dxa"/>
            </w:tcMar>
            <w:hideMark/>
          </w:tcPr>
          <w:p w14:paraId="67396E54" w14:textId="77777777" w:rsidR="007F3C18" w:rsidRPr="00B80F4D" w:rsidRDefault="007F3C18">
            <w:pPr>
              <w:rPr>
                <w:bCs/>
                <w:sz w:val="24"/>
                <w:szCs w:val="24"/>
              </w:rPr>
            </w:pPr>
            <w:r w:rsidRPr="00B80F4D">
              <w:rPr>
                <w:bCs/>
                <w:color w:val="1F497D"/>
                <w:sz w:val="24"/>
                <w:szCs w:val="24"/>
              </w:rPr>
              <w:t>10.2</w:t>
            </w:r>
          </w:p>
        </w:tc>
        <w:tc>
          <w:tcPr>
            <w:tcW w:w="1842" w:type="dxa"/>
            <w:tcMar>
              <w:top w:w="0" w:type="dxa"/>
              <w:left w:w="108" w:type="dxa"/>
              <w:bottom w:w="0" w:type="dxa"/>
              <w:right w:w="108" w:type="dxa"/>
            </w:tcMar>
            <w:hideMark/>
          </w:tcPr>
          <w:p w14:paraId="214A8D78" w14:textId="77777777" w:rsidR="007F3C18" w:rsidRPr="00B80F4D" w:rsidRDefault="00B80F4D">
            <w:pPr>
              <w:rPr>
                <w:bCs/>
                <w:sz w:val="24"/>
                <w:szCs w:val="24"/>
              </w:rPr>
            </w:pPr>
            <w:r>
              <w:rPr>
                <w:bCs/>
                <w:color w:val="1F497D"/>
                <w:sz w:val="24"/>
                <w:szCs w:val="24"/>
              </w:rPr>
              <w:t>16.5</w:t>
            </w:r>
          </w:p>
        </w:tc>
      </w:tr>
      <w:tr w:rsidR="007F3C18" w:rsidRPr="00B80F4D" w14:paraId="1FC5F87D" w14:textId="77777777" w:rsidTr="007F3C18">
        <w:tc>
          <w:tcPr>
            <w:tcW w:w="6374" w:type="dxa"/>
            <w:tcMar>
              <w:top w:w="0" w:type="dxa"/>
              <w:left w:w="108" w:type="dxa"/>
              <w:bottom w:w="0" w:type="dxa"/>
              <w:right w:w="108" w:type="dxa"/>
            </w:tcMar>
            <w:hideMark/>
          </w:tcPr>
          <w:p w14:paraId="6749043F" w14:textId="77777777" w:rsidR="007F3C18" w:rsidRPr="00B80F4D" w:rsidRDefault="007F3C18">
            <w:pPr>
              <w:rPr>
                <w:b/>
                <w:bCs/>
                <w:sz w:val="24"/>
                <w:szCs w:val="24"/>
              </w:rPr>
            </w:pPr>
            <w:r w:rsidRPr="00B80F4D">
              <w:rPr>
                <w:b/>
                <w:sz w:val="20"/>
                <w:szCs w:val="20"/>
              </w:rPr>
              <w:t>Sub-Total Bilateral</w:t>
            </w:r>
          </w:p>
        </w:tc>
        <w:tc>
          <w:tcPr>
            <w:tcW w:w="1423" w:type="dxa"/>
            <w:tcMar>
              <w:top w:w="0" w:type="dxa"/>
              <w:left w:w="108" w:type="dxa"/>
              <w:bottom w:w="0" w:type="dxa"/>
              <w:right w:w="108" w:type="dxa"/>
            </w:tcMar>
            <w:hideMark/>
          </w:tcPr>
          <w:p w14:paraId="7734DD38" w14:textId="77777777" w:rsidR="007F3C18" w:rsidRPr="00B80F4D" w:rsidRDefault="00B80F4D">
            <w:pPr>
              <w:rPr>
                <w:b/>
                <w:bCs/>
                <w:sz w:val="24"/>
                <w:szCs w:val="24"/>
              </w:rPr>
            </w:pPr>
            <w:r>
              <w:rPr>
                <w:b/>
                <w:bCs/>
                <w:sz w:val="24"/>
                <w:szCs w:val="24"/>
              </w:rPr>
              <w:t>40.2</w:t>
            </w:r>
          </w:p>
        </w:tc>
        <w:tc>
          <w:tcPr>
            <w:tcW w:w="1842" w:type="dxa"/>
            <w:tcMar>
              <w:top w:w="0" w:type="dxa"/>
              <w:left w:w="108" w:type="dxa"/>
              <w:bottom w:w="0" w:type="dxa"/>
              <w:right w:w="108" w:type="dxa"/>
            </w:tcMar>
          </w:tcPr>
          <w:p w14:paraId="4217A29B" w14:textId="77777777" w:rsidR="007F3C18" w:rsidRPr="00B80F4D" w:rsidRDefault="00B80F4D">
            <w:pPr>
              <w:rPr>
                <w:b/>
                <w:bCs/>
                <w:sz w:val="24"/>
                <w:szCs w:val="24"/>
              </w:rPr>
            </w:pPr>
            <w:r>
              <w:rPr>
                <w:b/>
                <w:bCs/>
                <w:sz w:val="24"/>
                <w:szCs w:val="24"/>
              </w:rPr>
              <w:t>65.1</w:t>
            </w:r>
          </w:p>
        </w:tc>
      </w:tr>
      <w:tr w:rsidR="007F3C18" w14:paraId="2E311EA5" w14:textId="77777777" w:rsidTr="007F3C18">
        <w:tc>
          <w:tcPr>
            <w:tcW w:w="6374" w:type="dxa"/>
            <w:tcMar>
              <w:top w:w="0" w:type="dxa"/>
              <w:left w:w="108" w:type="dxa"/>
              <w:bottom w:w="0" w:type="dxa"/>
              <w:right w:w="108" w:type="dxa"/>
            </w:tcMar>
            <w:hideMark/>
          </w:tcPr>
          <w:p w14:paraId="08DAA7A2" w14:textId="77777777" w:rsidR="007F3C18" w:rsidRDefault="007F3C18">
            <w:pPr>
              <w:rPr>
                <w:b/>
                <w:bCs/>
                <w:sz w:val="24"/>
                <w:szCs w:val="24"/>
              </w:rPr>
            </w:pPr>
            <w:r>
              <w:rPr>
                <w:sz w:val="20"/>
                <w:szCs w:val="20"/>
              </w:rPr>
              <w:t>Regional and Global</w:t>
            </w:r>
          </w:p>
        </w:tc>
        <w:tc>
          <w:tcPr>
            <w:tcW w:w="1423" w:type="dxa"/>
            <w:tcMar>
              <w:top w:w="0" w:type="dxa"/>
              <w:left w:w="108" w:type="dxa"/>
              <w:bottom w:w="0" w:type="dxa"/>
              <w:right w:w="108" w:type="dxa"/>
            </w:tcMar>
            <w:hideMark/>
          </w:tcPr>
          <w:p w14:paraId="475DAB9F" w14:textId="77777777" w:rsidR="007F3C18" w:rsidRPr="00B80F4D" w:rsidRDefault="007F3C18">
            <w:pPr>
              <w:rPr>
                <w:bCs/>
                <w:sz w:val="24"/>
                <w:szCs w:val="24"/>
              </w:rPr>
            </w:pPr>
            <w:r w:rsidRPr="00B80F4D">
              <w:rPr>
                <w:bCs/>
                <w:sz w:val="24"/>
                <w:szCs w:val="24"/>
              </w:rPr>
              <w:t>19</w:t>
            </w:r>
            <w:r w:rsidRPr="00B80F4D">
              <w:rPr>
                <w:bCs/>
                <w:color w:val="1F497D"/>
                <w:sz w:val="24"/>
                <w:szCs w:val="24"/>
              </w:rPr>
              <w:t>.0</w:t>
            </w:r>
          </w:p>
        </w:tc>
        <w:tc>
          <w:tcPr>
            <w:tcW w:w="1842" w:type="dxa"/>
            <w:tcMar>
              <w:top w:w="0" w:type="dxa"/>
              <w:left w:w="108" w:type="dxa"/>
              <w:bottom w:w="0" w:type="dxa"/>
              <w:right w:w="108" w:type="dxa"/>
            </w:tcMar>
          </w:tcPr>
          <w:p w14:paraId="6F8DCE52" w14:textId="77777777" w:rsidR="007F3C18" w:rsidRPr="00E10A0B" w:rsidRDefault="0073509D">
            <w:pPr>
              <w:rPr>
                <w:bCs/>
                <w:sz w:val="24"/>
                <w:szCs w:val="24"/>
              </w:rPr>
            </w:pPr>
            <w:r w:rsidRPr="00E10A0B">
              <w:rPr>
                <w:bCs/>
                <w:sz w:val="24"/>
                <w:szCs w:val="24"/>
              </w:rPr>
              <w:t>30.8</w:t>
            </w:r>
          </w:p>
        </w:tc>
      </w:tr>
      <w:tr w:rsidR="007F3C18" w14:paraId="750BCAB3" w14:textId="77777777" w:rsidTr="007F3C18">
        <w:tc>
          <w:tcPr>
            <w:tcW w:w="6374" w:type="dxa"/>
            <w:tcMar>
              <w:top w:w="0" w:type="dxa"/>
              <w:left w:w="108" w:type="dxa"/>
              <w:bottom w:w="0" w:type="dxa"/>
              <w:right w:w="108" w:type="dxa"/>
            </w:tcMar>
            <w:hideMark/>
          </w:tcPr>
          <w:p w14:paraId="2D716759" w14:textId="77777777" w:rsidR="007F3C18" w:rsidRDefault="007F3C18">
            <w:pPr>
              <w:rPr>
                <w:b/>
                <w:bCs/>
                <w:sz w:val="24"/>
                <w:szCs w:val="24"/>
              </w:rPr>
            </w:pPr>
            <w:r>
              <w:rPr>
                <w:sz w:val="20"/>
                <w:szCs w:val="20"/>
              </w:rPr>
              <w:t>Other Government Departments</w:t>
            </w:r>
          </w:p>
        </w:tc>
        <w:tc>
          <w:tcPr>
            <w:tcW w:w="1423" w:type="dxa"/>
            <w:tcMar>
              <w:top w:w="0" w:type="dxa"/>
              <w:left w:w="108" w:type="dxa"/>
              <w:bottom w:w="0" w:type="dxa"/>
              <w:right w:w="108" w:type="dxa"/>
            </w:tcMar>
            <w:hideMark/>
          </w:tcPr>
          <w:p w14:paraId="72969F24" w14:textId="77777777" w:rsidR="007F3C18" w:rsidRPr="00B80F4D" w:rsidRDefault="007F3C18">
            <w:pPr>
              <w:rPr>
                <w:bCs/>
                <w:sz w:val="24"/>
                <w:szCs w:val="24"/>
              </w:rPr>
            </w:pPr>
            <w:r w:rsidRPr="00B80F4D">
              <w:rPr>
                <w:bCs/>
                <w:sz w:val="24"/>
                <w:szCs w:val="24"/>
              </w:rPr>
              <w:t>2.</w:t>
            </w:r>
            <w:r w:rsidRPr="00B80F4D">
              <w:rPr>
                <w:bCs/>
                <w:color w:val="1F497D"/>
                <w:sz w:val="24"/>
                <w:szCs w:val="24"/>
              </w:rPr>
              <w:t>5</w:t>
            </w:r>
          </w:p>
        </w:tc>
        <w:tc>
          <w:tcPr>
            <w:tcW w:w="1842" w:type="dxa"/>
            <w:tcMar>
              <w:top w:w="0" w:type="dxa"/>
              <w:left w:w="108" w:type="dxa"/>
              <w:bottom w:w="0" w:type="dxa"/>
              <w:right w:w="108" w:type="dxa"/>
            </w:tcMar>
          </w:tcPr>
          <w:p w14:paraId="176411CE" w14:textId="77777777" w:rsidR="007F3C18" w:rsidRPr="00E10A0B" w:rsidRDefault="0073509D">
            <w:pPr>
              <w:rPr>
                <w:bCs/>
                <w:sz w:val="24"/>
                <w:szCs w:val="24"/>
              </w:rPr>
            </w:pPr>
            <w:r w:rsidRPr="00E10A0B">
              <w:rPr>
                <w:bCs/>
                <w:sz w:val="24"/>
                <w:szCs w:val="24"/>
              </w:rPr>
              <w:t>4.1</w:t>
            </w:r>
          </w:p>
        </w:tc>
      </w:tr>
      <w:tr w:rsidR="007F3C18" w:rsidRPr="0073509D" w14:paraId="46F162E1" w14:textId="77777777" w:rsidTr="007F3C18">
        <w:tc>
          <w:tcPr>
            <w:tcW w:w="6374" w:type="dxa"/>
            <w:tcBorders>
              <w:top w:val="nil"/>
              <w:left w:val="nil"/>
              <w:bottom w:val="single" w:sz="12" w:space="0" w:color="auto"/>
              <w:right w:val="nil"/>
            </w:tcBorders>
            <w:tcMar>
              <w:top w:w="0" w:type="dxa"/>
              <w:left w:w="108" w:type="dxa"/>
              <w:bottom w:w="0" w:type="dxa"/>
              <w:right w:w="108" w:type="dxa"/>
            </w:tcMar>
            <w:hideMark/>
          </w:tcPr>
          <w:p w14:paraId="606C1E13" w14:textId="77777777" w:rsidR="007F3C18" w:rsidRPr="0073509D" w:rsidRDefault="007F3C18">
            <w:pPr>
              <w:rPr>
                <w:b/>
                <w:bCs/>
                <w:sz w:val="24"/>
                <w:szCs w:val="24"/>
              </w:rPr>
            </w:pPr>
            <w:r w:rsidRPr="0073509D">
              <w:rPr>
                <w:b/>
                <w:sz w:val="20"/>
                <w:szCs w:val="20"/>
              </w:rPr>
              <w:t>Total ODA Expenditure</w:t>
            </w:r>
          </w:p>
        </w:tc>
        <w:tc>
          <w:tcPr>
            <w:tcW w:w="1423" w:type="dxa"/>
            <w:tcBorders>
              <w:top w:val="nil"/>
              <w:left w:val="nil"/>
              <w:bottom w:val="single" w:sz="12" w:space="0" w:color="auto"/>
              <w:right w:val="nil"/>
            </w:tcBorders>
            <w:tcMar>
              <w:top w:w="0" w:type="dxa"/>
              <w:left w:w="108" w:type="dxa"/>
              <w:bottom w:w="0" w:type="dxa"/>
              <w:right w:w="108" w:type="dxa"/>
            </w:tcMar>
          </w:tcPr>
          <w:p w14:paraId="2ECAB238" w14:textId="77777777" w:rsidR="007F3C18" w:rsidRPr="0073509D" w:rsidRDefault="0073509D">
            <w:pPr>
              <w:rPr>
                <w:b/>
                <w:bCs/>
                <w:sz w:val="24"/>
                <w:szCs w:val="24"/>
              </w:rPr>
            </w:pPr>
            <w:r w:rsidRPr="0073509D">
              <w:rPr>
                <w:b/>
                <w:bCs/>
                <w:sz w:val="24"/>
                <w:szCs w:val="24"/>
              </w:rPr>
              <w:t>6</w:t>
            </w:r>
            <w:r w:rsidR="00B80F4D" w:rsidRPr="0073509D">
              <w:rPr>
                <w:b/>
                <w:bCs/>
                <w:sz w:val="24"/>
                <w:szCs w:val="24"/>
              </w:rPr>
              <w:t>1.7</w:t>
            </w:r>
          </w:p>
        </w:tc>
        <w:tc>
          <w:tcPr>
            <w:tcW w:w="1842" w:type="dxa"/>
            <w:tcBorders>
              <w:top w:val="nil"/>
              <w:left w:val="nil"/>
              <w:bottom w:val="single" w:sz="12" w:space="0" w:color="auto"/>
              <w:right w:val="nil"/>
            </w:tcBorders>
            <w:tcMar>
              <w:top w:w="0" w:type="dxa"/>
              <w:left w:w="108" w:type="dxa"/>
              <w:bottom w:w="0" w:type="dxa"/>
              <w:right w:w="108" w:type="dxa"/>
            </w:tcMar>
          </w:tcPr>
          <w:p w14:paraId="3123D6BA" w14:textId="77777777" w:rsidR="007F3C18" w:rsidRPr="0073509D" w:rsidRDefault="0073509D">
            <w:pPr>
              <w:rPr>
                <w:b/>
                <w:bCs/>
                <w:sz w:val="24"/>
                <w:szCs w:val="24"/>
              </w:rPr>
            </w:pPr>
            <w:r w:rsidRPr="0073509D">
              <w:rPr>
                <w:b/>
                <w:bCs/>
                <w:sz w:val="24"/>
                <w:szCs w:val="24"/>
              </w:rPr>
              <w:t>100</w:t>
            </w:r>
          </w:p>
        </w:tc>
      </w:tr>
    </w:tbl>
    <w:p w14:paraId="356B2C41" w14:textId="77777777" w:rsidR="0047187B" w:rsidRPr="001F1798" w:rsidRDefault="0047187B" w:rsidP="001F1798"/>
    <w:p w14:paraId="6B8D7D45" w14:textId="77777777" w:rsidR="002A51CA" w:rsidRPr="002A51CA" w:rsidRDefault="002A51CA" w:rsidP="0047187B">
      <w:pPr>
        <w:pStyle w:val="Subtitle"/>
      </w:pPr>
      <w:r w:rsidRPr="002A51CA">
        <w:t xml:space="preserve">Progress towards </w:t>
      </w:r>
      <w:r w:rsidR="00162218">
        <w:t xml:space="preserve">AIP </w:t>
      </w:r>
      <w:r w:rsidRPr="002A51CA">
        <w:t>Objectives</w:t>
      </w:r>
      <w:r w:rsidRPr="002A51CA">
        <w:tab/>
      </w:r>
    </w:p>
    <w:p w14:paraId="2E0BC118" w14:textId="77777777" w:rsidR="00FD6E50" w:rsidRDefault="00FD6E50" w:rsidP="00FD6E50">
      <w:r>
        <w:t xml:space="preserve">Australia’s aid to Fiji focuses on supporting inclusive economic growth to reduce poverty through targeted investments in private sector development and human development. </w:t>
      </w:r>
      <w:r w:rsidR="00CF0C3E">
        <w:t xml:space="preserve"> </w:t>
      </w:r>
      <w:r>
        <w:t xml:space="preserve">Working in partnership with the Government of Fiji, </w:t>
      </w:r>
      <w:r w:rsidR="00CF0C3E">
        <w:t>we provide support to</w:t>
      </w:r>
      <w:r>
        <w:t xml:space="preserve"> Fiji’s most vulnerable communities. </w:t>
      </w:r>
      <w:r w:rsidR="00CF0C3E">
        <w:t xml:space="preserve"> </w:t>
      </w:r>
      <w:r>
        <w:t>Ou</w:t>
      </w:r>
      <w:r w:rsidR="00C01260">
        <w:t>r major investments in education</w:t>
      </w:r>
      <w:r>
        <w:t>, priv</w:t>
      </w:r>
      <w:r w:rsidR="00854D02">
        <w:t xml:space="preserve">ate sector development, health </w:t>
      </w:r>
      <w:r>
        <w:t xml:space="preserve">and gender equality contribute towards achieving </w:t>
      </w:r>
      <w:r w:rsidR="00197E5E">
        <w:t>the Government</w:t>
      </w:r>
      <w:r w:rsidR="00565AF5">
        <w:t xml:space="preserve"> of Fiji</w:t>
      </w:r>
      <w:r w:rsidR="00197E5E">
        <w:t>’s long-term development objectives</w:t>
      </w:r>
      <w:r w:rsidR="00406E8E">
        <w:t>, including those set</w:t>
      </w:r>
      <w:r w:rsidR="006921E5">
        <w:t xml:space="preserve"> out</w:t>
      </w:r>
      <w:r w:rsidR="00406E8E">
        <w:t xml:space="preserve"> in the NDP and the 2030</w:t>
      </w:r>
      <w:r w:rsidR="00A72DBC">
        <w:t> </w:t>
      </w:r>
      <w:r w:rsidR="00406E8E">
        <w:t>Sustainable Development Goals</w:t>
      </w:r>
      <w:r w:rsidR="00197E5E">
        <w:t xml:space="preserve">. </w:t>
      </w:r>
      <w:r w:rsidR="00854D02">
        <w:t xml:space="preserve"> </w:t>
      </w:r>
      <w:r>
        <w:t xml:space="preserve">Australia’s </w:t>
      </w:r>
      <w:r w:rsidR="00854D02">
        <w:t xml:space="preserve">strategic </w:t>
      </w:r>
      <w:r>
        <w:t>aid objectives</w:t>
      </w:r>
      <w:r w:rsidR="00982FDF">
        <w:t xml:space="preserve"> in Fiji</w:t>
      </w:r>
      <w:r>
        <w:t xml:space="preserve"> are:</w:t>
      </w:r>
    </w:p>
    <w:p w14:paraId="13FB8778" w14:textId="77777777" w:rsidR="00FD6E50" w:rsidRPr="004B3467" w:rsidRDefault="004B3467" w:rsidP="004B3467">
      <w:r>
        <w:t xml:space="preserve">1. </w:t>
      </w:r>
      <w:r w:rsidR="00FD6E50" w:rsidRPr="004B3467">
        <w:t>supporting increased private sector development</w:t>
      </w:r>
      <w:r w:rsidR="00773F93">
        <w:t>;</w:t>
      </w:r>
    </w:p>
    <w:p w14:paraId="3388C097" w14:textId="77777777" w:rsidR="00FD6E50" w:rsidRPr="004B3467" w:rsidRDefault="004B3467" w:rsidP="004B3467">
      <w:r>
        <w:t xml:space="preserve">2. </w:t>
      </w:r>
      <w:r w:rsidR="00FD6E50" w:rsidRPr="004B3467">
        <w:t>improving human development</w:t>
      </w:r>
      <w:r w:rsidR="00773F93">
        <w:t>; and</w:t>
      </w:r>
    </w:p>
    <w:p w14:paraId="20512AF6" w14:textId="77777777" w:rsidR="00FD6E50" w:rsidRPr="004B3467" w:rsidRDefault="004B3467" w:rsidP="004B3467">
      <w:r>
        <w:t xml:space="preserve">3. </w:t>
      </w:r>
      <w:r w:rsidR="00FD6E50" w:rsidRPr="004B3467">
        <w:t>supporting Fiji’s recovery from Tropical Cyclone Winston.</w:t>
      </w:r>
    </w:p>
    <w:p w14:paraId="64E9EB7E" w14:textId="77777777" w:rsidR="0095673E" w:rsidRDefault="009B5830" w:rsidP="002A51CA">
      <w:r>
        <w:t>This report assesses progress and results against the</w:t>
      </w:r>
      <w:r w:rsidR="00FD6E50">
        <w:t>se</w:t>
      </w:r>
      <w:r>
        <w:t xml:space="preserve"> three object</w:t>
      </w:r>
      <w:r w:rsidR="00FD6E50">
        <w:t xml:space="preserve">ives.  </w:t>
      </w:r>
      <w:r>
        <w:t xml:space="preserve">Ratings are based on assessment </w:t>
      </w:r>
      <w:r w:rsidR="0095673E">
        <w:t xml:space="preserve">of program performance </w:t>
      </w:r>
      <w:r w:rsidR="004C3D4E">
        <w:t>against a</w:t>
      </w:r>
      <w:r>
        <w:t xml:space="preserve"> </w:t>
      </w:r>
      <w:r w:rsidR="004C3D4E">
        <w:t xml:space="preserve">new </w:t>
      </w:r>
      <w:r>
        <w:t xml:space="preserve">Performance Assessment Framework </w:t>
      </w:r>
      <w:r w:rsidR="00982FDF">
        <w:t>(</w:t>
      </w:r>
      <w:r w:rsidR="00982FDF">
        <w:rPr>
          <w:b/>
        </w:rPr>
        <w:t>PAF</w:t>
      </w:r>
      <w:r w:rsidR="00982FDF">
        <w:t>)</w:t>
      </w:r>
      <w:r w:rsidR="000B287D">
        <w:t xml:space="preserve"> (</w:t>
      </w:r>
      <w:r w:rsidR="000B287D">
        <w:rPr>
          <w:b/>
        </w:rPr>
        <w:t>Annex E</w:t>
      </w:r>
      <w:r w:rsidR="000B287D">
        <w:t>)</w:t>
      </w:r>
      <w:r w:rsidR="00982FDF">
        <w:t xml:space="preserve"> </w:t>
      </w:r>
      <w:r>
        <w:t xml:space="preserve">for the </w:t>
      </w:r>
      <w:r w:rsidR="00FD6E50">
        <w:t>Fiji Aid Investment Plan</w:t>
      </w:r>
      <w:r w:rsidR="004C3D4E">
        <w:t xml:space="preserve">, developed in </w:t>
      </w:r>
      <w:r w:rsidR="00854D02">
        <w:t xml:space="preserve">late </w:t>
      </w:r>
      <w:r w:rsidR="004C3D4E">
        <w:t>2017</w:t>
      </w:r>
      <w:r w:rsidR="00854D02">
        <w:t xml:space="preserve"> following an internal review of the Program</w:t>
      </w:r>
      <w:r w:rsidR="004C3D4E">
        <w:t>.</w:t>
      </w:r>
    </w:p>
    <w:p w14:paraId="7CFC2F97" w14:textId="744E7E49" w:rsidR="002A51CA" w:rsidRDefault="00C01260" w:rsidP="004B3467">
      <w:r>
        <w:t xml:space="preserve">In 2017-18, the Fiji Program continued to make good progress against our first </w:t>
      </w:r>
      <w:r w:rsidR="00CE137E">
        <w:t xml:space="preserve">and second </w:t>
      </w:r>
      <w:r>
        <w:t>strategic objective</w:t>
      </w:r>
      <w:r w:rsidR="00CE137E">
        <w:t>s</w:t>
      </w:r>
      <w:r w:rsidR="006921E5">
        <w:t xml:space="preserve"> (I</w:t>
      </w:r>
      <w:r>
        <w:t>ncreased Private Sector Development</w:t>
      </w:r>
      <w:r w:rsidR="006921E5">
        <w:t xml:space="preserve"> and I</w:t>
      </w:r>
      <w:r w:rsidR="00073BAE">
        <w:t xml:space="preserve">mproved </w:t>
      </w:r>
      <w:r>
        <w:t>Human Development</w:t>
      </w:r>
      <w:r w:rsidR="00073BAE">
        <w:t>)</w:t>
      </w:r>
      <w:r w:rsidR="00CE137E">
        <w:t>.  Progress against both continued to receive a green rating</w:t>
      </w:r>
      <w:r w:rsidR="00737400">
        <w:t xml:space="preserve"> due to</w:t>
      </w:r>
      <w:r>
        <w:t xml:space="preserve"> good performance on</w:t>
      </w:r>
      <w:r w:rsidR="00CE137E">
        <w:t xml:space="preserve"> indicators relating to increased incomes, trade and business enabling, </w:t>
      </w:r>
      <w:r>
        <w:t xml:space="preserve">and climate change and disaster resilience.  </w:t>
      </w:r>
      <w:r w:rsidR="005756DC">
        <w:t xml:space="preserve">While </w:t>
      </w:r>
      <w:r w:rsidR="00A9628B">
        <w:t>established programs</w:t>
      </w:r>
      <w:r w:rsidR="00334089">
        <w:t xml:space="preserve"> such as</w:t>
      </w:r>
      <w:r w:rsidR="00A9628B">
        <w:t xml:space="preserve"> AQEP and </w:t>
      </w:r>
      <w:r w:rsidR="00334089">
        <w:t xml:space="preserve">the </w:t>
      </w:r>
      <w:r w:rsidR="00A9628B">
        <w:t xml:space="preserve">Pacific Women Fiji </w:t>
      </w:r>
      <w:r w:rsidR="005E1298">
        <w:t>C</w:t>
      </w:r>
      <w:r w:rsidR="00A9628B">
        <w:t xml:space="preserve">ountry </w:t>
      </w:r>
      <w:r w:rsidR="005E1298">
        <w:t>P</w:t>
      </w:r>
      <w:r w:rsidR="00A9628B">
        <w:t>lan</w:t>
      </w:r>
      <w:r w:rsidR="00334089">
        <w:t>,</w:t>
      </w:r>
      <w:r w:rsidR="00A9628B">
        <w:t xml:space="preserve"> </w:t>
      </w:r>
      <w:r w:rsidR="00334089">
        <w:t>together with the</w:t>
      </w:r>
      <w:r w:rsidR="00A9628B">
        <w:t xml:space="preserve"> </w:t>
      </w:r>
      <w:r w:rsidR="00334089">
        <w:t>Fiji Program Support Facility (</w:t>
      </w:r>
      <w:r w:rsidR="00A9628B" w:rsidRPr="00334089">
        <w:rPr>
          <w:b/>
        </w:rPr>
        <w:t>the Facility</w:t>
      </w:r>
      <w:r w:rsidR="00334089">
        <w:t>)</w:t>
      </w:r>
      <w:r w:rsidR="00A9628B">
        <w:t xml:space="preserve"> </w:t>
      </w:r>
      <w:r w:rsidR="005756DC">
        <w:t xml:space="preserve">made good progress </w:t>
      </w:r>
      <w:r w:rsidR="00334089">
        <w:t xml:space="preserve">on </w:t>
      </w:r>
      <w:r w:rsidR="00A9628B">
        <w:t xml:space="preserve">gender </w:t>
      </w:r>
      <w:r w:rsidR="00334089">
        <w:t xml:space="preserve">equality </w:t>
      </w:r>
      <w:r w:rsidR="00A9628B">
        <w:t>and disability inclusion</w:t>
      </w:r>
      <w:r w:rsidR="00334089">
        <w:t>,</w:t>
      </w:r>
      <w:r w:rsidR="005756DC">
        <w:t xml:space="preserve"> </w:t>
      </w:r>
      <w:r w:rsidR="00A9628B">
        <w:t xml:space="preserve">overall </w:t>
      </w:r>
      <w:r w:rsidR="005756DC">
        <w:t xml:space="preserve">Fiji </w:t>
      </w:r>
      <w:r w:rsidR="00334089">
        <w:t>P</w:t>
      </w:r>
      <w:r w:rsidR="005756DC">
        <w:t xml:space="preserve">rogram performance </w:t>
      </w:r>
      <w:r w:rsidR="00334089">
        <w:t xml:space="preserve">on gender </w:t>
      </w:r>
      <w:r w:rsidR="005756DC">
        <w:t xml:space="preserve">declined slightly </w:t>
      </w:r>
      <w:r w:rsidR="00334089">
        <w:t>from</w:t>
      </w:r>
      <w:r w:rsidR="005756DC">
        <w:t xml:space="preserve"> last year due to low ratings </w:t>
      </w:r>
      <w:r w:rsidR="00334089">
        <w:t>for our Institutional Partnerships Program (</w:t>
      </w:r>
      <w:r w:rsidR="00334089">
        <w:rPr>
          <w:b/>
        </w:rPr>
        <w:t>IPP</w:t>
      </w:r>
      <w:r w:rsidR="00334089">
        <w:t>)</w:t>
      </w:r>
      <w:r w:rsidR="00A9628B">
        <w:t xml:space="preserve"> investments</w:t>
      </w:r>
      <w:r w:rsidR="005756DC">
        <w:t xml:space="preserve">. </w:t>
      </w:r>
      <w:r w:rsidR="00334089">
        <w:t xml:space="preserve"> We have developed appropriate</w:t>
      </w:r>
      <w:r w:rsidR="005756DC">
        <w:t xml:space="preserve"> management responses to improve performance</w:t>
      </w:r>
      <w:r w:rsidR="00334089">
        <w:t xml:space="preserve"> on gender and disability</w:t>
      </w:r>
      <w:r w:rsidR="005756DC">
        <w:t xml:space="preserve">. </w:t>
      </w:r>
      <w:r w:rsidR="00334089">
        <w:t xml:space="preserve"> </w:t>
      </w:r>
      <w:r w:rsidR="00CE137E">
        <w:t xml:space="preserve">Delays in the </w:t>
      </w:r>
      <w:r>
        <w:t xml:space="preserve">completion of </w:t>
      </w:r>
      <w:r w:rsidR="00CE137E">
        <w:t>some</w:t>
      </w:r>
      <w:r>
        <w:t xml:space="preserve"> health, education and economic infrastructure</w:t>
      </w:r>
      <w:r w:rsidR="00334089">
        <w:t xml:space="preserve"> also</w:t>
      </w:r>
      <w:r>
        <w:t xml:space="preserve"> resulted in the rating for Tropical Cyclone Winston Recover</w:t>
      </w:r>
      <w:r w:rsidR="00A25793">
        <w:t>y</w:t>
      </w:r>
      <w:r>
        <w:t xml:space="preserve"> </w:t>
      </w:r>
      <w:r w:rsidR="004B3467">
        <w:t>remaining a</w:t>
      </w:r>
      <w:r w:rsidR="00CE137E">
        <w:t xml:space="preserve">mber.  </w:t>
      </w:r>
      <w:r w:rsidR="004B3467">
        <w:t xml:space="preserve"> </w:t>
      </w:r>
    </w:p>
    <w:p w14:paraId="71BAA67E" w14:textId="77777777" w:rsidR="0047187B" w:rsidRDefault="0047187B">
      <w:pPr>
        <w:suppressAutoHyphens w:val="0"/>
        <w:spacing w:before="0" w:after="120" w:line="440" w:lineRule="atLeast"/>
        <w:rPr>
          <w:b/>
          <w:sz w:val="24"/>
        </w:rPr>
      </w:pPr>
      <w:r>
        <w:rPr>
          <w:b/>
          <w:sz w:val="24"/>
        </w:rPr>
        <w:br w:type="page"/>
      </w:r>
    </w:p>
    <w:p w14:paraId="20922CAE" w14:textId="61BFC565" w:rsidR="002A51CA" w:rsidRPr="008C2F58" w:rsidRDefault="002A51CA" w:rsidP="002A51CA">
      <w:pPr>
        <w:rPr>
          <w:b/>
          <w:sz w:val="24"/>
        </w:rPr>
      </w:pPr>
      <w:r w:rsidRPr="008C2F58">
        <w:rPr>
          <w:b/>
          <w:sz w:val="24"/>
        </w:rPr>
        <w:lastRenderedPageBreak/>
        <w:t xml:space="preserve">Table </w:t>
      </w:r>
      <w:r w:rsidR="003475E0">
        <w:rPr>
          <w:b/>
          <w:sz w:val="24"/>
        </w:rPr>
        <w:t>2</w:t>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C61187" w14:paraId="54E25BC4" w14:textId="7777777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14:paraId="22C8E142" w14:textId="77777777" w:rsidR="00DA040F" w:rsidRPr="00BE6C6D" w:rsidRDefault="00DA040F" w:rsidP="00BE6C6D">
            <w:pPr>
              <w:pStyle w:val="NormalIndented"/>
              <w:rPr>
                <w:sz w:val="18"/>
                <w:lang w:eastAsia="en-US"/>
              </w:rPr>
            </w:pPr>
            <w:r w:rsidRPr="00BE6C6D">
              <w:rPr>
                <w:noProof/>
                <w:sz w:val="18"/>
                <w:lang w:val="en-AU"/>
              </w:rPr>
              <w:drawing>
                <wp:anchor distT="0" distB="0" distL="114300" distR="114300" simplePos="0" relativeHeight="251685888" behindDoc="0" locked="0" layoutInCell="1" allowOverlap="1" wp14:anchorId="174613CA" wp14:editId="7671DB6F">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293" w:type="dxa"/>
          </w:tcPr>
          <w:p w14:paraId="0F7676D9" w14:textId="77777777" w:rsidR="00DA040F" w:rsidRPr="00BE6C6D" w:rsidRDefault="00DA040F" w:rsidP="00BE6C6D">
            <w:pPr>
              <w:pStyle w:val="NormalIndented"/>
              <w:rPr>
                <w:sz w:val="18"/>
                <w:lang w:eastAsia="en-US"/>
              </w:rPr>
            </w:pPr>
            <w:r w:rsidRPr="00BE6C6D">
              <w:rPr>
                <w:sz w:val="18"/>
                <w:lang w:eastAsia="en-US"/>
              </w:rPr>
              <w:t>Previous Rating</w:t>
            </w:r>
          </w:p>
        </w:tc>
        <w:tc>
          <w:tcPr>
            <w:tcW w:w="1235" w:type="dxa"/>
          </w:tcPr>
          <w:p w14:paraId="4EBA1C74" w14:textId="77777777" w:rsidR="00DA040F" w:rsidRPr="00BE6C6D" w:rsidRDefault="00DA040F" w:rsidP="00BE6C6D">
            <w:pPr>
              <w:pStyle w:val="NormalIndented"/>
              <w:rPr>
                <w:sz w:val="18"/>
                <w:lang w:eastAsia="en-US"/>
              </w:rPr>
            </w:pPr>
            <w:r w:rsidRPr="00BE6C6D">
              <w:rPr>
                <w:sz w:val="18"/>
                <w:lang w:eastAsia="en-US"/>
              </w:rPr>
              <w:t>Current Rating</w:t>
            </w:r>
          </w:p>
        </w:tc>
      </w:tr>
      <w:tr w:rsidR="00DA040F" w:rsidRPr="00C61187" w14:paraId="51780E78" w14:textId="77777777" w:rsidTr="007F3C18">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E74EF0" w14:textId="77777777" w:rsidR="00DA040F" w:rsidRPr="00BE6C6D" w:rsidRDefault="00DA040F" w:rsidP="00BE6C6D">
            <w:pPr>
              <w:pStyle w:val="NormalIndented"/>
              <w:rPr>
                <w:sz w:val="16"/>
                <w:lang w:eastAsia="en-US"/>
              </w:rPr>
            </w:pPr>
            <w:r w:rsidRPr="00BE6C6D">
              <w:rPr>
                <w:sz w:val="16"/>
                <w:lang w:eastAsia="en-US"/>
              </w:rPr>
              <w:t>Objective 1</w:t>
            </w:r>
            <w:r w:rsidR="007709F7">
              <w:rPr>
                <w:sz w:val="16"/>
                <w:lang w:eastAsia="en-US"/>
              </w:rPr>
              <w:t xml:space="preserve">: Increased Private Sector </w:t>
            </w:r>
            <w:r w:rsidR="00C05118">
              <w:rPr>
                <w:sz w:val="16"/>
                <w:lang w:eastAsia="en-US"/>
              </w:rPr>
              <w:t>Development</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14:paraId="66CC13C5" w14:textId="77777777" w:rsidR="00DA040F" w:rsidRPr="00BE6C6D" w:rsidRDefault="00DA040F" w:rsidP="00BE6C6D">
            <w:pPr>
              <w:pStyle w:val="NormalIndented"/>
              <w:rPr>
                <w:color w:val="FFFFFF" w:themeColor="background1"/>
                <w:sz w:val="16"/>
                <w:lang w:eastAsia="en-US"/>
              </w:rPr>
            </w:pPr>
            <w:r w:rsidRPr="00BE6C6D">
              <w:rPr>
                <w:color w:val="FFFFFF" w:themeColor="background1"/>
                <w:sz w:val="16"/>
                <w:lang w:eastAsia="en-US"/>
              </w:rPr>
              <w:t>Green</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14:paraId="3E1F4A74" w14:textId="77777777" w:rsidR="00DA040F" w:rsidRPr="00BE6C6D" w:rsidRDefault="002E2F9F" w:rsidP="00BE6C6D">
            <w:pPr>
              <w:pStyle w:val="NormalIndented"/>
              <w:rPr>
                <w:color w:val="FFFFFF" w:themeColor="background1"/>
                <w:sz w:val="16"/>
                <w:lang w:eastAsia="en-US"/>
              </w:rPr>
            </w:pPr>
            <w:r>
              <w:rPr>
                <w:color w:val="FFFFFF" w:themeColor="background1"/>
                <w:sz w:val="16"/>
                <w:lang w:eastAsia="en-US"/>
              </w:rPr>
              <w:t>Green</w:t>
            </w:r>
          </w:p>
        </w:tc>
      </w:tr>
      <w:tr w:rsidR="00DA040F" w:rsidRPr="00C61187" w14:paraId="6046A03B" w14:textId="77777777" w:rsidTr="007F3C18">
        <w:trPr>
          <w:cnfStyle w:val="000000010000" w:firstRow="0" w:lastRow="0" w:firstColumn="0" w:lastColumn="0" w:oddVBand="0" w:evenVBand="0" w:oddHBand="0" w:evenHBand="1" w:firstRowFirstColumn="0" w:firstRowLastColumn="0" w:lastRowFirstColumn="0" w:lastRowLastColumn="0"/>
        </w:trPr>
        <w:tc>
          <w:tcPr>
            <w:tcW w:w="6717" w:type="dxa"/>
          </w:tcPr>
          <w:p w14:paraId="05CFF2A1" w14:textId="77777777" w:rsidR="00DA040F" w:rsidRPr="00BE6C6D" w:rsidRDefault="00DA040F" w:rsidP="00BE6C6D">
            <w:pPr>
              <w:pStyle w:val="NormalIndented"/>
              <w:rPr>
                <w:sz w:val="16"/>
                <w:lang w:eastAsia="en-US"/>
              </w:rPr>
            </w:pPr>
            <w:r w:rsidRPr="00BE6C6D">
              <w:rPr>
                <w:sz w:val="16"/>
                <w:lang w:eastAsia="en-US"/>
              </w:rPr>
              <w:t>Objective 2</w:t>
            </w:r>
            <w:r w:rsidR="007709F7">
              <w:rPr>
                <w:sz w:val="16"/>
                <w:lang w:eastAsia="en-US"/>
              </w:rPr>
              <w:t>: Improved Human Development</w:t>
            </w:r>
          </w:p>
        </w:tc>
        <w:tc>
          <w:tcPr>
            <w:tcW w:w="1293" w:type="dxa"/>
            <w:shd w:val="clear" w:color="auto" w:fill="92D050"/>
            <w:noWrap/>
          </w:tcPr>
          <w:p w14:paraId="159BC695" w14:textId="77777777" w:rsidR="00DA040F" w:rsidRPr="00BE6C6D" w:rsidRDefault="00CE137E" w:rsidP="00BE6C6D">
            <w:pPr>
              <w:pStyle w:val="NormalIndented"/>
              <w:rPr>
                <w:color w:val="FFFFFF" w:themeColor="background1"/>
                <w:sz w:val="16"/>
                <w:lang w:eastAsia="en-US"/>
              </w:rPr>
            </w:pPr>
            <w:r>
              <w:rPr>
                <w:color w:val="FFFFFF" w:themeColor="background1"/>
                <w:sz w:val="16"/>
                <w:lang w:eastAsia="en-US"/>
              </w:rPr>
              <w:t>Green</w:t>
            </w:r>
          </w:p>
        </w:tc>
        <w:tc>
          <w:tcPr>
            <w:tcW w:w="1235" w:type="dxa"/>
            <w:shd w:val="clear" w:color="auto" w:fill="92D050"/>
            <w:noWrap/>
          </w:tcPr>
          <w:p w14:paraId="141E0F88" w14:textId="77777777" w:rsidR="00DA040F" w:rsidRPr="00BE6C6D" w:rsidRDefault="00DA040F" w:rsidP="00BE6C6D">
            <w:pPr>
              <w:pStyle w:val="NormalIndented"/>
              <w:rPr>
                <w:color w:val="FFFFFF" w:themeColor="background1"/>
                <w:sz w:val="16"/>
                <w:lang w:eastAsia="en-US"/>
              </w:rPr>
            </w:pPr>
            <w:r w:rsidRPr="00BE6C6D">
              <w:rPr>
                <w:color w:val="FFFFFF" w:themeColor="background1"/>
                <w:sz w:val="16"/>
                <w:lang w:eastAsia="en-US"/>
              </w:rPr>
              <w:t>Green</w:t>
            </w:r>
          </w:p>
        </w:tc>
      </w:tr>
      <w:tr w:rsidR="00DA040F" w:rsidRPr="00C61187" w14:paraId="22069722" w14:textId="77777777" w:rsidTr="007F3C18">
        <w:trPr>
          <w:cnfStyle w:val="000000010000" w:firstRow="0" w:lastRow="0" w:firstColumn="0" w:lastColumn="0" w:oddVBand="0" w:evenVBand="0" w:oddHBand="0" w:evenHBand="1" w:firstRowFirstColumn="0" w:firstRowLastColumn="0" w:lastRowFirstColumn="0" w:lastRowLastColumn="0"/>
        </w:trPr>
        <w:tc>
          <w:tcPr>
            <w:tcW w:w="6717" w:type="dxa"/>
          </w:tcPr>
          <w:p w14:paraId="107DF0BF" w14:textId="77777777" w:rsidR="00DA040F" w:rsidRPr="00BE6C6D" w:rsidRDefault="00DA040F" w:rsidP="004522C2">
            <w:pPr>
              <w:pStyle w:val="NormalIndented"/>
              <w:rPr>
                <w:sz w:val="16"/>
                <w:lang w:eastAsia="en-US"/>
              </w:rPr>
            </w:pPr>
            <w:r w:rsidRPr="00BE6C6D">
              <w:rPr>
                <w:sz w:val="16"/>
                <w:lang w:eastAsia="en-US"/>
              </w:rPr>
              <w:t>Objective 3</w:t>
            </w:r>
            <w:r w:rsidR="007709F7">
              <w:rPr>
                <w:sz w:val="16"/>
                <w:lang w:eastAsia="en-US"/>
              </w:rPr>
              <w:t xml:space="preserve">: Tropical Cyclone Winston Recovery </w:t>
            </w:r>
          </w:p>
        </w:tc>
        <w:tc>
          <w:tcPr>
            <w:tcW w:w="1293" w:type="dxa"/>
            <w:shd w:val="clear" w:color="auto" w:fill="FF9900"/>
            <w:noWrap/>
          </w:tcPr>
          <w:p w14:paraId="4A8985C9" w14:textId="77777777" w:rsidR="00DA040F" w:rsidRPr="00BE6C6D" w:rsidRDefault="00CE137E" w:rsidP="00BE6C6D">
            <w:pPr>
              <w:pStyle w:val="NormalIndented"/>
              <w:ind w:left="2"/>
              <w:jc w:val="center"/>
              <w:rPr>
                <w:color w:val="FFFFFF" w:themeColor="background1"/>
                <w:sz w:val="16"/>
                <w:lang w:eastAsia="en-US"/>
              </w:rPr>
            </w:pPr>
            <w:r w:rsidRPr="007F3C18">
              <w:rPr>
                <w:color w:val="FFFFFF" w:themeColor="background1"/>
                <w:sz w:val="16"/>
                <w:lang w:eastAsia="en-US"/>
              </w:rPr>
              <w:t>Amber</w:t>
            </w:r>
            <w:r>
              <w:rPr>
                <w:sz w:val="16"/>
                <w:lang w:eastAsia="en-US"/>
              </w:rPr>
              <w:t xml:space="preserve"> </w:t>
            </w:r>
          </w:p>
        </w:tc>
        <w:tc>
          <w:tcPr>
            <w:tcW w:w="1235" w:type="dxa"/>
            <w:shd w:val="clear" w:color="auto" w:fill="FF9900"/>
            <w:noWrap/>
          </w:tcPr>
          <w:p w14:paraId="18DE44EA" w14:textId="77777777" w:rsidR="00DA040F" w:rsidRPr="00BE6C6D" w:rsidRDefault="007F3C18" w:rsidP="00BE6C6D">
            <w:pPr>
              <w:pStyle w:val="NormalIndented"/>
              <w:rPr>
                <w:color w:val="FFFFFF" w:themeColor="background1"/>
                <w:sz w:val="16"/>
                <w:lang w:eastAsia="en-US"/>
              </w:rPr>
            </w:pPr>
            <w:r>
              <w:rPr>
                <w:color w:val="FFFFFF" w:themeColor="background1"/>
                <w:sz w:val="16"/>
                <w:lang w:eastAsia="en-US"/>
              </w:rPr>
              <w:t>Amber</w:t>
            </w:r>
          </w:p>
        </w:tc>
      </w:tr>
    </w:tbl>
    <w:p w14:paraId="71E0A9D2" w14:textId="77777777"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52DFDF83" w14:textId="77777777"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718E991A" w14:textId="77777777" w:rsidR="002A51CA" w:rsidRDefault="002A51CA" w:rsidP="00BE6C6D">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06946599" w14:textId="77777777" w:rsidR="00334089" w:rsidRDefault="00334089" w:rsidP="00E23B65">
      <w:pPr>
        <w:spacing w:before="20" w:after="20" w:line="180" w:lineRule="atLeast"/>
        <w:jc w:val="both"/>
        <w:rPr>
          <w:rFonts w:asciiTheme="majorHAnsi" w:eastAsiaTheme="majorEastAsia" w:hAnsiTheme="majorHAnsi" w:cstheme="majorBidi"/>
          <w:caps/>
          <w:sz w:val="38"/>
          <w:szCs w:val="26"/>
        </w:rPr>
      </w:pPr>
    </w:p>
    <w:p w14:paraId="060A4879" w14:textId="77777777" w:rsidR="002A51CA" w:rsidRDefault="002A51CA" w:rsidP="00E23B65">
      <w:pPr>
        <w:spacing w:before="20" w:after="20" w:line="180" w:lineRule="atLeast"/>
        <w:jc w:val="both"/>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 1</w:t>
      </w:r>
      <w:r w:rsidR="007709F7">
        <w:rPr>
          <w:rFonts w:asciiTheme="majorHAnsi" w:eastAsiaTheme="majorEastAsia" w:hAnsiTheme="majorHAnsi" w:cstheme="majorBidi"/>
          <w:caps/>
          <w:sz w:val="38"/>
          <w:szCs w:val="26"/>
        </w:rPr>
        <w:t xml:space="preserve"> – </w:t>
      </w:r>
      <w:r w:rsidR="007709F7" w:rsidRPr="00757E90">
        <w:rPr>
          <w:rFonts w:asciiTheme="majorHAnsi" w:eastAsiaTheme="majorEastAsia" w:hAnsiTheme="majorHAnsi" w:cstheme="majorBidi"/>
          <w:caps/>
          <w:sz w:val="38"/>
          <w:szCs w:val="26"/>
        </w:rPr>
        <w:t>Increased private sector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CA7DD8" w14:paraId="30EC27F1" w14:textId="77777777" w:rsidTr="0095673E">
        <w:tc>
          <w:tcPr>
            <w:tcW w:w="2016" w:type="dxa"/>
          </w:tcPr>
          <w:p w14:paraId="538AEBAD" w14:textId="77777777" w:rsidR="00CA7DD8" w:rsidRDefault="00CA7DD8" w:rsidP="00CA7D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08FC343A" wp14:editId="4E6C5522">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3801BA6" w14:textId="77777777" w:rsidR="00CA7DD8" w:rsidRDefault="00CA7DD8"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D0ADECE" wp14:editId="15125C6E">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34B173F1" w14:textId="77777777" w:rsidR="00CA7DD8" w:rsidRDefault="007709F7"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C70A865" wp14:editId="08F932FD">
                  <wp:extent cx="609600" cy="609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16B9A6B7" w14:textId="77777777" w:rsidR="00CA7DD8" w:rsidRDefault="007709F7"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5B25D6F8" wp14:editId="55B4D7BC">
                  <wp:extent cx="609600" cy="609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6B3D7CDD" w14:textId="77777777" w:rsidR="00CA7DD8" w:rsidRDefault="007709F7"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15C539DD" wp14:editId="4A49A2B5">
                  <wp:extent cx="609600" cy="609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r>
    </w:tbl>
    <w:p w14:paraId="6EC5138D" w14:textId="77777777" w:rsidR="0095673E" w:rsidRPr="00BC2F77" w:rsidRDefault="0095673E" w:rsidP="0095673E">
      <w:pPr>
        <w:rPr>
          <w:b/>
        </w:rPr>
      </w:pPr>
      <w:r>
        <w:rPr>
          <w:b/>
        </w:rPr>
        <w:t>R</w:t>
      </w:r>
      <w:r w:rsidR="006202AA">
        <w:rPr>
          <w:b/>
        </w:rPr>
        <w:t>ating</w:t>
      </w:r>
      <w:r w:rsidR="0053169E">
        <w:rPr>
          <w:b/>
        </w:rPr>
        <w:t xml:space="preserve"> for this objective</w:t>
      </w:r>
      <w:r w:rsidR="006202AA">
        <w:rPr>
          <w:b/>
        </w:rPr>
        <w:t xml:space="preserve"> – Green</w:t>
      </w:r>
      <w:r w:rsidR="00F55CA6" w:rsidRPr="00BC2F77">
        <w:rPr>
          <w:b/>
        </w:rPr>
        <w:t xml:space="preserve"> </w:t>
      </w:r>
    </w:p>
    <w:p w14:paraId="198C019C" w14:textId="790F3F8E" w:rsidR="004C3D4E" w:rsidRDefault="00E450C0" w:rsidP="00733033">
      <w:r>
        <w:t xml:space="preserve">In 2017-18, Australia </w:t>
      </w:r>
      <w:r w:rsidR="00B874F7">
        <w:t>continued to achieve good progress</w:t>
      </w:r>
      <w:r>
        <w:t xml:space="preserve"> against </w:t>
      </w:r>
      <w:r w:rsidR="006921E5">
        <w:t>this objective</w:t>
      </w:r>
      <w:r w:rsidR="004C3D4E">
        <w:t xml:space="preserve">. </w:t>
      </w:r>
      <w:r>
        <w:t xml:space="preserve"> </w:t>
      </w:r>
      <w:r w:rsidR="00733033">
        <w:t>Our investments in private sector development support</w:t>
      </w:r>
      <w:r w:rsidR="00197E5E">
        <w:t>ed</w:t>
      </w:r>
      <w:r w:rsidR="00733033">
        <w:t xml:space="preserve"> a range of structural and regulatory </w:t>
      </w:r>
      <w:r w:rsidR="00160508">
        <w:t xml:space="preserve">reforms prioritised by the </w:t>
      </w:r>
      <w:r w:rsidR="00733033">
        <w:t>Government</w:t>
      </w:r>
      <w:r w:rsidR="00160508">
        <w:t xml:space="preserve"> of Fiji</w:t>
      </w:r>
      <w:r w:rsidR="00BE3571">
        <w:t xml:space="preserve"> (financial sector reform; investment policy reform</w:t>
      </w:r>
      <w:r w:rsidR="006921E5">
        <w:t>; state-owned enterprise reform; and</w:t>
      </w:r>
      <w:r w:rsidR="00BE3571">
        <w:t xml:space="preserve"> tourism policy)</w:t>
      </w:r>
      <w:r w:rsidR="006921E5">
        <w:t xml:space="preserve">. </w:t>
      </w:r>
      <w:r w:rsidR="005B43BE">
        <w:t xml:space="preserve"> </w:t>
      </w:r>
      <w:r w:rsidR="006921E5">
        <w:t xml:space="preserve">We also </w:t>
      </w:r>
      <w:r w:rsidR="00733033">
        <w:t>work</w:t>
      </w:r>
      <w:r w:rsidR="009173C8">
        <w:t>ed</w:t>
      </w:r>
      <w:r w:rsidR="00733033">
        <w:t xml:space="preserve"> directly with business and industry groups to stimulate investment and trade, and to create economic opportunities for the poor, particularly in the tourism, agriculture and agri-business sectors.</w:t>
      </w:r>
      <w:r w:rsidR="00C74607">
        <w:t xml:space="preserve">  </w:t>
      </w:r>
    </w:p>
    <w:p w14:paraId="2B267B0A" w14:textId="77777777" w:rsidR="004C3D4E" w:rsidRDefault="004C3D4E" w:rsidP="0095673E">
      <w:pPr>
        <w:rPr>
          <w:b/>
        </w:rPr>
      </w:pPr>
      <w:r>
        <w:rPr>
          <w:b/>
        </w:rPr>
        <w:t>Outcome 1: Increased incomes for poor households</w:t>
      </w:r>
    </w:p>
    <w:p w14:paraId="7E4AFF67" w14:textId="18D8E5E3" w:rsidR="001B7A09" w:rsidRDefault="00733033" w:rsidP="00CF0C3E">
      <w:r>
        <w:t xml:space="preserve">Australia continued to </w:t>
      </w:r>
      <w:r w:rsidR="004B3467">
        <w:t xml:space="preserve">support </w:t>
      </w:r>
      <w:r w:rsidR="004A2236">
        <w:t xml:space="preserve">market systems development through </w:t>
      </w:r>
      <w:r w:rsidR="00690EC9">
        <w:t xml:space="preserve">the </w:t>
      </w:r>
      <w:r>
        <w:t xml:space="preserve">second phase of </w:t>
      </w:r>
      <w:r w:rsidR="00CF0C3E">
        <w:t xml:space="preserve">the </w:t>
      </w:r>
      <w:r w:rsidR="00690EC9">
        <w:t>Market Development F</w:t>
      </w:r>
      <w:r w:rsidR="00323137">
        <w:t xml:space="preserve">acility </w:t>
      </w:r>
      <w:r w:rsidR="00690EC9">
        <w:t>(</w:t>
      </w:r>
      <w:r w:rsidR="00690EC9" w:rsidRPr="00E265A5">
        <w:rPr>
          <w:b/>
        </w:rPr>
        <w:t>MDF</w:t>
      </w:r>
      <w:r w:rsidR="00690EC9">
        <w:t xml:space="preserve">) </w:t>
      </w:r>
      <w:r w:rsidR="00E46B0D">
        <w:t>(</w:t>
      </w:r>
      <w:r>
        <w:t xml:space="preserve">2017-2022, $17.5m).  </w:t>
      </w:r>
      <w:r w:rsidR="00171325">
        <w:t xml:space="preserve">In phase 2, </w:t>
      </w:r>
      <w:r w:rsidR="007A4BC5">
        <w:t xml:space="preserve">MDF </w:t>
      </w:r>
      <w:r w:rsidR="00171325">
        <w:t>focuses</w:t>
      </w:r>
      <w:r w:rsidR="001B7A09">
        <w:t xml:space="preserve"> on export processing (agricultural and non-agricultural), tour</w:t>
      </w:r>
      <w:r w:rsidR="006921E5">
        <w:t>ism, business enabling services</w:t>
      </w:r>
      <w:r w:rsidR="001B7A09">
        <w:t xml:space="preserve"> and business incubator networks </w:t>
      </w:r>
      <w:r w:rsidR="00690EC9">
        <w:t>to increase the competiveness of sectors that involve poor women and men</w:t>
      </w:r>
      <w:r w:rsidR="00982FDF">
        <w:t>,</w:t>
      </w:r>
      <w:r w:rsidR="00690EC9">
        <w:t xml:space="preserve"> and support local firms </w:t>
      </w:r>
      <w:r w:rsidR="007A4BC5">
        <w:t xml:space="preserve">to </w:t>
      </w:r>
      <w:r w:rsidR="00690EC9">
        <w:t>create new market opportunities that</w:t>
      </w:r>
      <w:r w:rsidR="00323137">
        <w:t xml:space="preserve"> benefit poor people. </w:t>
      </w:r>
      <w:r w:rsidR="00690EC9">
        <w:t xml:space="preserve"> </w:t>
      </w:r>
      <w:r w:rsidR="007A4BC5" w:rsidRPr="00AD2F99">
        <w:t>A</w:t>
      </w:r>
      <w:r w:rsidR="00BE3571" w:rsidRPr="00AD2F99">
        <w:t xml:space="preserve"> </w:t>
      </w:r>
      <w:r w:rsidR="007A4BC5" w:rsidRPr="00AD2F99">
        <w:t xml:space="preserve">review </w:t>
      </w:r>
      <w:r w:rsidR="00BE3571" w:rsidRPr="00AD2F99">
        <w:t xml:space="preserve">by MDF’s advisory group </w:t>
      </w:r>
      <w:r w:rsidR="007A4BC5" w:rsidRPr="00AD2F99">
        <w:t xml:space="preserve">in March 2018 found MDF has built a solid reputation with businesses and government agencies and has potential for supporting </w:t>
      </w:r>
      <w:r w:rsidR="00AB5678" w:rsidRPr="00AD2F99">
        <w:t xml:space="preserve">long-term market-wide </w:t>
      </w:r>
      <w:r w:rsidR="007A4BC5" w:rsidRPr="00AD2F99">
        <w:t>change</w:t>
      </w:r>
      <w:r w:rsidR="00AB5678" w:rsidRPr="00AD2F99">
        <w:t>s</w:t>
      </w:r>
      <w:r w:rsidR="007A4BC5" w:rsidRPr="00AD2F99">
        <w:t xml:space="preserve"> in Fiji</w:t>
      </w:r>
      <w:r w:rsidR="00AB5678" w:rsidRPr="00AD2F99">
        <w:t>’s economy that benefit poor women and men</w:t>
      </w:r>
      <w:r w:rsidR="007A4BC5" w:rsidRPr="00AD2F99">
        <w:t>.</w:t>
      </w:r>
      <w:r w:rsidR="000970A3">
        <w:rPr>
          <w:rStyle w:val="FootnoteReference"/>
        </w:rPr>
        <w:footnoteReference w:id="5"/>
      </w:r>
      <w:r w:rsidR="00DC68EC" w:rsidRPr="00AD2F99">
        <w:rPr>
          <w:rStyle w:val="FootnoteReference"/>
        </w:rPr>
        <w:t xml:space="preserve"> </w:t>
      </w:r>
      <w:r w:rsidR="00AD2F99">
        <w:t xml:space="preserve"> </w:t>
      </w:r>
      <w:r w:rsidR="00AB5678">
        <w:t>There is evidence already of MDF’s contribution to deepening the agricultural inputs market, making more products and services available for Fiji’s farmers (e.g</w:t>
      </w:r>
      <w:r w:rsidR="009B49B0">
        <w:t>.</w:t>
      </w:r>
      <w:r w:rsidR="00AB5678">
        <w:t xml:space="preserve"> fertilisers, seedlings, farm equipment), improving productivity. </w:t>
      </w:r>
      <w:r w:rsidR="007A4BC5">
        <w:t xml:space="preserve"> </w:t>
      </w:r>
      <w:r w:rsidR="00BE3571">
        <w:t xml:space="preserve">In 2017-18 </w:t>
      </w:r>
      <w:r w:rsidR="00C02DC9">
        <w:t>MDF had</w:t>
      </w:r>
      <w:r w:rsidR="007A4BC5">
        <w:t xml:space="preserve"> 17 partnerships in the export sectors; 23 in tourism; and one in business enabling</w:t>
      </w:r>
      <w:r w:rsidR="00AB5678">
        <w:t xml:space="preserve"> services</w:t>
      </w:r>
      <w:r w:rsidR="007A4BC5">
        <w:t xml:space="preserve">.  </w:t>
      </w:r>
    </w:p>
    <w:p w14:paraId="1E350B48" w14:textId="1AFB89A7" w:rsidR="00893E21" w:rsidRPr="00893E21" w:rsidRDefault="006F5794" w:rsidP="00893E21">
      <w:r w:rsidRPr="00B54179">
        <w:t>Personal incomes for MDF’s male and female beneficiaries in Fiji increased by $8.3 million during the reporting period, taking the cumulative total for the program to $13</w:t>
      </w:r>
      <w:r w:rsidR="003475E0">
        <w:t xml:space="preserve"> </w:t>
      </w:r>
      <w:r w:rsidRPr="00B54179">
        <w:t>m</w:t>
      </w:r>
      <w:r w:rsidR="003475E0">
        <w:t>illion</w:t>
      </w:r>
      <w:r w:rsidRPr="00B54179">
        <w:t>.  This was an increase of 178 per cent from the $4.67</w:t>
      </w:r>
      <w:r w:rsidR="003475E0">
        <w:t xml:space="preserve"> </w:t>
      </w:r>
      <w:r w:rsidRPr="00B54179">
        <w:t>m</w:t>
      </w:r>
      <w:r w:rsidR="003475E0">
        <w:t>illion</w:t>
      </w:r>
      <w:r w:rsidRPr="00B54179">
        <w:t xml:space="preserve"> achieved in 2016 and exceeded the expected 2017-18 target of $5.9</w:t>
      </w:r>
      <w:r w:rsidR="00C02DC9">
        <w:t> </w:t>
      </w:r>
      <w:r w:rsidRPr="00B54179">
        <w:t>m</w:t>
      </w:r>
      <w:r w:rsidR="003475E0">
        <w:t>illion</w:t>
      </w:r>
      <w:r w:rsidR="00C84874">
        <w:t>.</w:t>
      </w:r>
      <w:r w:rsidR="0017626E" w:rsidRPr="005B43BE">
        <w:rPr>
          <w:vertAlign w:val="superscript"/>
        </w:rPr>
        <w:footnoteReference w:id="6"/>
      </w:r>
      <w:r w:rsidR="003D0F56" w:rsidRPr="00B54179">
        <w:t xml:space="preserve">  </w:t>
      </w:r>
      <w:r w:rsidR="00893E21" w:rsidRPr="00B54179">
        <w:t>Th</w:t>
      </w:r>
      <w:r w:rsidR="00733033" w:rsidRPr="00B54179">
        <w:t>is</w:t>
      </w:r>
      <w:r w:rsidR="006921E5" w:rsidRPr="00B54179">
        <w:t xml:space="preserve"> increase</w:t>
      </w:r>
      <w:r w:rsidR="00071E22" w:rsidRPr="00B54179">
        <w:t xml:space="preserve"> </w:t>
      </w:r>
      <w:r w:rsidR="00893E21" w:rsidRPr="00B54179">
        <w:t xml:space="preserve">resulted from </w:t>
      </w:r>
      <w:r w:rsidR="00753D7E" w:rsidRPr="00B54179">
        <w:t>several</w:t>
      </w:r>
      <w:r w:rsidR="00893E21" w:rsidRPr="00B54179">
        <w:t xml:space="preserve"> factors. </w:t>
      </w:r>
      <w:r w:rsidR="00733033" w:rsidRPr="00B54179">
        <w:t xml:space="preserve"> </w:t>
      </w:r>
      <w:r w:rsidR="00893E21" w:rsidRPr="00B54179">
        <w:t>Partnerships matured and extended their reach to local producers</w:t>
      </w:r>
      <w:r w:rsidR="00AF15D3" w:rsidRPr="00B54179">
        <w:t xml:space="preserve">. </w:t>
      </w:r>
      <w:r w:rsidR="00753D7E" w:rsidRPr="00B54179">
        <w:t xml:space="preserve"> </w:t>
      </w:r>
      <w:r w:rsidR="00893E21" w:rsidRPr="00B54179">
        <w:t>Bula Coffee</w:t>
      </w:r>
      <w:r w:rsidR="00AF15D3" w:rsidRPr="00B54179">
        <w:t>, for example,</w:t>
      </w:r>
      <w:r w:rsidR="00893E21" w:rsidRPr="00B54179">
        <w:t xml:space="preserve"> r</w:t>
      </w:r>
      <w:r w:rsidR="00AF15D3" w:rsidRPr="00B54179">
        <w:t xml:space="preserve">eached </w:t>
      </w:r>
      <w:r w:rsidR="00893E21" w:rsidRPr="00B54179">
        <w:t xml:space="preserve">938 farmers </w:t>
      </w:r>
      <w:r w:rsidR="006921E5" w:rsidRPr="00B54179">
        <w:t xml:space="preserve">(up from 200 in 2016), </w:t>
      </w:r>
      <w:r w:rsidR="00C704C3" w:rsidRPr="00B54179">
        <w:t xml:space="preserve">of </w:t>
      </w:r>
      <w:r w:rsidR="007D0A30" w:rsidRPr="00B54179">
        <w:t>whom</w:t>
      </w:r>
      <w:r w:rsidR="00C704C3" w:rsidRPr="00B54179">
        <w:t xml:space="preserve"> 90 per cent </w:t>
      </w:r>
      <w:r w:rsidR="006921E5" w:rsidRPr="00B54179">
        <w:lastRenderedPageBreak/>
        <w:t>were</w:t>
      </w:r>
      <w:r w:rsidR="00C704C3" w:rsidRPr="00B54179">
        <w:t xml:space="preserve"> </w:t>
      </w:r>
      <w:r w:rsidR="008C01BD" w:rsidRPr="00B54179">
        <w:t>women</w:t>
      </w:r>
      <w:r w:rsidR="00AF15D3" w:rsidRPr="00B54179">
        <w:t xml:space="preserve">.  </w:t>
      </w:r>
      <w:r w:rsidR="00566C01" w:rsidRPr="00B54179">
        <w:t>M</w:t>
      </w:r>
      <w:r w:rsidR="009D510C" w:rsidRPr="00B54179">
        <w:t>D</w:t>
      </w:r>
      <w:r w:rsidR="00566C01" w:rsidRPr="00B54179">
        <w:t xml:space="preserve">F also supported </w:t>
      </w:r>
      <w:r w:rsidR="00893E21" w:rsidRPr="00B54179">
        <w:t>businesses</w:t>
      </w:r>
      <w:r w:rsidR="003A4851" w:rsidRPr="00B54179">
        <w:t xml:space="preserve"> to</w:t>
      </w:r>
      <w:r w:rsidR="00334089" w:rsidRPr="00B54179">
        <w:t xml:space="preserve"> </w:t>
      </w:r>
      <w:r w:rsidR="00566C01" w:rsidRPr="00B54179">
        <w:t>bounce</w:t>
      </w:r>
      <w:r w:rsidR="007D0A30" w:rsidRPr="00B54179">
        <w:t xml:space="preserve"> </w:t>
      </w:r>
      <w:r w:rsidR="00893E21" w:rsidRPr="00B54179">
        <w:t>back from the effects of TC Winston.  As a result, another partner,</w:t>
      </w:r>
      <w:r w:rsidR="00893E21" w:rsidRPr="00B54179">
        <w:rPr>
          <w:color w:val="auto"/>
        </w:rPr>
        <w:t xml:space="preserve"> </w:t>
      </w:r>
      <w:r w:rsidR="00893E21" w:rsidRPr="00893E21">
        <w:t xml:space="preserve">South Pacific Elixirs, </w:t>
      </w:r>
      <w:r w:rsidR="00334089">
        <w:t>could</w:t>
      </w:r>
      <w:r w:rsidR="00893E21" w:rsidRPr="00893E21">
        <w:t xml:space="preserve"> source kava </w:t>
      </w:r>
      <w:r w:rsidR="00733033">
        <w:t xml:space="preserve">from 172 farmers </w:t>
      </w:r>
      <w:r w:rsidR="00C704C3">
        <w:t xml:space="preserve">(25 per cent </w:t>
      </w:r>
      <w:r w:rsidR="007D0A30">
        <w:t>women</w:t>
      </w:r>
      <w:r w:rsidR="00C704C3">
        <w:t xml:space="preserve">) </w:t>
      </w:r>
      <w:r w:rsidR="00893E21" w:rsidRPr="00893E21">
        <w:t>for expor</w:t>
      </w:r>
      <w:r w:rsidR="00733033">
        <w:t>t to</w:t>
      </w:r>
      <w:r w:rsidR="00893E21" w:rsidRPr="00893E21">
        <w:t xml:space="preserve"> wholesale and retail global markets, after being out of operation following TC Winston.  </w:t>
      </w:r>
      <w:r w:rsidR="00071E22">
        <w:t xml:space="preserve">During </w:t>
      </w:r>
      <w:r w:rsidR="00AF15D3">
        <w:t>2017-18</w:t>
      </w:r>
      <w:r w:rsidR="00071E22">
        <w:t xml:space="preserve">, MDF </w:t>
      </w:r>
      <w:r w:rsidR="00A25793">
        <w:t xml:space="preserve">also </w:t>
      </w:r>
      <w:r w:rsidR="00071E22">
        <w:t xml:space="preserve">supported 3612 farmers </w:t>
      </w:r>
      <w:r w:rsidR="00C704C3">
        <w:t xml:space="preserve">(45 per cent </w:t>
      </w:r>
      <w:r w:rsidR="007D0A30">
        <w:t>women</w:t>
      </w:r>
      <w:r w:rsidR="00C704C3">
        <w:t xml:space="preserve">) </w:t>
      </w:r>
      <w:r w:rsidR="00071E22">
        <w:t>to use agricultural lime to reduce s</w:t>
      </w:r>
      <w:r w:rsidR="00AF15D3">
        <w:t>oil acidity and improve yields.  F</w:t>
      </w:r>
      <w:r w:rsidR="00071E22">
        <w:t xml:space="preserve">armers harvested an </w:t>
      </w:r>
      <w:r w:rsidR="00893E21" w:rsidRPr="00893E21">
        <w:t xml:space="preserve">additional 24,000 tonnes of sugarcane compared with </w:t>
      </w:r>
      <w:r w:rsidR="00334089">
        <w:t>2016-17.</w:t>
      </w:r>
    </w:p>
    <w:p w14:paraId="73FE7C2E" w14:textId="55ACD3D8" w:rsidR="00FE6EA0" w:rsidRPr="00737400" w:rsidRDefault="00071E22" w:rsidP="00FE6EA0">
      <w:r w:rsidRPr="00737400">
        <w:t xml:space="preserve">In 2017-18, 247 Fijians </w:t>
      </w:r>
      <w:r w:rsidR="00C704C3">
        <w:t xml:space="preserve">(11.7 per cent </w:t>
      </w:r>
      <w:r w:rsidR="007D0A30">
        <w:t>women</w:t>
      </w:r>
      <w:r w:rsidR="00C704C3">
        <w:t xml:space="preserve">) </w:t>
      </w:r>
      <w:r w:rsidRPr="00737400">
        <w:t>participated</w:t>
      </w:r>
      <w:r w:rsidR="00C84874">
        <w:t xml:space="preserve"> in Australia’s Seasonal Worker</w:t>
      </w:r>
      <w:r w:rsidRPr="00737400">
        <w:t xml:space="preserve"> Program</w:t>
      </w:r>
      <w:r w:rsidR="0009075E">
        <w:t>me</w:t>
      </w:r>
      <w:r w:rsidR="00753D7E">
        <w:t xml:space="preserve"> (</w:t>
      </w:r>
      <w:r w:rsidR="00753D7E" w:rsidRPr="00E23B65">
        <w:rPr>
          <w:b/>
        </w:rPr>
        <w:t>SWP</w:t>
      </w:r>
      <w:r w:rsidR="00753D7E">
        <w:t>)</w:t>
      </w:r>
      <w:r w:rsidRPr="00737400">
        <w:t>, further contributing to skills transfer, remittances and higher incomes for poor households in rural Fiji.</w:t>
      </w:r>
      <w:r w:rsidRPr="00CF0C3E">
        <w:rPr>
          <w:vertAlign w:val="superscript"/>
        </w:rPr>
        <w:footnoteReference w:id="7"/>
      </w:r>
      <w:r w:rsidRPr="00CF0C3E">
        <w:rPr>
          <w:vertAlign w:val="superscript"/>
        </w:rPr>
        <w:t xml:space="preserve"> </w:t>
      </w:r>
      <w:r w:rsidR="00AF15D3" w:rsidRPr="00737400">
        <w:t xml:space="preserve"> </w:t>
      </w:r>
      <w:r w:rsidR="00CF0C3E">
        <w:t xml:space="preserve"> </w:t>
      </w:r>
      <w:r w:rsidR="007D0A30">
        <w:t>A 30 </w:t>
      </w:r>
      <w:r w:rsidRPr="00737400">
        <w:t xml:space="preserve">per cent increase in participation from 2016-17, this figure exceeded our target of 200 participants </w:t>
      </w:r>
      <w:r w:rsidR="00C704C3">
        <w:t>(</w:t>
      </w:r>
      <w:r w:rsidR="007D0A30">
        <w:t xml:space="preserve">with </w:t>
      </w:r>
      <w:r w:rsidR="00C704C3">
        <w:t>10 per cent</w:t>
      </w:r>
      <w:r w:rsidR="007D0A30">
        <w:t xml:space="preserve"> women</w:t>
      </w:r>
      <w:r w:rsidR="00C704C3">
        <w:t xml:space="preserve">) </w:t>
      </w:r>
      <w:r w:rsidR="007D0A30">
        <w:t>for 2017-18.  This was the</w:t>
      </w:r>
      <w:r w:rsidRPr="00737400">
        <w:t xml:space="preserve"> result of marketing and other efforts to bring more Australian employers into </w:t>
      </w:r>
      <w:r w:rsidR="00753D7E">
        <w:t>SWP</w:t>
      </w:r>
      <w:r w:rsidRPr="00737400">
        <w:t xml:space="preserve"> as well as investments by </w:t>
      </w:r>
      <w:r w:rsidR="00FB4E77">
        <w:t xml:space="preserve">the Fiji </w:t>
      </w:r>
      <w:r w:rsidR="00C84874">
        <w:t>G</w:t>
      </w:r>
      <w:r w:rsidRPr="00737400">
        <w:t xml:space="preserve">overnment in the systems and processes supporting </w:t>
      </w:r>
      <w:r w:rsidR="00753D7E">
        <w:t>SWP</w:t>
      </w:r>
      <w:r w:rsidRPr="00737400">
        <w:t xml:space="preserve"> in Fiji. This has set a firm foundation for </w:t>
      </w:r>
      <w:r w:rsidR="00753D7E">
        <w:t>a</w:t>
      </w:r>
      <w:r w:rsidR="00753D7E" w:rsidRPr="00737400">
        <w:t xml:space="preserve"> </w:t>
      </w:r>
      <w:r w:rsidRPr="00737400">
        <w:t xml:space="preserve">further </w:t>
      </w:r>
      <w:r w:rsidR="00B90AD8" w:rsidRPr="00737400">
        <w:t>increase in Fijian participants</w:t>
      </w:r>
      <w:r w:rsidRPr="00737400">
        <w:t xml:space="preserve"> in 2018-19. </w:t>
      </w:r>
    </w:p>
    <w:p w14:paraId="04EEE54E" w14:textId="33159F44" w:rsidR="001B7A09" w:rsidRDefault="00104AF6" w:rsidP="0095673E">
      <w:r>
        <w:t xml:space="preserve">We did not reach the projected target of </w:t>
      </w:r>
      <w:r w:rsidR="00C93BF6">
        <w:t xml:space="preserve">creating </w:t>
      </w:r>
      <w:r>
        <w:t xml:space="preserve">250 new formal sector jobs </w:t>
      </w:r>
      <w:r w:rsidR="00AB5678">
        <w:t xml:space="preserve">in 2017-18 </w:t>
      </w:r>
      <w:r>
        <w:t>(</w:t>
      </w:r>
      <w:r w:rsidR="00C93BF6">
        <w:t xml:space="preserve">compared to </w:t>
      </w:r>
      <w:r w:rsidR="00CF0C3E">
        <w:t>350 in the 2016-17 APPR).  P</w:t>
      </w:r>
      <w:r>
        <w:t xml:space="preserve">rogress was </w:t>
      </w:r>
      <w:r w:rsidR="00CF0C3E">
        <w:t xml:space="preserve">still </w:t>
      </w:r>
      <w:r>
        <w:t>solid</w:t>
      </w:r>
      <w:r w:rsidR="00CF0C3E">
        <w:t>,</w:t>
      </w:r>
      <w:r>
        <w:t xml:space="preserve"> with 189 </w:t>
      </w:r>
      <w:r w:rsidR="00A25793">
        <w:t xml:space="preserve">new </w:t>
      </w:r>
      <w:r w:rsidR="001B7A09">
        <w:t xml:space="preserve">jobs created.  </w:t>
      </w:r>
      <w:r w:rsidR="00B54179">
        <w:t>Over 60</w:t>
      </w:r>
      <w:r w:rsidR="00334089">
        <w:t> per </w:t>
      </w:r>
      <w:r>
        <w:t xml:space="preserve">cent of </w:t>
      </w:r>
      <w:r w:rsidR="001B7A09">
        <w:t>these</w:t>
      </w:r>
      <w:r>
        <w:t xml:space="preserve"> were for women</w:t>
      </w:r>
      <w:r w:rsidR="005B43BE">
        <w:t>.</w:t>
      </w:r>
      <w:r w:rsidR="00285E6E">
        <w:rPr>
          <w:rStyle w:val="FootnoteReference"/>
        </w:rPr>
        <w:footnoteReference w:id="8"/>
      </w:r>
      <w:r w:rsidR="00285E6E" w:rsidRPr="00285E6E">
        <w:t xml:space="preserve">  </w:t>
      </w:r>
      <w:r w:rsidR="00566C01">
        <w:t xml:space="preserve"> The original targets were based on the assumption that our</w:t>
      </w:r>
      <w:r w:rsidR="00C93BF6">
        <w:t xml:space="preserve"> assistance to the agriculture sector would </w:t>
      </w:r>
      <w:r w:rsidR="00566C01">
        <w:t>result in</w:t>
      </w:r>
      <w:r w:rsidR="00C93BF6">
        <w:t xml:space="preserve"> additional jobs. </w:t>
      </w:r>
      <w:r w:rsidR="005B43BE">
        <w:t xml:space="preserve"> </w:t>
      </w:r>
      <w:r w:rsidR="00C93BF6">
        <w:t>This has not occurred</w:t>
      </w:r>
      <w:r w:rsidR="00566C01">
        <w:t xml:space="preserve">. </w:t>
      </w:r>
      <w:r w:rsidR="00CA7C5D">
        <w:t xml:space="preserve"> </w:t>
      </w:r>
      <w:r w:rsidR="000970A3">
        <w:t>F</w:t>
      </w:r>
      <w:r w:rsidR="00CA7C5D">
        <w:t xml:space="preserve">armers’ incomes increased </w:t>
      </w:r>
      <w:r w:rsidR="00854D02">
        <w:t>due to more productive methods</w:t>
      </w:r>
      <w:r w:rsidR="000970A3">
        <w:t>.</w:t>
      </w:r>
      <w:r w:rsidR="00854D02">
        <w:t xml:space="preserve"> </w:t>
      </w:r>
      <w:r w:rsidR="000970A3">
        <w:t>A</w:t>
      </w:r>
      <w:r w:rsidR="00CA7C5D">
        <w:t>s a result</w:t>
      </w:r>
      <w:r w:rsidR="000970A3">
        <w:t xml:space="preserve"> of these gains</w:t>
      </w:r>
      <w:r w:rsidR="00CA7C5D">
        <w:t xml:space="preserve">, they have not required as many additional workers as expected. </w:t>
      </w:r>
      <w:r w:rsidR="007D0A30">
        <w:t xml:space="preserve"> </w:t>
      </w:r>
      <w:r w:rsidR="00CA7C5D">
        <w:t>The</w:t>
      </w:r>
      <w:r w:rsidR="00566C01">
        <w:t xml:space="preserve"> agriculture sector is </w:t>
      </w:r>
      <w:r w:rsidR="00CA7C5D">
        <w:t xml:space="preserve">also </w:t>
      </w:r>
      <w:r w:rsidR="00566C01">
        <w:t xml:space="preserve">still suffering </w:t>
      </w:r>
      <w:r w:rsidR="00854D02">
        <w:t xml:space="preserve">from </w:t>
      </w:r>
      <w:r w:rsidR="00566C01">
        <w:t>the effects of TC Winston in 2016 and three cyclones and floods in 2018.</w:t>
      </w:r>
    </w:p>
    <w:p w14:paraId="5BDF86B9" w14:textId="77777777" w:rsidR="004C3D4E" w:rsidRPr="00697E5E" w:rsidRDefault="004C3D4E" w:rsidP="0095673E">
      <w:pPr>
        <w:rPr>
          <w:b/>
        </w:rPr>
      </w:pPr>
      <w:r w:rsidRPr="00697E5E">
        <w:rPr>
          <w:b/>
        </w:rPr>
        <w:t>Outcome 2: Fiji’s business environment is conducive to inclusive private sector-led growth</w:t>
      </w:r>
    </w:p>
    <w:p w14:paraId="2940598D" w14:textId="77777777" w:rsidR="001B16ED" w:rsidRPr="001B16ED" w:rsidRDefault="006C27E0" w:rsidP="001B16ED">
      <w:r>
        <w:t>In 2017-18</w:t>
      </w:r>
      <w:r w:rsidR="001B16ED">
        <w:t xml:space="preserve"> Australia continued to support governance for growth through a partnership with the IFC</w:t>
      </w:r>
      <w:r w:rsidR="00773F93">
        <w:t xml:space="preserve"> </w:t>
      </w:r>
      <w:r w:rsidR="00334089">
        <w:t>($12 </w:t>
      </w:r>
      <w:r w:rsidR="001B16ED">
        <w:t>million, 2016-20, bilateral); the Private Sector Development Initiative (</w:t>
      </w:r>
      <w:r w:rsidR="001B16ED" w:rsidRPr="00334089">
        <w:rPr>
          <w:b/>
        </w:rPr>
        <w:t>PSDI</w:t>
      </w:r>
      <w:r w:rsidR="001B16ED">
        <w:t xml:space="preserve">, $24.3 million, 2013-19, regional); </w:t>
      </w:r>
      <w:r>
        <w:t>the Pacific Financial Inclusion Program (</w:t>
      </w:r>
      <w:r w:rsidRPr="00334089">
        <w:rPr>
          <w:b/>
        </w:rPr>
        <w:t>PFIP</w:t>
      </w:r>
      <w:r>
        <w:t>, up</w:t>
      </w:r>
      <w:r w:rsidR="00AF15D3">
        <w:t xml:space="preserve"> to</w:t>
      </w:r>
      <w:r w:rsidR="00CF0C3E">
        <w:t xml:space="preserve"> $9 </w:t>
      </w:r>
      <w:r>
        <w:t xml:space="preserve">million, 2014-2020, regional); and </w:t>
      </w:r>
      <w:r w:rsidR="001B16ED">
        <w:t xml:space="preserve">the </w:t>
      </w:r>
      <w:r w:rsidR="00334089">
        <w:t>IPP (</w:t>
      </w:r>
      <w:r w:rsidR="001B16ED">
        <w:t>$</w:t>
      </w:r>
      <w:r>
        <w:t>16 million, 2015-19, bilateral).</w:t>
      </w:r>
      <w:r w:rsidR="00C74607">
        <w:t xml:space="preserve">  Our programs directly support Fiji’s NDP goal of a</w:t>
      </w:r>
      <w:r w:rsidR="00C74607" w:rsidRPr="00C74607">
        <w:t xml:space="preserve"> sound regulatory environment for inclusive and sustainable private sector development</w:t>
      </w:r>
      <w:r w:rsidR="00C74607">
        <w:t>.</w:t>
      </w:r>
    </w:p>
    <w:p w14:paraId="24B830BE" w14:textId="77777777" w:rsidR="0053169E" w:rsidRDefault="00697E5E" w:rsidP="0095673E">
      <w:r w:rsidRPr="00697E5E">
        <w:rPr>
          <w:i/>
        </w:rPr>
        <w:t>Improved business enabling environment</w:t>
      </w:r>
    </w:p>
    <w:p w14:paraId="4932BD8B" w14:textId="77777777" w:rsidR="006C27E0" w:rsidRPr="006C27E0" w:rsidRDefault="006C27E0" w:rsidP="0095673E">
      <w:r>
        <w:t xml:space="preserve">Under PSDI, Australia </w:t>
      </w:r>
      <w:r w:rsidR="00AF15D3">
        <w:t xml:space="preserve">supported </w:t>
      </w:r>
      <w:r>
        <w:t xml:space="preserve">Fiji </w:t>
      </w:r>
      <w:r w:rsidR="00AF15D3">
        <w:t xml:space="preserve">to </w:t>
      </w:r>
      <w:r>
        <w:t xml:space="preserve">enact the </w:t>
      </w:r>
      <w:r>
        <w:rPr>
          <w:i/>
        </w:rPr>
        <w:t>Personal Property Securities Bill</w:t>
      </w:r>
      <w:r w:rsidR="00753D7E">
        <w:t xml:space="preserve"> (a PAF target under this outcome)</w:t>
      </w:r>
      <w:r w:rsidR="00753D7E">
        <w:rPr>
          <w:i/>
        </w:rPr>
        <w:t xml:space="preserve">, </w:t>
      </w:r>
      <w:r w:rsidR="00753D7E">
        <w:t>an important reform to assist micro and small-to-medium enterprises</w:t>
      </w:r>
      <w:r w:rsidR="00CA7C5D">
        <w:t xml:space="preserve"> grow</w:t>
      </w:r>
      <w:r w:rsidR="00753D7E">
        <w:t xml:space="preserve">.  </w:t>
      </w:r>
      <w:r w:rsidR="00CF0C3E">
        <w:t>It</w:t>
      </w:r>
      <w:r>
        <w:t xml:space="preserve"> will allow non-land assets to be used as collateral for loans, increasing access to finance for people in customary land ownership settings and for women who do not own land. </w:t>
      </w:r>
      <w:r w:rsidR="00CA7C5D">
        <w:t xml:space="preserve"> We will do f</w:t>
      </w:r>
      <w:r w:rsidR="00C93BF6">
        <w:t>urther work in 2018-19 to support the</w:t>
      </w:r>
      <w:r w:rsidR="00CA7C5D">
        <w:t xml:space="preserve"> Bill’s roll-out</w:t>
      </w:r>
      <w:r w:rsidR="00C93BF6">
        <w:t xml:space="preserve"> and ensure commercial banks are offering new financial products to consumers and businesses. </w:t>
      </w:r>
    </w:p>
    <w:p w14:paraId="3A9E5324" w14:textId="5E9F5DB8" w:rsidR="000769A5" w:rsidRPr="00AF15D3" w:rsidRDefault="000769A5" w:rsidP="000769A5">
      <w:r w:rsidRPr="00AF15D3">
        <w:t xml:space="preserve">Jointly administered by the UN Capital Development Fund and </w:t>
      </w:r>
      <w:r w:rsidR="00C84874">
        <w:t>UNDP</w:t>
      </w:r>
      <w:r w:rsidRPr="00AF15D3">
        <w:t xml:space="preserve">, PFIP is increasing the number of low-income Pacific Islanders who adopt financial services by supporting providers to develop innovative and inclusive products and services.  In 2017, PFIP partnered with HFC Bank and Vodafone </w:t>
      </w:r>
      <w:r w:rsidR="00334089">
        <w:t xml:space="preserve">to </w:t>
      </w:r>
      <w:r w:rsidRPr="00AF15D3">
        <w:t>enabl</w:t>
      </w:r>
      <w:r w:rsidR="00334089">
        <w:t>e</w:t>
      </w:r>
      <w:r w:rsidRPr="00AF15D3">
        <w:t> over 28,050 HFC customers</w:t>
      </w:r>
      <w:r w:rsidR="00C704C3">
        <w:t xml:space="preserve"> (42 per cent </w:t>
      </w:r>
      <w:r w:rsidR="00CA7C5D">
        <w:t>women</w:t>
      </w:r>
      <w:r w:rsidR="00C704C3">
        <w:t>)</w:t>
      </w:r>
      <w:r w:rsidRPr="00AF15D3">
        <w:t xml:space="preserve"> perform transactions beyond normal banking hours on mobile phone or at 23 Vodafone outlets around Fiji.</w:t>
      </w:r>
      <w:r w:rsidR="00CF0C3E">
        <w:t xml:space="preserve"> </w:t>
      </w:r>
      <w:r w:rsidRPr="00AF15D3">
        <w:t> PFIP helped introduce Fiji’s first bundled micro insurance product which now covers around 13,0</w:t>
      </w:r>
      <w:r w:rsidR="00753D7E">
        <w:t>0</w:t>
      </w:r>
      <w:r w:rsidRPr="00AF15D3">
        <w:t>0 farmers</w:t>
      </w:r>
      <w:r w:rsidR="00C704C3">
        <w:t xml:space="preserve"> (11 per cent </w:t>
      </w:r>
      <w:r w:rsidR="00CA7C5D">
        <w:t>women</w:t>
      </w:r>
      <w:r w:rsidR="00C704C3">
        <w:t>)</w:t>
      </w:r>
      <w:r w:rsidRPr="00AF15D3">
        <w:t xml:space="preserve"> in the sugarcane,</w:t>
      </w:r>
      <w:r w:rsidR="00CF0C3E">
        <w:t xml:space="preserve"> dairy, copra and rice sectors.  </w:t>
      </w:r>
      <w:r w:rsidRPr="00AF15D3">
        <w:t xml:space="preserve">Through PFIP’s innovation lab work on Vodafone’s M-Paisa mobile money platform, </w:t>
      </w:r>
      <w:r w:rsidR="00B25D9F">
        <w:t xml:space="preserve">the scope of Fiji’s </w:t>
      </w:r>
      <w:r w:rsidRPr="00AF15D3">
        <w:t xml:space="preserve">digital financial services has </w:t>
      </w:r>
      <w:r w:rsidR="00B25D9F">
        <w:t>widened greatly</w:t>
      </w:r>
      <w:r w:rsidRPr="00AF15D3">
        <w:t xml:space="preserve">. </w:t>
      </w:r>
      <w:r w:rsidR="00CF0C3E">
        <w:t xml:space="preserve"> </w:t>
      </w:r>
      <w:r w:rsidRPr="00AF15D3">
        <w:t>As a result, we met our PAF target of three per cent of adu</w:t>
      </w:r>
      <w:r w:rsidR="00B25D9F">
        <w:t xml:space="preserve">lts with an active money mobile </w:t>
      </w:r>
      <w:r w:rsidRPr="00AF15D3">
        <w:t xml:space="preserve">account. </w:t>
      </w:r>
    </w:p>
    <w:p w14:paraId="66E85727" w14:textId="458039A4" w:rsidR="000E6D29" w:rsidRDefault="00995260" w:rsidP="00F71D8A">
      <w:pPr>
        <w:rPr>
          <w:iCs/>
        </w:rPr>
      </w:pPr>
      <w:r>
        <w:rPr>
          <w:iCs/>
        </w:rPr>
        <w:t xml:space="preserve">Our partnership with </w:t>
      </w:r>
      <w:r w:rsidR="00F93EF8">
        <w:rPr>
          <w:iCs/>
        </w:rPr>
        <w:t xml:space="preserve">the </w:t>
      </w:r>
      <w:r>
        <w:rPr>
          <w:iCs/>
        </w:rPr>
        <w:t xml:space="preserve">IFC aims to </w:t>
      </w:r>
      <w:r w:rsidR="00BF44EF">
        <w:rPr>
          <w:iCs/>
        </w:rPr>
        <w:t>strengthen</w:t>
      </w:r>
      <w:r>
        <w:rPr>
          <w:iCs/>
        </w:rPr>
        <w:t xml:space="preserve"> the competitiveness of Fiji’s private sector by providing some technical assistance to government agencies and catalysing new private sector investments.  </w:t>
      </w:r>
      <w:r w:rsidR="005B43BE">
        <w:rPr>
          <w:iCs/>
        </w:rPr>
        <w:t xml:space="preserve">In </w:t>
      </w:r>
      <w:r w:rsidR="00CF0C3E">
        <w:rPr>
          <w:iCs/>
        </w:rPr>
        <w:t>2017- 1</w:t>
      </w:r>
      <w:r w:rsidR="00BF44EF">
        <w:rPr>
          <w:iCs/>
        </w:rPr>
        <w:t xml:space="preserve">8, </w:t>
      </w:r>
      <w:r w:rsidR="00F93EF8">
        <w:rPr>
          <w:iCs/>
        </w:rPr>
        <w:t xml:space="preserve">the </w:t>
      </w:r>
      <w:r w:rsidR="00BF44EF">
        <w:rPr>
          <w:iCs/>
        </w:rPr>
        <w:t>IFC supported the Government</w:t>
      </w:r>
      <w:r w:rsidR="00CF0C3E">
        <w:rPr>
          <w:iCs/>
        </w:rPr>
        <w:t xml:space="preserve"> of Fiji</w:t>
      </w:r>
      <w:r w:rsidR="00BF44EF">
        <w:rPr>
          <w:iCs/>
        </w:rPr>
        <w:t xml:space="preserve"> to issue the first sovereign Green Bond by a developing country to leverage private sector finance for climate change mitigation and adaptation. </w:t>
      </w:r>
      <w:r w:rsidR="001149C6">
        <w:rPr>
          <w:iCs/>
        </w:rPr>
        <w:t xml:space="preserve"> </w:t>
      </w:r>
      <w:r w:rsidR="00566C01">
        <w:rPr>
          <w:iCs/>
        </w:rPr>
        <w:t>Through the IFC Partnership, w</w:t>
      </w:r>
      <w:r w:rsidR="001149C6">
        <w:rPr>
          <w:iCs/>
        </w:rPr>
        <w:t>e are</w:t>
      </w:r>
      <w:r w:rsidR="00CF0C3E">
        <w:rPr>
          <w:iCs/>
        </w:rPr>
        <w:t xml:space="preserve"> </w:t>
      </w:r>
      <w:r w:rsidR="00566C01">
        <w:rPr>
          <w:iCs/>
        </w:rPr>
        <w:t xml:space="preserve">also </w:t>
      </w:r>
      <w:r w:rsidR="00CF0C3E">
        <w:rPr>
          <w:iCs/>
        </w:rPr>
        <w:t>support</w:t>
      </w:r>
      <w:r w:rsidR="001149C6">
        <w:rPr>
          <w:iCs/>
        </w:rPr>
        <w:t>ing</w:t>
      </w:r>
      <w:r w:rsidR="00CF0C3E">
        <w:rPr>
          <w:iCs/>
        </w:rPr>
        <w:t xml:space="preserve"> the G</w:t>
      </w:r>
      <w:r w:rsidR="00BF44EF">
        <w:rPr>
          <w:iCs/>
        </w:rPr>
        <w:t>overnment</w:t>
      </w:r>
      <w:r w:rsidR="00DC555E">
        <w:rPr>
          <w:iCs/>
        </w:rPr>
        <w:t xml:space="preserve"> of Fiji</w:t>
      </w:r>
      <w:r w:rsidR="00BF44EF">
        <w:rPr>
          <w:iCs/>
        </w:rPr>
        <w:t xml:space="preserve"> review </w:t>
      </w:r>
      <w:r w:rsidR="00CF0C3E">
        <w:rPr>
          <w:iCs/>
        </w:rPr>
        <w:t>its</w:t>
      </w:r>
      <w:r w:rsidR="00BF44EF">
        <w:rPr>
          <w:iCs/>
        </w:rPr>
        <w:t xml:space="preserve"> investment policy</w:t>
      </w:r>
      <w:r w:rsidR="000E6D29">
        <w:rPr>
          <w:iCs/>
        </w:rPr>
        <w:t xml:space="preserve"> and develop an investment strategy and </w:t>
      </w:r>
      <w:r w:rsidR="00BF44EF">
        <w:rPr>
          <w:iCs/>
        </w:rPr>
        <w:t>design a special economic zone</w:t>
      </w:r>
      <w:r w:rsidR="000E6D29">
        <w:rPr>
          <w:iCs/>
        </w:rPr>
        <w:t xml:space="preserve">. </w:t>
      </w:r>
      <w:r w:rsidR="007821E0">
        <w:rPr>
          <w:iCs/>
        </w:rPr>
        <w:t xml:space="preserve"> </w:t>
      </w:r>
      <w:r w:rsidR="00566C01">
        <w:rPr>
          <w:iCs/>
        </w:rPr>
        <w:t>In addition,</w:t>
      </w:r>
      <w:r w:rsidR="000E6D29">
        <w:rPr>
          <w:iCs/>
        </w:rPr>
        <w:t xml:space="preserve"> </w:t>
      </w:r>
      <w:r w:rsidR="00CA7C5D">
        <w:rPr>
          <w:iCs/>
        </w:rPr>
        <w:t xml:space="preserve">we </w:t>
      </w:r>
      <w:r w:rsidR="000E6D29">
        <w:rPr>
          <w:iCs/>
        </w:rPr>
        <w:t xml:space="preserve">assisted the Government </w:t>
      </w:r>
      <w:r w:rsidR="003A4851">
        <w:rPr>
          <w:iCs/>
        </w:rPr>
        <w:t xml:space="preserve">to </w:t>
      </w:r>
      <w:r w:rsidR="000E6D29">
        <w:rPr>
          <w:iCs/>
        </w:rPr>
        <w:t xml:space="preserve">finalise its </w:t>
      </w:r>
      <w:r w:rsidR="00BF44EF">
        <w:rPr>
          <w:iCs/>
        </w:rPr>
        <w:t>national tourism development plan</w:t>
      </w:r>
      <w:r w:rsidR="00334089">
        <w:rPr>
          <w:iCs/>
        </w:rPr>
        <w:t xml:space="preserve">. </w:t>
      </w:r>
      <w:r w:rsidR="005B43BE">
        <w:rPr>
          <w:iCs/>
        </w:rPr>
        <w:t xml:space="preserve"> </w:t>
      </w:r>
      <w:r w:rsidR="00334089">
        <w:rPr>
          <w:iCs/>
        </w:rPr>
        <w:t>A</w:t>
      </w:r>
      <w:r w:rsidR="000E6D29">
        <w:rPr>
          <w:iCs/>
        </w:rPr>
        <w:t xml:space="preserve"> survey</w:t>
      </w:r>
      <w:r w:rsidR="007821E0">
        <w:rPr>
          <w:iCs/>
        </w:rPr>
        <w:t xml:space="preserve"> of how</w:t>
      </w:r>
      <w:r w:rsidR="000E6D29">
        <w:rPr>
          <w:iCs/>
        </w:rPr>
        <w:t xml:space="preserve"> hotels </w:t>
      </w:r>
      <w:r w:rsidR="00334089">
        <w:rPr>
          <w:iCs/>
        </w:rPr>
        <w:t xml:space="preserve">source food, implemented with Australia’s </w:t>
      </w:r>
      <w:r w:rsidR="00334089">
        <w:rPr>
          <w:iCs/>
        </w:rPr>
        <w:lastRenderedPageBreak/>
        <w:t xml:space="preserve">support, </w:t>
      </w:r>
      <w:r w:rsidR="00B25D9F">
        <w:rPr>
          <w:iCs/>
        </w:rPr>
        <w:t xml:space="preserve">will inform </w:t>
      </w:r>
      <w:r w:rsidR="000E6D29">
        <w:rPr>
          <w:iCs/>
        </w:rPr>
        <w:t>activities to strengthen linkages between the tourism and agriculture sectors</w:t>
      </w:r>
      <w:r w:rsidR="0018146F">
        <w:rPr>
          <w:iCs/>
        </w:rPr>
        <w:t>,</w:t>
      </w:r>
      <w:r w:rsidR="00C704C3" w:rsidRPr="00C704C3">
        <w:rPr>
          <w:iCs/>
        </w:rPr>
        <w:t xml:space="preserve"> </w:t>
      </w:r>
      <w:r w:rsidR="007821E0">
        <w:rPr>
          <w:iCs/>
        </w:rPr>
        <w:t xml:space="preserve">an important </w:t>
      </w:r>
      <w:r w:rsidR="0018146F">
        <w:rPr>
          <w:iCs/>
        </w:rPr>
        <w:t>strategy</w:t>
      </w:r>
      <w:r w:rsidR="00C704C3" w:rsidRPr="00C704C3">
        <w:rPr>
          <w:iCs/>
        </w:rPr>
        <w:t xml:space="preserve"> in </w:t>
      </w:r>
      <w:r w:rsidR="00CA7C5D">
        <w:rPr>
          <w:iCs/>
        </w:rPr>
        <w:t>Fiji’s</w:t>
      </w:r>
      <w:r w:rsidR="00C704C3" w:rsidRPr="00C704C3">
        <w:rPr>
          <w:iCs/>
        </w:rPr>
        <w:t xml:space="preserve"> draft national tourism development plan</w:t>
      </w:r>
      <w:r w:rsidR="00BF44EF">
        <w:rPr>
          <w:iCs/>
        </w:rPr>
        <w:t xml:space="preserve">. </w:t>
      </w:r>
      <w:r w:rsidR="00445578">
        <w:rPr>
          <w:iCs/>
        </w:rPr>
        <w:t xml:space="preserve"> </w:t>
      </w:r>
    </w:p>
    <w:p w14:paraId="7A647384" w14:textId="4B8C031C" w:rsidR="000769A5" w:rsidRDefault="000E6D29" w:rsidP="00F71D8A">
      <w:pPr>
        <w:rPr>
          <w:iCs/>
        </w:rPr>
      </w:pPr>
      <w:r>
        <w:rPr>
          <w:iCs/>
        </w:rPr>
        <w:t xml:space="preserve">In 2017-18, the </w:t>
      </w:r>
      <w:r w:rsidR="00B54179">
        <w:rPr>
          <w:iCs/>
        </w:rPr>
        <w:t xml:space="preserve">Fiji </w:t>
      </w:r>
      <w:r>
        <w:rPr>
          <w:iCs/>
        </w:rPr>
        <w:t>Government continued its efforts to reform public enterprises</w:t>
      </w:r>
      <w:r w:rsidR="00566C01">
        <w:rPr>
          <w:iCs/>
        </w:rPr>
        <w:t>,</w:t>
      </w:r>
      <w:r w:rsidR="001C5A0D">
        <w:rPr>
          <w:iCs/>
        </w:rPr>
        <w:t xml:space="preserve"> although with the upcoming election, momentum on passing a new State Owned Enterprise Act </w:t>
      </w:r>
      <w:r w:rsidR="00CA7C5D">
        <w:rPr>
          <w:iCs/>
        </w:rPr>
        <w:t xml:space="preserve">has </w:t>
      </w:r>
      <w:r w:rsidR="007821E0">
        <w:rPr>
          <w:iCs/>
        </w:rPr>
        <w:t>stalled</w:t>
      </w:r>
      <w:r w:rsidR="00566C01">
        <w:rPr>
          <w:iCs/>
        </w:rPr>
        <w:t xml:space="preserve">. </w:t>
      </w:r>
      <w:r w:rsidR="005B43BE">
        <w:rPr>
          <w:iCs/>
        </w:rPr>
        <w:t xml:space="preserve"> </w:t>
      </w:r>
      <w:r w:rsidR="00566C01">
        <w:rPr>
          <w:iCs/>
        </w:rPr>
        <w:t>The legislation</w:t>
      </w:r>
      <w:r w:rsidR="001C5A0D">
        <w:rPr>
          <w:iCs/>
        </w:rPr>
        <w:t xml:space="preserve"> is due to be reassessed in 2019</w:t>
      </w:r>
      <w:r>
        <w:rPr>
          <w:iCs/>
        </w:rPr>
        <w:t xml:space="preserve"> </w:t>
      </w:r>
      <w:r w:rsidR="001C5A0D">
        <w:rPr>
          <w:iCs/>
        </w:rPr>
        <w:t xml:space="preserve">when Parliament resumes. </w:t>
      </w:r>
      <w:r w:rsidR="007821E0">
        <w:rPr>
          <w:iCs/>
        </w:rPr>
        <w:t xml:space="preserve"> Australia’s</w:t>
      </w:r>
      <w:r w:rsidR="00566C01">
        <w:rPr>
          <w:iCs/>
        </w:rPr>
        <w:t xml:space="preserve"> </w:t>
      </w:r>
      <w:r w:rsidR="006156DC">
        <w:rPr>
          <w:iCs/>
        </w:rPr>
        <w:t xml:space="preserve">regional </w:t>
      </w:r>
      <w:r w:rsidR="00334089">
        <w:rPr>
          <w:iCs/>
        </w:rPr>
        <w:t>PSDI</w:t>
      </w:r>
      <w:r w:rsidR="001C5A0D">
        <w:rPr>
          <w:iCs/>
        </w:rPr>
        <w:t xml:space="preserve"> has bee</w:t>
      </w:r>
      <w:r w:rsidR="00B54179">
        <w:rPr>
          <w:iCs/>
        </w:rPr>
        <w:t xml:space="preserve">n providing support to the </w:t>
      </w:r>
      <w:r w:rsidR="001C5A0D">
        <w:rPr>
          <w:iCs/>
        </w:rPr>
        <w:t xml:space="preserve">Government </w:t>
      </w:r>
      <w:r w:rsidR="00B54179">
        <w:rPr>
          <w:iCs/>
        </w:rPr>
        <w:t xml:space="preserve">of Fiji </w:t>
      </w:r>
      <w:r w:rsidR="001C5A0D">
        <w:rPr>
          <w:iCs/>
        </w:rPr>
        <w:t xml:space="preserve">on this reform area.   </w:t>
      </w:r>
    </w:p>
    <w:p w14:paraId="7AB094EC" w14:textId="77777777" w:rsidR="00A269CA" w:rsidRPr="009574B9" w:rsidRDefault="00A269CA" w:rsidP="009574B9">
      <w:pPr>
        <w:rPr>
          <w:i/>
          <w:iCs/>
        </w:rPr>
      </w:pPr>
      <w:r w:rsidRPr="009574B9">
        <w:rPr>
          <w:i/>
          <w:iCs/>
        </w:rPr>
        <w:t>Improved civil service performance and accountable and inclusive politics</w:t>
      </w:r>
    </w:p>
    <w:p w14:paraId="634E193E" w14:textId="77777777" w:rsidR="00773F93" w:rsidRDefault="004B6B1E" w:rsidP="00A269CA">
      <w:pPr>
        <w:rPr>
          <w:iCs/>
        </w:rPr>
      </w:pPr>
      <w:r>
        <w:rPr>
          <w:iCs/>
        </w:rPr>
        <w:t xml:space="preserve">Through </w:t>
      </w:r>
      <w:r w:rsidR="00334089">
        <w:rPr>
          <w:iCs/>
        </w:rPr>
        <w:t xml:space="preserve">the </w:t>
      </w:r>
      <w:r w:rsidR="00334089" w:rsidRPr="007928A4">
        <w:rPr>
          <w:iCs/>
        </w:rPr>
        <w:t>IPP</w:t>
      </w:r>
      <w:r>
        <w:rPr>
          <w:iCs/>
        </w:rPr>
        <w:t xml:space="preserve"> </w:t>
      </w:r>
      <w:r w:rsidR="002A4E3A" w:rsidRPr="009574B9">
        <w:rPr>
          <w:iCs/>
        </w:rPr>
        <w:t xml:space="preserve">Australia </w:t>
      </w:r>
      <w:r w:rsidR="00A269CA" w:rsidRPr="009574B9">
        <w:rPr>
          <w:iCs/>
        </w:rPr>
        <w:t>continued to support the Government</w:t>
      </w:r>
      <w:r w:rsidR="00DC555E" w:rsidRPr="009574B9">
        <w:rPr>
          <w:iCs/>
        </w:rPr>
        <w:t xml:space="preserve"> of Fiji</w:t>
      </w:r>
      <w:r w:rsidR="00A269CA" w:rsidRPr="009574B9">
        <w:rPr>
          <w:iCs/>
        </w:rPr>
        <w:t>’s civil service reforms</w:t>
      </w:r>
      <w:r w:rsidR="002A4E3A" w:rsidRPr="009574B9">
        <w:rPr>
          <w:iCs/>
        </w:rPr>
        <w:t xml:space="preserve"> and parl</w:t>
      </w:r>
      <w:r w:rsidR="00500CFE" w:rsidRPr="009574B9">
        <w:rPr>
          <w:iCs/>
        </w:rPr>
        <w:t xml:space="preserve">iamentary strengthening efforts, </w:t>
      </w:r>
      <w:r w:rsidR="00E936AB" w:rsidRPr="009574B9">
        <w:rPr>
          <w:iCs/>
        </w:rPr>
        <w:t>enhancing the</w:t>
      </w:r>
      <w:r w:rsidR="00500CFE" w:rsidRPr="009574B9">
        <w:rPr>
          <w:iCs/>
        </w:rPr>
        <w:t xml:space="preserve"> </w:t>
      </w:r>
      <w:r w:rsidR="002A4E3A" w:rsidRPr="009574B9">
        <w:rPr>
          <w:iCs/>
        </w:rPr>
        <w:t xml:space="preserve">enabling environment for </w:t>
      </w:r>
      <w:r w:rsidR="00753D7E" w:rsidRPr="009574B9">
        <w:rPr>
          <w:iCs/>
        </w:rPr>
        <w:t xml:space="preserve">inclusive and sustainable </w:t>
      </w:r>
      <w:r w:rsidR="002A4E3A" w:rsidRPr="009574B9">
        <w:rPr>
          <w:iCs/>
        </w:rPr>
        <w:t>private sector development</w:t>
      </w:r>
      <w:r w:rsidR="00753D7E" w:rsidRPr="009574B9">
        <w:rPr>
          <w:iCs/>
        </w:rPr>
        <w:t xml:space="preserve">. </w:t>
      </w:r>
    </w:p>
    <w:p w14:paraId="462B54F0" w14:textId="77777777" w:rsidR="00073BAE" w:rsidRPr="009574B9" w:rsidRDefault="002A4E3A" w:rsidP="00A269CA">
      <w:pPr>
        <w:rPr>
          <w:iCs/>
        </w:rPr>
      </w:pPr>
      <w:r w:rsidRPr="009574B9">
        <w:rPr>
          <w:iCs/>
        </w:rPr>
        <w:t>Fiji is taking key steps to build a</w:t>
      </w:r>
      <w:r w:rsidR="00723244" w:rsidRPr="009574B9">
        <w:rPr>
          <w:iCs/>
        </w:rPr>
        <w:t xml:space="preserve"> </w:t>
      </w:r>
      <w:r w:rsidR="007821E0" w:rsidRPr="009574B9">
        <w:rPr>
          <w:iCs/>
        </w:rPr>
        <w:t>high</w:t>
      </w:r>
      <w:r w:rsidR="00723244" w:rsidRPr="009574B9">
        <w:rPr>
          <w:iCs/>
        </w:rPr>
        <w:t xml:space="preserve"> performing c</w:t>
      </w:r>
      <w:r w:rsidR="00A269CA" w:rsidRPr="009574B9">
        <w:rPr>
          <w:iCs/>
        </w:rPr>
        <w:t xml:space="preserve">ivil </w:t>
      </w:r>
      <w:r w:rsidR="00723244" w:rsidRPr="009574B9">
        <w:rPr>
          <w:iCs/>
        </w:rPr>
        <w:t>s</w:t>
      </w:r>
      <w:r w:rsidR="00A269CA" w:rsidRPr="009574B9">
        <w:rPr>
          <w:iCs/>
        </w:rPr>
        <w:t>ervice that is responsive to Gov</w:t>
      </w:r>
      <w:r w:rsidR="00AD1178" w:rsidRPr="009574B9">
        <w:rPr>
          <w:iCs/>
        </w:rPr>
        <w:t>ernment priorities and provides</w:t>
      </w:r>
      <w:r w:rsidR="00A269CA" w:rsidRPr="009574B9">
        <w:rPr>
          <w:iCs/>
        </w:rPr>
        <w:t xml:space="preserve"> high quality service</w:t>
      </w:r>
      <w:r w:rsidR="00753D7E" w:rsidRPr="009574B9">
        <w:rPr>
          <w:iCs/>
        </w:rPr>
        <w:t>s</w:t>
      </w:r>
      <w:r w:rsidR="00A269CA" w:rsidRPr="009574B9">
        <w:rPr>
          <w:iCs/>
        </w:rPr>
        <w:t xml:space="preserve"> to the public</w:t>
      </w:r>
      <w:r w:rsidRPr="009574B9">
        <w:rPr>
          <w:iCs/>
        </w:rPr>
        <w:t>.</w:t>
      </w:r>
      <w:r w:rsidR="0018531B" w:rsidRPr="009574B9">
        <w:rPr>
          <w:iCs/>
        </w:rPr>
        <w:t xml:space="preserve"> </w:t>
      </w:r>
      <w:r w:rsidRPr="009574B9">
        <w:rPr>
          <w:iCs/>
        </w:rPr>
        <w:t xml:space="preserve"> </w:t>
      </w:r>
      <w:r w:rsidR="00A269CA" w:rsidRPr="009574B9">
        <w:rPr>
          <w:iCs/>
        </w:rPr>
        <w:t xml:space="preserve">With </w:t>
      </w:r>
      <w:r w:rsidRPr="009574B9">
        <w:rPr>
          <w:iCs/>
        </w:rPr>
        <w:t xml:space="preserve">our </w:t>
      </w:r>
      <w:r w:rsidR="00A269CA" w:rsidRPr="009574B9">
        <w:rPr>
          <w:iCs/>
        </w:rPr>
        <w:t xml:space="preserve">assistance, the </w:t>
      </w:r>
      <w:r w:rsidR="002B02CC">
        <w:rPr>
          <w:iCs/>
        </w:rPr>
        <w:t xml:space="preserve">Fiji </w:t>
      </w:r>
      <w:r w:rsidR="00A269CA" w:rsidRPr="009574B9">
        <w:rPr>
          <w:iCs/>
        </w:rPr>
        <w:t>Government issue</w:t>
      </w:r>
      <w:r w:rsidRPr="009574B9">
        <w:rPr>
          <w:iCs/>
        </w:rPr>
        <w:t>d</w:t>
      </w:r>
      <w:r w:rsidR="00A269CA" w:rsidRPr="009574B9">
        <w:rPr>
          <w:iCs/>
        </w:rPr>
        <w:t xml:space="preserve"> the final two of five civil service guidelines (Performance Management and Learning and Development). </w:t>
      </w:r>
      <w:r w:rsidR="00AD1178" w:rsidRPr="009574B9">
        <w:rPr>
          <w:iCs/>
        </w:rPr>
        <w:t xml:space="preserve"> </w:t>
      </w:r>
      <w:r w:rsidR="00073BAE" w:rsidRPr="009574B9">
        <w:rPr>
          <w:iCs/>
        </w:rPr>
        <w:t xml:space="preserve">The five guidelines (including the previously completed Open Merit Recruitment and Selection, Job Evaluation and Discipline) </w:t>
      </w:r>
      <w:r w:rsidR="00CA7C5D" w:rsidRPr="009574B9">
        <w:rPr>
          <w:iCs/>
        </w:rPr>
        <w:t>will help</w:t>
      </w:r>
      <w:r w:rsidR="00073BAE" w:rsidRPr="009574B9">
        <w:rPr>
          <w:iCs/>
        </w:rPr>
        <w:t xml:space="preserve"> modernise and streamline the Fijian Civil Service.  </w:t>
      </w:r>
      <w:r w:rsidRPr="009574B9">
        <w:rPr>
          <w:iCs/>
        </w:rPr>
        <w:t xml:space="preserve">We </w:t>
      </w:r>
      <w:r w:rsidR="00073BAE" w:rsidRPr="009574B9">
        <w:rPr>
          <w:iCs/>
        </w:rPr>
        <w:t>also assisted the Government</w:t>
      </w:r>
      <w:r w:rsidR="00DC555E" w:rsidRPr="009574B9">
        <w:rPr>
          <w:iCs/>
        </w:rPr>
        <w:t xml:space="preserve"> </w:t>
      </w:r>
      <w:r w:rsidR="00073BAE" w:rsidRPr="009574B9">
        <w:rPr>
          <w:iCs/>
        </w:rPr>
        <w:t xml:space="preserve">to operationalise the guidelines by </w:t>
      </w:r>
      <w:r w:rsidR="007B5D62" w:rsidRPr="009574B9">
        <w:rPr>
          <w:iCs/>
        </w:rPr>
        <w:t>supporting</w:t>
      </w:r>
      <w:r w:rsidR="00073BAE" w:rsidRPr="009574B9">
        <w:rPr>
          <w:iCs/>
        </w:rPr>
        <w:t xml:space="preserve"> training for civil servants on the links between the guidelines and their impact on individual and ministry performance.  While it will take some time to see the fruits of these reforms, we consider </w:t>
      </w:r>
      <w:r w:rsidRPr="009574B9">
        <w:rPr>
          <w:iCs/>
        </w:rPr>
        <w:t xml:space="preserve">Fiji </w:t>
      </w:r>
      <w:r w:rsidR="00073BAE" w:rsidRPr="009574B9">
        <w:rPr>
          <w:iCs/>
        </w:rPr>
        <w:t>on track to meeting the long-term goal of improved civil service performance.</w:t>
      </w:r>
    </w:p>
    <w:p w14:paraId="076646DE" w14:textId="77777777" w:rsidR="00A269CA" w:rsidRPr="00F93EF8" w:rsidRDefault="00A269CA" w:rsidP="00A269CA">
      <w:pPr>
        <w:rPr>
          <w:iCs/>
        </w:rPr>
      </w:pPr>
      <w:r w:rsidRPr="009574B9">
        <w:rPr>
          <w:iCs/>
        </w:rPr>
        <w:t xml:space="preserve">Through a partnership with </w:t>
      </w:r>
      <w:r w:rsidR="0031552B" w:rsidRPr="009574B9">
        <w:rPr>
          <w:iCs/>
        </w:rPr>
        <w:t>UNDP</w:t>
      </w:r>
      <w:r w:rsidR="007B5D62" w:rsidRPr="009574B9">
        <w:rPr>
          <w:iCs/>
        </w:rPr>
        <w:t>,</w:t>
      </w:r>
      <w:r w:rsidRPr="009574B9">
        <w:rPr>
          <w:iCs/>
        </w:rPr>
        <w:t xml:space="preserve"> </w:t>
      </w:r>
      <w:r w:rsidR="002A4E3A" w:rsidRPr="009574B9">
        <w:rPr>
          <w:iCs/>
        </w:rPr>
        <w:t xml:space="preserve">Australia </w:t>
      </w:r>
      <w:r w:rsidRPr="009574B9">
        <w:rPr>
          <w:iCs/>
        </w:rPr>
        <w:t>continued to support the Fiji</w:t>
      </w:r>
      <w:r w:rsidR="007928A4" w:rsidRPr="009574B9">
        <w:rPr>
          <w:iCs/>
        </w:rPr>
        <w:t>an</w:t>
      </w:r>
      <w:r w:rsidRPr="009574B9">
        <w:rPr>
          <w:iCs/>
        </w:rPr>
        <w:t xml:space="preserve"> Parliament. </w:t>
      </w:r>
      <w:r w:rsidR="0031552B" w:rsidRPr="009574B9">
        <w:rPr>
          <w:iCs/>
        </w:rPr>
        <w:t xml:space="preserve"> This </w:t>
      </w:r>
      <w:r w:rsidRPr="009574B9">
        <w:rPr>
          <w:iCs/>
        </w:rPr>
        <w:t xml:space="preserve">included </w:t>
      </w:r>
      <w:r w:rsidR="0031552B" w:rsidRPr="009574B9">
        <w:rPr>
          <w:iCs/>
        </w:rPr>
        <w:t>work to strengthen</w:t>
      </w:r>
      <w:r w:rsidRPr="009574B9">
        <w:rPr>
          <w:iCs/>
        </w:rPr>
        <w:t xml:space="preserve"> the Parliamentary Committees, improving their capacity to conduct outreach and scrutinise draft bills</w:t>
      </w:r>
      <w:r w:rsidR="00753D7E" w:rsidRPr="009574B9">
        <w:rPr>
          <w:iCs/>
        </w:rPr>
        <w:t>, including from a gender perspective</w:t>
      </w:r>
      <w:r w:rsidRPr="009574B9">
        <w:rPr>
          <w:iCs/>
        </w:rPr>
        <w:t>. This work has bee</w:t>
      </w:r>
      <w:r w:rsidR="000E4145" w:rsidRPr="009574B9">
        <w:rPr>
          <w:iCs/>
        </w:rPr>
        <w:t>n particularly successful with C</w:t>
      </w:r>
      <w:r w:rsidRPr="009574B9">
        <w:rPr>
          <w:iCs/>
        </w:rPr>
        <w:t>ommittees now demonstrating strong cap</w:t>
      </w:r>
      <w:r w:rsidR="0018146F" w:rsidRPr="009574B9">
        <w:rPr>
          <w:iCs/>
        </w:rPr>
        <w:t xml:space="preserve">acity to scrutinise legislation, for example </w:t>
      </w:r>
      <w:r w:rsidRPr="009574B9">
        <w:rPr>
          <w:iCs/>
        </w:rPr>
        <w:t>recommending</w:t>
      </w:r>
      <w:r w:rsidR="0018146F" w:rsidRPr="009574B9">
        <w:rPr>
          <w:iCs/>
        </w:rPr>
        <w:t xml:space="preserve"> </w:t>
      </w:r>
      <w:r w:rsidRPr="009574B9">
        <w:rPr>
          <w:iCs/>
        </w:rPr>
        <w:t xml:space="preserve">critical amendments to the </w:t>
      </w:r>
      <w:r w:rsidRPr="00C84874">
        <w:rPr>
          <w:i/>
          <w:iCs/>
        </w:rPr>
        <w:t>Rights of Persons with Disabilities Act</w:t>
      </w:r>
      <w:r w:rsidRPr="00F93EF8">
        <w:rPr>
          <w:iCs/>
        </w:rPr>
        <w:t xml:space="preserve"> following consultation with key stakeholders.</w:t>
      </w:r>
    </w:p>
    <w:p w14:paraId="79B977A7" w14:textId="77777777" w:rsidR="004C3D4E" w:rsidRDefault="004C3D4E" w:rsidP="0095673E">
      <w:r w:rsidRPr="00347F92">
        <w:rPr>
          <w:b/>
        </w:rPr>
        <w:t>Outcome 3: Improved trade competitiveness of key pro-poor sectors</w:t>
      </w:r>
    </w:p>
    <w:p w14:paraId="5B304D09" w14:textId="4A3A383F" w:rsidR="00723244" w:rsidRPr="00BF44EF" w:rsidRDefault="00753D7E" w:rsidP="00723244">
      <w:r w:rsidRPr="00F93EF8">
        <w:rPr>
          <w:iCs/>
        </w:rPr>
        <w:t xml:space="preserve">We </w:t>
      </w:r>
      <w:r w:rsidR="0031552B" w:rsidRPr="00F93EF8">
        <w:rPr>
          <w:iCs/>
        </w:rPr>
        <w:t>slightly exceeded</w:t>
      </w:r>
      <w:r w:rsidR="00723244" w:rsidRPr="00F93EF8">
        <w:rPr>
          <w:iCs/>
        </w:rPr>
        <w:t xml:space="preserve"> </w:t>
      </w:r>
      <w:r w:rsidRPr="00F93EF8">
        <w:rPr>
          <w:iCs/>
        </w:rPr>
        <w:t xml:space="preserve">our PAF </w:t>
      </w:r>
      <w:r w:rsidR="00723244" w:rsidRPr="00F93EF8">
        <w:rPr>
          <w:iCs/>
        </w:rPr>
        <w:t>target of 20 per cent of the aid budget allocated to aid-for-trade activities in 2017</w:t>
      </w:r>
      <w:r w:rsidR="00982FDF" w:rsidRPr="003D024C">
        <w:rPr>
          <w:iCs/>
        </w:rPr>
        <w:noBreakHyphen/>
      </w:r>
      <w:r w:rsidR="00723244" w:rsidRPr="003D024C">
        <w:rPr>
          <w:iCs/>
        </w:rPr>
        <w:t>18.  Our investments in MDF ($3</w:t>
      </w:r>
      <w:r w:rsidR="009B6268">
        <w:rPr>
          <w:iCs/>
        </w:rPr>
        <w:t xml:space="preserve"> </w:t>
      </w:r>
      <w:r w:rsidR="00723244" w:rsidRPr="003D024C">
        <w:rPr>
          <w:iCs/>
        </w:rPr>
        <w:t>m</w:t>
      </w:r>
      <w:r w:rsidR="009B6268">
        <w:rPr>
          <w:iCs/>
        </w:rPr>
        <w:t>illion</w:t>
      </w:r>
      <w:r w:rsidR="00723244" w:rsidRPr="003D024C">
        <w:rPr>
          <w:iCs/>
        </w:rPr>
        <w:t>), the IFC Partnership ($1.7</w:t>
      </w:r>
      <w:r w:rsidR="009B6268">
        <w:rPr>
          <w:iCs/>
        </w:rPr>
        <w:t xml:space="preserve"> million</w:t>
      </w:r>
      <w:r w:rsidR="00723244" w:rsidRPr="003D024C">
        <w:rPr>
          <w:iCs/>
        </w:rPr>
        <w:t>), PSDI ($0.5</w:t>
      </w:r>
      <w:r w:rsidR="009B6268">
        <w:rPr>
          <w:iCs/>
        </w:rPr>
        <w:t xml:space="preserve"> </w:t>
      </w:r>
      <w:r w:rsidR="00723244" w:rsidRPr="003D024C">
        <w:rPr>
          <w:iCs/>
        </w:rPr>
        <w:t>m</w:t>
      </w:r>
      <w:r w:rsidR="009B6268">
        <w:rPr>
          <w:iCs/>
        </w:rPr>
        <w:t>illion</w:t>
      </w:r>
      <w:r w:rsidR="00723244" w:rsidRPr="003D024C">
        <w:rPr>
          <w:iCs/>
        </w:rPr>
        <w:t>) and PFIP ($3</w:t>
      </w:r>
      <w:r w:rsidR="009B6268">
        <w:rPr>
          <w:iCs/>
        </w:rPr>
        <w:t xml:space="preserve"> </w:t>
      </w:r>
      <w:r w:rsidR="00723244" w:rsidRPr="003D024C">
        <w:rPr>
          <w:iCs/>
        </w:rPr>
        <w:t>m</w:t>
      </w:r>
      <w:r w:rsidR="009B6268">
        <w:rPr>
          <w:iCs/>
        </w:rPr>
        <w:t>illion</w:t>
      </w:r>
      <w:r w:rsidR="00723244" w:rsidRPr="003D024C">
        <w:rPr>
          <w:iCs/>
        </w:rPr>
        <w:t>) reached a total value of $8.2</w:t>
      </w:r>
      <w:r w:rsidR="005C71B9">
        <w:rPr>
          <w:iCs/>
        </w:rPr>
        <w:t xml:space="preserve"> </w:t>
      </w:r>
      <w:r w:rsidR="00723244" w:rsidRPr="003D024C">
        <w:rPr>
          <w:iCs/>
        </w:rPr>
        <w:t>m</w:t>
      </w:r>
      <w:r w:rsidR="005C71B9">
        <w:rPr>
          <w:iCs/>
        </w:rPr>
        <w:t>illion</w:t>
      </w:r>
      <w:r w:rsidR="00723244" w:rsidRPr="003D024C">
        <w:rPr>
          <w:iCs/>
        </w:rPr>
        <w:t xml:space="preserve"> in the reporting period or 2</w:t>
      </w:r>
      <w:r w:rsidRPr="003D024C">
        <w:rPr>
          <w:iCs/>
        </w:rPr>
        <w:t>2</w:t>
      </w:r>
      <w:r w:rsidR="00723244" w:rsidRPr="00416131">
        <w:rPr>
          <w:iCs/>
        </w:rPr>
        <w:t xml:space="preserve"> per cent of the bilateral </w:t>
      </w:r>
      <w:r w:rsidR="0031143C" w:rsidRPr="00416131">
        <w:rPr>
          <w:iCs/>
        </w:rPr>
        <w:t>P</w:t>
      </w:r>
      <w:r w:rsidR="00723244" w:rsidRPr="00416131">
        <w:rPr>
          <w:iCs/>
        </w:rPr>
        <w:t>rogram (excluding additional funds allocated for TC Winston reconstruction).  Aid</w:t>
      </w:r>
      <w:r w:rsidR="00073BAE" w:rsidRPr="00416131">
        <w:rPr>
          <w:iCs/>
        </w:rPr>
        <w:t>-</w:t>
      </w:r>
      <w:r w:rsidR="00723244" w:rsidRPr="00416131">
        <w:rPr>
          <w:iCs/>
        </w:rPr>
        <w:t>for</w:t>
      </w:r>
      <w:r w:rsidR="00073BAE" w:rsidRPr="00790FB6">
        <w:rPr>
          <w:iCs/>
        </w:rPr>
        <w:t>-</w:t>
      </w:r>
      <w:r w:rsidR="00723244" w:rsidRPr="00662914">
        <w:rPr>
          <w:iCs/>
        </w:rPr>
        <w:t>trade supports Fij</w:t>
      </w:r>
      <w:r w:rsidR="00773F93" w:rsidRPr="00662914">
        <w:rPr>
          <w:iCs/>
        </w:rPr>
        <w:t xml:space="preserve">i’s </w:t>
      </w:r>
      <w:r w:rsidR="00723244" w:rsidRPr="00662914">
        <w:rPr>
          <w:iCs/>
        </w:rPr>
        <w:t>integrat</w:t>
      </w:r>
      <w:r w:rsidR="00773F93" w:rsidRPr="00662914">
        <w:rPr>
          <w:iCs/>
        </w:rPr>
        <w:t>ion</w:t>
      </w:r>
      <w:r w:rsidR="00723244" w:rsidRPr="00FB4E77">
        <w:rPr>
          <w:iCs/>
        </w:rPr>
        <w:t xml:space="preserve"> </w:t>
      </w:r>
      <w:r w:rsidR="00773F93" w:rsidRPr="002B02CC">
        <w:rPr>
          <w:iCs/>
        </w:rPr>
        <w:t xml:space="preserve">with </w:t>
      </w:r>
      <w:r w:rsidR="00723244" w:rsidRPr="002B02CC">
        <w:rPr>
          <w:iCs/>
        </w:rPr>
        <w:t>the global trading system</w:t>
      </w:r>
      <w:r w:rsidR="00773F93" w:rsidRPr="00F64417">
        <w:rPr>
          <w:iCs/>
        </w:rPr>
        <w:t xml:space="preserve">, a </w:t>
      </w:r>
      <w:r w:rsidR="00723244" w:rsidRPr="00F64417">
        <w:rPr>
          <w:iCs/>
        </w:rPr>
        <w:t>key driver for a sustainable economy.  Our support address</w:t>
      </w:r>
      <w:r w:rsidR="006D67CB" w:rsidRPr="00F64417">
        <w:rPr>
          <w:iCs/>
        </w:rPr>
        <w:t>ed</w:t>
      </w:r>
      <w:r w:rsidR="00723244" w:rsidRPr="00F64417">
        <w:rPr>
          <w:iCs/>
        </w:rPr>
        <w:t xml:space="preserve"> constraints to trade, by enhancing</w:t>
      </w:r>
      <w:r w:rsidR="00773F93" w:rsidRPr="00E6224F">
        <w:rPr>
          <w:iCs/>
        </w:rPr>
        <w:t xml:space="preserve"> economic</w:t>
      </w:r>
      <w:r w:rsidR="00723244" w:rsidRPr="00E6224F">
        <w:rPr>
          <w:iCs/>
        </w:rPr>
        <w:t xml:space="preserve"> infrastructure, strengthening workforce skills and building productive capacity in key export markets</w:t>
      </w:r>
      <w:r w:rsidR="00FE4B47" w:rsidRPr="00E6224F">
        <w:rPr>
          <w:iCs/>
        </w:rPr>
        <w:t xml:space="preserve">, particularly those </w:t>
      </w:r>
      <w:r w:rsidR="0031143C" w:rsidRPr="00E6224F">
        <w:rPr>
          <w:iCs/>
        </w:rPr>
        <w:t>that</w:t>
      </w:r>
      <w:r w:rsidR="00FE4B47" w:rsidRPr="00BD02FA">
        <w:rPr>
          <w:iCs/>
        </w:rPr>
        <w:t xml:space="preserve"> provide livelihoods for the poor</w:t>
      </w:r>
      <w:r w:rsidR="00FE4B47">
        <w:t xml:space="preserve">.  </w:t>
      </w:r>
    </w:p>
    <w:p w14:paraId="67082669" w14:textId="29CA503A" w:rsidR="007B5D62" w:rsidRDefault="00AD1178" w:rsidP="0026747E">
      <w:pPr>
        <w:rPr>
          <w:iCs/>
        </w:rPr>
      </w:pPr>
      <w:r>
        <w:t xml:space="preserve">In 2017-18, </w:t>
      </w:r>
      <w:r w:rsidR="0031552B">
        <w:t>we</w:t>
      </w:r>
      <w:r w:rsidR="00B46281" w:rsidRPr="00AD1178">
        <w:t xml:space="preserve"> </w:t>
      </w:r>
      <w:r>
        <w:t xml:space="preserve">continued </w:t>
      </w:r>
      <w:r w:rsidR="008B41B1">
        <w:t>to support</w:t>
      </w:r>
      <w:r w:rsidR="00723244">
        <w:t xml:space="preserve"> specific interventions </w:t>
      </w:r>
      <w:r w:rsidR="0031552B">
        <w:t>to assist Fiji</w:t>
      </w:r>
      <w:r w:rsidR="00BB0263">
        <w:t xml:space="preserve"> </w:t>
      </w:r>
      <w:r w:rsidR="0031552B">
        <w:t>attract</w:t>
      </w:r>
      <w:r w:rsidR="00B46281" w:rsidRPr="00AD1178">
        <w:t xml:space="preserve"> tourist</w:t>
      </w:r>
      <w:r w:rsidR="0031143C">
        <w:t>s</w:t>
      </w:r>
      <w:r w:rsidR="00B46281" w:rsidRPr="00AD1178">
        <w:t xml:space="preserve"> outside the hubs of Denarau, Nadi, the Coral Coast and Mamanucas.  </w:t>
      </w:r>
      <w:r w:rsidR="00FE4B47">
        <w:t xml:space="preserve">The </w:t>
      </w:r>
      <w:r w:rsidR="00AB49A8">
        <w:t>effects</w:t>
      </w:r>
      <w:r w:rsidR="0031143C">
        <w:t xml:space="preserve"> of our support at the output-</w:t>
      </w:r>
      <w:r w:rsidR="00FE4B47">
        <w:t xml:space="preserve">level </w:t>
      </w:r>
      <w:r w:rsidR="0031143C">
        <w:t>were</w:t>
      </w:r>
      <w:r w:rsidR="00FE4B47">
        <w:t xml:space="preserve"> clear.  </w:t>
      </w:r>
      <w:r w:rsidR="00FE4B47" w:rsidRPr="00AD1178">
        <w:rPr>
          <w:iCs/>
        </w:rPr>
        <w:t>MDF</w:t>
      </w:r>
      <w:r w:rsidR="00FE4B47">
        <w:rPr>
          <w:iCs/>
        </w:rPr>
        <w:t xml:space="preserve">’s </w:t>
      </w:r>
      <w:r w:rsidR="00FE4B47" w:rsidRPr="00AD1178">
        <w:rPr>
          <w:iCs/>
        </w:rPr>
        <w:t>partnership with Tifajek Mud Pools saw this operator receive about 11,000</w:t>
      </w:r>
      <w:r w:rsidR="00FE4B47" w:rsidRPr="00AD1178">
        <w:rPr>
          <w:iCs/>
          <w:color w:val="auto"/>
        </w:rPr>
        <w:t xml:space="preserve"> </w:t>
      </w:r>
      <w:r w:rsidR="00FE4B47" w:rsidRPr="00AD1178">
        <w:rPr>
          <w:iCs/>
        </w:rPr>
        <w:t xml:space="preserve">more tourists in 2017-18 than it had the previous year, putting the partnership </w:t>
      </w:r>
      <w:r w:rsidR="0031143C">
        <w:rPr>
          <w:iCs/>
        </w:rPr>
        <w:t xml:space="preserve">well </w:t>
      </w:r>
      <w:r w:rsidR="00FE4B47" w:rsidRPr="00AD1178">
        <w:rPr>
          <w:iCs/>
        </w:rPr>
        <w:t xml:space="preserve">on track to meet its target of approximately 30,000 visitors in 2020.  MDF's partnership with </w:t>
      </w:r>
      <w:r w:rsidR="00C84874">
        <w:rPr>
          <w:iCs/>
        </w:rPr>
        <w:t xml:space="preserve">a </w:t>
      </w:r>
      <w:r w:rsidR="00FE4B47" w:rsidRPr="00AD1178">
        <w:rPr>
          <w:iCs/>
        </w:rPr>
        <w:t>tour operator (Walks and Trails) has</w:t>
      </w:r>
      <w:r w:rsidR="00FE4B47">
        <w:rPr>
          <w:iCs/>
        </w:rPr>
        <w:t xml:space="preserve"> also</w:t>
      </w:r>
      <w:r w:rsidR="00FE4B47" w:rsidRPr="00AD1178">
        <w:rPr>
          <w:iCs/>
        </w:rPr>
        <w:t xml:space="preserve"> seen booking</w:t>
      </w:r>
      <w:r w:rsidR="001149C6">
        <w:rPr>
          <w:iCs/>
        </w:rPr>
        <w:t>s</w:t>
      </w:r>
      <w:r w:rsidR="00773F93">
        <w:rPr>
          <w:iCs/>
        </w:rPr>
        <w:t xml:space="preserve"> increase</w:t>
      </w:r>
      <w:r w:rsidR="00FE4B47" w:rsidRPr="00AD1178">
        <w:rPr>
          <w:iCs/>
        </w:rPr>
        <w:t xml:space="preserve"> by more than 400 trips per annum since start of</w:t>
      </w:r>
      <w:r w:rsidR="00C84874">
        <w:rPr>
          <w:iCs/>
        </w:rPr>
        <w:t xml:space="preserve"> the</w:t>
      </w:r>
      <w:r w:rsidR="00FE4B47" w:rsidRPr="00AD1178">
        <w:rPr>
          <w:iCs/>
        </w:rPr>
        <w:t xml:space="preserve"> partnership in 2014</w:t>
      </w:r>
      <w:r w:rsidR="0031552B">
        <w:rPr>
          <w:iCs/>
        </w:rPr>
        <w:t>.  A</w:t>
      </w:r>
      <w:r w:rsidR="00411EEA">
        <w:rPr>
          <w:iCs/>
        </w:rPr>
        <w:t>round 165 households have experienced better standard</w:t>
      </w:r>
      <w:r w:rsidR="0031552B">
        <w:rPr>
          <w:iCs/>
        </w:rPr>
        <w:t>s</w:t>
      </w:r>
      <w:r w:rsidR="00411EEA">
        <w:rPr>
          <w:iCs/>
        </w:rPr>
        <w:t xml:space="preserve"> of living as</w:t>
      </w:r>
      <w:r w:rsidR="0031552B">
        <w:rPr>
          <w:iCs/>
        </w:rPr>
        <w:t xml:space="preserve"> a result of new jobs created</w:t>
      </w:r>
      <w:r w:rsidR="00411EEA">
        <w:rPr>
          <w:iCs/>
        </w:rPr>
        <w:t xml:space="preserve"> and increased incomes</w:t>
      </w:r>
      <w:r w:rsidR="0031552B">
        <w:rPr>
          <w:iCs/>
        </w:rPr>
        <w:t xml:space="preserve"> due to the two partnerships</w:t>
      </w:r>
      <w:r w:rsidR="00411EEA">
        <w:rPr>
          <w:iCs/>
        </w:rPr>
        <w:t xml:space="preserve">. </w:t>
      </w:r>
      <w:r w:rsidR="000F3173">
        <w:rPr>
          <w:iCs/>
        </w:rPr>
        <w:t xml:space="preserve"> </w:t>
      </w:r>
      <w:r w:rsidR="0031552B">
        <w:rPr>
          <w:iCs/>
        </w:rPr>
        <w:t>These h</w:t>
      </w:r>
      <w:r w:rsidR="00411EEA">
        <w:rPr>
          <w:iCs/>
        </w:rPr>
        <w:t>ouseholds are now able to invest in</w:t>
      </w:r>
      <w:r w:rsidR="00AB49A8">
        <w:rPr>
          <w:iCs/>
        </w:rPr>
        <w:t xml:space="preserve"> </w:t>
      </w:r>
      <w:r w:rsidR="00411EEA" w:rsidRPr="000F3173">
        <w:rPr>
          <w:iCs/>
        </w:rPr>
        <w:t>savings accounts</w:t>
      </w:r>
      <w:r w:rsidR="007B5D62">
        <w:rPr>
          <w:iCs/>
        </w:rPr>
        <w:t xml:space="preserve">, transport to enable their children attend school </w:t>
      </w:r>
      <w:r w:rsidR="00AB49A8">
        <w:rPr>
          <w:iCs/>
        </w:rPr>
        <w:t>and other priorities</w:t>
      </w:r>
      <w:r w:rsidR="00411EEA" w:rsidRPr="000F3173">
        <w:rPr>
          <w:iCs/>
        </w:rPr>
        <w:t xml:space="preserve">. </w:t>
      </w:r>
      <w:r w:rsidR="0031552B">
        <w:rPr>
          <w:iCs/>
        </w:rPr>
        <w:t xml:space="preserve"> </w:t>
      </w:r>
      <w:r w:rsidR="00FE4B47" w:rsidRPr="000F3173">
        <w:t xml:space="preserve">MDF’s assistance contributed towards a </w:t>
      </w:r>
      <w:r w:rsidR="00B46281" w:rsidRPr="000F3173">
        <w:t xml:space="preserve">total of 558,898 </w:t>
      </w:r>
      <w:r w:rsidR="00F25830" w:rsidRPr="000F3173">
        <w:t>visitors</w:t>
      </w:r>
      <w:r w:rsidR="00FE4B47" w:rsidRPr="000F3173">
        <w:t xml:space="preserve"> (</w:t>
      </w:r>
      <w:r w:rsidR="00B46281" w:rsidRPr="00AD1178">
        <w:t>66 per</w:t>
      </w:r>
      <w:r>
        <w:t xml:space="preserve"> cent of all tourist</w:t>
      </w:r>
      <w:r w:rsidR="00FC57D5">
        <w:t>s</w:t>
      </w:r>
      <w:r>
        <w:t xml:space="preserve"> to Fiji</w:t>
      </w:r>
      <w:r w:rsidR="00FE4B47">
        <w:t>)</w:t>
      </w:r>
      <w:r>
        <w:t xml:space="preserve"> </w:t>
      </w:r>
      <w:r w:rsidR="00FE4B47">
        <w:t>visiting</w:t>
      </w:r>
      <w:r w:rsidR="00FE4B47" w:rsidRPr="00AD1178">
        <w:t xml:space="preserve"> </w:t>
      </w:r>
      <w:r w:rsidR="00B46281" w:rsidRPr="00AD1178">
        <w:t>regional areas</w:t>
      </w:r>
      <w:r w:rsidR="00FE4B47">
        <w:t xml:space="preserve"> in 2017-18 – </w:t>
      </w:r>
      <w:r w:rsidR="00B46281" w:rsidRPr="00AD1178">
        <w:t>up from 301,080 in 2016.</w:t>
      </w:r>
      <w:r w:rsidR="006234A1">
        <w:rPr>
          <w:iCs/>
        </w:rPr>
        <w:t xml:space="preserve">  </w:t>
      </w:r>
      <w:r w:rsidR="000F3173">
        <w:rPr>
          <w:iCs/>
        </w:rPr>
        <w:t xml:space="preserve">A </w:t>
      </w:r>
      <w:r w:rsidR="00B844C5">
        <w:rPr>
          <w:iCs/>
        </w:rPr>
        <w:t>key challenge for MDF in 2018-19 will be</w:t>
      </w:r>
      <w:r w:rsidR="00BD7204">
        <w:rPr>
          <w:iCs/>
        </w:rPr>
        <w:t xml:space="preserve"> to improve its reporting of aggregate results </w:t>
      </w:r>
      <w:r w:rsidR="000F3173">
        <w:rPr>
          <w:iCs/>
        </w:rPr>
        <w:t xml:space="preserve">at the sector level, so we can </w:t>
      </w:r>
      <w:r w:rsidR="00C85076">
        <w:rPr>
          <w:iCs/>
        </w:rPr>
        <w:t xml:space="preserve">better </w:t>
      </w:r>
      <w:r w:rsidR="00F93EF8">
        <w:rPr>
          <w:iCs/>
        </w:rPr>
        <w:t xml:space="preserve">articulate </w:t>
      </w:r>
      <w:r w:rsidR="0031552B">
        <w:rPr>
          <w:iCs/>
        </w:rPr>
        <w:t xml:space="preserve">and </w:t>
      </w:r>
      <w:r w:rsidR="00AB49A8">
        <w:rPr>
          <w:iCs/>
        </w:rPr>
        <w:t>enhance</w:t>
      </w:r>
      <w:r w:rsidR="000F3173">
        <w:rPr>
          <w:iCs/>
        </w:rPr>
        <w:t xml:space="preserve"> </w:t>
      </w:r>
      <w:r w:rsidR="00AB49A8">
        <w:rPr>
          <w:iCs/>
        </w:rPr>
        <w:t>our</w:t>
      </w:r>
      <w:r w:rsidR="0031552B">
        <w:rPr>
          <w:iCs/>
        </w:rPr>
        <w:t xml:space="preserve"> support for</w:t>
      </w:r>
      <w:r w:rsidR="000F3173">
        <w:rPr>
          <w:iCs/>
        </w:rPr>
        <w:t xml:space="preserve"> Fiji’s</w:t>
      </w:r>
      <w:r w:rsidR="00BD7204">
        <w:rPr>
          <w:iCs/>
        </w:rPr>
        <w:t xml:space="preserve"> objective </w:t>
      </w:r>
      <w:r w:rsidR="00AB49A8">
        <w:rPr>
          <w:iCs/>
        </w:rPr>
        <w:t>of</w:t>
      </w:r>
      <w:r w:rsidR="000F3173">
        <w:rPr>
          <w:iCs/>
        </w:rPr>
        <w:t xml:space="preserve"> </w:t>
      </w:r>
      <w:r w:rsidR="0031552B">
        <w:rPr>
          <w:iCs/>
        </w:rPr>
        <w:t>i</w:t>
      </w:r>
      <w:r w:rsidR="00AB49A8">
        <w:rPr>
          <w:iCs/>
        </w:rPr>
        <w:t>ncreasing</w:t>
      </w:r>
      <w:r w:rsidR="000F3173">
        <w:rPr>
          <w:iCs/>
        </w:rPr>
        <w:t xml:space="preserve"> visitors to</w:t>
      </w:r>
      <w:r w:rsidR="00BD7204">
        <w:rPr>
          <w:iCs/>
        </w:rPr>
        <w:t xml:space="preserve"> remote regions. </w:t>
      </w:r>
    </w:p>
    <w:p w14:paraId="3EB689AC" w14:textId="2B797FBD" w:rsidR="006234A1" w:rsidRPr="006234A1" w:rsidRDefault="00957925" w:rsidP="0026747E">
      <w:pPr>
        <w:rPr>
          <w:iCs/>
        </w:rPr>
      </w:pPr>
      <w:r>
        <w:rPr>
          <w:iCs/>
        </w:rPr>
        <w:t xml:space="preserve">Through MDF’s 49 partnerships, we exceeded our PAF target </w:t>
      </w:r>
      <w:r w:rsidR="007B5D62">
        <w:rPr>
          <w:iCs/>
        </w:rPr>
        <w:t xml:space="preserve">for attracting private investment to the economy, </w:t>
      </w:r>
      <w:r w:rsidR="00B95FA0">
        <w:rPr>
          <w:iCs/>
        </w:rPr>
        <w:t xml:space="preserve">with USD4.2 million </w:t>
      </w:r>
      <w:r>
        <w:rPr>
          <w:iCs/>
        </w:rPr>
        <w:t xml:space="preserve">leveraged in 2017 compared to USD2.8 million in the previous year.   </w:t>
      </w:r>
    </w:p>
    <w:p w14:paraId="7BCC6B2A" w14:textId="77777777" w:rsidR="0047187B" w:rsidRDefault="0047187B">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6C3828BC" w14:textId="77777777" w:rsidR="007709F7" w:rsidRDefault="007709F7" w:rsidP="007709F7">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Objective </w:t>
      </w:r>
      <w:r w:rsidR="00357E83">
        <w:rPr>
          <w:rFonts w:asciiTheme="majorHAnsi" w:eastAsiaTheme="majorEastAsia" w:hAnsiTheme="majorHAnsi" w:cstheme="majorBidi"/>
          <w:caps/>
          <w:color w:val="495965" w:themeColor="text2"/>
          <w:sz w:val="38"/>
          <w:szCs w:val="26"/>
          <w:lang w:val="en-GB" w:eastAsia="en-US"/>
        </w:rPr>
        <w:t>2 – IMPROVED HUMAN DEVELOPMENT</w:t>
      </w:r>
      <w:r w:rsidR="0047090C">
        <w:rPr>
          <w:rFonts w:asciiTheme="majorHAnsi" w:eastAsiaTheme="majorEastAsia" w:hAnsiTheme="majorHAnsi" w:cstheme="majorBidi"/>
          <w:caps/>
          <w:color w:val="495965" w:themeColor="text2"/>
          <w:sz w:val="38"/>
          <w:szCs w:val="26"/>
          <w:lang w:val="en-GB"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51"/>
        <w:gridCol w:w="1753"/>
        <w:gridCol w:w="1753"/>
        <w:gridCol w:w="1753"/>
      </w:tblGrid>
      <w:tr w:rsidR="00103711" w:rsidRPr="00BE2622" w14:paraId="6EE0A196" w14:textId="77777777" w:rsidTr="00656E32">
        <w:tc>
          <w:tcPr>
            <w:tcW w:w="2016" w:type="dxa"/>
            <w:hideMark/>
          </w:tcPr>
          <w:p w14:paraId="417FA584" w14:textId="77777777" w:rsidR="00103711" w:rsidRPr="00BE2622" w:rsidRDefault="00103711" w:rsidP="00656E32">
            <w:pPr>
              <w:spacing w:before="80" w:after="80"/>
              <w:jc w:val="center"/>
              <w:rPr>
                <w:rFonts w:asciiTheme="majorHAnsi" w:eastAsiaTheme="majorEastAsia" w:hAnsiTheme="majorHAnsi" w:cstheme="majorBidi"/>
                <w:caps/>
                <w:color w:val="595959" w:themeColor="text1" w:themeTint="A6"/>
                <w:sz w:val="38"/>
                <w:szCs w:val="26"/>
              </w:rPr>
            </w:pPr>
            <w:r w:rsidRPr="00BE2622">
              <w:rPr>
                <w:rFonts w:asciiTheme="majorHAnsi" w:eastAsiaTheme="majorEastAsia" w:hAnsiTheme="majorHAnsi" w:cstheme="majorBidi"/>
                <w:caps/>
                <w:noProof/>
                <w:color w:val="595959" w:themeColor="text1" w:themeTint="A6"/>
                <w:sz w:val="38"/>
                <w:szCs w:val="26"/>
                <w:lang w:val="en-AU" w:eastAsia="en-AU"/>
              </w:rPr>
              <w:drawing>
                <wp:inline distT="0" distB="0" distL="0" distR="0" wp14:anchorId="05F3E847" wp14:editId="79229C32">
                  <wp:extent cx="1133475" cy="7239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751" w:type="dxa"/>
            <w:hideMark/>
          </w:tcPr>
          <w:p w14:paraId="58FD7E1C"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rFonts w:ascii="Franklin Gothic Book" w:hAnsi="Franklin Gothic Book"/>
                <w:noProof/>
                <w:color w:val="595959" w:themeColor="text1" w:themeTint="A6"/>
                <w:sz w:val="21"/>
                <w:szCs w:val="24"/>
                <w:lang w:val="en-AU" w:eastAsia="en-AU"/>
              </w:rPr>
              <w:drawing>
                <wp:inline distT="0" distB="0" distL="0" distR="0" wp14:anchorId="3FCF110A" wp14:editId="05CD959C">
                  <wp:extent cx="609600" cy="609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0FDBEB1D"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rFonts w:ascii="Franklin Gothic Book" w:hAnsi="Franklin Gothic Book"/>
                <w:noProof/>
                <w:color w:val="595959" w:themeColor="text1" w:themeTint="A6"/>
                <w:sz w:val="21"/>
                <w:szCs w:val="24"/>
                <w:lang w:val="en-AU" w:eastAsia="en-AU"/>
              </w:rPr>
              <w:drawing>
                <wp:inline distT="0" distB="0" distL="0" distR="0" wp14:anchorId="3AF14781" wp14:editId="555104CA">
                  <wp:extent cx="609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02D78371"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2031ACED" wp14:editId="2CC3B706">
                  <wp:extent cx="609600" cy="609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tcPr>
          <w:p w14:paraId="20DA399B"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p>
        </w:tc>
      </w:tr>
    </w:tbl>
    <w:p w14:paraId="3AA3E3C4" w14:textId="77777777" w:rsidR="006202AA" w:rsidRDefault="006202AA" w:rsidP="0053169E">
      <w:pPr>
        <w:rPr>
          <w:b/>
        </w:rPr>
      </w:pPr>
      <w:r w:rsidRPr="00A269CA">
        <w:rPr>
          <w:b/>
        </w:rPr>
        <w:t>R</w:t>
      </w:r>
      <w:r w:rsidR="00A269CA" w:rsidRPr="00A269CA">
        <w:rPr>
          <w:b/>
        </w:rPr>
        <w:t>ating for this objective: green</w:t>
      </w:r>
    </w:p>
    <w:p w14:paraId="3C659BD0" w14:textId="4410E772" w:rsidR="00141B65" w:rsidRDefault="00844AFB" w:rsidP="00844AFB">
      <w:r>
        <w:t>Australia’s support for human development in Fiji builds o</w:t>
      </w:r>
      <w:r w:rsidR="007B5D62">
        <w:t>n several decades of investment</w:t>
      </w:r>
      <w:r>
        <w:t xml:space="preserve">, particularly in health and education.  </w:t>
      </w:r>
      <w:r w:rsidR="00AB49A8">
        <w:t>Through this</w:t>
      </w:r>
      <w:r>
        <w:t xml:space="preserve"> long term commitment, we have contributed to</w:t>
      </w:r>
      <w:r w:rsidR="006156DC">
        <w:t xml:space="preserve"> Fiji’s s</w:t>
      </w:r>
      <w:r w:rsidR="00AB49A8">
        <w:t xml:space="preserve">ystem of free public healthcare.  We have helped Fiji </w:t>
      </w:r>
      <w:r w:rsidR="00B844C5">
        <w:t>improve</w:t>
      </w:r>
      <w:r w:rsidR="006156DC">
        <w:t xml:space="preserve"> access and equity in primary health care, the capacity of community health workers and the quality of care at the district and sub</w:t>
      </w:r>
      <w:r w:rsidR="00693FCC">
        <w:t>-</w:t>
      </w:r>
      <w:r w:rsidR="006156DC">
        <w:t>district level.</w:t>
      </w:r>
      <w:r w:rsidR="00AB49A8">
        <w:t xml:space="preserve"> </w:t>
      </w:r>
      <w:r>
        <w:t xml:space="preserve"> </w:t>
      </w:r>
      <w:r w:rsidR="006156DC">
        <w:t xml:space="preserve">We have also supported access, equity and quality in Fiji’s education system through our work to improve teacher capacity and school management and systems; improved learning outcomes for students; and learning environments for students through upgrades to </w:t>
      </w:r>
      <w:r w:rsidR="00B844C5">
        <w:t>school facilities.</w:t>
      </w:r>
      <w:r w:rsidR="00693FCC">
        <w:t xml:space="preserve"> </w:t>
      </w:r>
      <w:r w:rsidR="005B43BE">
        <w:t xml:space="preserve"> </w:t>
      </w:r>
      <w:r w:rsidR="00141B65">
        <w:t xml:space="preserve">There were </w:t>
      </w:r>
      <w:r w:rsidR="00693FCC">
        <w:t xml:space="preserve">some </w:t>
      </w:r>
      <w:r w:rsidR="00141B65">
        <w:t xml:space="preserve">challenges to </w:t>
      </w:r>
      <w:r w:rsidR="00716979">
        <w:t>program implementation</w:t>
      </w:r>
      <w:r w:rsidR="00773F93">
        <w:t xml:space="preserve"> in</w:t>
      </w:r>
      <w:r w:rsidR="00716979">
        <w:t xml:space="preserve"> 2017-18.  The </w:t>
      </w:r>
      <w:r w:rsidR="004D17AE">
        <w:t xml:space="preserve">new education program </w:t>
      </w:r>
      <w:r w:rsidR="00716979">
        <w:t>did not commence during the reporting period</w:t>
      </w:r>
      <w:r w:rsidR="0031143C">
        <w:t>.  T</w:t>
      </w:r>
      <w:r w:rsidR="00355F4F">
        <w:t>he</w:t>
      </w:r>
      <w:r>
        <w:t xml:space="preserve"> original design did not me</w:t>
      </w:r>
      <w:r w:rsidR="00F64608">
        <w:t>et our objectives</w:t>
      </w:r>
      <w:r w:rsidR="004D17AE">
        <w:t xml:space="preserve"> or quality standards.  </w:t>
      </w:r>
      <w:r w:rsidR="00F64417">
        <w:t>DFAT</w:t>
      </w:r>
      <w:r w:rsidR="00F44297">
        <w:t xml:space="preserve"> </w:t>
      </w:r>
      <w:r w:rsidR="00A25793">
        <w:t>redirected</w:t>
      </w:r>
      <w:r w:rsidR="004D17AE">
        <w:t xml:space="preserve"> resources towards </w:t>
      </w:r>
      <w:r w:rsidR="00D4764D">
        <w:t xml:space="preserve">leading a </w:t>
      </w:r>
      <w:r w:rsidR="00355F4F">
        <w:t>redesign, in close consultation with Fiji’s Ministry of Education, Heritage and the Arts (</w:t>
      </w:r>
      <w:r w:rsidR="00355F4F" w:rsidRPr="00B844C5">
        <w:rPr>
          <w:b/>
        </w:rPr>
        <w:t>MEHA</w:t>
      </w:r>
      <w:r w:rsidR="00355F4F">
        <w:t>).</w:t>
      </w:r>
      <w:r w:rsidR="00F64608">
        <w:t xml:space="preserve"> </w:t>
      </w:r>
      <w:r w:rsidR="004D17AE">
        <w:t xml:space="preserve"> </w:t>
      </w:r>
      <w:r w:rsidR="00141B65">
        <w:t>Outbreaks of diseases such as</w:t>
      </w:r>
      <w:r w:rsidR="0031143C">
        <w:t xml:space="preserve"> meningococcal and dengue </w:t>
      </w:r>
      <w:r w:rsidR="00141B65">
        <w:t xml:space="preserve">required immediate responses, </w:t>
      </w:r>
      <w:r w:rsidR="0031143C">
        <w:t xml:space="preserve">also </w:t>
      </w:r>
      <w:r w:rsidR="00141B65">
        <w:t>diverting</w:t>
      </w:r>
      <w:r w:rsidR="00170C85">
        <w:t xml:space="preserve"> </w:t>
      </w:r>
      <w:r w:rsidR="00141B65">
        <w:t>government</w:t>
      </w:r>
      <w:r w:rsidR="00170C85">
        <w:t xml:space="preserve"> and Australian</w:t>
      </w:r>
      <w:r w:rsidR="00141B65">
        <w:t xml:space="preserve"> resources away from systems strengthening a</w:t>
      </w:r>
      <w:r w:rsidR="00170C85">
        <w:t xml:space="preserve">nd other longer term objectives, </w:t>
      </w:r>
      <w:r w:rsidR="0052540C">
        <w:t>and</w:t>
      </w:r>
      <w:r w:rsidR="00170C85">
        <w:t xml:space="preserve"> </w:t>
      </w:r>
      <w:r w:rsidR="00F13E93">
        <w:t xml:space="preserve">delaying </w:t>
      </w:r>
      <w:r w:rsidR="00170C85">
        <w:t>implementation of</w:t>
      </w:r>
      <w:r w:rsidR="00AB49A8">
        <w:t xml:space="preserve"> activities under the</w:t>
      </w:r>
      <w:r w:rsidR="00F13E93">
        <w:t xml:space="preserve"> new</w:t>
      </w:r>
      <w:r w:rsidR="008E44E1">
        <w:t xml:space="preserve"> health program.  The unexpected loss of the health team leader at </w:t>
      </w:r>
      <w:r w:rsidR="007B5D62">
        <w:t>the Facility,</w:t>
      </w:r>
      <w:r w:rsidR="00A25793">
        <w:t xml:space="preserve"> which manages the new health program,</w:t>
      </w:r>
      <w:r w:rsidR="003B42E4">
        <w:t xml:space="preserve"> </w:t>
      </w:r>
      <w:r w:rsidR="008E44E1">
        <w:t>was a f</w:t>
      </w:r>
      <w:r w:rsidR="00682F6A">
        <w:t>urther constraint to progress.  A recruitment process is underway.</w:t>
      </w:r>
    </w:p>
    <w:p w14:paraId="21174A97" w14:textId="77777777" w:rsidR="00357E83" w:rsidRPr="00AD1178" w:rsidRDefault="00EE0809" w:rsidP="00AD1178">
      <w:pPr>
        <w:rPr>
          <w:b/>
        </w:rPr>
      </w:pPr>
      <w:r w:rsidRPr="00AD1178">
        <w:rPr>
          <w:b/>
        </w:rPr>
        <w:t>(a) Education</w:t>
      </w:r>
      <w:r w:rsidR="00E33CE0">
        <w:rPr>
          <w:b/>
        </w:rPr>
        <w:t xml:space="preserve"> sector support</w:t>
      </w:r>
    </w:p>
    <w:p w14:paraId="15953609" w14:textId="77777777" w:rsidR="008456EA" w:rsidRPr="00AD1178" w:rsidRDefault="008456EA" w:rsidP="008456EA">
      <w:pPr>
        <w:rPr>
          <w:b/>
        </w:rPr>
      </w:pPr>
      <w:r w:rsidRPr="00AD1178">
        <w:rPr>
          <w:b/>
        </w:rPr>
        <w:t>Outcome 1: Improved education access and qualit</w:t>
      </w:r>
      <w:r w:rsidR="00E71A39">
        <w:rPr>
          <w:b/>
        </w:rPr>
        <w:t>y</w:t>
      </w:r>
      <w:r w:rsidRPr="00AD1178">
        <w:rPr>
          <w:b/>
        </w:rPr>
        <w:t xml:space="preserve">, including for children with disabilities, in schools formerly supported by AQEP.   </w:t>
      </w:r>
    </w:p>
    <w:p w14:paraId="1846AD12" w14:textId="7F05E60A" w:rsidR="00587AA1" w:rsidRDefault="00B844C5" w:rsidP="00193747">
      <w:r>
        <w:t>Education quality remains a</w:t>
      </w:r>
      <w:r w:rsidR="00485D7E">
        <w:t xml:space="preserve"> priority</w:t>
      </w:r>
      <w:r w:rsidR="00EF1E63" w:rsidRPr="00B844C5">
        <w:t xml:space="preserve"> issue in Fiji. </w:t>
      </w:r>
      <w:r w:rsidR="005B43BE">
        <w:t xml:space="preserve"> </w:t>
      </w:r>
      <w:r w:rsidR="00EF1E63" w:rsidRPr="00B844C5">
        <w:t xml:space="preserve">The </w:t>
      </w:r>
      <w:r w:rsidR="00B54179">
        <w:t xml:space="preserve">Fiji </w:t>
      </w:r>
      <w:r w:rsidR="00EF1E63" w:rsidRPr="00B844C5">
        <w:t>Government has an ambitious agenda to strengthen Fiji’s education;</w:t>
      </w:r>
      <w:r w:rsidR="00EF1E63">
        <w:rPr>
          <w:iCs/>
          <w:color w:val="1F497D"/>
        </w:rPr>
        <w:t xml:space="preserve"> </w:t>
      </w:r>
      <w:r w:rsidR="00EF1E63" w:rsidRPr="001B7CB9">
        <w:t>the</w:t>
      </w:r>
      <w:r w:rsidR="00EF1E63">
        <w:rPr>
          <w:iCs/>
          <w:color w:val="1F497D"/>
        </w:rPr>
        <w:t xml:space="preserve"> </w:t>
      </w:r>
      <w:r w:rsidR="00E71A39">
        <w:t xml:space="preserve">NDP recognises the importance of a quality education for the creation of </w:t>
      </w:r>
      <w:r w:rsidR="00773F93">
        <w:t xml:space="preserve">a </w:t>
      </w:r>
      <w:r w:rsidR="00E71A39">
        <w:t>skilled and adaptable workforce</w:t>
      </w:r>
      <w:r w:rsidR="004755CE">
        <w:t xml:space="preserve"> in a knowledge-based society</w:t>
      </w:r>
      <w:r w:rsidR="00E71A39">
        <w:t>, which in turn boosts productivity and economic growth.</w:t>
      </w:r>
      <w:r w:rsidR="00525F36">
        <w:t xml:space="preserve">  </w:t>
      </w:r>
      <w:r>
        <w:t>The</w:t>
      </w:r>
      <w:r w:rsidR="00E27B7A">
        <w:t xml:space="preserve"> 2018 end of program evaluation of </w:t>
      </w:r>
      <w:r>
        <w:t>AQEP</w:t>
      </w:r>
      <w:r w:rsidR="00E27B7A">
        <w:t xml:space="preserve"> </w:t>
      </w:r>
      <w:r w:rsidR="00193747" w:rsidRPr="00587AA1">
        <w:t xml:space="preserve">found that education outcomes </w:t>
      </w:r>
      <w:r w:rsidR="00193747">
        <w:t xml:space="preserve">would be </w:t>
      </w:r>
      <w:r w:rsidR="00193747" w:rsidRPr="00587AA1">
        <w:t xml:space="preserve">enhanced by support </w:t>
      </w:r>
      <w:r w:rsidR="00193747">
        <w:t xml:space="preserve">for </w:t>
      </w:r>
      <w:r w:rsidR="00193747" w:rsidRPr="00587AA1">
        <w:t xml:space="preserve">national systems as well as </w:t>
      </w:r>
      <w:r w:rsidR="00193747">
        <w:t xml:space="preserve">inputs </w:t>
      </w:r>
      <w:r w:rsidR="00193747" w:rsidRPr="00587AA1">
        <w:t xml:space="preserve">at the school level. </w:t>
      </w:r>
      <w:r w:rsidR="00193747">
        <w:t xml:space="preserve"> </w:t>
      </w:r>
      <w:r w:rsidR="00193747" w:rsidRPr="00587AA1">
        <w:t xml:space="preserve">This bodes well for Australia’s new education </w:t>
      </w:r>
      <w:r w:rsidR="00193747">
        <w:t>program,</w:t>
      </w:r>
      <w:r w:rsidR="00193747" w:rsidRPr="00587AA1">
        <w:t xml:space="preserve"> which aims to </w:t>
      </w:r>
      <w:r w:rsidR="00193747">
        <w:t>achieve</w:t>
      </w:r>
      <w:r w:rsidR="00193747" w:rsidRPr="00587AA1">
        <w:t xml:space="preserve"> </w:t>
      </w:r>
      <w:r w:rsidR="00193747">
        <w:t>a better</w:t>
      </w:r>
      <w:r w:rsidR="00193747" w:rsidRPr="00587AA1">
        <w:t xml:space="preserve"> balance between supporting </w:t>
      </w:r>
      <w:r w:rsidR="00193747">
        <w:t>government</w:t>
      </w:r>
      <w:r w:rsidR="00193747" w:rsidRPr="00587AA1">
        <w:t xml:space="preserve"> systems and service delivery in </w:t>
      </w:r>
      <w:r w:rsidR="00193747">
        <w:t>assisting Fiji achieve its</w:t>
      </w:r>
      <w:r w:rsidR="00193747" w:rsidRPr="00587AA1">
        <w:t xml:space="preserve"> education </w:t>
      </w:r>
      <w:r w:rsidR="00EF1E63">
        <w:t>agenda</w:t>
      </w:r>
      <w:r w:rsidR="00193747" w:rsidRPr="00587AA1">
        <w:t>.</w:t>
      </w:r>
    </w:p>
    <w:p w14:paraId="6A6A4F0C" w14:textId="77777777" w:rsidR="00857579" w:rsidRDefault="00384C4B" w:rsidP="00E57CEB">
      <w:r>
        <w:t xml:space="preserve">During the reporting period, </w:t>
      </w:r>
      <w:r w:rsidR="00723244">
        <w:t>Australia</w:t>
      </w:r>
      <w:r w:rsidR="00F60475">
        <w:t xml:space="preserve"> </w:t>
      </w:r>
      <w:r w:rsidR="00096872">
        <w:t xml:space="preserve">operated flexibly, </w:t>
      </w:r>
      <w:r w:rsidR="008456EA">
        <w:t>deliver</w:t>
      </w:r>
      <w:r w:rsidR="00096872">
        <w:t>ing</w:t>
      </w:r>
      <w:r w:rsidR="00F60475">
        <w:t xml:space="preserve"> a range of transitional activities </w:t>
      </w:r>
      <w:r w:rsidR="008456EA">
        <w:t>($2.2m)</w:t>
      </w:r>
      <w:r w:rsidR="00096872">
        <w:t xml:space="preserve"> </w:t>
      </w:r>
      <w:r w:rsidR="00587AA1">
        <w:t>which responded</w:t>
      </w:r>
      <w:r w:rsidR="00096872">
        <w:t xml:space="preserve"> to </w:t>
      </w:r>
      <w:r w:rsidR="00587AA1">
        <w:t>Fiji’s education</w:t>
      </w:r>
      <w:r w:rsidR="00096872">
        <w:t xml:space="preserve"> priorities</w:t>
      </w:r>
      <w:r w:rsidR="00192751">
        <w:t xml:space="preserve"> </w:t>
      </w:r>
      <w:r w:rsidR="00197E5E">
        <w:t xml:space="preserve">while designing </w:t>
      </w:r>
      <w:r w:rsidR="00587AA1">
        <w:t>the</w:t>
      </w:r>
      <w:r w:rsidR="00197E5E">
        <w:t xml:space="preserve"> new program</w:t>
      </w:r>
      <w:r w:rsidR="00AD1178">
        <w:t xml:space="preserve">.  </w:t>
      </w:r>
      <w:r w:rsidR="00655FDF">
        <w:t>The activities maintained the best practices and relationships with partners established by AQEP</w:t>
      </w:r>
      <w:r w:rsidR="00192751">
        <w:t xml:space="preserve"> </w:t>
      </w:r>
      <w:r w:rsidR="00096872">
        <w:t>and set some</w:t>
      </w:r>
      <w:r w:rsidR="00525F36">
        <w:t xml:space="preserve"> groundwork for </w:t>
      </w:r>
      <w:r w:rsidR="00192751">
        <w:t>the new program</w:t>
      </w:r>
      <w:r w:rsidR="00655FDF">
        <w:t xml:space="preserve">.  Delivered </w:t>
      </w:r>
      <w:r w:rsidR="003B42E4">
        <w:t xml:space="preserve">by </w:t>
      </w:r>
      <w:r w:rsidR="00F60475">
        <w:t xml:space="preserve">the </w:t>
      </w:r>
      <w:r w:rsidR="000338E1">
        <w:t>Facility</w:t>
      </w:r>
      <w:r w:rsidR="001A7D97">
        <w:t xml:space="preserve">, </w:t>
      </w:r>
      <w:r w:rsidR="00723244">
        <w:t>the</w:t>
      </w:r>
      <w:r w:rsidR="001A7D97">
        <w:t xml:space="preserve"> </w:t>
      </w:r>
      <w:r w:rsidR="000A05A9">
        <w:t xml:space="preserve">activities included </w:t>
      </w:r>
      <w:r w:rsidR="001A7D97">
        <w:t xml:space="preserve">research on </w:t>
      </w:r>
      <w:r w:rsidR="00935721">
        <w:t>primary school dropout r</w:t>
      </w:r>
      <w:r w:rsidR="001A7D97">
        <w:t xml:space="preserve">ates, </w:t>
      </w:r>
      <w:r w:rsidR="00723244">
        <w:t xml:space="preserve">developing </w:t>
      </w:r>
      <w:r w:rsidR="00935721">
        <w:t xml:space="preserve">practical solutions </w:t>
      </w:r>
      <w:r w:rsidR="004B055C">
        <w:t>to</w:t>
      </w:r>
      <w:r w:rsidR="001A7D97">
        <w:t xml:space="preserve"> improve</w:t>
      </w:r>
      <w:r w:rsidR="00935721">
        <w:t xml:space="preserve"> school internet connectivity, further develop</w:t>
      </w:r>
      <w:r w:rsidR="00DC555E">
        <w:t>ing</w:t>
      </w:r>
      <w:r w:rsidR="00935721">
        <w:t xml:space="preserve"> the Fiji Education Management Informatio</w:t>
      </w:r>
      <w:r w:rsidR="003E59C1">
        <w:t>n Systems (</w:t>
      </w:r>
      <w:r w:rsidR="003E59C1" w:rsidRPr="009574B9">
        <w:rPr>
          <w:b/>
        </w:rPr>
        <w:t>FEMIS</w:t>
      </w:r>
      <w:r w:rsidR="003E59C1">
        <w:t>), and extend</w:t>
      </w:r>
      <w:r w:rsidR="00DC555E">
        <w:t>ing</w:t>
      </w:r>
      <w:r w:rsidR="00935721">
        <w:t xml:space="preserve"> AQEP training for teachers on literacy and numeracy and for</w:t>
      </w:r>
      <w:r w:rsidR="004B055C">
        <w:t xml:space="preserve"> </w:t>
      </w:r>
      <w:r w:rsidR="00935721">
        <w:t>district education officers on school-based management</w:t>
      </w:r>
      <w:r w:rsidR="001A7D97">
        <w:t xml:space="preserve">.  </w:t>
      </w:r>
    </w:p>
    <w:p w14:paraId="0B677274" w14:textId="77777777" w:rsidR="001978D6" w:rsidRDefault="006D67CB" w:rsidP="001978D6">
      <w:r>
        <w:t>The evidence collected indicated</w:t>
      </w:r>
      <w:r w:rsidR="00587AA1" w:rsidRPr="00587AA1">
        <w:t xml:space="preserve"> modest improvements in access and quality as a res</w:t>
      </w:r>
      <w:r w:rsidR="00525F36">
        <w:t>ult of basic training on school-</w:t>
      </w:r>
      <w:r w:rsidR="00587AA1" w:rsidRPr="00587AA1">
        <w:t>based management and literacy and numeracy</w:t>
      </w:r>
      <w:r w:rsidR="00525F36">
        <w:t>.</w:t>
      </w:r>
      <w:r w:rsidR="00694EC7">
        <w:t xml:space="preserve">  </w:t>
      </w:r>
      <w:r w:rsidR="00E57CEB">
        <w:t xml:space="preserve">During the reporting period, the percentage of students </w:t>
      </w:r>
      <w:r w:rsidR="00723244">
        <w:t>at</w:t>
      </w:r>
      <w:r w:rsidR="00E57CEB">
        <w:t xml:space="preserve"> </w:t>
      </w:r>
      <w:r w:rsidR="00F6439F">
        <w:t xml:space="preserve">85 </w:t>
      </w:r>
      <w:r w:rsidR="00857579">
        <w:t xml:space="preserve">schools formerly supported by </w:t>
      </w:r>
      <w:r w:rsidR="00E57CEB">
        <w:t>AQEP</w:t>
      </w:r>
      <w:r w:rsidR="003E59C1">
        <w:t xml:space="preserve"> who ranked</w:t>
      </w:r>
      <w:r w:rsidR="00E57CEB">
        <w:t xml:space="preserve"> </w:t>
      </w:r>
      <w:r w:rsidR="00116A45">
        <w:t>in the national bottom quartiles in the L</w:t>
      </w:r>
      <w:r w:rsidR="00723244">
        <w:t>iteracy and Numeracy Assessment</w:t>
      </w:r>
      <w:r w:rsidR="00F6439F">
        <w:t xml:space="preserve"> (</w:t>
      </w:r>
      <w:r w:rsidR="00F6439F" w:rsidRPr="009574B9">
        <w:rPr>
          <w:b/>
        </w:rPr>
        <w:t>LANA</w:t>
      </w:r>
      <w:r w:rsidR="00F6439F">
        <w:t xml:space="preserve">) largely </w:t>
      </w:r>
      <w:r w:rsidR="00B844C5">
        <w:t>remained the same</w:t>
      </w:r>
      <w:r w:rsidR="00F6439F">
        <w:t xml:space="preserve">. </w:t>
      </w:r>
      <w:r w:rsidR="005C1ECA">
        <w:t xml:space="preserve"> </w:t>
      </w:r>
      <w:r w:rsidR="00F6439F">
        <w:t xml:space="preserve">In 2017, </w:t>
      </w:r>
      <w:r w:rsidR="00116A45">
        <w:t xml:space="preserve">22 per cent </w:t>
      </w:r>
      <w:r w:rsidR="00F6439F">
        <w:t xml:space="preserve">of Year 5 </w:t>
      </w:r>
      <w:r w:rsidR="005C1ECA">
        <w:t>students</w:t>
      </w:r>
      <w:r w:rsidR="00F6439F">
        <w:t xml:space="preserve"> </w:t>
      </w:r>
      <w:r w:rsidR="00116A45">
        <w:t xml:space="preserve">ranked </w:t>
      </w:r>
      <w:r w:rsidR="00E57CEB">
        <w:t xml:space="preserve">in the bottom quartile </w:t>
      </w:r>
      <w:r w:rsidR="00116A45">
        <w:t xml:space="preserve">for </w:t>
      </w:r>
      <w:r w:rsidR="006562DD">
        <w:t>numeracy</w:t>
      </w:r>
      <w:r w:rsidR="00116A45">
        <w:t>, while 25.3</w:t>
      </w:r>
      <w:r w:rsidR="001149C6">
        <w:t> </w:t>
      </w:r>
      <w:r w:rsidR="00116A45">
        <w:t>per cent ranked in the bottom quartile for l</w:t>
      </w:r>
      <w:r w:rsidR="00763164">
        <w:t>iteracy, against a performance benchmark we set of no more than 25 per cent</w:t>
      </w:r>
      <w:r w:rsidR="003E7378">
        <w:t xml:space="preserve"> (see </w:t>
      </w:r>
      <w:r w:rsidR="003E7378" w:rsidRPr="00E23B65">
        <w:rPr>
          <w:b/>
        </w:rPr>
        <w:t>Annex B</w:t>
      </w:r>
      <w:r w:rsidR="003E7378">
        <w:rPr>
          <w:b/>
        </w:rPr>
        <w:t xml:space="preserve"> </w:t>
      </w:r>
      <w:r w:rsidR="003E7378">
        <w:t>for performance benchmarks)</w:t>
      </w:r>
      <w:r w:rsidR="00763164">
        <w:t xml:space="preserve">. </w:t>
      </w:r>
      <w:r w:rsidR="00103510">
        <w:t xml:space="preserve"> </w:t>
      </w:r>
      <w:r w:rsidR="00882E71" w:rsidRPr="00103510">
        <w:t>In recognition of the effectiveness of the literacy and numeracy strategies developed under AQEP, MEHA</w:t>
      </w:r>
      <w:r w:rsidR="00763164" w:rsidRPr="00103510">
        <w:t xml:space="preserve"> </w:t>
      </w:r>
      <w:r w:rsidR="00882E71" w:rsidRPr="00103510">
        <w:t>contributed resources to roll out training</w:t>
      </w:r>
      <w:r w:rsidR="00192751">
        <w:t xml:space="preserve"> on these strategies to Year 3 and 4 teachers.  A</w:t>
      </w:r>
      <w:r w:rsidR="00882E71" w:rsidRPr="00103510">
        <w:t>pproximately 1</w:t>
      </w:r>
      <w:r w:rsidR="00BD4B61" w:rsidRPr="00103510">
        <w:t>150</w:t>
      </w:r>
      <w:r w:rsidR="00882E71" w:rsidRPr="00103510">
        <w:t xml:space="preserve"> </w:t>
      </w:r>
      <w:r w:rsidR="003D0960" w:rsidRPr="00103510">
        <w:t>(</w:t>
      </w:r>
      <w:r w:rsidR="00411EEA" w:rsidRPr="00103510">
        <w:t xml:space="preserve">80 per cent </w:t>
      </w:r>
      <w:r w:rsidR="00B844C5" w:rsidRPr="00103510">
        <w:t>women</w:t>
      </w:r>
      <w:r w:rsidR="00411EEA" w:rsidRPr="00103510">
        <w:t xml:space="preserve">) </w:t>
      </w:r>
      <w:r w:rsidR="00882E71" w:rsidRPr="00103510">
        <w:t>teachers</w:t>
      </w:r>
      <w:r w:rsidR="009E605C" w:rsidRPr="00103510">
        <w:t xml:space="preserve"> were trained during</w:t>
      </w:r>
      <w:r w:rsidR="00B91651" w:rsidRPr="00103510">
        <w:t xml:space="preserve"> the reporting period</w:t>
      </w:r>
      <w:r w:rsidR="00192751">
        <w:t xml:space="preserve">.  MEHA also </w:t>
      </w:r>
      <w:r w:rsidR="009E605C" w:rsidRPr="00103510">
        <w:t>encouraged teacher-</w:t>
      </w:r>
      <w:r w:rsidR="00B91651" w:rsidRPr="00103510">
        <w:t xml:space="preserve">training institutions to include </w:t>
      </w:r>
      <w:r w:rsidR="00192751">
        <w:t>the</w:t>
      </w:r>
      <w:r w:rsidR="00B91651" w:rsidRPr="00103510">
        <w:t xml:space="preserve"> strategies as part of their coursework</w:t>
      </w:r>
      <w:r w:rsidR="00882E71" w:rsidRPr="00103510">
        <w:t>.</w:t>
      </w:r>
      <w:r w:rsidR="00882E71">
        <w:t xml:space="preserve"> </w:t>
      </w:r>
      <w:r w:rsidR="00116A45">
        <w:t xml:space="preserve"> </w:t>
      </w:r>
      <w:r w:rsidR="00C07872">
        <w:t xml:space="preserve">  </w:t>
      </w:r>
    </w:p>
    <w:p w14:paraId="1A9E7F9E" w14:textId="327FED2C" w:rsidR="00882E71" w:rsidRDefault="00374A16" w:rsidP="00374A16">
      <w:r w:rsidRPr="00406E8E">
        <w:lastRenderedPageBreak/>
        <w:t xml:space="preserve">Average student attendance across the 85 AQEP schools remained strong, with 88.5 per cent attendance reported in Term 1 of 2018 (down slightly from 90 per cent in 2017-18).  </w:t>
      </w:r>
      <w:r>
        <w:t>Average attendance for girls at the 85 AQEP supported schools in Term 1 remained relatively strong at 89 per cent, although this was a three</w:t>
      </w:r>
      <w:r w:rsidR="00F93EF8">
        <w:t> </w:t>
      </w:r>
      <w:r>
        <w:t xml:space="preserve">per cent drop from the same period in 2017.  </w:t>
      </w:r>
      <w:r w:rsidR="00882E71" w:rsidRPr="00406E8E">
        <w:t xml:space="preserve">Approximately 95 per cent of these schools complied with attendance reporting requirements using FEMIS. </w:t>
      </w:r>
      <w:r w:rsidR="009E605C">
        <w:t xml:space="preserve"> </w:t>
      </w:r>
      <w:r w:rsidR="00103510">
        <w:t>Looking ahead, the</w:t>
      </w:r>
      <w:r w:rsidR="009E605C">
        <w:t xml:space="preserve"> challenge </w:t>
      </w:r>
      <w:r w:rsidR="00C07B4A" w:rsidRPr="007B5D62">
        <w:t>for MEHA</w:t>
      </w:r>
      <w:r w:rsidR="00C07B4A">
        <w:t xml:space="preserve"> </w:t>
      </w:r>
      <w:r w:rsidR="00103510">
        <w:t xml:space="preserve">will be to support </w:t>
      </w:r>
      <w:r w:rsidR="00200F81">
        <w:t xml:space="preserve">stakeholders to </w:t>
      </w:r>
      <w:r w:rsidR="00103510">
        <w:t>use</w:t>
      </w:r>
      <w:r w:rsidR="009E605C">
        <w:t xml:space="preserve"> FEMIS </w:t>
      </w:r>
      <w:r w:rsidR="00103510">
        <w:t xml:space="preserve">to record and </w:t>
      </w:r>
      <w:r w:rsidR="00A81173">
        <w:t>analyse</w:t>
      </w:r>
      <w:r w:rsidR="00103510">
        <w:t xml:space="preserve"> more complex data</w:t>
      </w:r>
      <w:r w:rsidR="009E605C">
        <w:t>, such as</w:t>
      </w:r>
      <w:r w:rsidR="00A81173">
        <w:t xml:space="preserve"> the number of enrolled</w:t>
      </w:r>
      <w:r w:rsidR="009E605C">
        <w:t xml:space="preserve"> </w:t>
      </w:r>
      <w:r w:rsidR="00A81173">
        <w:t xml:space="preserve">children with disabilities </w:t>
      </w:r>
      <w:r w:rsidR="00882E71">
        <w:t xml:space="preserve">and children who are at risk of dropping out of school. </w:t>
      </w:r>
      <w:r w:rsidR="007B5D62">
        <w:t xml:space="preserve"> </w:t>
      </w:r>
    </w:p>
    <w:p w14:paraId="4D92A212" w14:textId="70BA8A25" w:rsidR="00374A16" w:rsidRDefault="00A81173" w:rsidP="00374A16">
      <w:r>
        <w:t>During the reporting period, we</w:t>
      </w:r>
      <w:r w:rsidR="00882E71" w:rsidRPr="002B504D">
        <w:t xml:space="preserve"> provided training </w:t>
      </w:r>
      <w:r w:rsidR="00882E71" w:rsidRPr="00406E8E">
        <w:t>on the FEMIS disability disaggregation</w:t>
      </w:r>
      <w:r w:rsidR="00882E71" w:rsidRPr="002B504D">
        <w:t xml:space="preserve"> package to </w:t>
      </w:r>
      <w:r w:rsidR="007B5D62">
        <w:t>153 </w:t>
      </w:r>
      <w:r>
        <w:t>(50 </w:t>
      </w:r>
      <w:r w:rsidR="00BD4B61">
        <w:t xml:space="preserve">per cent </w:t>
      </w:r>
      <w:r w:rsidR="009E605C">
        <w:t>women</w:t>
      </w:r>
      <w:r w:rsidR="00BD4B61">
        <w:t xml:space="preserve">) </w:t>
      </w:r>
      <w:r w:rsidR="00882E71" w:rsidRPr="00406E8E">
        <w:t xml:space="preserve">head teachers, teachers and administration officers from 76 primary and </w:t>
      </w:r>
      <w:r w:rsidR="00882E71">
        <w:t>five</w:t>
      </w:r>
      <w:r w:rsidR="00882E71" w:rsidRPr="00406E8E">
        <w:t xml:space="preserve"> secondary schools </w:t>
      </w:r>
      <w:r w:rsidR="00882E71" w:rsidRPr="002B504D">
        <w:t>in the Eastern Division to improve identification and data collection practices, with plans to roll out training to the other Divisions in 2018-19.</w:t>
      </w:r>
      <w:r>
        <w:t xml:space="preserve">  Through our support, </w:t>
      </w:r>
      <w:r w:rsidR="00374A16" w:rsidRPr="00406E8E">
        <w:t>MEHA conduct</w:t>
      </w:r>
      <w:r>
        <w:t>ed research on out-of-</w:t>
      </w:r>
      <w:r w:rsidR="00374A16" w:rsidRPr="00406E8E">
        <w:t>school children in primary schools</w:t>
      </w:r>
      <w:r w:rsidR="00F93EF8">
        <w:t>.  This</w:t>
      </w:r>
      <w:r w:rsidR="00374A16" w:rsidRPr="00406E8E">
        <w:t xml:space="preserve"> resulted in the reintegration of 81 children into schools in the Northern Division and Nadroga/Navosa district.</w:t>
      </w:r>
      <w:r w:rsidR="00374A16">
        <w:t xml:space="preserve"> </w:t>
      </w:r>
    </w:p>
    <w:p w14:paraId="0D6065EF" w14:textId="77777777" w:rsidR="00E57CEB" w:rsidRPr="00C2074B" w:rsidRDefault="00E57CEB" w:rsidP="00E57CEB">
      <w:pPr>
        <w:rPr>
          <w:b/>
        </w:rPr>
      </w:pPr>
      <w:r w:rsidRPr="00197E5E">
        <w:rPr>
          <w:b/>
        </w:rPr>
        <w:t>Outcome 2</w:t>
      </w:r>
      <w:r w:rsidR="00197E5E">
        <w:rPr>
          <w:b/>
        </w:rPr>
        <w:t>:</w:t>
      </w:r>
      <w:r w:rsidR="00C2074B">
        <w:rPr>
          <w:b/>
        </w:rPr>
        <w:t xml:space="preserve">  </w:t>
      </w:r>
      <w:r w:rsidR="00C2074B" w:rsidRPr="00C2074B">
        <w:rPr>
          <w:b/>
        </w:rPr>
        <w:t xml:space="preserve">Improved use of education management information </w:t>
      </w:r>
      <w:r w:rsidR="007B5D62">
        <w:rPr>
          <w:b/>
        </w:rPr>
        <w:t>system</w:t>
      </w:r>
    </w:p>
    <w:p w14:paraId="463329B0" w14:textId="77777777" w:rsidR="005A45FC" w:rsidRDefault="005A45FC" w:rsidP="00FF6936">
      <w:r>
        <w:t xml:space="preserve">The delay in designing and implementing a new education program resulted in </w:t>
      </w:r>
      <w:r w:rsidR="00A00AF9">
        <w:t>limited progress towards th</w:t>
      </w:r>
      <w:r>
        <w:t>is outcome.  Nonetheless, we</w:t>
      </w:r>
      <w:r w:rsidR="002B504D">
        <w:t xml:space="preserve"> </w:t>
      </w:r>
      <w:r w:rsidR="00197E5E">
        <w:t>deliver</w:t>
      </w:r>
      <w:r w:rsidR="002B504D">
        <w:t xml:space="preserve">ed </w:t>
      </w:r>
      <w:r>
        <w:t>several</w:t>
      </w:r>
      <w:r w:rsidR="002B504D">
        <w:t xml:space="preserve"> important</w:t>
      </w:r>
      <w:r>
        <w:t xml:space="preserve"> and relevant</w:t>
      </w:r>
      <w:r w:rsidR="00197E5E">
        <w:t xml:space="preserve"> activities </w:t>
      </w:r>
      <w:r w:rsidR="002B504D">
        <w:t>during the reporting period.</w:t>
      </w:r>
      <w:r w:rsidR="00197E5E">
        <w:t xml:space="preserve">  </w:t>
      </w:r>
      <w:r>
        <w:t xml:space="preserve"> </w:t>
      </w:r>
    </w:p>
    <w:p w14:paraId="33D310B1" w14:textId="3CA75286" w:rsidR="0043748F" w:rsidRPr="009E605C" w:rsidRDefault="005A45FC" w:rsidP="009E605C">
      <w:pPr>
        <w:pStyle w:val="CommentText"/>
        <w:rPr>
          <w:sz w:val="22"/>
          <w:szCs w:val="22"/>
        </w:rPr>
      </w:pPr>
      <w:r w:rsidRPr="009E605C">
        <w:rPr>
          <w:sz w:val="22"/>
          <w:szCs w:val="22"/>
        </w:rPr>
        <w:t>We supported a</w:t>
      </w:r>
      <w:r w:rsidR="0043748F" w:rsidRPr="009E605C">
        <w:rPr>
          <w:sz w:val="22"/>
          <w:szCs w:val="22"/>
        </w:rPr>
        <w:t xml:space="preserve"> data sharing agreement between </w:t>
      </w:r>
      <w:r w:rsidR="00E21938">
        <w:rPr>
          <w:sz w:val="22"/>
          <w:szCs w:val="22"/>
        </w:rPr>
        <w:t xml:space="preserve">the </w:t>
      </w:r>
      <w:r w:rsidR="0043748F" w:rsidRPr="009E605C">
        <w:rPr>
          <w:sz w:val="22"/>
          <w:szCs w:val="22"/>
        </w:rPr>
        <w:t>Fiji Hi</w:t>
      </w:r>
      <w:r w:rsidR="00F2578B">
        <w:rPr>
          <w:sz w:val="22"/>
          <w:szCs w:val="22"/>
        </w:rPr>
        <w:t>gher Education Commission</w:t>
      </w:r>
      <w:r w:rsidR="0043748F" w:rsidRPr="009E605C">
        <w:rPr>
          <w:sz w:val="22"/>
          <w:szCs w:val="22"/>
        </w:rPr>
        <w:t xml:space="preserve"> and MEHA</w:t>
      </w:r>
      <w:r w:rsidR="00A81173">
        <w:rPr>
          <w:sz w:val="22"/>
          <w:szCs w:val="22"/>
        </w:rPr>
        <w:t>,</w:t>
      </w:r>
      <w:r w:rsidR="0043748F" w:rsidRPr="009E605C">
        <w:rPr>
          <w:sz w:val="22"/>
          <w:szCs w:val="22"/>
        </w:rPr>
        <w:t xml:space="preserve"> and </w:t>
      </w:r>
      <w:r w:rsidR="00A81173">
        <w:rPr>
          <w:sz w:val="22"/>
          <w:szCs w:val="22"/>
        </w:rPr>
        <w:t>the</w:t>
      </w:r>
      <w:r w:rsidR="0043748F" w:rsidRPr="009E605C">
        <w:rPr>
          <w:sz w:val="22"/>
          <w:szCs w:val="22"/>
        </w:rPr>
        <w:t xml:space="preserve"> University of the South Pacific</w:t>
      </w:r>
      <w:r w:rsidR="004755CE">
        <w:rPr>
          <w:sz w:val="22"/>
          <w:szCs w:val="22"/>
        </w:rPr>
        <w:t>, the</w:t>
      </w:r>
      <w:r w:rsidR="0043748F" w:rsidRPr="009E605C">
        <w:rPr>
          <w:sz w:val="22"/>
          <w:szCs w:val="22"/>
        </w:rPr>
        <w:t xml:space="preserve"> Fiji National University</w:t>
      </w:r>
      <w:r w:rsidR="004755CE">
        <w:rPr>
          <w:sz w:val="22"/>
          <w:szCs w:val="22"/>
        </w:rPr>
        <w:t xml:space="preserve"> and the Technical College of Fiji.  The University of Fiji will join the agreement shortly.</w:t>
      </w:r>
      <w:r w:rsidRPr="009E605C">
        <w:rPr>
          <w:sz w:val="22"/>
          <w:szCs w:val="22"/>
        </w:rPr>
        <w:t xml:space="preserve">  Th</w:t>
      </w:r>
      <w:r w:rsidR="004755CE">
        <w:rPr>
          <w:sz w:val="22"/>
          <w:szCs w:val="22"/>
        </w:rPr>
        <w:t>e agreement</w:t>
      </w:r>
      <w:r w:rsidRPr="009E605C">
        <w:rPr>
          <w:sz w:val="22"/>
          <w:szCs w:val="22"/>
        </w:rPr>
        <w:t xml:space="preserve"> </w:t>
      </w:r>
      <w:r w:rsidR="0043748F" w:rsidRPr="009E605C">
        <w:rPr>
          <w:sz w:val="22"/>
          <w:szCs w:val="22"/>
        </w:rPr>
        <w:t xml:space="preserve">allows for longitudinal tracking </w:t>
      </w:r>
      <w:r w:rsidR="00F2578B">
        <w:rPr>
          <w:sz w:val="22"/>
          <w:szCs w:val="22"/>
        </w:rPr>
        <w:t xml:space="preserve">in FEMIS </w:t>
      </w:r>
      <w:r w:rsidR="0043748F" w:rsidRPr="009E605C">
        <w:rPr>
          <w:sz w:val="22"/>
          <w:szCs w:val="22"/>
        </w:rPr>
        <w:t xml:space="preserve">of students from early childhood through </w:t>
      </w:r>
      <w:r w:rsidR="00F2578B">
        <w:rPr>
          <w:sz w:val="22"/>
          <w:szCs w:val="22"/>
        </w:rPr>
        <w:t xml:space="preserve">to post-secondary education </w:t>
      </w:r>
      <w:r w:rsidR="0043748F" w:rsidRPr="009E605C">
        <w:rPr>
          <w:sz w:val="22"/>
          <w:szCs w:val="22"/>
        </w:rPr>
        <w:t xml:space="preserve">using a </w:t>
      </w:r>
      <w:r w:rsidR="00967A1A">
        <w:rPr>
          <w:sz w:val="22"/>
          <w:szCs w:val="22"/>
        </w:rPr>
        <w:t xml:space="preserve">unique </w:t>
      </w:r>
      <w:r w:rsidR="0043748F" w:rsidRPr="009E605C">
        <w:rPr>
          <w:sz w:val="22"/>
          <w:szCs w:val="22"/>
        </w:rPr>
        <w:t>student identification number</w:t>
      </w:r>
      <w:r w:rsidR="00EF1E63" w:rsidRPr="009E605C">
        <w:rPr>
          <w:sz w:val="22"/>
          <w:szCs w:val="22"/>
        </w:rPr>
        <w:t xml:space="preserve">.  This will provide </w:t>
      </w:r>
      <w:r w:rsidR="006722C4" w:rsidRPr="009E605C">
        <w:rPr>
          <w:sz w:val="22"/>
          <w:szCs w:val="22"/>
        </w:rPr>
        <w:t>valuable</w:t>
      </w:r>
      <w:r w:rsidR="00EF1E63" w:rsidRPr="009E605C">
        <w:rPr>
          <w:sz w:val="22"/>
          <w:szCs w:val="22"/>
        </w:rPr>
        <w:t xml:space="preserve"> data for education stakeholders regarding, for example</w:t>
      </w:r>
      <w:r w:rsidR="006722C4" w:rsidRPr="009E605C">
        <w:rPr>
          <w:sz w:val="22"/>
          <w:szCs w:val="22"/>
        </w:rPr>
        <w:t>, drop-</w:t>
      </w:r>
      <w:r w:rsidR="00EF1E63" w:rsidRPr="009E605C">
        <w:rPr>
          <w:sz w:val="22"/>
          <w:szCs w:val="22"/>
        </w:rPr>
        <w:t xml:space="preserve">out rates and </w:t>
      </w:r>
      <w:r w:rsidR="00F2578B">
        <w:rPr>
          <w:sz w:val="22"/>
          <w:szCs w:val="22"/>
        </w:rPr>
        <w:t xml:space="preserve">rates of </w:t>
      </w:r>
      <w:r w:rsidR="00EF1E63" w:rsidRPr="009E605C">
        <w:rPr>
          <w:sz w:val="22"/>
          <w:szCs w:val="22"/>
        </w:rPr>
        <w:t>transition between different levels of schoolin</w:t>
      </w:r>
      <w:r w:rsidR="006722C4" w:rsidRPr="009E605C">
        <w:rPr>
          <w:sz w:val="22"/>
          <w:szCs w:val="22"/>
        </w:rPr>
        <w:t>g</w:t>
      </w:r>
      <w:r w:rsidR="00F93EF8">
        <w:rPr>
          <w:sz w:val="22"/>
          <w:szCs w:val="22"/>
        </w:rPr>
        <w:t>,</w:t>
      </w:r>
      <w:r w:rsidR="004755CE">
        <w:rPr>
          <w:sz w:val="22"/>
          <w:szCs w:val="22"/>
        </w:rPr>
        <w:t xml:space="preserve"> particularly as data will soon be shared with, and by, the Tertiary Scholarship and Loans Board</w:t>
      </w:r>
      <w:r w:rsidR="006722C4" w:rsidRPr="009E605C">
        <w:rPr>
          <w:sz w:val="22"/>
          <w:szCs w:val="22"/>
        </w:rPr>
        <w:t xml:space="preserve">.  </w:t>
      </w:r>
      <w:r w:rsidR="00EF1E63" w:rsidRPr="009E605C" w:rsidDel="00EF1E63">
        <w:rPr>
          <w:rStyle w:val="CommentReference"/>
          <w:sz w:val="22"/>
          <w:szCs w:val="22"/>
        </w:rPr>
        <w:t xml:space="preserve"> </w:t>
      </w:r>
    </w:p>
    <w:p w14:paraId="43342247" w14:textId="3CDB4ECA" w:rsidR="0043748F" w:rsidRPr="0018146F" w:rsidRDefault="005A45FC" w:rsidP="0018146F">
      <w:pPr>
        <w:pStyle w:val="CommentText"/>
        <w:rPr>
          <w:sz w:val="22"/>
          <w:szCs w:val="22"/>
        </w:rPr>
      </w:pPr>
      <w:r w:rsidRPr="009E605C">
        <w:rPr>
          <w:sz w:val="22"/>
          <w:szCs w:val="22"/>
        </w:rPr>
        <w:t>We also supported an</w:t>
      </w:r>
      <w:r w:rsidR="002B504D" w:rsidRPr="009E605C">
        <w:rPr>
          <w:sz w:val="22"/>
          <w:szCs w:val="22"/>
        </w:rPr>
        <w:t xml:space="preserve"> i</w:t>
      </w:r>
      <w:r w:rsidR="0043748F" w:rsidRPr="009E605C">
        <w:rPr>
          <w:sz w:val="22"/>
          <w:szCs w:val="22"/>
        </w:rPr>
        <w:t>nnovative internet technology pilot</w:t>
      </w:r>
      <w:r w:rsidRPr="009E605C">
        <w:rPr>
          <w:sz w:val="22"/>
          <w:szCs w:val="22"/>
        </w:rPr>
        <w:t xml:space="preserve"> </w:t>
      </w:r>
      <w:r w:rsidR="00F2578B">
        <w:rPr>
          <w:sz w:val="22"/>
          <w:szCs w:val="22"/>
        </w:rPr>
        <w:t>which used cellular technology</w:t>
      </w:r>
      <w:r w:rsidR="00F2578B" w:rsidRPr="009E605C">
        <w:rPr>
          <w:sz w:val="22"/>
          <w:szCs w:val="22"/>
        </w:rPr>
        <w:t xml:space="preserve"> </w:t>
      </w:r>
      <w:r w:rsidR="00F2578B">
        <w:rPr>
          <w:sz w:val="22"/>
          <w:szCs w:val="22"/>
        </w:rPr>
        <w:t>to bring</w:t>
      </w:r>
      <w:r w:rsidR="006722C4" w:rsidRPr="009E605C">
        <w:rPr>
          <w:sz w:val="22"/>
          <w:szCs w:val="22"/>
        </w:rPr>
        <w:t xml:space="preserve"> </w:t>
      </w:r>
      <w:r w:rsidR="00A81173">
        <w:rPr>
          <w:sz w:val="22"/>
          <w:szCs w:val="22"/>
        </w:rPr>
        <w:t xml:space="preserve">a reliable internet connection </w:t>
      </w:r>
      <w:r w:rsidR="006722C4" w:rsidRPr="009E605C">
        <w:rPr>
          <w:sz w:val="22"/>
          <w:szCs w:val="22"/>
        </w:rPr>
        <w:t>to seven schools</w:t>
      </w:r>
      <w:r w:rsidR="00F2578B">
        <w:rPr>
          <w:sz w:val="22"/>
          <w:szCs w:val="22"/>
        </w:rPr>
        <w:t xml:space="preserve"> across Fiji</w:t>
      </w:r>
      <w:r w:rsidR="006722C4" w:rsidRPr="009E605C">
        <w:rPr>
          <w:sz w:val="22"/>
          <w:szCs w:val="22"/>
        </w:rPr>
        <w:t xml:space="preserve">, </w:t>
      </w:r>
      <w:r w:rsidR="002B504D" w:rsidRPr="009E605C">
        <w:rPr>
          <w:sz w:val="22"/>
          <w:szCs w:val="22"/>
        </w:rPr>
        <w:t>benefit</w:t>
      </w:r>
      <w:r w:rsidR="006722C4" w:rsidRPr="009E605C">
        <w:rPr>
          <w:sz w:val="22"/>
          <w:szCs w:val="22"/>
        </w:rPr>
        <w:t>ing</w:t>
      </w:r>
      <w:r w:rsidR="002B504D" w:rsidRPr="009E605C">
        <w:rPr>
          <w:sz w:val="22"/>
          <w:szCs w:val="22"/>
        </w:rPr>
        <w:t xml:space="preserve"> 693 students (323</w:t>
      </w:r>
      <w:r w:rsidR="005C1ECA" w:rsidRPr="009E605C">
        <w:rPr>
          <w:sz w:val="22"/>
          <w:szCs w:val="22"/>
        </w:rPr>
        <w:t> </w:t>
      </w:r>
      <w:r w:rsidR="00395B95">
        <w:rPr>
          <w:sz w:val="22"/>
          <w:szCs w:val="22"/>
        </w:rPr>
        <w:t xml:space="preserve">boys; </w:t>
      </w:r>
      <w:r w:rsidR="002B504D" w:rsidRPr="009E605C">
        <w:rPr>
          <w:sz w:val="22"/>
          <w:szCs w:val="22"/>
        </w:rPr>
        <w:t>370 girls)</w:t>
      </w:r>
      <w:r w:rsidR="007B5D62">
        <w:rPr>
          <w:sz w:val="22"/>
          <w:szCs w:val="22"/>
        </w:rPr>
        <w:t xml:space="preserve"> and school management</w:t>
      </w:r>
      <w:r w:rsidR="002B504D" w:rsidRPr="009E605C">
        <w:rPr>
          <w:sz w:val="22"/>
          <w:szCs w:val="22"/>
        </w:rPr>
        <w:t>.</w:t>
      </w:r>
      <w:r w:rsidRPr="009E605C">
        <w:rPr>
          <w:sz w:val="22"/>
          <w:szCs w:val="22"/>
        </w:rPr>
        <w:t xml:space="preserve"> </w:t>
      </w:r>
      <w:r w:rsidR="002B504D" w:rsidRPr="009E605C">
        <w:rPr>
          <w:sz w:val="22"/>
          <w:szCs w:val="22"/>
        </w:rPr>
        <w:t xml:space="preserve"> MEHA</w:t>
      </w:r>
      <w:r w:rsidR="005C1ECA" w:rsidRPr="009E605C">
        <w:rPr>
          <w:sz w:val="22"/>
          <w:szCs w:val="22"/>
        </w:rPr>
        <w:t xml:space="preserve"> </w:t>
      </w:r>
      <w:r w:rsidR="00F2578B">
        <w:rPr>
          <w:sz w:val="22"/>
          <w:szCs w:val="22"/>
        </w:rPr>
        <w:t xml:space="preserve">has </w:t>
      </w:r>
      <w:r w:rsidR="005C1ECA" w:rsidRPr="009E605C">
        <w:rPr>
          <w:sz w:val="22"/>
          <w:szCs w:val="22"/>
        </w:rPr>
        <w:t>assessed</w:t>
      </w:r>
      <w:r w:rsidR="002B504D" w:rsidRPr="009E605C">
        <w:rPr>
          <w:sz w:val="22"/>
          <w:szCs w:val="22"/>
        </w:rPr>
        <w:t xml:space="preserve"> the </w:t>
      </w:r>
      <w:r w:rsidR="0043748F" w:rsidRPr="009E605C">
        <w:rPr>
          <w:sz w:val="22"/>
          <w:szCs w:val="22"/>
        </w:rPr>
        <w:t xml:space="preserve">system as effective and robust. </w:t>
      </w:r>
      <w:r w:rsidR="009E605C">
        <w:rPr>
          <w:sz w:val="22"/>
          <w:szCs w:val="22"/>
        </w:rPr>
        <w:t xml:space="preserve"> </w:t>
      </w:r>
      <w:r w:rsidR="006722C4" w:rsidRPr="009E605C">
        <w:rPr>
          <w:sz w:val="22"/>
          <w:szCs w:val="22"/>
        </w:rPr>
        <w:t xml:space="preserve">The </w:t>
      </w:r>
      <w:r w:rsidR="009E605C">
        <w:rPr>
          <w:sz w:val="22"/>
          <w:szCs w:val="22"/>
        </w:rPr>
        <w:t xml:space="preserve">pilot </w:t>
      </w:r>
      <w:r w:rsidR="006D67CB">
        <w:rPr>
          <w:sz w:val="22"/>
          <w:szCs w:val="22"/>
        </w:rPr>
        <w:t>informed</w:t>
      </w:r>
      <w:r w:rsidR="006722C4" w:rsidRPr="009E605C">
        <w:rPr>
          <w:sz w:val="22"/>
          <w:szCs w:val="22"/>
        </w:rPr>
        <w:t xml:space="preserve"> the development of MEHA’s internet connectivity policy and options for improving school internet</w:t>
      </w:r>
      <w:r w:rsidR="00A81173">
        <w:rPr>
          <w:sz w:val="22"/>
          <w:szCs w:val="22"/>
        </w:rPr>
        <w:t xml:space="preserve"> access</w:t>
      </w:r>
      <w:r w:rsidR="0018146F">
        <w:rPr>
          <w:sz w:val="22"/>
          <w:szCs w:val="22"/>
        </w:rPr>
        <w:t>.</w:t>
      </w:r>
    </w:p>
    <w:p w14:paraId="4213DEAD" w14:textId="77777777" w:rsidR="00EE0809" w:rsidRPr="009101D3" w:rsidRDefault="00EE0809" w:rsidP="006722C4">
      <w:pPr>
        <w:rPr>
          <w:b/>
        </w:rPr>
      </w:pPr>
      <w:r w:rsidRPr="00FC57D5">
        <w:rPr>
          <w:b/>
        </w:rPr>
        <w:t>Outcome 3:</w:t>
      </w:r>
      <w:r w:rsidRPr="009101D3">
        <w:rPr>
          <w:b/>
        </w:rPr>
        <w:t xml:space="preserve"> Fiji alum</w:t>
      </w:r>
      <w:r w:rsidR="00FC57D5" w:rsidRPr="009101D3">
        <w:rPr>
          <w:b/>
        </w:rPr>
        <w:t>n</w:t>
      </w:r>
      <w:r w:rsidRPr="009101D3">
        <w:rPr>
          <w:b/>
        </w:rPr>
        <w:t>i have necessary skills and knowledge to progress sustainable development priorities</w:t>
      </w:r>
      <w:r w:rsidR="00546507" w:rsidRPr="009101D3">
        <w:rPr>
          <w:b/>
        </w:rPr>
        <w:t xml:space="preserve"> </w:t>
      </w:r>
    </w:p>
    <w:p w14:paraId="0F52675F" w14:textId="77777777" w:rsidR="006722C4" w:rsidRPr="009E605C" w:rsidRDefault="00B503D2" w:rsidP="006722C4">
      <w:pPr>
        <w:pStyle w:val="CommentText"/>
        <w:rPr>
          <w:sz w:val="22"/>
          <w:szCs w:val="22"/>
        </w:rPr>
      </w:pPr>
      <w:r w:rsidRPr="009E605C">
        <w:rPr>
          <w:sz w:val="22"/>
          <w:szCs w:val="22"/>
        </w:rPr>
        <w:t>Through the Australia Awards</w:t>
      </w:r>
      <w:r w:rsidR="001A7D97" w:rsidRPr="009E605C">
        <w:rPr>
          <w:sz w:val="22"/>
          <w:szCs w:val="22"/>
        </w:rPr>
        <w:t xml:space="preserve"> P</w:t>
      </w:r>
      <w:r w:rsidRPr="009E605C">
        <w:rPr>
          <w:sz w:val="22"/>
          <w:szCs w:val="22"/>
        </w:rPr>
        <w:t>rogram</w:t>
      </w:r>
      <w:r w:rsidR="00CE038F" w:rsidRPr="009E605C">
        <w:rPr>
          <w:sz w:val="22"/>
          <w:szCs w:val="22"/>
        </w:rPr>
        <w:t xml:space="preserve"> (now managed by the Facility in Fiji)</w:t>
      </w:r>
      <w:r w:rsidRPr="009E605C">
        <w:rPr>
          <w:sz w:val="22"/>
          <w:szCs w:val="22"/>
        </w:rPr>
        <w:t xml:space="preserve">, </w:t>
      </w:r>
      <w:r w:rsidR="00F2578B">
        <w:rPr>
          <w:sz w:val="22"/>
          <w:szCs w:val="22"/>
        </w:rPr>
        <w:t>we are</w:t>
      </w:r>
      <w:r w:rsidR="006562DD" w:rsidRPr="009E605C">
        <w:rPr>
          <w:sz w:val="22"/>
          <w:szCs w:val="22"/>
        </w:rPr>
        <w:t xml:space="preserve"> supporting Fiji</w:t>
      </w:r>
      <w:r w:rsidRPr="009E605C">
        <w:rPr>
          <w:sz w:val="22"/>
          <w:szCs w:val="22"/>
        </w:rPr>
        <w:t xml:space="preserve"> </w:t>
      </w:r>
      <w:r w:rsidR="003E59C1" w:rsidRPr="009E605C">
        <w:rPr>
          <w:sz w:val="22"/>
          <w:szCs w:val="22"/>
        </w:rPr>
        <w:t xml:space="preserve">to </w:t>
      </w:r>
      <w:r w:rsidR="006562DD" w:rsidRPr="009E605C">
        <w:rPr>
          <w:sz w:val="22"/>
          <w:szCs w:val="22"/>
        </w:rPr>
        <w:t>strengthen</w:t>
      </w:r>
      <w:r w:rsidRPr="009E605C">
        <w:rPr>
          <w:sz w:val="22"/>
          <w:szCs w:val="22"/>
        </w:rPr>
        <w:t xml:space="preserve"> capacity </w:t>
      </w:r>
      <w:r w:rsidR="00F2578B">
        <w:rPr>
          <w:sz w:val="22"/>
          <w:szCs w:val="22"/>
        </w:rPr>
        <w:t xml:space="preserve">in </w:t>
      </w:r>
      <w:r w:rsidRPr="009E605C">
        <w:rPr>
          <w:sz w:val="22"/>
          <w:szCs w:val="22"/>
        </w:rPr>
        <w:t>health, education, environment, economic growth, agriculture, gender and social inclusion</w:t>
      </w:r>
      <w:r w:rsidRPr="00A81173">
        <w:rPr>
          <w:sz w:val="22"/>
          <w:szCs w:val="22"/>
        </w:rPr>
        <w:t xml:space="preserve">. </w:t>
      </w:r>
      <w:r w:rsidR="00D108AE" w:rsidRPr="00A81173">
        <w:rPr>
          <w:sz w:val="22"/>
          <w:szCs w:val="22"/>
        </w:rPr>
        <w:t xml:space="preserve"> </w:t>
      </w:r>
      <w:r w:rsidR="001A7D97" w:rsidRPr="00A81173">
        <w:rPr>
          <w:sz w:val="22"/>
          <w:szCs w:val="22"/>
        </w:rPr>
        <w:t xml:space="preserve">During the reporting period, we </w:t>
      </w:r>
      <w:r w:rsidR="006722C4" w:rsidRPr="00A81173">
        <w:rPr>
          <w:sz w:val="22"/>
          <w:szCs w:val="22"/>
        </w:rPr>
        <w:t xml:space="preserve">supported </w:t>
      </w:r>
      <w:r w:rsidR="0018146F">
        <w:rPr>
          <w:sz w:val="22"/>
          <w:szCs w:val="22"/>
        </w:rPr>
        <w:t>124</w:t>
      </w:r>
      <w:r w:rsidR="003E5214" w:rsidRPr="00A81173">
        <w:rPr>
          <w:sz w:val="22"/>
          <w:szCs w:val="22"/>
        </w:rPr>
        <w:t xml:space="preserve"> </w:t>
      </w:r>
      <w:r w:rsidR="009E605C" w:rsidRPr="00A81173">
        <w:rPr>
          <w:sz w:val="22"/>
          <w:szCs w:val="22"/>
        </w:rPr>
        <w:t xml:space="preserve">Fijians to </w:t>
      </w:r>
      <w:r w:rsidR="00AD09A2">
        <w:rPr>
          <w:sz w:val="22"/>
          <w:szCs w:val="22"/>
        </w:rPr>
        <w:t xml:space="preserve">undertake tertiary </w:t>
      </w:r>
      <w:r w:rsidR="00F2578B">
        <w:rPr>
          <w:sz w:val="22"/>
          <w:szCs w:val="22"/>
        </w:rPr>
        <w:t xml:space="preserve">study in </w:t>
      </w:r>
      <w:r w:rsidR="00E53619" w:rsidRPr="00A81173">
        <w:rPr>
          <w:sz w:val="22"/>
          <w:szCs w:val="22"/>
        </w:rPr>
        <w:t>Australia and the Pacific</w:t>
      </w:r>
      <w:r w:rsidR="009E605C" w:rsidRPr="00A81173">
        <w:rPr>
          <w:sz w:val="22"/>
          <w:szCs w:val="22"/>
        </w:rPr>
        <w:t xml:space="preserve"> under the </w:t>
      </w:r>
      <w:r w:rsidR="0009075E">
        <w:rPr>
          <w:sz w:val="22"/>
          <w:szCs w:val="22"/>
        </w:rPr>
        <w:t xml:space="preserve">Australia </w:t>
      </w:r>
      <w:r w:rsidR="009E605C" w:rsidRPr="00A81173">
        <w:rPr>
          <w:sz w:val="22"/>
          <w:szCs w:val="22"/>
        </w:rPr>
        <w:t>Awards Program</w:t>
      </w:r>
      <w:r w:rsidR="003913FB" w:rsidRPr="00A81173">
        <w:rPr>
          <w:sz w:val="22"/>
          <w:szCs w:val="22"/>
        </w:rPr>
        <w:t>.</w:t>
      </w:r>
      <w:r w:rsidR="003913FB" w:rsidRPr="009E605C">
        <w:rPr>
          <w:sz w:val="22"/>
          <w:szCs w:val="22"/>
        </w:rPr>
        <w:t xml:space="preserve">  We are</w:t>
      </w:r>
      <w:r w:rsidR="00B26D08" w:rsidRPr="009E605C">
        <w:rPr>
          <w:sz w:val="22"/>
          <w:szCs w:val="22"/>
        </w:rPr>
        <w:t xml:space="preserve"> </w:t>
      </w:r>
      <w:r w:rsidR="00773F93" w:rsidRPr="009E605C">
        <w:rPr>
          <w:sz w:val="22"/>
          <w:szCs w:val="22"/>
        </w:rPr>
        <w:t xml:space="preserve">increasingly </w:t>
      </w:r>
      <w:r w:rsidR="003913FB" w:rsidRPr="009E605C">
        <w:rPr>
          <w:sz w:val="22"/>
          <w:szCs w:val="22"/>
        </w:rPr>
        <w:t xml:space="preserve">focusing </w:t>
      </w:r>
      <w:r w:rsidR="00AD09A2">
        <w:rPr>
          <w:sz w:val="22"/>
          <w:szCs w:val="22"/>
        </w:rPr>
        <w:t>our support</w:t>
      </w:r>
      <w:r w:rsidR="004755CE">
        <w:rPr>
          <w:sz w:val="22"/>
          <w:szCs w:val="22"/>
        </w:rPr>
        <w:t xml:space="preserve"> for</w:t>
      </w:r>
      <w:r w:rsidR="00AD09A2">
        <w:rPr>
          <w:sz w:val="22"/>
          <w:szCs w:val="22"/>
        </w:rPr>
        <w:t xml:space="preserve"> </w:t>
      </w:r>
      <w:r w:rsidR="007B5D62">
        <w:rPr>
          <w:sz w:val="22"/>
          <w:szCs w:val="22"/>
        </w:rPr>
        <w:t xml:space="preserve">postgraduate study </w:t>
      </w:r>
      <w:r w:rsidR="00A81173">
        <w:rPr>
          <w:sz w:val="22"/>
          <w:szCs w:val="22"/>
        </w:rPr>
        <w:t xml:space="preserve">on </w:t>
      </w:r>
      <w:r w:rsidR="00B26D08" w:rsidRPr="009E605C">
        <w:rPr>
          <w:sz w:val="22"/>
          <w:szCs w:val="22"/>
        </w:rPr>
        <w:t xml:space="preserve">civil servants who, on return, can apply their new </w:t>
      </w:r>
      <w:r w:rsidR="00AC356B">
        <w:rPr>
          <w:sz w:val="22"/>
          <w:szCs w:val="22"/>
        </w:rPr>
        <w:t>capabilities</w:t>
      </w:r>
      <w:r w:rsidR="00B26D08" w:rsidRPr="009E605C">
        <w:rPr>
          <w:sz w:val="22"/>
          <w:szCs w:val="22"/>
        </w:rPr>
        <w:t xml:space="preserve"> towards achieving</w:t>
      </w:r>
      <w:r w:rsidR="00E823A7" w:rsidRPr="009E605C">
        <w:rPr>
          <w:sz w:val="22"/>
          <w:szCs w:val="22"/>
        </w:rPr>
        <w:t xml:space="preserve"> long-term positive benefits for Fiji.  This approach complements </w:t>
      </w:r>
      <w:r w:rsidR="00F2578B">
        <w:rPr>
          <w:sz w:val="22"/>
          <w:szCs w:val="22"/>
        </w:rPr>
        <w:t>Australia’s</w:t>
      </w:r>
      <w:r w:rsidR="00E823A7" w:rsidRPr="009E605C">
        <w:rPr>
          <w:sz w:val="22"/>
          <w:szCs w:val="22"/>
        </w:rPr>
        <w:t xml:space="preserve"> other support</w:t>
      </w:r>
      <w:r w:rsidR="003913FB" w:rsidRPr="009E605C">
        <w:rPr>
          <w:sz w:val="22"/>
          <w:szCs w:val="22"/>
        </w:rPr>
        <w:t xml:space="preserve"> </w:t>
      </w:r>
      <w:r w:rsidR="003E5214" w:rsidRPr="009E605C">
        <w:rPr>
          <w:sz w:val="22"/>
          <w:szCs w:val="22"/>
        </w:rPr>
        <w:t>for the civil service</w:t>
      </w:r>
      <w:r w:rsidR="003913FB" w:rsidRPr="009E605C">
        <w:rPr>
          <w:sz w:val="22"/>
          <w:szCs w:val="22"/>
        </w:rPr>
        <w:t xml:space="preserve">. </w:t>
      </w:r>
      <w:r w:rsidR="00A81173">
        <w:rPr>
          <w:sz w:val="22"/>
          <w:szCs w:val="22"/>
        </w:rPr>
        <w:t xml:space="preserve"> </w:t>
      </w:r>
      <w:r w:rsidR="006722C4" w:rsidRPr="009E605C">
        <w:rPr>
          <w:sz w:val="22"/>
          <w:szCs w:val="22"/>
        </w:rPr>
        <w:t>For the first time</w:t>
      </w:r>
      <w:r w:rsidR="009E605C" w:rsidRPr="009E605C">
        <w:rPr>
          <w:sz w:val="22"/>
          <w:szCs w:val="22"/>
        </w:rPr>
        <w:t xml:space="preserve"> in 2017</w:t>
      </w:r>
      <w:r w:rsidR="006722C4" w:rsidRPr="009E605C">
        <w:rPr>
          <w:sz w:val="22"/>
          <w:szCs w:val="22"/>
        </w:rPr>
        <w:t>, the inclusion of the newly established Ministry of Civil Service on the Awards interview panel allowed us to strengthen our working relationship with Fiji’s civil service and tailor our Awards to Fiji’s needs.</w:t>
      </w:r>
    </w:p>
    <w:p w14:paraId="675456CA" w14:textId="77777777" w:rsidR="00BD7481" w:rsidRDefault="00D108AE" w:rsidP="003D49E1">
      <w:r>
        <w:t>A</w:t>
      </w:r>
      <w:r w:rsidRPr="004D24CB">
        <w:t xml:space="preserve"> reflection of </w:t>
      </w:r>
      <w:r>
        <w:t xml:space="preserve">our </w:t>
      </w:r>
      <w:r w:rsidRPr="004D24CB">
        <w:t>robust selection process</w:t>
      </w:r>
      <w:r>
        <w:t>es</w:t>
      </w:r>
      <w:r w:rsidR="001B4E56">
        <w:t xml:space="preserve"> for Australia Awards</w:t>
      </w:r>
      <w:r>
        <w:t xml:space="preserve">, during the reporting period </w:t>
      </w:r>
      <w:r w:rsidR="005B2C1D" w:rsidRPr="004D24CB">
        <w:t>90 per cent of recipients completed their study</w:t>
      </w:r>
      <w:r w:rsidR="00F2578B" w:rsidRPr="00F2578B">
        <w:t xml:space="preserve"> </w:t>
      </w:r>
      <w:r w:rsidR="00F2578B" w:rsidRPr="004D24CB">
        <w:t>successfully</w:t>
      </w:r>
      <w:r w:rsidR="001B4E56">
        <w:t xml:space="preserve"> and </w:t>
      </w:r>
      <w:r w:rsidR="005B2C1D" w:rsidRPr="004D24CB">
        <w:t>90</w:t>
      </w:r>
      <w:r w:rsidR="003E5214">
        <w:t> </w:t>
      </w:r>
      <w:r w:rsidR="005B2C1D" w:rsidRPr="004D24CB">
        <w:t>per</w:t>
      </w:r>
      <w:r w:rsidR="003E5214">
        <w:t> </w:t>
      </w:r>
      <w:r w:rsidR="005B2C1D" w:rsidRPr="004D24CB">
        <w:t>cent of graduates found employment in their area of study within six months of graduating</w:t>
      </w:r>
      <w:r>
        <w:t xml:space="preserve">.  We thereby exceeded </w:t>
      </w:r>
      <w:r w:rsidR="003E5214">
        <w:t>the PAF</w:t>
      </w:r>
      <w:r w:rsidR="003E5214" w:rsidRPr="004D24CB">
        <w:t xml:space="preserve"> </w:t>
      </w:r>
      <w:r w:rsidR="005B2C1D" w:rsidRPr="004D24CB">
        <w:t xml:space="preserve">target of 80 per cent for both </w:t>
      </w:r>
      <w:r w:rsidR="003E5214">
        <w:t>indicators</w:t>
      </w:r>
      <w:r w:rsidR="001B4E56">
        <w:t xml:space="preserve">.  </w:t>
      </w:r>
      <w:r w:rsidR="00AC356B">
        <w:t>A</w:t>
      </w:r>
      <w:r w:rsidR="003E5764">
        <w:t xml:space="preserve">lumni </w:t>
      </w:r>
      <w:r w:rsidR="006D67CB">
        <w:t>made</w:t>
      </w:r>
      <w:r w:rsidR="00AC356B">
        <w:t xml:space="preserve"> a</w:t>
      </w:r>
      <w:r w:rsidR="003E5764">
        <w:t xml:space="preserve"> strong contribution to Fiji’s development, </w:t>
      </w:r>
      <w:r w:rsidR="00A81173">
        <w:t xml:space="preserve">for example </w:t>
      </w:r>
      <w:r w:rsidR="003E5764">
        <w:t>applying</w:t>
      </w:r>
      <w:r w:rsidR="0093483D">
        <w:t xml:space="preserve"> </w:t>
      </w:r>
      <w:r w:rsidR="00A81173">
        <w:t xml:space="preserve">their skills and knowledge to enhance the coordination of disaster responses </w:t>
      </w:r>
      <w:r w:rsidR="001B4E56">
        <w:t>and</w:t>
      </w:r>
      <w:r w:rsidR="00A81173">
        <w:t xml:space="preserve"> to </w:t>
      </w:r>
      <w:r w:rsidR="0093483D">
        <w:t xml:space="preserve">strengthen Fiji’s </w:t>
      </w:r>
      <w:r w:rsidR="005D3B4C">
        <w:t xml:space="preserve">response to </w:t>
      </w:r>
      <w:r w:rsidR="00AC356B">
        <w:t xml:space="preserve">recent </w:t>
      </w:r>
      <w:r w:rsidR="0093483D">
        <w:t>disease outbreaks through effective local laboratory testing</w:t>
      </w:r>
      <w:r w:rsidR="001E314F">
        <w:t>.</w:t>
      </w:r>
      <w:r w:rsidR="0093483D">
        <w:t xml:space="preserve"> </w:t>
      </w:r>
    </w:p>
    <w:p w14:paraId="299274D3" w14:textId="6BB2BBD1" w:rsidR="00AC356B" w:rsidRDefault="00A81173" w:rsidP="000A30C7">
      <w:r>
        <w:t>In the most recent intake, a</w:t>
      </w:r>
      <w:r w:rsidRPr="004D24CB">
        <w:t xml:space="preserve">n equal number of women and men </w:t>
      </w:r>
      <w:r>
        <w:t>were</w:t>
      </w:r>
      <w:r w:rsidRPr="004D24CB">
        <w:t xml:space="preserve"> selected</w:t>
      </w:r>
      <w:r>
        <w:t xml:space="preserve"> as Award recipients</w:t>
      </w:r>
      <w:r w:rsidRPr="004D24CB">
        <w:t xml:space="preserve">.  </w:t>
      </w:r>
      <w:r>
        <w:t xml:space="preserve">While feedback from female awardees demonstrates that program has been empowering for women, </w:t>
      </w:r>
      <w:r w:rsidR="00AC356B">
        <w:t>the Australia Awards program in Fiji will need to do more to</w:t>
      </w:r>
      <w:r>
        <w:t xml:space="preserve"> improve access for women </w:t>
      </w:r>
      <w:r w:rsidR="00F2578B">
        <w:t>from</w:t>
      </w:r>
      <w:r>
        <w:t xml:space="preserve"> rural areas</w:t>
      </w:r>
      <w:r w:rsidRPr="0018146F">
        <w:t xml:space="preserve">.  </w:t>
      </w:r>
      <w:r w:rsidR="00967A1A" w:rsidRPr="007B5D62">
        <w:t>More than 65</w:t>
      </w:r>
      <w:r w:rsidR="00C02DC9">
        <w:t> </w:t>
      </w:r>
      <w:r w:rsidRPr="007B5D62">
        <w:t xml:space="preserve">per cent of eligible applications from women in 2017 (for study commencing in 2017-18), were from women based in </w:t>
      </w:r>
      <w:r w:rsidR="00967A1A" w:rsidRPr="007B5D62">
        <w:t>urban settings</w:t>
      </w:r>
      <w:r w:rsidRPr="007B5D62">
        <w:t>.</w:t>
      </w:r>
      <w:r>
        <w:t xml:space="preserve"> </w:t>
      </w:r>
      <w:r w:rsidR="00AC356B">
        <w:t xml:space="preserve">  </w:t>
      </w:r>
      <w:r w:rsidR="00321129">
        <w:t xml:space="preserve">A </w:t>
      </w:r>
      <w:r>
        <w:t xml:space="preserve">further </w:t>
      </w:r>
      <w:r w:rsidR="00321129">
        <w:t xml:space="preserve">challenge </w:t>
      </w:r>
      <w:r w:rsidR="00BD4BBE">
        <w:t xml:space="preserve">has been to report </w:t>
      </w:r>
      <w:r w:rsidR="002B02CC">
        <w:t xml:space="preserve">effectively </w:t>
      </w:r>
      <w:r w:rsidR="00BD4BBE">
        <w:t xml:space="preserve">on the </w:t>
      </w:r>
      <w:r w:rsidR="002B02CC">
        <w:t xml:space="preserve">impacts and sustainability of the </w:t>
      </w:r>
      <w:r w:rsidR="0018146F">
        <w:t>Award Program</w:t>
      </w:r>
      <w:r w:rsidR="00983436">
        <w:t>.</w:t>
      </w:r>
      <w:r w:rsidR="00DC7102">
        <w:t xml:space="preserve">  </w:t>
      </w:r>
      <w:r w:rsidR="002B02CC">
        <w:t>We anticipate that the transfer of day-to-day</w:t>
      </w:r>
      <w:r w:rsidR="00022BBF">
        <w:t xml:space="preserve"> program</w:t>
      </w:r>
      <w:r w:rsidR="00321129">
        <w:t xml:space="preserve"> management to </w:t>
      </w:r>
      <w:r w:rsidR="00321129">
        <w:lastRenderedPageBreak/>
        <w:t>the Facility</w:t>
      </w:r>
      <w:r w:rsidR="002B02CC">
        <w:t xml:space="preserve"> will</w:t>
      </w:r>
      <w:r w:rsidR="00B8051C">
        <w:t xml:space="preserve"> enable</w:t>
      </w:r>
      <w:r w:rsidR="00727126">
        <w:t xml:space="preserve"> </w:t>
      </w:r>
      <w:r w:rsidR="002B02CC">
        <w:t xml:space="preserve">our </w:t>
      </w:r>
      <w:r w:rsidR="00727126">
        <w:t>staff</w:t>
      </w:r>
      <w:r w:rsidR="003E5214">
        <w:t xml:space="preserve"> to</w:t>
      </w:r>
      <w:r w:rsidR="00727126">
        <w:t xml:space="preserve"> </w:t>
      </w:r>
      <w:r w:rsidR="00B8051C">
        <w:t xml:space="preserve">focus on </w:t>
      </w:r>
      <w:r w:rsidR="00CB18C8">
        <w:t>strategic objectives</w:t>
      </w:r>
      <w:r w:rsidR="00A34DCB">
        <w:t xml:space="preserve">, including through </w:t>
      </w:r>
      <w:r w:rsidR="00D108AE">
        <w:t xml:space="preserve">more </w:t>
      </w:r>
      <w:r w:rsidR="00BD4BBE">
        <w:t xml:space="preserve">outcomes-level </w:t>
      </w:r>
      <w:r w:rsidR="00A34DCB">
        <w:t xml:space="preserve">monitoring and evaluation. </w:t>
      </w:r>
      <w:r w:rsidR="00CB18C8">
        <w:t xml:space="preserve"> </w:t>
      </w:r>
      <w:r w:rsidR="00673214">
        <w:t xml:space="preserve">  </w:t>
      </w:r>
      <w:r w:rsidR="00321129">
        <w:t xml:space="preserve"> </w:t>
      </w:r>
    </w:p>
    <w:p w14:paraId="72989CA3" w14:textId="77777777" w:rsidR="00EE0809" w:rsidRPr="000A30C7" w:rsidRDefault="00EE0809" w:rsidP="000A30C7">
      <w:pPr>
        <w:rPr>
          <w:b/>
        </w:rPr>
      </w:pPr>
      <w:r w:rsidRPr="000A30C7">
        <w:rPr>
          <w:b/>
        </w:rPr>
        <w:t>(b) Health</w:t>
      </w:r>
      <w:r w:rsidR="00E33CE0">
        <w:rPr>
          <w:b/>
        </w:rPr>
        <w:t xml:space="preserve"> sector support</w:t>
      </w:r>
    </w:p>
    <w:p w14:paraId="63BE1F2F" w14:textId="6B3265CE" w:rsidR="00445578" w:rsidRPr="00445578" w:rsidRDefault="005B43BE" w:rsidP="006854F7">
      <w:pPr>
        <w:rPr>
          <w:b/>
        </w:rPr>
      </w:pPr>
      <w:r>
        <w:rPr>
          <w:b/>
        </w:rPr>
        <w:t>Outcome 1:  S</w:t>
      </w:r>
      <w:r w:rsidR="00445578" w:rsidRPr="00445578">
        <w:rPr>
          <w:b/>
        </w:rPr>
        <w:t xml:space="preserve">ub-divisional hospitals </w:t>
      </w:r>
      <w:r w:rsidR="007B5D62">
        <w:rPr>
          <w:b/>
        </w:rPr>
        <w:t>managing decentralised clinical</w:t>
      </w:r>
      <w:r w:rsidR="00423130">
        <w:rPr>
          <w:b/>
        </w:rPr>
        <w:t xml:space="preserve"> health </w:t>
      </w:r>
      <w:r w:rsidR="00445578" w:rsidRPr="00445578">
        <w:rPr>
          <w:b/>
        </w:rPr>
        <w:t>services</w:t>
      </w:r>
    </w:p>
    <w:p w14:paraId="0FBF4597" w14:textId="6AB39133" w:rsidR="00445578" w:rsidRPr="00406E8E" w:rsidRDefault="00445578" w:rsidP="006854F7">
      <w:pPr>
        <w:rPr>
          <w:b/>
        </w:rPr>
      </w:pPr>
      <w:r w:rsidRPr="00445578">
        <w:rPr>
          <w:b/>
        </w:rPr>
        <w:t xml:space="preserve">Outcome 2: </w:t>
      </w:r>
      <w:r w:rsidR="005B43BE">
        <w:rPr>
          <w:b/>
        </w:rPr>
        <w:t>F</w:t>
      </w:r>
      <w:r w:rsidRPr="00406E8E">
        <w:rPr>
          <w:b/>
        </w:rPr>
        <w:t xml:space="preserve">unctional annual planning, implementation, monitoring and </w:t>
      </w:r>
      <w:r w:rsidRPr="009574B9">
        <w:rPr>
          <w:b/>
        </w:rPr>
        <w:t xml:space="preserve">reporting cycles consistently applied </w:t>
      </w:r>
      <w:r w:rsidR="001C49C9" w:rsidRPr="009574B9">
        <w:rPr>
          <w:b/>
        </w:rPr>
        <w:t>within</w:t>
      </w:r>
      <w:r w:rsidR="00170C85" w:rsidRPr="009574B9">
        <w:rPr>
          <w:b/>
        </w:rPr>
        <w:t xml:space="preserve"> the Ministry of Health and Medical Services (MHMS)</w:t>
      </w:r>
      <w:r w:rsidRPr="00406E8E">
        <w:rPr>
          <w:b/>
        </w:rPr>
        <w:t xml:space="preserve"> </w:t>
      </w:r>
    </w:p>
    <w:p w14:paraId="37DD5A78" w14:textId="7FACAE22" w:rsidR="00763164" w:rsidRPr="00A00AF9" w:rsidRDefault="005E74D6" w:rsidP="006854F7">
      <w:r>
        <w:t xml:space="preserve">A new health sector support program commenced in </w:t>
      </w:r>
      <w:r w:rsidR="006562DD">
        <w:t xml:space="preserve">Fiji in </w:t>
      </w:r>
      <w:r>
        <w:t>July 2017 ($20.7</w:t>
      </w:r>
      <w:r w:rsidR="00B95FA0">
        <w:t xml:space="preserve"> </w:t>
      </w:r>
      <w:r>
        <w:t>m</w:t>
      </w:r>
      <w:r w:rsidR="00B95FA0">
        <w:t>illion</w:t>
      </w:r>
      <w:r>
        <w:t xml:space="preserve"> over </w:t>
      </w:r>
      <w:r w:rsidR="00983436">
        <w:t>five</w:t>
      </w:r>
      <w:r w:rsidR="00FC57D5" w:rsidRPr="001A7D97">
        <w:t xml:space="preserve"> </w:t>
      </w:r>
      <w:r w:rsidRPr="001A7D97">
        <w:t>years)</w:t>
      </w:r>
      <w:r w:rsidR="003E5214">
        <w:t>.  M</w:t>
      </w:r>
      <w:r w:rsidR="005E3D50">
        <w:t>anaged by the Facility</w:t>
      </w:r>
      <w:r w:rsidR="003E5214">
        <w:t>, it</w:t>
      </w:r>
      <w:r w:rsidR="00723244">
        <w:t xml:space="preserve"> </w:t>
      </w:r>
      <w:r w:rsidR="006B1F03" w:rsidRPr="006854F7">
        <w:t xml:space="preserve">contributes towards </w:t>
      </w:r>
      <w:r w:rsidR="006854F7">
        <w:t>reducing mortality rates for</w:t>
      </w:r>
      <w:r w:rsidR="006B1F03" w:rsidRPr="006854F7">
        <w:t xml:space="preserve"> mothers, children and infants, increased health spending, and the efficiency and</w:t>
      </w:r>
      <w:r w:rsidR="006562DD">
        <w:t xml:space="preserve"> reach of basic health services</w:t>
      </w:r>
      <w:r w:rsidR="006B1F03" w:rsidRPr="006854F7">
        <w:t>.</w:t>
      </w:r>
      <w:r w:rsidR="005C0DAC">
        <w:t xml:space="preserve"> </w:t>
      </w:r>
      <w:r w:rsidR="005B43BE">
        <w:t xml:space="preserve"> </w:t>
      </w:r>
      <w:r w:rsidR="005C0DAC">
        <w:t>While o</w:t>
      </w:r>
      <w:r w:rsidR="005C0DAC" w:rsidRPr="005C0DAC">
        <w:t>utbreaks of diseases such as</w:t>
      </w:r>
      <w:r w:rsidR="007B5D62" w:rsidRPr="005C0DAC">
        <w:t xml:space="preserve"> </w:t>
      </w:r>
      <w:r w:rsidR="00C07B4A" w:rsidRPr="005C0DAC">
        <w:t>Meningococcal</w:t>
      </w:r>
      <w:r w:rsidR="005C0DAC" w:rsidRPr="005C0DAC">
        <w:t> </w:t>
      </w:r>
      <w:r w:rsidR="00F121DB" w:rsidRPr="005C0DAC">
        <w:t>C</w:t>
      </w:r>
      <w:r w:rsidR="005C0DAC" w:rsidRPr="005C0DAC">
        <w:t xml:space="preserve"> </w:t>
      </w:r>
      <w:r w:rsidR="005C0DAC">
        <w:t>required us to divert</w:t>
      </w:r>
      <w:r w:rsidR="00F121DB" w:rsidRPr="005C0DAC">
        <w:t xml:space="preserve"> resources towards </w:t>
      </w:r>
      <w:r w:rsidR="005C0DAC">
        <w:t>the response, a</w:t>
      </w:r>
      <w:r w:rsidR="003E5214">
        <w:t xml:space="preserve"> </w:t>
      </w:r>
      <w:r w:rsidR="00A00AF9" w:rsidRPr="00406E8E">
        <w:t xml:space="preserve">number of key activities have </w:t>
      </w:r>
      <w:r w:rsidR="005C0DAC">
        <w:t>now commenced.  W</w:t>
      </w:r>
      <w:r w:rsidR="00D30C30">
        <w:t>e</w:t>
      </w:r>
      <w:r w:rsidR="000A5F12">
        <w:t xml:space="preserve"> are confident these contribute towards achieving </w:t>
      </w:r>
      <w:r w:rsidR="003E5214">
        <w:t xml:space="preserve">the </w:t>
      </w:r>
      <w:r w:rsidR="000A5F12">
        <w:t>PAF outcomes</w:t>
      </w:r>
      <w:r w:rsidR="00A00AF9" w:rsidRPr="00406E8E">
        <w:t>.</w:t>
      </w:r>
      <w:r w:rsidR="008131BC">
        <w:t xml:space="preserve">   </w:t>
      </w:r>
    </w:p>
    <w:p w14:paraId="41E4724E" w14:textId="60E88B34" w:rsidR="008B65F4" w:rsidRPr="009574B9" w:rsidRDefault="006B1F03" w:rsidP="00E01063">
      <w:r w:rsidRPr="006854F7">
        <w:t xml:space="preserve">During the reporting period, </w:t>
      </w:r>
      <w:r w:rsidR="0017176C">
        <w:t xml:space="preserve">Australia </w:t>
      </w:r>
      <w:r w:rsidR="0089652E">
        <w:t>implemented activities to support</w:t>
      </w:r>
      <w:r w:rsidR="00763164">
        <w:t xml:space="preserve"> better</w:t>
      </w:r>
      <w:r w:rsidR="00CC7330" w:rsidRPr="006854F7">
        <w:t xml:space="preserve"> </w:t>
      </w:r>
      <w:r w:rsidR="00763164">
        <w:t>obstetric care, disease surveillance and response</w:t>
      </w:r>
      <w:r w:rsidR="00905598">
        <w:t>s</w:t>
      </w:r>
      <w:r w:rsidR="00763164">
        <w:t xml:space="preserve"> to vaccine preventable</w:t>
      </w:r>
      <w:r w:rsidR="00697D81">
        <w:t xml:space="preserve"> diseases; improved health service delivery; </w:t>
      </w:r>
      <w:r w:rsidR="00CC7330" w:rsidRPr="006854F7">
        <w:t xml:space="preserve">and </w:t>
      </w:r>
      <w:r w:rsidR="00CC7330" w:rsidRPr="009574B9">
        <w:t>strengthen</w:t>
      </w:r>
      <w:r w:rsidR="00697D81" w:rsidRPr="009574B9">
        <w:t xml:space="preserve">ed </w:t>
      </w:r>
      <w:r w:rsidR="00CC7330" w:rsidRPr="009574B9">
        <w:t>health polic</w:t>
      </w:r>
      <w:r w:rsidR="006562DD" w:rsidRPr="009574B9">
        <w:t>y, financing and management and</w:t>
      </w:r>
      <w:r w:rsidR="006854F7" w:rsidRPr="009574B9">
        <w:t xml:space="preserve"> workforce development</w:t>
      </w:r>
      <w:r w:rsidR="00D30C30" w:rsidRPr="009574B9">
        <w:t>, areas which make a valuable contribution to health security</w:t>
      </w:r>
      <w:r w:rsidR="006854F7" w:rsidRPr="009574B9">
        <w:t>.</w:t>
      </w:r>
      <w:r w:rsidR="00763164" w:rsidRPr="009574B9">
        <w:t xml:space="preserve">  We</w:t>
      </w:r>
      <w:r w:rsidR="00E01063" w:rsidRPr="009574B9">
        <w:t xml:space="preserve"> </w:t>
      </w:r>
      <w:r w:rsidR="00905598" w:rsidRPr="009574B9">
        <w:t xml:space="preserve">supported </w:t>
      </w:r>
      <w:r w:rsidR="00E01063" w:rsidRPr="009574B9">
        <w:t xml:space="preserve">the </w:t>
      </w:r>
      <w:r w:rsidR="001A7D97" w:rsidRPr="009574B9">
        <w:t>preparat</w:t>
      </w:r>
      <w:r w:rsidR="00723244" w:rsidRPr="009574B9">
        <w:t xml:space="preserve">ion, and </w:t>
      </w:r>
      <w:r w:rsidR="003F71A2" w:rsidRPr="009574B9">
        <w:t>MHMS</w:t>
      </w:r>
      <w:r w:rsidR="00723244" w:rsidRPr="009574B9">
        <w:t xml:space="preserve"> a</w:t>
      </w:r>
      <w:r w:rsidR="001A7D97" w:rsidRPr="009574B9">
        <w:t>pproval</w:t>
      </w:r>
      <w:r w:rsidR="00723244" w:rsidRPr="009574B9">
        <w:t>,</w:t>
      </w:r>
      <w:r w:rsidR="001A7D97" w:rsidRPr="009574B9">
        <w:t xml:space="preserve"> </w:t>
      </w:r>
      <w:r w:rsidR="00723244" w:rsidRPr="009574B9">
        <w:t>of</w:t>
      </w:r>
      <w:r w:rsidR="001A7D97" w:rsidRPr="009574B9">
        <w:t xml:space="preserve"> a</w:t>
      </w:r>
      <w:r w:rsidR="006854F7" w:rsidRPr="009574B9">
        <w:t xml:space="preserve"> report outlining </w:t>
      </w:r>
      <w:r w:rsidR="006562DD" w:rsidRPr="009574B9">
        <w:t xml:space="preserve">recommendations for </w:t>
      </w:r>
      <w:r w:rsidR="001A7D97" w:rsidRPr="009574B9">
        <w:t>improved</w:t>
      </w:r>
      <w:r w:rsidR="006854F7" w:rsidRPr="009574B9">
        <w:t xml:space="preserve"> care for mothers and newborns at Fiji’s </w:t>
      </w:r>
      <w:r w:rsidR="00CE7F15" w:rsidRPr="009574B9">
        <w:t>sub-divisional</w:t>
      </w:r>
      <w:r w:rsidR="006854F7" w:rsidRPr="009574B9">
        <w:t xml:space="preserve"> hospitals, placing Fiji on a pathway towards improved maternal and child health</w:t>
      </w:r>
      <w:r w:rsidR="0010004F" w:rsidRPr="009574B9">
        <w:t xml:space="preserve"> over the longer term</w:t>
      </w:r>
      <w:r w:rsidR="00E01063" w:rsidRPr="009574B9">
        <w:t xml:space="preserve">.  Our </w:t>
      </w:r>
      <w:r w:rsidR="00697D81" w:rsidRPr="009574B9">
        <w:t>support</w:t>
      </w:r>
      <w:r w:rsidR="00E01063" w:rsidRPr="009574B9">
        <w:t xml:space="preserve"> </w:t>
      </w:r>
      <w:r w:rsidR="00780DC6" w:rsidRPr="009574B9">
        <w:t xml:space="preserve">through targeted technical assistance and provision of laboratory equipment </w:t>
      </w:r>
      <w:r w:rsidR="00E01063" w:rsidRPr="009574B9">
        <w:t xml:space="preserve">also resulted in </w:t>
      </w:r>
      <w:r w:rsidR="000536E4" w:rsidRPr="009574B9">
        <w:t xml:space="preserve">setting the platform </w:t>
      </w:r>
      <w:r w:rsidR="00240A8A" w:rsidRPr="009574B9">
        <w:t xml:space="preserve">for </w:t>
      </w:r>
      <w:r w:rsidR="0010004F" w:rsidRPr="009574B9">
        <w:t xml:space="preserve">a </w:t>
      </w:r>
      <w:r w:rsidR="008B65F4" w:rsidRPr="009574B9">
        <w:t xml:space="preserve">fully operational and sustainable </w:t>
      </w:r>
      <w:r w:rsidR="0010004F" w:rsidRPr="009574B9">
        <w:t>V</w:t>
      </w:r>
      <w:r w:rsidR="001A7D97" w:rsidRPr="009574B9">
        <w:t>a</w:t>
      </w:r>
      <w:r w:rsidR="008B65F4" w:rsidRPr="009574B9">
        <w:t>ccine Preventable Disease Unit (</w:t>
      </w:r>
      <w:r w:rsidR="008B65F4" w:rsidRPr="00E21938">
        <w:rPr>
          <w:b/>
        </w:rPr>
        <w:t>Unit</w:t>
      </w:r>
      <w:r w:rsidR="008B65F4" w:rsidRPr="009574B9">
        <w:t>), with f</w:t>
      </w:r>
      <w:r w:rsidR="0010004F" w:rsidRPr="009574B9">
        <w:t>unding</w:t>
      </w:r>
      <w:r w:rsidR="006562DD" w:rsidRPr="009574B9">
        <w:t xml:space="preserve"> secured</w:t>
      </w:r>
      <w:r w:rsidR="0010004F" w:rsidRPr="009574B9">
        <w:t xml:space="preserve"> for key positions</w:t>
      </w:r>
      <w:r w:rsidR="00D108AE" w:rsidRPr="009574B9">
        <w:t xml:space="preserve"> in the Unit</w:t>
      </w:r>
      <w:r w:rsidR="008B65F4" w:rsidRPr="009574B9">
        <w:t xml:space="preserve"> </w:t>
      </w:r>
      <w:r w:rsidR="00E21938">
        <w:t>in Fiji’s 2018-</w:t>
      </w:r>
      <w:r w:rsidR="0010004F" w:rsidRPr="009574B9">
        <w:t>19 Budget</w:t>
      </w:r>
      <w:r w:rsidR="00E01063" w:rsidRPr="009574B9">
        <w:t xml:space="preserve">. </w:t>
      </w:r>
      <w:r w:rsidR="0018146F" w:rsidRPr="009574B9">
        <w:t xml:space="preserve"> </w:t>
      </w:r>
      <w:r w:rsidR="005830DC" w:rsidRPr="009574B9">
        <w:t>We</w:t>
      </w:r>
      <w:r w:rsidR="00D6657F" w:rsidRPr="009574B9">
        <w:t xml:space="preserve"> </w:t>
      </w:r>
      <w:r w:rsidR="0018146F" w:rsidRPr="009574B9">
        <w:t>demonstrate</w:t>
      </w:r>
      <w:r w:rsidR="00D6657F" w:rsidRPr="009574B9">
        <w:t>d</w:t>
      </w:r>
      <w:r w:rsidR="0018146F" w:rsidRPr="009574B9">
        <w:t xml:space="preserve"> the value of a flexible and responsive program through our </w:t>
      </w:r>
      <w:r w:rsidR="00D6657F" w:rsidRPr="009574B9">
        <w:t xml:space="preserve">contribution </w:t>
      </w:r>
      <w:r w:rsidR="005E1298" w:rsidRPr="009574B9">
        <w:t>($1</w:t>
      </w:r>
      <w:r w:rsidR="00395B95">
        <w:t xml:space="preserve"> </w:t>
      </w:r>
      <w:r w:rsidR="005E1298" w:rsidRPr="009574B9">
        <w:t>m</w:t>
      </w:r>
      <w:r w:rsidR="00395B95">
        <w:t>illion</w:t>
      </w:r>
      <w:r w:rsidR="005E1298" w:rsidRPr="009574B9">
        <w:t xml:space="preserve">) </w:t>
      </w:r>
      <w:r w:rsidR="00D6657F" w:rsidRPr="009574B9">
        <w:t>to</w:t>
      </w:r>
      <w:r w:rsidR="0018146F" w:rsidRPr="009574B9">
        <w:t xml:space="preserve"> MHMS’s meningococcal vaccination campaign.  </w:t>
      </w:r>
      <w:r w:rsidR="005830DC" w:rsidRPr="009574B9">
        <w:t xml:space="preserve">An evaluation of MHMS’s meningococcal campaign is one of the Unit’s key deliverables this financial year.  </w:t>
      </w:r>
    </w:p>
    <w:p w14:paraId="7401E377" w14:textId="143F27DB" w:rsidR="0010004F" w:rsidRPr="00377748" w:rsidRDefault="00D6657F" w:rsidP="00377748">
      <w:r w:rsidRPr="009574B9">
        <w:t>During the reporting period, Australia</w:t>
      </w:r>
      <w:r>
        <w:t xml:space="preserve"> also</w:t>
      </w:r>
      <w:r w:rsidR="00DB2690">
        <w:t xml:space="preserve"> </w:t>
      </w:r>
      <w:r w:rsidR="00E01063">
        <w:t>provided technical assistance to</w:t>
      </w:r>
      <w:r w:rsidR="008B65F4">
        <w:t xml:space="preserve"> build </w:t>
      </w:r>
      <w:r w:rsidR="00DB2690">
        <w:t xml:space="preserve">MHMS’s </w:t>
      </w:r>
      <w:r w:rsidR="008B65F4">
        <w:t xml:space="preserve">planning and budgeting capacity, increasing </w:t>
      </w:r>
      <w:r w:rsidR="005F6852">
        <w:t>the funds available for p</w:t>
      </w:r>
      <w:r w:rsidR="00AD09A2">
        <w:t xml:space="preserve">ublic health services in Fiji.  </w:t>
      </w:r>
      <w:r w:rsidR="00E01063">
        <w:t>This enabled</w:t>
      </w:r>
      <w:r w:rsidR="008B65F4">
        <w:t xml:space="preserve"> </w:t>
      </w:r>
      <w:r w:rsidR="003F71A2">
        <w:t xml:space="preserve">a </w:t>
      </w:r>
      <w:r w:rsidR="00697D81">
        <w:t xml:space="preserve">review of </w:t>
      </w:r>
      <w:r w:rsidR="005F6852">
        <w:t xml:space="preserve">planning and budget documents; financial forecasting for biomedical equipment and supplies; and </w:t>
      </w:r>
      <w:r w:rsidR="00697D81">
        <w:t xml:space="preserve">the development of </w:t>
      </w:r>
      <w:r w:rsidR="005F6852">
        <w:t xml:space="preserve">recommendations </w:t>
      </w:r>
      <w:r w:rsidR="00697D81">
        <w:t>on</w:t>
      </w:r>
      <w:r w:rsidR="005F6852">
        <w:t xml:space="preserve"> </w:t>
      </w:r>
      <w:r w:rsidR="006562DD">
        <w:t xml:space="preserve">areas for improvement.  </w:t>
      </w:r>
      <w:r w:rsidR="00E01063">
        <w:t xml:space="preserve">With our </w:t>
      </w:r>
      <w:r w:rsidR="00E01063" w:rsidRPr="009574B9">
        <w:t xml:space="preserve">support, </w:t>
      </w:r>
      <w:r w:rsidR="00017BE3" w:rsidRPr="009574B9">
        <w:t>MHMS</w:t>
      </w:r>
      <w:r w:rsidR="005F6852" w:rsidRPr="009574B9">
        <w:t xml:space="preserve"> </w:t>
      </w:r>
      <w:r w:rsidR="00017BE3" w:rsidRPr="009574B9">
        <w:t>implemented</w:t>
      </w:r>
      <w:r w:rsidR="00017BE3">
        <w:t xml:space="preserve"> </w:t>
      </w:r>
      <w:r>
        <w:t xml:space="preserve">training and other </w:t>
      </w:r>
      <w:r w:rsidR="00017BE3">
        <w:t>activities to</w:t>
      </w:r>
      <w:r w:rsidR="005F6852">
        <w:t xml:space="preserve"> strengthen the collection and quality of human resources data and performance reporting, giving it better tools </w:t>
      </w:r>
      <w:r w:rsidR="00786513">
        <w:t xml:space="preserve">to ensure Fijians receive high quality, patient-centred </w:t>
      </w:r>
      <w:r w:rsidR="00CD33C6">
        <w:t>health</w:t>
      </w:r>
      <w:r w:rsidR="00786513">
        <w:t xml:space="preserve"> care</w:t>
      </w:r>
      <w:r w:rsidR="00CD33C6">
        <w:t xml:space="preserve"> </w:t>
      </w:r>
      <w:r w:rsidR="00141DFB">
        <w:t>at all levels</w:t>
      </w:r>
      <w:r w:rsidR="00786513">
        <w:t xml:space="preserve">.  </w:t>
      </w:r>
      <w:r w:rsidR="00377748">
        <w:t>For example, we provided technical assistance to develop</w:t>
      </w:r>
      <w:r w:rsidR="00377748" w:rsidRPr="00377748">
        <w:t xml:space="preserve"> the </w:t>
      </w:r>
      <w:r w:rsidR="00C02DC9">
        <w:t>MHMS’s</w:t>
      </w:r>
      <w:r w:rsidR="00377748">
        <w:t xml:space="preserve"> human resources software, allowing </w:t>
      </w:r>
      <w:r w:rsidR="005417F9">
        <w:t>it</w:t>
      </w:r>
      <w:r w:rsidR="00377748" w:rsidRPr="00377748">
        <w:t xml:space="preserve"> to undertake job evaluations, </w:t>
      </w:r>
      <w:r w:rsidR="005417F9">
        <w:t>merit-</w:t>
      </w:r>
      <w:r w:rsidR="00377748" w:rsidRPr="00377748">
        <w:t>based recruitm</w:t>
      </w:r>
      <w:r w:rsidR="00377748">
        <w:t xml:space="preserve">ent and performance evaluations, </w:t>
      </w:r>
      <w:r w:rsidR="00377748" w:rsidRPr="00377748">
        <w:t>critical component</w:t>
      </w:r>
      <w:r w:rsidR="00377748">
        <w:t>s</w:t>
      </w:r>
      <w:r w:rsidR="00377748" w:rsidRPr="00377748">
        <w:t xml:space="preserve"> of Fiji’s civil service reforms</w:t>
      </w:r>
      <w:r w:rsidR="00377748">
        <w:t>.</w:t>
      </w:r>
    </w:p>
    <w:p w14:paraId="078030DD" w14:textId="574C16A5" w:rsidR="00E70BFF" w:rsidRDefault="00E70BFF" w:rsidP="006854F7">
      <w:r>
        <w:t xml:space="preserve">Extending the coverage of health services in Fiji, </w:t>
      </w:r>
      <w:r w:rsidR="00D6657F">
        <w:t>we</w:t>
      </w:r>
      <w:r>
        <w:t xml:space="preserve"> granted </w:t>
      </w:r>
      <w:r w:rsidR="0002683C">
        <w:t xml:space="preserve">five </w:t>
      </w:r>
      <w:r>
        <w:t xml:space="preserve">civil society </w:t>
      </w:r>
      <w:r w:rsidRPr="009574B9">
        <w:t>organisations</w:t>
      </w:r>
      <w:r w:rsidR="00537044" w:rsidRPr="009574B9">
        <w:t xml:space="preserve"> (</w:t>
      </w:r>
      <w:r w:rsidR="00537044" w:rsidRPr="009574B9">
        <w:rPr>
          <w:b/>
        </w:rPr>
        <w:t>CSOs</w:t>
      </w:r>
      <w:r w:rsidR="00537044" w:rsidRPr="009574B9">
        <w:t>)</w:t>
      </w:r>
      <w:r w:rsidRPr="009574B9">
        <w:t xml:space="preserve"> </w:t>
      </w:r>
      <w:r w:rsidR="0002683C" w:rsidRPr="009574B9">
        <w:t>a total</w:t>
      </w:r>
      <w:r w:rsidR="0002683C">
        <w:t xml:space="preserve"> of </w:t>
      </w:r>
      <w:r w:rsidR="008B65F4">
        <w:t>$1 </w:t>
      </w:r>
      <w:r>
        <w:t xml:space="preserve">million to deliver primary health </w:t>
      </w:r>
      <w:r w:rsidR="000536E4">
        <w:t xml:space="preserve">and public health </w:t>
      </w:r>
      <w:r w:rsidRPr="00AD09A2">
        <w:t xml:space="preserve">services </w:t>
      </w:r>
      <w:r w:rsidR="003E5214" w:rsidRPr="00AD09A2">
        <w:t xml:space="preserve">in rural </w:t>
      </w:r>
      <w:r w:rsidR="00286006" w:rsidRPr="00AD09A2">
        <w:t>and per</w:t>
      </w:r>
      <w:r w:rsidR="001C49C9" w:rsidRPr="00AD09A2">
        <w:t>i</w:t>
      </w:r>
      <w:r w:rsidR="00286006" w:rsidRPr="00AD09A2">
        <w:t xml:space="preserve">-urban </w:t>
      </w:r>
      <w:r w:rsidR="002D5782" w:rsidRPr="00AD09A2">
        <w:t>areas</w:t>
      </w:r>
      <w:r w:rsidR="003E5214" w:rsidRPr="00AD09A2">
        <w:t xml:space="preserve"> </w:t>
      </w:r>
      <w:r w:rsidRPr="00AD09A2">
        <w:t>in</w:t>
      </w:r>
      <w:r>
        <w:t xml:space="preserve"> coordination </w:t>
      </w:r>
      <w:r w:rsidRPr="00B54179">
        <w:t xml:space="preserve">with </w:t>
      </w:r>
      <w:r w:rsidR="00537044" w:rsidRPr="00B54179">
        <w:t>MHMS</w:t>
      </w:r>
      <w:r w:rsidR="00D6657F" w:rsidRPr="00B54179">
        <w:t xml:space="preserve">. </w:t>
      </w:r>
    </w:p>
    <w:p w14:paraId="5BDF3FA9" w14:textId="77777777" w:rsidR="00341FCC" w:rsidRPr="002D5782" w:rsidRDefault="00017BE3" w:rsidP="002D5782">
      <w:r>
        <w:t xml:space="preserve">Australia also supported regional initiatives </w:t>
      </w:r>
      <w:r w:rsidR="00D6657F">
        <w:t>that</w:t>
      </w:r>
      <w:r>
        <w:t xml:space="preserve"> produced positive health outcomes for Fiji.  </w:t>
      </w:r>
      <w:r w:rsidR="00D6657F">
        <w:t>Our</w:t>
      </w:r>
      <w:r>
        <w:t xml:space="preserve"> Innovation Exchange partnered with Monash University’s World Mosquito Program to support Fiji (</w:t>
      </w:r>
      <w:r w:rsidR="00D6657F">
        <w:t xml:space="preserve">and other countries) to </w:t>
      </w:r>
      <w:r>
        <w:t xml:space="preserve">reduce the transmission of mosquito-borne diseases through the </w:t>
      </w:r>
      <w:r w:rsidR="00CC15A8">
        <w:t>release of the</w:t>
      </w:r>
      <w:r>
        <w:t xml:space="preserve"> Wolbachia</w:t>
      </w:r>
      <w:r w:rsidR="00CC15A8">
        <w:t xml:space="preserve"> bacteria into the </w:t>
      </w:r>
      <w:r>
        <w:t>mosquito</w:t>
      </w:r>
      <w:r w:rsidR="00CC15A8">
        <w:t xml:space="preserve"> population</w:t>
      </w:r>
      <w:r>
        <w:t>.</w:t>
      </w:r>
      <w:r w:rsidR="00CC15A8">
        <w:t xml:space="preserve">  </w:t>
      </w:r>
    </w:p>
    <w:p w14:paraId="1E9A2B23" w14:textId="77777777" w:rsidR="00EE0809" w:rsidRPr="000A30C7" w:rsidRDefault="00EE0809" w:rsidP="000A30C7">
      <w:pPr>
        <w:rPr>
          <w:b/>
        </w:rPr>
      </w:pPr>
      <w:r w:rsidRPr="000A30C7">
        <w:rPr>
          <w:b/>
        </w:rPr>
        <w:t xml:space="preserve">(c) Gender </w:t>
      </w:r>
      <w:r w:rsidR="002B504D">
        <w:rPr>
          <w:b/>
        </w:rPr>
        <w:t xml:space="preserve">Equality </w:t>
      </w:r>
      <w:r w:rsidRPr="000A30C7">
        <w:rPr>
          <w:b/>
        </w:rPr>
        <w:t xml:space="preserve">and </w:t>
      </w:r>
      <w:r w:rsidR="003F71A2">
        <w:rPr>
          <w:b/>
        </w:rPr>
        <w:t>S</w:t>
      </w:r>
      <w:r w:rsidRPr="000A30C7">
        <w:rPr>
          <w:b/>
        </w:rPr>
        <w:t xml:space="preserve">ocial </w:t>
      </w:r>
      <w:r w:rsidR="003F71A2">
        <w:rPr>
          <w:b/>
        </w:rPr>
        <w:t>I</w:t>
      </w:r>
      <w:r w:rsidRPr="000A30C7">
        <w:rPr>
          <w:b/>
        </w:rPr>
        <w:t>nclusion</w:t>
      </w:r>
    </w:p>
    <w:p w14:paraId="1B75910B" w14:textId="77777777" w:rsidR="005875C5" w:rsidRPr="005875C5" w:rsidRDefault="005875C5" w:rsidP="00FC6C02">
      <w:pPr>
        <w:rPr>
          <w:i/>
        </w:rPr>
      </w:pPr>
      <w:r>
        <w:rPr>
          <w:i/>
        </w:rPr>
        <w:t>Gender</w:t>
      </w:r>
      <w:r w:rsidR="002B504D">
        <w:rPr>
          <w:i/>
        </w:rPr>
        <w:t xml:space="preserve"> equality</w:t>
      </w:r>
    </w:p>
    <w:p w14:paraId="084A16BC" w14:textId="66E24623" w:rsidR="00D868AC" w:rsidRDefault="00C070D9" w:rsidP="00FC6C02">
      <w:r>
        <w:t xml:space="preserve">There is strong </w:t>
      </w:r>
      <w:r w:rsidRPr="00C070D9">
        <w:t xml:space="preserve">political will </w:t>
      </w:r>
      <w:r>
        <w:t xml:space="preserve">in Fiji (demonstrated </w:t>
      </w:r>
      <w:r w:rsidR="00247629">
        <w:t>by</w:t>
      </w:r>
      <w:r>
        <w:t xml:space="preserve"> </w:t>
      </w:r>
      <w:r w:rsidR="00AA709F">
        <w:t xml:space="preserve">the NDP and </w:t>
      </w:r>
      <w:r>
        <w:t>recent legislative changes)</w:t>
      </w:r>
      <w:r w:rsidRPr="00C070D9">
        <w:t xml:space="preserve"> to</w:t>
      </w:r>
      <w:r w:rsidR="00AA709F">
        <w:t xml:space="preserve"> enhance gender equality and</w:t>
      </w:r>
      <w:r w:rsidRPr="00C070D9">
        <w:t xml:space="preserve"> addre</w:t>
      </w:r>
      <w:r>
        <w:t xml:space="preserve">ss violence against women.  </w:t>
      </w:r>
      <w:r w:rsidR="00A61451">
        <w:t xml:space="preserve">One of Fiji’s NDP goals is ‘empowering women to reach their full development potential’. </w:t>
      </w:r>
      <w:r w:rsidR="00F93EF8">
        <w:t xml:space="preserve"> </w:t>
      </w:r>
      <w:r w:rsidRPr="002B08CA">
        <w:t xml:space="preserve">There </w:t>
      </w:r>
      <w:r w:rsidR="00A61451" w:rsidRPr="002B08CA">
        <w:t xml:space="preserve">is an increasing number of </w:t>
      </w:r>
      <w:r w:rsidRPr="002B08CA">
        <w:t xml:space="preserve">women in political leadership </w:t>
      </w:r>
      <w:r w:rsidR="008921D8" w:rsidRPr="002B08CA">
        <w:t>and Fiji’s national gender policy (2014) continues to provide the policy framework for progressing gender equality and improving women’s lives.</w:t>
      </w:r>
      <w:r w:rsidRPr="002B08CA">
        <w:t xml:space="preserve"> </w:t>
      </w:r>
      <w:r w:rsidR="00667F54" w:rsidRPr="002B08CA">
        <w:t xml:space="preserve"> </w:t>
      </w:r>
      <w:r w:rsidRPr="002B08CA">
        <w:t>But gender inequality remains a</w:t>
      </w:r>
      <w:r w:rsidR="003E5214" w:rsidRPr="002B08CA">
        <w:t>n</w:t>
      </w:r>
      <w:r w:rsidR="00247629" w:rsidRPr="002B08CA">
        <w:t xml:space="preserve"> </w:t>
      </w:r>
      <w:r w:rsidR="004E7429" w:rsidRPr="002B08CA">
        <w:t>obstacle</w:t>
      </w:r>
      <w:r w:rsidRPr="002B08CA">
        <w:t xml:space="preserve"> to Fiji’s development</w:t>
      </w:r>
      <w:r w:rsidR="004E7429" w:rsidRPr="002B08CA">
        <w:t>.</w:t>
      </w:r>
      <w:r w:rsidRPr="002B08CA">
        <w:t xml:space="preserve"> </w:t>
      </w:r>
      <w:r w:rsidR="004E7429" w:rsidRPr="002B08CA">
        <w:t xml:space="preserve"> </w:t>
      </w:r>
      <w:r w:rsidRPr="002B08CA">
        <w:t xml:space="preserve">Labour force participation show gaps </w:t>
      </w:r>
      <w:r w:rsidR="003D2D0D" w:rsidRPr="002B08CA">
        <w:t>between</w:t>
      </w:r>
      <w:r w:rsidRPr="002B08CA">
        <w:t xml:space="preserve"> men (81%) </w:t>
      </w:r>
      <w:r w:rsidR="003D2D0D" w:rsidRPr="002B08CA">
        <w:t xml:space="preserve">and women (46%) </w:t>
      </w:r>
      <w:r w:rsidRPr="002B08CA">
        <w:t>em</w:t>
      </w:r>
      <w:r w:rsidR="003D2D0D" w:rsidRPr="002B08CA">
        <w:t xml:space="preserve">ployed or actively seeking </w:t>
      </w:r>
      <w:r w:rsidR="003D2D0D" w:rsidRPr="002B08CA">
        <w:lastRenderedPageBreak/>
        <w:t>work</w:t>
      </w:r>
      <w:r w:rsidR="005B43BE">
        <w:t>.</w:t>
      </w:r>
      <w:r w:rsidR="00483603" w:rsidRPr="002B08CA">
        <w:rPr>
          <w:rStyle w:val="FootnoteReference"/>
        </w:rPr>
        <w:footnoteReference w:id="9"/>
      </w:r>
      <w:r w:rsidR="00667F54" w:rsidRPr="002B08CA">
        <w:t xml:space="preserve">  </w:t>
      </w:r>
      <w:r w:rsidR="0041314C" w:rsidRPr="002B08CA">
        <w:t xml:space="preserve">Rates of violence against women in Fiji are among the highest </w:t>
      </w:r>
      <w:r w:rsidR="003D2D0D" w:rsidRPr="002B08CA">
        <w:t>globally</w:t>
      </w:r>
      <w:r w:rsidR="0041314C" w:rsidRPr="002B08CA">
        <w:t>.</w:t>
      </w:r>
      <w:r w:rsidR="0041314C" w:rsidRPr="002B08CA">
        <w:rPr>
          <w:rStyle w:val="FootnoteReference"/>
        </w:rPr>
        <w:footnoteReference w:id="10"/>
      </w:r>
      <w:r w:rsidR="0041314C" w:rsidRPr="002B08CA">
        <w:t xml:space="preserve">  </w:t>
      </w:r>
      <w:r w:rsidRPr="002B08CA">
        <w:t>Progre</w:t>
      </w:r>
      <w:r w:rsidR="004E7429" w:rsidRPr="002B08CA">
        <w:t xml:space="preserve">ssing gender equality is </w:t>
      </w:r>
      <w:r w:rsidRPr="002B08CA">
        <w:t xml:space="preserve">complex </w:t>
      </w:r>
      <w:r w:rsidR="008921D8" w:rsidRPr="002B08CA">
        <w:t>and r</w:t>
      </w:r>
      <w:r w:rsidR="00667F54" w:rsidRPr="002B08CA">
        <w:t xml:space="preserve">equires a long-term investment.  </w:t>
      </w:r>
    </w:p>
    <w:p w14:paraId="1D56E591" w14:textId="77777777" w:rsidR="00667F54" w:rsidRPr="002B08CA" w:rsidRDefault="008921D8" w:rsidP="00FC6C02">
      <w:r w:rsidRPr="002B08CA">
        <w:t>Our PAF includes several outcomes to support Fiji address challenges</w:t>
      </w:r>
      <w:r w:rsidR="00667F54" w:rsidRPr="002B08CA">
        <w:t>, including</w:t>
      </w:r>
      <w:r w:rsidRPr="002B08CA">
        <w:t xml:space="preserve"> ending violence against </w:t>
      </w:r>
      <w:r w:rsidR="00667F54" w:rsidRPr="002B08CA">
        <w:t>women</w:t>
      </w:r>
      <w:r w:rsidRPr="002B08CA">
        <w:t xml:space="preserve">, increasing women’s economic opportunities and promoting </w:t>
      </w:r>
      <w:r w:rsidR="00667F54" w:rsidRPr="002B08CA">
        <w:t>women’s leadership and decision-</w:t>
      </w:r>
      <w:r w:rsidRPr="002B08CA">
        <w:t>making roles.</w:t>
      </w:r>
      <w:r w:rsidR="00667F54" w:rsidRPr="002B08CA">
        <w:t xml:space="preserve">  </w:t>
      </w:r>
      <w:r w:rsidR="005875C5" w:rsidRPr="00AD2F99">
        <w:t xml:space="preserve">In 2017-18, </w:t>
      </w:r>
      <w:r w:rsidR="00253159" w:rsidRPr="00AD2F99">
        <w:t>63</w:t>
      </w:r>
      <w:r w:rsidR="002B08CA" w:rsidRPr="00AD2F99">
        <w:t> </w:t>
      </w:r>
      <w:r w:rsidR="00E26D5E" w:rsidRPr="00AD2F99">
        <w:t>per cent of</w:t>
      </w:r>
      <w:r w:rsidR="00253159" w:rsidRPr="00AD2F99">
        <w:t xml:space="preserve"> bilateral </w:t>
      </w:r>
      <w:r w:rsidR="00E26D5E" w:rsidRPr="00AD2F99">
        <w:t xml:space="preserve">investments </w:t>
      </w:r>
      <w:r w:rsidR="003E59C1" w:rsidRPr="00AD2F99">
        <w:t xml:space="preserve">effectively </w:t>
      </w:r>
      <w:r w:rsidR="00253159" w:rsidRPr="00AD2F99">
        <w:t>addressed</w:t>
      </w:r>
      <w:r w:rsidR="00E26D5E" w:rsidRPr="00AD2F99">
        <w:t xml:space="preserve"> gender</w:t>
      </w:r>
      <w:r w:rsidR="00253159" w:rsidRPr="00AD2F99">
        <w:t>, meaning that we fell short of our PAF target of 80 per cent</w:t>
      </w:r>
      <w:r w:rsidR="007F712A" w:rsidRPr="00AD2F99">
        <w:t>.</w:t>
      </w:r>
      <w:r w:rsidR="002A50EB" w:rsidRPr="002B08CA">
        <w:t xml:space="preserve"> </w:t>
      </w:r>
      <w:r w:rsidR="00667F54" w:rsidRPr="002B08CA">
        <w:t xml:space="preserve"> </w:t>
      </w:r>
      <w:r w:rsidR="00D868AC">
        <w:rPr>
          <w:iCs/>
        </w:rPr>
        <w:t xml:space="preserve">There was stronger performance by programs specifically targeting gender equality but weaker performance in our support for public and private sector governance, where specific interventions may be required in future to enhance gender inclusiveness.  </w:t>
      </w:r>
      <w:r w:rsidR="00D868AC">
        <w:t>Gender equality and women’s empowerment, for example, have been a lower focus of our work under the IPP, which has suffered from a lack of a robust gender strategy to guide efforts.</w:t>
      </w:r>
      <w:r w:rsidR="005417F9">
        <w:t xml:space="preserve"> </w:t>
      </w:r>
      <w:r w:rsidR="00D868AC">
        <w:t xml:space="preserve"> A new pro</w:t>
      </w:r>
      <w:r w:rsidR="00253159">
        <w:t xml:space="preserve">gram of governance support will </w:t>
      </w:r>
      <w:r w:rsidR="00D868AC">
        <w:t xml:space="preserve">be designed over the coming year and will have a strong upfront focus on achieving gender outcomes. </w:t>
      </w:r>
    </w:p>
    <w:p w14:paraId="29B1B927" w14:textId="5C7FB6F0" w:rsidR="00667F54" w:rsidRPr="002B08CA" w:rsidRDefault="00AF42A3" w:rsidP="00FC6C02">
      <w:r w:rsidRPr="002B08CA">
        <w:t>Pacific Women Shaping Pacific Development (</w:t>
      </w:r>
      <w:r w:rsidRPr="00E21938">
        <w:rPr>
          <w:b/>
        </w:rPr>
        <w:t>Pacific Women</w:t>
      </w:r>
      <w:r w:rsidRPr="002B08CA">
        <w:t xml:space="preserve">) is a long-term </w:t>
      </w:r>
      <w:r w:rsidR="001404E1" w:rsidRPr="002B08CA">
        <w:t xml:space="preserve">regional </w:t>
      </w:r>
      <w:r w:rsidRPr="002B08CA">
        <w:t xml:space="preserve">investment </w:t>
      </w:r>
      <w:r w:rsidR="000B5B38">
        <w:t xml:space="preserve">by Australia that is </w:t>
      </w:r>
      <w:r w:rsidRPr="002B08CA">
        <w:t xml:space="preserve">intended to change the behaviours, </w:t>
      </w:r>
      <w:r w:rsidR="001404E1" w:rsidRPr="002B08CA">
        <w:t>attitudes</w:t>
      </w:r>
      <w:r w:rsidRPr="002B08CA">
        <w:t xml:space="preserve"> and systems that discriminate against women.  Under the </w:t>
      </w:r>
      <w:r w:rsidR="008921D8" w:rsidRPr="002B08CA">
        <w:t xml:space="preserve">Pacific Women </w:t>
      </w:r>
      <w:r w:rsidRPr="002B08CA">
        <w:t xml:space="preserve">Fiji Country Plan, we </w:t>
      </w:r>
      <w:r w:rsidR="002B08CA" w:rsidRPr="002B08CA">
        <w:t xml:space="preserve">supported </w:t>
      </w:r>
      <w:r w:rsidR="001404E1" w:rsidRPr="002B08CA">
        <w:t>investments to enhance women’s leadership</w:t>
      </w:r>
      <w:r w:rsidR="002A50EB" w:rsidRPr="002B08CA">
        <w:t xml:space="preserve"> and economic opportunities</w:t>
      </w:r>
      <w:r w:rsidR="001404E1" w:rsidRPr="002B08CA">
        <w:t xml:space="preserve"> </w:t>
      </w:r>
      <w:r w:rsidR="002A50EB" w:rsidRPr="002B08CA">
        <w:t xml:space="preserve">and </w:t>
      </w:r>
      <w:r w:rsidR="001404E1" w:rsidRPr="002B08CA">
        <w:t xml:space="preserve">increase access to services and activities to </w:t>
      </w:r>
      <w:r w:rsidR="002A50EB" w:rsidRPr="002B08CA">
        <w:t>end</w:t>
      </w:r>
      <w:r w:rsidR="001404E1" w:rsidRPr="002B08CA">
        <w:t xml:space="preserve"> violence against women</w:t>
      </w:r>
      <w:r w:rsidR="00667F54" w:rsidRPr="002B08CA">
        <w:t xml:space="preserve">.  </w:t>
      </w:r>
      <w:r w:rsidR="00747871" w:rsidRPr="002B08CA">
        <w:t>A</w:t>
      </w:r>
      <w:r w:rsidR="00747871" w:rsidRPr="002B08CA">
        <w:rPr>
          <w:iCs/>
        </w:rPr>
        <w:t xml:space="preserve"> </w:t>
      </w:r>
      <w:r w:rsidR="003E5214" w:rsidRPr="002B08CA">
        <w:rPr>
          <w:iCs/>
        </w:rPr>
        <w:t xml:space="preserve">2017 </w:t>
      </w:r>
      <w:r w:rsidR="00747871" w:rsidRPr="002B08CA">
        <w:rPr>
          <w:iCs/>
        </w:rPr>
        <w:t>r</w:t>
      </w:r>
      <w:r w:rsidR="00DC5435" w:rsidRPr="002B08CA">
        <w:rPr>
          <w:iCs/>
        </w:rPr>
        <w:t xml:space="preserve">eview found </w:t>
      </w:r>
      <w:r w:rsidR="008921D8" w:rsidRPr="002B08CA">
        <w:rPr>
          <w:iCs/>
        </w:rPr>
        <w:t>evidence of expanding women’s wo</w:t>
      </w:r>
      <w:r w:rsidR="002B08CA">
        <w:rPr>
          <w:iCs/>
        </w:rPr>
        <w:t>rk choices and women’s decision-</w:t>
      </w:r>
      <w:r w:rsidR="008921D8" w:rsidRPr="002B08CA">
        <w:rPr>
          <w:iCs/>
        </w:rPr>
        <w:t>making at household and community levels.</w:t>
      </w:r>
      <w:r w:rsidR="00DC5435" w:rsidRPr="002B08CA">
        <w:rPr>
          <w:iCs/>
        </w:rPr>
        <w:t xml:space="preserve">  </w:t>
      </w:r>
      <w:r w:rsidR="00667F54" w:rsidRPr="002B08CA">
        <w:t>There was limited evidence, however, of increased incomes for women or of women influencing decision-making, despite more women in leadership positions</w:t>
      </w:r>
      <w:r w:rsidR="00597043">
        <w:t>.</w:t>
      </w:r>
      <w:r w:rsidR="00597043" w:rsidRPr="002B08CA">
        <w:rPr>
          <w:rStyle w:val="FootnoteReference"/>
          <w:iCs/>
        </w:rPr>
        <w:footnoteReference w:id="11"/>
      </w:r>
      <w:r w:rsidR="007E4F99">
        <w:t xml:space="preserve"> The program</w:t>
      </w:r>
      <w:r w:rsidR="00086D42">
        <w:t xml:space="preserve"> will revise</w:t>
      </w:r>
      <w:r w:rsidR="007E4F99">
        <w:t xml:space="preserve"> its monitoring and evaluation framework to integrate relevant indicators </w:t>
      </w:r>
      <w:r w:rsidR="00086D42">
        <w:t>to better track these outcome areas and develop clearer guidance for partners working on women’s economic opp</w:t>
      </w:r>
      <w:r w:rsidR="00C02DC9">
        <w:t>ortunities and women’s decision-</w:t>
      </w:r>
      <w:r w:rsidR="00086D42">
        <w:t>making.</w:t>
      </w:r>
    </w:p>
    <w:p w14:paraId="2218DFF7" w14:textId="77777777" w:rsidR="009A5410" w:rsidRDefault="00534E42" w:rsidP="00FC6C02">
      <w:r w:rsidRPr="002B08CA">
        <w:t xml:space="preserve">In 2017, through </w:t>
      </w:r>
      <w:r w:rsidR="005830DC">
        <w:t xml:space="preserve">our </w:t>
      </w:r>
      <w:r w:rsidRPr="002B08CA">
        <w:t>support to the Fiji Women's Crisis Centre (</w:t>
      </w:r>
      <w:r w:rsidRPr="00E21938">
        <w:rPr>
          <w:b/>
        </w:rPr>
        <w:t>FWCC</w:t>
      </w:r>
      <w:r w:rsidRPr="002B08CA">
        <w:t>) and Medical Services Pacific, 3,</w:t>
      </w:r>
      <w:r w:rsidR="006234A1">
        <w:t>306</w:t>
      </w:r>
      <w:r w:rsidRPr="002B08CA">
        <w:t xml:space="preserve"> women survivors of violence (including 29 with disabilities) received counselling, legal and medical services.</w:t>
      </w:r>
      <w:r w:rsidR="005830DC">
        <w:t xml:space="preserve"> This result substantially exceeded our PAF target of 2800 women.</w:t>
      </w:r>
      <w:r w:rsidRPr="002B08CA">
        <w:t xml:space="preserve">  As part of efforts to expand support services and enhance operations, FWCC opened </w:t>
      </w:r>
      <w:r w:rsidR="002B08CA">
        <w:t>its</w:t>
      </w:r>
      <w:r w:rsidRPr="002B08CA">
        <w:t xml:space="preserve"> new centre and shelter in Ba. </w:t>
      </w:r>
      <w:r w:rsidR="00747871" w:rsidRPr="002B08CA">
        <w:t xml:space="preserve"> </w:t>
      </w:r>
      <w:r w:rsidR="001404E1" w:rsidRPr="002B08CA">
        <w:t xml:space="preserve">FWCC reported </w:t>
      </w:r>
      <w:r w:rsidR="000F190C">
        <w:t xml:space="preserve">some </w:t>
      </w:r>
      <w:r w:rsidR="001404E1" w:rsidRPr="002B08CA">
        <w:t>evidence of behaviour change among beneficiaries with village leaders trained by FWCC including more women in decision-making.</w:t>
      </w:r>
      <w:r w:rsidR="001404E1" w:rsidRPr="00FC6C02">
        <w:t xml:space="preserve">  </w:t>
      </w:r>
    </w:p>
    <w:p w14:paraId="2F54D58E" w14:textId="77777777" w:rsidR="001404E1" w:rsidRDefault="004B055C" w:rsidP="00FC6C02">
      <w:r w:rsidRPr="009A5410">
        <w:t xml:space="preserve">A major achievement was the </w:t>
      </w:r>
      <w:r w:rsidR="002A50EB">
        <w:t xml:space="preserve">Government of Fiji </w:t>
      </w:r>
      <w:r w:rsidR="002B18F0" w:rsidRPr="009101D3">
        <w:t>passing its first National Service Delivery Protoc</w:t>
      </w:r>
      <w:r w:rsidR="009A5410" w:rsidRPr="009101D3">
        <w:t>o</w:t>
      </w:r>
      <w:r w:rsidR="002B18F0" w:rsidRPr="009101D3">
        <w:t>l on gender</w:t>
      </w:r>
      <w:r w:rsidR="009101D3">
        <w:t>-</w:t>
      </w:r>
      <w:r w:rsidR="002B18F0" w:rsidRPr="009101D3">
        <w:t>based violence in January</w:t>
      </w:r>
      <w:r w:rsidR="001F2073">
        <w:t xml:space="preserve"> 2018</w:t>
      </w:r>
      <w:r w:rsidR="002B18F0" w:rsidRPr="009101D3">
        <w:t xml:space="preserve">. </w:t>
      </w:r>
      <w:r w:rsidR="00E265A5">
        <w:t xml:space="preserve"> </w:t>
      </w:r>
      <w:r w:rsidR="00534E42">
        <w:t>The Protocol</w:t>
      </w:r>
      <w:r w:rsidR="00C803E5">
        <w:t xml:space="preserve">, which </w:t>
      </w:r>
      <w:r w:rsidR="00C803E5" w:rsidRPr="009101D3">
        <w:t xml:space="preserve">was developed </w:t>
      </w:r>
      <w:r w:rsidR="00C803E5">
        <w:t>by</w:t>
      </w:r>
      <w:r w:rsidR="00C803E5" w:rsidRPr="009101D3">
        <w:t xml:space="preserve"> partners </w:t>
      </w:r>
      <w:r w:rsidR="00C803E5">
        <w:t>supported by Australia,</w:t>
      </w:r>
      <w:r w:rsidR="00C803E5" w:rsidRPr="009101D3">
        <w:t xml:space="preserve"> </w:t>
      </w:r>
      <w:r w:rsidR="002B18F0" w:rsidRPr="009101D3">
        <w:t>outlines standard operating procedures and guidelines for an inter</w:t>
      </w:r>
      <w:r w:rsidR="009A5410" w:rsidRPr="009101D3">
        <w:t>-agency response to gender</w:t>
      </w:r>
      <w:r w:rsidR="009101D3">
        <w:t>-</w:t>
      </w:r>
      <w:r w:rsidR="009A5410" w:rsidRPr="009101D3">
        <w:t xml:space="preserve">based violence cases, with </w:t>
      </w:r>
      <w:r w:rsidR="009101D3">
        <w:t xml:space="preserve">a </w:t>
      </w:r>
      <w:r w:rsidR="009A5410" w:rsidRPr="009101D3">
        <w:t>particular fo</w:t>
      </w:r>
      <w:r w:rsidR="00697D81">
        <w:t xml:space="preserve">cus on health, social services and </w:t>
      </w:r>
      <w:r w:rsidR="00DB2690">
        <w:t xml:space="preserve">the </w:t>
      </w:r>
      <w:r w:rsidR="009A5410" w:rsidRPr="009101D3">
        <w:t>ju</w:t>
      </w:r>
      <w:r w:rsidR="00E01063">
        <w:t>s</w:t>
      </w:r>
      <w:r w:rsidR="00697D81">
        <w:t>tice sector</w:t>
      </w:r>
      <w:r w:rsidR="009A5410" w:rsidRPr="009101D3">
        <w:t>.</w:t>
      </w:r>
      <w:r w:rsidR="00E265A5">
        <w:t xml:space="preserve"> </w:t>
      </w:r>
      <w:r w:rsidR="009A5410" w:rsidRPr="009101D3">
        <w:t xml:space="preserve"> </w:t>
      </w:r>
    </w:p>
    <w:p w14:paraId="649185B8" w14:textId="259FBC6F" w:rsidR="000A30C7" w:rsidRPr="009101D3" w:rsidRDefault="000A30C7" w:rsidP="00E01063">
      <w:r>
        <w:t xml:space="preserve">An </w:t>
      </w:r>
      <w:r w:rsidR="00D868AC">
        <w:t xml:space="preserve">Office of Development Effectiveness </w:t>
      </w:r>
      <w:r w:rsidR="00D868AC" w:rsidRPr="00D868AC">
        <w:t>(</w:t>
      </w:r>
      <w:r w:rsidR="00D868AC" w:rsidRPr="00D868AC">
        <w:rPr>
          <w:b/>
        </w:rPr>
        <w:t>ODE</w:t>
      </w:r>
      <w:r w:rsidR="00D868AC" w:rsidRPr="00D868AC">
        <w:t>)</w:t>
      </w:r>
      <w:r>
        <w:t xml:space="preserve"> evaluation of Australia’s development assistance to end violence against women found evidence of promising practices in the Fiji </w:t>
      </w:r>
      <w:r w:rsidR="001149C6">
        <w:t>P</w:t>
      </w:r>
      <w:r w:rsidR="002A50EB">
        <w:t>rogram</w:t>
      </w:r>
      <w:r w:rsidR="00E01063">
        <w:t xml:space="preserve">.  These included </w:t>
      </w:r>
      <w:r w:rsidRPr="009101D3">
        <w:t xml:space="preserve">bringing in a broad range of actors to </w:t>
      </w:r>
      <w:r w:rsidR="00F129F4">
        <w:t xml:space="preserve">ending violence against women </w:t>
      </w:r>
      <w:r w:rsidRPr="009101D3">
        <w:t>programming, in parti</w:t>
      </w:r>
      <w:r w:rsidR="00BA6DDE">
        <w:t>cular faith-based</w:t>
      </w:r>
      <w:r w:rsidR="002B08CA">
        <w:t xml:space="preserve"> organisations</w:t>
      </w:r>
      <w:r w:rsidR="00E01063">
        <w:t xml:space="preserve"> and </w:t>
      </w:r>
      <w:r w:rsidRPr="009101D3">
        <w:t>community-based sporting programs that offer</w:t>
      </w:r>
      <w:r w:rsidR="005C0DAC">
        <w:t>ed</w:t>
      </w:r>
      <w:r w:rsidRPr="009101D3">
        <w:t xml:space="preserve"> entry points to local communities and demonstrate</w:t>
      </w:r>
      <w:r w:rsidR="00D6657F">
        <w:t>d</w:t>
      </w:r>
      <w:r w:rsidRPr="009101D3">
        <w:t xml:space="preserve"> </w:t>
      </w:r>
      <w:r w:rsidR="00E01063">
        <w:t>participatory approaches.</w:t>
      </w:r>
      <w:r w:rsidR="001F2073">
        <w:t xml:space="preserve">  </w:t>
      </w:r>
      <w:r w:rsidR="00E01063">
        <w:t xml:space="preserve">The evaluation also remarked on the </w:t>
      </w:r>
      <w:r w:rsidRPr="009101D3">
        <w:t xml:space="preserve">establishment of the Fiji Women’s Fund, an innovative and flexible funding mechanism that has expanded </w:t>
      </w:r>
      <w:r w:rsidR="00D868AC">
        <w:t>our</w:t>
      </w:r>
      <w:r w:rsidRPr="009101D3">
        <w:t xml:space="preserve"> reach</w:t>
      </w:r>
      <w:r w:rsidR="00E01063">
        <w:t xml:space="preserve">.  The Fund is now </w:t>
      </w:r>
      <w:r w:rsidR="004B055C" w:rsidRPr="009101D3">
        <w:t>leveraging funds</w:t>
      </w:r>
      <w:r w:rsidR="002A50EB">
        <w:t xml:space="preserve"> from other donors (for example,</w:t>
      </w:r>
      <w:r w:rsidR="004B055C" w:rsidRPr="009101D3">
        <w:t xml:space="preserve"> </w:t>
      </w:r>
      <w:r w:rsidR="002B18F0" w:rsidRPr="009101D3">
        <w:t xml:space="preserve">from Urgent Action Fund </w:t>
      </w:r>
      <w:r w:rsidR="00E01063">
        <w:t>for</w:t>
      </w:r>
      <w:r w:rsidR="004B055C" w:rsidRPr="009101D3">
        <w:t xml:space="preserve"> </w:t>
      </w:r>
      <w:r w:rsidR="009A5410" w:rsidRPr="009101D3">
        <w:t xml:space="preserve">joint </w:t>
      </w:r>
      <w:r w:rsidR="004B055C" w:rsidRPr="009101D3">
        <w:t>research on</w:t>
      </w:r>
      <w:r w:rsidR="002B18F0" w:rsidRPr="009101D3">
        <w:t xml:space="preserve"> Pacific philanthropy</w:t>
      </w:r>
      <w:r w:rsidR="002A50EB">
        <w:t>)</w:t>
      </w:r>
      <w:r w:rsidR="004B055C" w:rsidRPr="009101D3">
        <w:t xml:space="preserve">. </w:t>
      </w:r>
    </w:p>
    <w:p w14:paraId="3DC3DB94" w14:textId="77777777" w:rsidR="00D31766" w:rsidRDefault="00D6657F" w:rsidP="00D31766">
      <w:r>
        <w:t xml:space="preserve">Through our support, the </w:t>
      </w:r>
      <w:r w:rsidR="00D31766">
        <w:t>femLINKpacific</w:t>
      </w:r>
      <w:r>
        <w:t xml:space="preserve"> </w:t>
      </w:r>
      <w:r w:rsidR="003B03FC">
        <w:t>project</w:t>
      </w:r>
      <w:r w:rsidR="00D31766">
        <w:t xml:space="preserve"> enabled women </w:t>
      </w:r>
      <w:r w:rsidR="005D03A4">
        <w:t>to better</w:t>
      </w:r>
      <w:r w:rsidR="00D31766">
        <w:t xml:space="preserve"> influence national disaster management processes and to use information and communication links to reach rural and urban women, their communities and decision</w:t>
      </w:r>
      <w:r w:rsidR="00E265A5">
        <w:t>-</w:t>
      </w:r>
      <w:r w:rsidR="00D31766">
        <w:t xml:space="preserve">making bodies. </w:t>
      </w:r>
      <w:r w:rsidR="005D03A4">
        <w:t xml:space="preserve"> The project</w:t>
      </w:r>
      <w:r w:rsidR="00D31766">
        <w:t xml:space="preserve"> worked with 349 women leaders representing 31,180 network members including people with </w:t>
      </w:r>
      <w:r w:rsidR="00F93EF8">
        <w:t xml:space="preserve">a </w:t>
      </w:r>
      <w:r w:rsidR="00D31766">
        <w:t xml:space="preserve">disability and the LGBTQI </w:t>
      </w:r>
      <w:r w:rsidR="005D03A4">
        <w:t xml:space="preserve">community.  Through the network, </w:t>
      </w:r>
      <w:r w:rsidR="00D31766">
        <w:t xml:space="preserve">leaders and members receive and share information via accessible ICT platforms with a strong focus on preparedness and linkages to food and water security. </w:t>
      </w:r>
    </w:p>
    <w:p w14:paraId="1DCBA0A6" w14:textId="77777777" w:rsidR="0017176C" w:rsidRPr="00FC6C02" w:rsidRDefault="00D31766" w:rsidP="00B25D9F">
      <w:r w:rsidRPr="005C0DAC">
        <w:lastRenderedPageBreak/>
        <w:t>Through</w:t>
      </w:r>
      <w:r w:rsidR="00C803E5" w:rsidRPr="005C0DAC">
        <w:t xml:space="preserve"> our support for</w:t>
      </w:r>
      <w:r w:rsidR="00C803E5">
        <w:t xml:space="preserve"> </w:t>
      </w:r>
      <w:r>
        <w:t>UN Women Markets for Change (</w:t>
      </w:r>
      <w:r w:rsidRPr="009574B9">
        <w:rPr>
          <w:b/>
        </w:rPr>
        <w:t>M4C</w:t>
      </w:r>
      <w:r>
        <w:t xml:space="preserve">), there has been </w:t>
      </w:r>
      <w:r w:rsidR="00D6657F">
        <w:t xml:space="preserve">an </w:t>
      </w:r>
      <w:r>
        <w:t>increase in women participating in market vendor associati</w:t>
      </w:r>
      <w:r w:rsidR="00C803E5">
        <w:t xml:space="preserve">ons’ decision-making processes with an </w:t>
      </w:r>
      <w:r>
        <w:t xml:space="preserve">additional 368 women </w:t>
      </w:r>
      <w:r w:rsidR="00C803E5">
        <w:t>in Fiji joining</w:t>
      </w:r>
      <w:r>
        <w:t xml:space="preserve"> market associations</w:t>
      </w:r>
      <w:r w:rsidR="00C803E5">
        <w:t xml:space="preserve"> during the reporting period</w:t>
      </w:r>
      <w:r>
        <w:t>.</w:t>
      </w:r>
      <w:r w:rsidR="0041314C">
        <w:t xml:space="preserve">  </w:t>
      </w:r>
      <w:r w:rsidR="00FC6C02" w:rsidRPr="00FC6C02">
        <w:t xml:space="preserve">MDF </w:t>
      </w:r>
      <w:r w:rsidR="00822559">
        <w:t>measures program progress towards</w:t>
      </w:r>
      <w:r w:rsidR="00FC6C02" w:rsidRPr="00FC6C02">
        <w:t xml:space="preserve"> women’s economic empowerment </w:t>
      </w:r>
      <w:r w:rsidR="00822559">
        <w:t>indicators</w:t>
      </w:r>
      <w:r w:rsidR="00FC6C02" w:rsidRPr="00FC6C02">
        <w:t xml:space="preserve"> and </w:t>
      </w:r>
      <w:r w:rsidR="00822559">
        <w:t>its</w:t>
      </w:r>
      <w:r w:rsidR="00822559" w:rsidRPr="00FC6C02">
        <w:t xml:space="preserve"> </w:t>
      </w:r>
      <w:r w:rsidR="00FC6C02" w:rsidRPr="00FC6C02">
        <w:t>staff are trained to c</w:t>
      </w:r>
      <w:r w:rsidR="00706F0D">
        <w:t xml:space="preserve">ollect sex-disaggregated data.  </w:t>
      </w:r>
      <w:r w:rsidR="005C0DAC">
        <w:t>Forty- nine per </w:t>
      </w:r>
      <w:r w:rsidR="00706F0D" w:rsidRPr="00FC6C02">
        <w:t xml:space="preserve">cent of the program’s beneficiaries at November 2017 were women.  </w:t>
      </w:r>
    </w:p>
    <w:p w14:paraId="27DEB8A7" w14:textId="77777777" w:rsidR="005875C5" w:rsidRPr="005875C5" w:rsidRDefault="005875C5" w:rsidP="00FE6EA0">
      <w:pPr>
        <w:rPr>
          <w:i/>
        </w:rPr>
      </w:pPr>
      <w:r>
        <w:rPr>
          <w:i/>
        </w:rPr>
        <w:t>Disability</w:t>
      </w:r>
      <w:r w:rsidR="00E05EF5">
        <w:rPr>
          <w:i/>
        </w:rPr>
        <w:t xml:space="preserve"> inclusion</w:t>
      </w:r>
    </w:p>
    <w:p w14:paraId="265EA8EC" w14:textId="22928BFA" w:rsidR="009D5B4F" w:rsidRDefault="00AB09D3" w:rsidP="00DC5435">
      <w:r>
        <w:t>In 2017-18, the Fiji Program sought to</w:t>
      </w:r>
      <w:r w:rsidR="005875C5">
        <w:t xml:space="preserve"> enhance the participation of people with disabilities as contributors, leaders and decision</w:t>
      </w:r>
      <w:r>
        <w:t>-makers in their communities and</w:t>
      </w:r>
      <w:r w:rsidR="005875C5">
        <w:t xml:space="preserve"> improve equity of access </w:t>
      </w:r>
      <w:r w:rsidR="003E59C1">
        <w:t>for</w:t>
      </w:r>
      <w:r w:rsidR="005875C5">
        <w:t xml:space="preserve"> people with disabilities to benefit fro</w:t>
      </w:r>
      <w:r>
        <w:t>m our bilateral aid investments</w:t>
      </w:r>
      <w:r w:rsidR="005875C5" w:rsidRPr="005E3D50">
        <w:t>.</w:t>
      </w:r>
      <w:r w:rsidR="009D5B4F">
        <w:t xml:space="preserve">  </w:t>
      </w:r>
      <w:r w:rsidR="009D5B4F" w:rsidRPr="00AD2F99">
        <w:t xml:space="preserve">During the reporting period, 50 per cent of investments </w:t>
      </w:r>
      <w:r w:rsidR="00253159" w:rsidRPr="00AD2F99">
        <w:t xml:space="preserve">met our PAF outcomes, substantially lower than our target of </w:t>
      </w:r>
      <w:r w:rsidR="009D5B4F" w:rsidRPr="00AD2F99">
        <w:t>80 per cent.</w:t>
      </w:r>
      <w:r w:rsidR="009D5B4F">
        <w:t xml:space="preserve">  </w:t>
      </w:r>
      <w:r w:rsidR="00253159">
        <w:t xml:space="preserve">The Fiji Program has nonetheless </w:t>
      </w:r>
      <w:r w:rsidR="0047232E">
        <w:t xml:space="preserve">demonstrated commitment to </w:t>
      </w:r>
      <w:r w:rsidR="009D5B4F">
        <w:t>disability</w:t>
      </w:r>
      <w:r w:rsidR="00253159">
        <w:t xml:space="preserve"> inclusion and</w:t>
      </w:r>
      <w:r w:rsidR="00AB795A">
        <w:t xml:space="preserve"> is</w:t>
      </w:r>
      <w:r w:rsidR="00253159">
        <w:t xml:space="preserve"> improving our performance in this regard</w:t>
      </w:r>
      <w:r w:rsidR="00D868AC">
        <w:t xml:space="preserve">.  </w:t>
      </w:r>
    </w:p>
    <w:p w14:paraId="18833FCD" w14:textId="1D0D912F" w:rsidR="00AB09D3" w:rsidRDefault="00D868AC" w:rsidP="00DC5435">
      <w:r>
        <w:t>During an</w:t>
      </w:r>
      <w:r w:rsidR="0047232E">
        <w:t xml:space="preserve"> evaluation of disability inclusion in </w:t>
      </w:r>
      <w:r>
        <w:t>Australia’s</w:t>
      </w:r>
      <w:r w:rsidR="0047232E">
        <w:t xml:space="preserve"> Aid Program in</w:t>
      </w:r>
      <w:r w:rsidR="00F70DE3">
        <w:t xml:space="preserve"> </w:t>
      </w:r>
      <w:r w:rsidR="00AB09D3">
        <w:t xml:space="preserve">November </w:t>
      </w:r>
      <w:r w:rsidR="00F70DE3">
        <w:t xml:space="preserve">2017, </w:t>
      </w:r>
      <w:r w:rsidR="00AB09D3">
        <w:t>ODE</w:t>
      </w:r>
      <w:r w:rsidR="00F70DE3">
        <w:t xml:space="preserve"> </w:t>
      </w:r>
      <w:r w:rsidR="00FE6EA0">
        <w:t>received positive stakeholder feedback abou</w:t>
      </w:r>
      <w:r w:rsidR="0047232E">
        <w:t xml:space="preserve">t </w:t>
      </w:r>
      <w:r>
        <w:t>our</w:t>
      </w:r>
      <w:r w:rsidR="0047232E">
        <w:t xml:space="preserve"> </w:t>
      </w:r>
      <w:r w:rsidR="005417F9">
        <w:t>support</w:t>
      </w:r>
      <w:r w:rsidR="0047232E">
        <w:t xml:space="preserve"> in </w:t>
      </w:r>
      <w:r w:rsidR="00FE6EA0">
        <w:t>Fiji</w:t>
      </w:r>
      <w:r w:rsidR="00F70DE3">
        <w:t>.  It identified tha</w:t>
      </w:r>
      <w:r w:rsidR="005D03A4">
        <w:t xml:space="preserve">t senior officials at </w:t>
      </w:r>
      <w:r w:rsidR="00F64417">
        <w:t>the Australian High Commission in Suva</w:t>
      </w:r>
      <w:r w:rsidR="005D03A4">
        <w:t xml:space="preserve"> </w:t>
      </w:r>
      <w:r w:rsidR="00F70DE3">
        <w:t xml:space="preserve">provided strong leadership and delivered consistent messages about </w:t>
      </w:r>
      <w:r w:rsidR="005D03A4">
        <w:t>the</w:t>
      </w:r>
      <w:r w:rsidR="00F70DE3">
        <w:t xml:space="preserve"> importance </w:t>
      </w:r>
      <w:r w:rsidR="005D03A4">
        <w:t xml:space="preserve">of disability inclusion </w:t>
      </w:r>
      <w:r w:rsidR="00F70DE3">
        <w:t xml:space="preserve">to </w:t>
      </w:r>
      <w:r w:rsidR="00AB09D3">
        <w:t xml:space="preserve">multilateral and regional partners, contractors, the partner government and other stakeholders. </w:t>
      </w:r>
    </w:p>
    <w:p w14:paraId="7E335BAF" w14:textId="77777777" w:rsidR="00EC0554" w:rsidRPr="00EC0554" w:rsidRDefault="00FE6EA0" w:rsidP="00DC5435">
      <w:pPr>
        <w:rPr>
          <w:iCs/>
        </w:rPr>
      </w:pPr>
      <w:r w:rsidRPr="00FC6C02">
        <w:t xml:space="preserve">Pacific Women in Fiji </w:t>
      </w:r>
      <w:r w:rsidR="005875C5">
        <w:t>strengthened</w:t>
      </w:r>
      <w:r w:rsidRPr="00FC6C02">
        <w:t xml:space="preserve"> </w:t>
      </w:r>
      <w:r w:rsidR="005875C5">
        <w:t xml:space="preserve">its </w:t>
      </w:r>
      <w:r w:rsidRPr="00FC6C02">
        <w:t>performance on disability inclusiveness</w:t>
      </w:r>
      <w:r w:rsidR="002A50EB">
        <w:t xml:space="preserve">, </w:t>
      </w:r>
      <w:r w:rsidRPr="00FC6C02">
        <w:t xml:space="preserve">increasing engagement with </w:t>
      </w:r>
      <w:r w:rsidR="002A50EB">
        <w:t>d</w:t>
      </w:r>
      <w:r w:rsidR="0002683C">
        <w:t xml:space="preserve">isabled </w:t>
      </w:r>
      <w:r w:rsidR="002A50EB">
        <w:t>p</w:t>
      </w:r>
      <w:r w:rsidR="0002683C">
        <w:t xml:space="preserve">eople </w:t>
      </w:r>
      <w:r w:rsidR="002A50EB">
        <w:t>o</w:t>
      </w:r>
      <w:r w:rsidR="0002683C">
        <w:t>rganisation</w:t>
      </w:r>
      <w:r w:rsidRPr="00FC6C02">
        <w:t>s</w:t>
      </w:r>
      <w:r w:rsidR="007F39B4">
        <w:t xml:space="preserve"> (</w:t>
      </w:r>
      <w:r w:rsidR="007F39B4" w:rsidRPr="009574B9">
        <w:rPr>
          <w:b/>
        </w:rPr>
        <w:t>DPOs</w:t>
      </w:r>
      <w:r w:rsidR="007F39B4">
        <w:t>)</w:t>
      </w:r>
      <w:r w:rsidR="009101D3">
        <w:t xml:space="preserve"> </w:t>
      </w:r>
      <w:r w:rsidRPr="00FC6C02">
        <w:t xml:space="preserve">and promoting opportunities to increase </w:t>
      </w:r>
      <w:r w:rsidR="00F93EF8">
        <w:t xml:space="preserve">the </w:t>
      </w:r>
      <w:r w:rsidRPr="00FC6C02">
        <w:t>participation of peopl</w:t>
      </w:r>
      <w:r w:rsidR="00597043">
        <w:t>e with disabilities, especially</w:t>
      </w:r>
      <w:r w:rsidRPr="00FC6C02">
        <w:t xml:space="preserve"> women with disabilities.  </w:t>
      </w:r>
      <w:r w:rsidR="005875C5">
        <w:t>T</w:t>
      </w:r>
      <w:r w:rsidRPr="00FC6C02">
        <w:t>he Fiji Women's Fund implemented a temporary</w:t>
      </w:r>
      <w:r w:rsidR="0047232E">
        <w:t xml:space="preserve"> special measure to allocate 10 </w:t>
      </w:r>
      <w:r w:rsidRPr="00FC6C02">
        <w:t xml:space="preserve">per cent of </w:t>
      </w:r>
      <w:r w:rsidR="00F93EF8">
        <w:t xml:space="preserve">the </w:t>
      </w:r>
      <w:r w:rsidRPr="00FC6C02">
        <w:t>annual grant funding budget to support disability-focused groups, especially those work</w:t>
      </w:r>
      <w:r w:rsidR="001F4689">
        <w:t>ing</w:t>
      </w:r>
      <w:r w:rsidRPr="00FC6C02">
        <w:t xml:space="preserve"> with women with disabilities</w:t>
      </w:r>
      <w:r w:rsidR="0002683C">
        <w:t xml:space="preserve"> to increase engagement and strengthen capacity</w:t>
      </w:r>
      <w:r w:rsidRPr="00FC6C02">
        <w:t xml:space="preserve">.  </w:t>
      </w:r>
      <w:r w:rsidR="005D03A4">
        <w:t xml:space="preserve"> </w:t>
      </w:r>
    </w:p>
    <w:p w14:paraId="13513BF8" w14:textId="77777777" w:rsidR="00D76D4A" w:rsidRPr="00C803E5" w:rsidRDefault="00E26D5E" w:rsidP="00640A4A">
      <w:r>
        <w:t>Performance</w:t>
      </w:r>
      <w:r w:rsidR="005D03A4">
        <w:t xml:space="preserve"> on disability inclusion</w:t>
      </w:r>
      <w:r>
        <w:t xml:space="preserve"> was </w:t>
      </w:r>
      <w:r w:rsidR="005D03A4">
        <w:t>weaker</w:t>
      </w:r>
      <w:r>
        <w:t xml:space="preserve"> in </w:t>
      </w:r>
      <w:r w:rsidR="005D03A4">
        <w:t xml:space="preserve">the areas of </w:t>
      </w:r>
      <w:r>
        <w:t xml:space="preserve">private sector and economic governance.  A focus for </w:t>
      </w:r>
      <w:r w:rsidR="007F39B4">
        <w:t>relevant</w:t>
      </w:r>
      <w:r>
        <w:t xml:space="preserve"> investments in 2018-19 will be to improve </w:t>
      </w:r>
      <w:r w:rsidR="005875C5">
        <w:t xml:space="preserve">disability inclusion </w:t>
      </w:r>
      <w:r>
        <w:t xml:space="preserve">through specific interventions to improve reach and impact, </w:t>
      </w:r>
      <w:r w:rsidR="001F4689">
        <w:t xml:space="preserve">developed and implemented </w:t>
      </w:r>
      <w:r>
        <w:t xml:space="preserve">in consultation with </w:t>
      </w:r>
      <w:r w:rsidR="007F39B4">
        <w:t>DPOs.</w:t>
      </w:r>
      <w:r w:rsidR="00586ADE" w:rsidRPr="00586ADE">
        <w:rPr>
          <w:iCs/>
        </w:rPr>
        <w:t xml:space="preserve"> </w:t>
      </w:r>
      <w:r w:rsidR="00586ADE">
        <w:rPr>
          <w:iCs/>
        </w:rPr>
        <w:t xml:space="preserve"> For example, </w:t>
      </w:r>
      <w:r w:rsidR="00586ADE" w:rsidRPr="00D7036C">
        <w:rPr>
          <w:iCs/>
        </w:rPr>
        <w:t xml:space="preserve">MDF will develop guidance to inform </w:t>
      </w:r>
      <w:r w:rsidR="00586ADE">
        <w:rPr>
          <w:iCs/>
        </w:rPr>
        <w:t xml:space="preserve">activity development and the </w:t>
      </w:r>
      <w:r w:rsidR="00586ADE" w:rsidRPr="00D7036C">
        <w:rPr>
          <w:iCs/>
        </w:rPr>
        <w:t xml:space="preserve">IFC </w:t>
      </w:r>
      <w:r w:rsidR="00586ADE">
        <w:rPr>
          <w:iCs/>
        </w:rPr>
        <w:t xml:space="preserve">Partnership </w:t>
      </w:r>
      <w:r w:rsidR="00586ADE" w:rsidRPr="00D7036C">
        <w:rPr>
          <w:iCs/>
        </w:rPr>
        <w:t xml:space="preserve">will </w:t>
      </w:r>
      <w:r w:rsidR="00586ADE">
        <w:rPr>
          <w:iCs/>
        </w:rPr>
        <w:t>find</w:t>
      </w:r>
      <w:r w:rsidR="00586ADE" w:rsidRPr="00D7036C">
        <w:rPr>
          <w:iCs/>
        </w:rPr>
        <w:t xml:space="preserve"> </w:t>
      </w:r>
      <w:r w:rsidR="00586ADE">
        <w:rPr>
          <w:iCs/>
        </w:rPr>
        <w:t>specific ways</w:t>
      </w:r>
      <w:r w:rsidR="00586ADE" w:rsidRPr="00D7036C">
        <w:rPr>
          <w:iCs/>
        </w:rPr>
        <w:t xml:space="preserve"> to promote disability outcomes within the housing and women's economic empowerment streams</w:t>
      </w:r>
      <w:r w:rsidR="00586ADE">
        <w:rPr>
          <w:iCs/>
        </w:rPr>
        <w:t xml:space="preserve">.   </w:t>
      </w:r>
    </w:p>
    <w:p w14:paraId="2E764215" w14:textId="77777777" w:rsidR="00640A4A" w:rsidRPr="000A30C7" w:rsidRDefault="00EE0809" w:rsidP="00640A4A">
      <w:pPr>
        <w:rPr>
          <w:b/>
        </w:rPr>
      </w:pPr>
      <w:r w:rsidRPr="000A30C7">
        <w:rPr>
          <w:b/>
        </w:rPr>
        <w:t>(d) Climate and disaster preparedness and response</w:t>
      </w:r>
    </w:p>
    <w:p w14:paraId="09D1E0D2" w14:textId="77777777" w:rsidR="00EE0809" w:rsidRPr="00BA6DDE" w:rsidRDefault="005875C5" w:rsidP="00640A4A">
      <w:pPr>
        <w:rPr>
          <w:rFonts w:asciiTheme="majorHAnsi" w:hAnsiTheme="majorHAnsi"/>
          <w:b/>
        </w:rPr>
      </w:pPr>
      <w:r w:rsidRPr="00BA6DDE">
        <w:rPr>
          <w:b/>
        </w:rPr>
        <w:t>O</w:t>
      </w:r>
      <w:r w:rsidR="00640A4A" w:rsidRPr="00BA6DDE">
        <w:rPr>
          <w:b/>
        </w:rPr>
        <w:t>utcome</w:t>
      </w:r>
      <w:r w:rsidR="00EE0809" w:rsidRPr="00BA6DDE">
        <w:rPr>
          <w:rFonts w:asciiTheme="majorHAnsi" w:hAnsiTheme="majorHAnsi"/>
          <w:b/>
        </w:rPr>
        <w:t xml:space="preserve">:  </w:t>
      </w:r>
      <w:r w:rsidR="00EE0809" w:rsidRPr="00BA6DDE">
        <w:rPr>
          <w:b/>
        </w:rPr>
        <w:t>Increased focus on climate change and disaster resilience in Australian bilateral aid investments</w:t>
      </w:r>
      <w:r w:rsidR="00BC2F77" w:rsidRPr="00BA6DDE">
        <w:rPr>
          <w:rFonts w:asciiTheme="majorHAnsi" w:hAnsiTheme="majorHAnsi"/>
          <w:b/>
        </w:rPr>
        <w:t xml:space="preserve"> </w:t>
      </w:r>
    </w:p>
    <w:p w14:paraId="53AA8CD0" w14:textId="77777777" w:rsidR="00456ABB" w:rsidRPr="00FC6C02" w:rsidRDefault="00456ABB" w:rsidP="00FC6C02">
      <w:r w:rsidRPr="00FC6C02">
        <w:t>Fiji is vulnerable to disasters and the impacts of climate change, which poses risks to Fiji’s development and to Australia’s aid investments in Fiji.  W</w:t>
      </w:r>
      <w:r w:rsidR="009F73B5" w:rsidRPr="00FC6C02">
        <w:t xml:space="preserve">hile we </w:t>
      </w:r>
      <w:r w:rsidR="001440C2" w:rsidRPr="00FC6C02">
        <w:t>fell</w:t>
      </w:r>
      <w:r w:rsidR="009F73B5" w:rsidRPr="00FC6C02">
        <w:t xml:space="preserve"> slightly short of the relevant PAF targets</w:t>
      </w:r>
      <w:r w:rsidR="00D0647E">
        <w:t xml:space="preserve"> in 2017-18</w:t>
      </w:r>
      <w:r w:rsidR="009F73B5" w:rsidRPr="00FC6C02">
        <w:t xml:space="preserve">, the </w:t>
      </w:r>
      <w:r w:rsidR="00925C97" w:rsidRPr="00FC6C02">
        <w:t xml:space="preserve">majority of </w:t>
      </w:r>
      <w:r w:rsidRPr="00FC6C02">
        <w:t>our</w:t>
      </w:r>
      <w:r w:rsidR="00925C97" w:rsidRPr="00FC6C02">
        <w:t xml:space="preserve"> aid investments </w:t>
      </w:r>
      <w:r w:rsidR="00563FA4">
        <w:t>were</w:t>
      </w:r>
      <w:r w:rsidR="00925C97" w:rsidRPr="00FC6C02">
        <w:t xml:space="preserve"> taking action and actively managing risks relating to climate change and disaster resilience and </w:t>
      </w:r>
      <w:r w:rsidR="00563FA4">
        <w:t>were</w:t>
      </w:r>
      <w:r w:rsidR="00925C97" w:rsidRPr="00FC6C02">
        <w:t xml:space="preserve"> aligned with Fiji's climate and disaster resilience priorities</w:t>
      </w:r>
      <w:r w:rsidR="008825FA">
        <w:t xml:space="preserve"> as</w:t>
      </w:r>
      <w:r w:rsidR="00925C97" w:rsidRPr="00FC6C02">
        <w:t xml:space="preserve"> set out in the </w:t>
      </w:r>
      <w:r w:rsidR="00A72DBC">
        <w:t>NDP</w:t>
      </w:r>
      <w:r w:rsidR="00925C97" w:rsidRPr="00FC6C02">
        <w:t>.</w:t>
      </w:r>
      <w:r w:rsidR="001B7CB9">
        <w:rPr>
          <w:rStyle w:val="FootnoteReference"/>
        </w:rPr>
        <w:footnoteReference w:id="12"/>
      </w:r>
      <w:r w:rsidR="00925C97" w:rsidRPr="00FC6C02">
        <w:t xml:space="preserve"> </w:t>
      </w:r>
      <w:r w:rsidR="008B5D2C" w:rsidRPr="00FC6C02">
        <w:t xml:space="preserve"> </w:t>
      </w:r>
    </w:p>
    <w:p w14:paraId="50E8EE10" w14:textId="77777777" w:rsidR="00D0647E" w:rsidRPr="00FC6C02" w:rsidRDefault="00456ABB" w:rsidP="00D0647E">
      <w:r w:rsidRPr="00FC6C02">
        <w:t>C</w:t>
      </w:r>
      <w:r w:rsidR="001440C2" w:rsidRPr="00FC6C02">
        <w:t xml:space="preserve">limate change </w:t>
      </w:r>
      <w:r w:rsidRPr="00FC6C02">
        <w:t xml:space="preserve">responses </w:t>
      </w:r>
      <w:r w:rsidR="001440C2" w:rsidRPr="00FC6C02">
        <w:t xml:space="preserve">and </w:t>
      </w:r>
      <w:r w:rsidRPr="00FC6C02">
        <w:t xml:space="preserve">strategies to enhance </w:t>
      </w:r>
      <w:r w:rsidR="001440C2" w:rsidRPr="00FC6C02">
        <w:t xml:space="preserve">disaster resilience </w:t>
      </w:r>
      <w:r w:rsidR="00563FA4">
        <w:t>were</w:t>
      </w:r>
      <w:r w:rsidRPr="00FC6C02">
        <w:t xml:space="preserve"> integrated into </w:t>
      </w:r>
      <w:r w:rsidR="00C803E5">
        <w:t>the Facility’s</w:t>
      </w:r>
      <w:r w:rsidRPr="00FC6C02">
        <w:t xml:space="preserve"> </w:t>
      </w:r>
      <w:r w:rsidR="00D0647E" w:rsidRPr="00FC6C02">
        <w:t>activities</w:t>
      </w:r>
      <w:r w:rsidRPr="00FC6C02">
        <w:t>.</w:t>
      </w:r>
      <w:r w:rsidR="001440C2" w:rsidRPr="00FC6C02">
        <w:t xml:space="preserve"> </w:t>
      </w:r>
      <w:r w:rsidRPr="00FC6C02">
        <w:t xml:space="preserve"> </w:t>
      </w:r>
      <w:r w:rsidR="001F2073">
        <w:t>We also established a</w:t>
      </w:r>
      <w:r w:rsidR="005D03A4">
        <w:t xml:space="preserve"> dedicated Preparedness and R</w:t>
      </w:r>
      <w:r w:rsidR="00D0647E">
        <w:t xml:space="preserve">esponse </w:t>
      </w:r>
      <w:r w:rsidR="002A50EB">
        <w:t>F</w:t>
      </w:r>
      <w:r w:rsidR="00D0647E">
        <w:t xml:space="preserve">und under the Facility, meeting </w:t>
      </w:r>
      <w:r w:rsidR="00F5063A">
        <w:t xml:space="preserve">our </w:t>
      </w:r>
      <w:r w:rsidR="00D0647E">
        <w:t xml:space="preserve">target of </w:t>
      </w:r>
      <w:r w:rsidR="001F2073">
        <w:t>two</w:t>
      </w:r>
      <w:r w:rsidR="005D03A4">
        <w:t xml:space="preserve"> per cent of bilateral aid</w:t>
      </w:r>
      <w:r w:rsidR="00D0647E">
        <w:t xml:space="preserve"> programmed for preparedness and response activities.  In addition, Australia supported</w:t>
      </w:r>
      <w:r w:rsidR="001440C2" w:rsidRPr="00FC6C02">
        <w:t xml:space="preserve"> </w:t>
      </w:r>
      <w:r w:rsidR="00BF5F0A">
        <w:t xml:space="preserve">the </w:t>
      </w:r>
      <w:r w:rsidR="001440C2" w:rsidRPr="00FC6C02">
        <w:t>Fiji Red Cross Society to pre-position stocks</w:t>
      </w:r>
      <w:r w:rsidR="00D0647E">
        <w:t xml:space="preserve"> and containers</w:t>
      </w:r>
      <w:r w:rsidR="001440C2" w:rsidRPr="00FC6C02">
        <w:t xml:space="preserve"> and set up offices across 14 sites in Fiji to enable early and rapid responses to disasters.  Eight sites have been completed, five are under construction and construction will soon commence on the remaining site.  </w:t>
      </w:r>
      <w:r w:rsidR="00D0647E" w:rsidRPr="00FC6C02">
        <w:t>All health and educatio</w:t>
      </w:r>
      <w:r w:rsidR="00B22FD5">
        <w:t xml:space="preserve">n infrastructure </w:t>
      </w:r>
      <w:r w:rsidR="00D0647E" w:rsidRPr="00FC6C02">
        <w:t xml:space="preserve">rebuilt following TC Winston </w:t>
      </w:r>
      <w:r w:rsidR="00D0647E">
        <w:t>meet</w:t>
      </w:r>
      <w:r w:rsidR="00565AF5">
        <w:t xml:space="preserve"> current industry and </w:t>
      </w:r>
      <w:r w:rsidR="00D0647E" w:rsidRPr="00FC6C02">
        <w:t xml:space="preserve">Government </w:t>
      </w:r>
      <w:r w:rsidR="00565AF5">
        <w:t xml:space="preserve">of Fiji </w:t>
      </w:r>
      <w:r w:rsidR="00D0647E" w:rsidRPr="00FC6C02">
        <w:t>standards</w:t>
      </w:r>
      <w:r w:rsidR="001F2073">
        <w:t>.</w:t>
      </w:r>
      <w:r w:rsidR="005D03A4">
        <w:t xml:space="preserve"> </w:t>
      </w:r>
    </w:p>
    <w:p w14:paraId="27BCD5B4" w14:textId="77777777" w:rsidR="00983436" w:rsidRDefault="0083207D" w:rsidP="009574B9">
      <w:pPr>
        <w:suppressAutoHyphens w:val="0"/>
        <w:spacing w:line="23" w:lineRule="atLeast"/>
      </w:pPr>
      <w:r w:rsidRPr="00FC6C02">
        <w:t>Two out of seven activities delivered under the IFC Partnership directly tar</w:t>
      </w:r>
      <w:r w:rsidR="009574B9">
        <w:t xml:space="preserve">get climate change and disaster </w:t>
      </w:r>
      <w:r w:rsidRPr="00FC6C02">
        <w:t xml:space="preserve">resilience.  In 2017, the Capital Market Development project </w:t>
      </w:r>
      <w:r w:rsidR="002A50EB">
        <w:t>supported Fiji to be</w:t>
      </w:r>
      <w:r w:rsidR="003E59C1">
        <w:t>come</w:t>
      </w:r>
      <w:r w:rsidR="002A50EB">
        <w:t xml:space="preserve"> the first </w:t>
      </w:r>
      <w:r w:rsidRPr="00FC6C02">
        <w:t xml:space="preserve">developing country to issue a Green Bond.  A new activity </w:t>
      </w:r>
      <w:r w:rsidR="00D546BA" w:rsidRPr="00FC6C02">
        <w:t xml:space="preserve">to implement disaster risk insurance for the 68,000 poorest households in Fiji </w:t>
      </w:r>
      <w:r w:rsidRPr="00FC6C02">
        <w:t xml:space="preserve">and to financial institutions to protect their loan portfolios commenced in early 2018.   </w:t>
      </w:r>
      <w:r w:rsidR="00D546BA" w:rsidRPr="00FC6C02">
        <w:t xml:space="preserve"> </w:t>
      </w:r>
    </w:p>
    <w:p w14:paraId="24180CE2" w14:textId="779EF228" w:rsidR="00640A4A" w:rsidRDefault="007709F7" w:rsidP="009574B9">
      <w:pPr>
        <w:suppressAutoHyphens w:val="0"/>
        <w:spacing w:line="23" w:lineRule="atLeas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 xml:space="preserve">Objective </w:t>
      </w:r>
      <w:r>
        <w:rPr>
          <w:rFonts w:asciiTheme="majorHAnsi" w:eastAsiaTheme="majorEastAsia" w:hAnsiTheme="majorHAnsi" w:cstheme="majorBidi"/>
          <w:caps/>
          <w:sz w:val="38"/>
          <w:szCs w:val="26"/>
        </w:rPr>
        <w:t>3 – TROPICAL CYCLONE WINSTON RECOVERY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51"/>
        <w:gridCol w:w="1753"/>
        <w:gridCol w:w="1753"/>
        <w:gridCol w:w="1753"/>
      </w:tblGrid>
      <w:tr w:rsidR="00103711" w:rsidRPr="00BE2622" w14:paraId="29FD5C19" w14:textId="77777777" w:rsidTr="00656E32">
        <w:tc>
          <w:tcPr>
            <w:tcW w:w="2016" w:type="dxa"/>
            <w:hideMark/>
          </w:tcPr>
          <w:p w14:paraId="49B2F226" w14:textId="77777777" w:rsidR="00103711" w:rsidRPr="00BE2622" w:rsidRDefault="00103711" w:rsidP="00656E32">
            <w:pPr>
              <w:spacing w:before="80" w:after="80"/>
              <w:jc w:val="center"/>
              <w:rPr>
                <w:rFonts w:asciiTheme="majorHAnsi" w:eastAsiaTheme="majorEastAsia" w:hAnsiTheme="majorHAnsi" w:cstheme="majorBidi"/>
                <w:caps/>
                <w:color w:val="595959" w:themeColor="text1" w:themeTint="A6"/>
                <w:sz w:val="38"/>
                <w:szCs w:val="26"/>
              </w:rPr>
            </w:pPr>
            <w:r w:rsidRPr="00BE2622">
              <w:rPr>
                <w:rFonts w:asciiTheme="majorHAnsi" w:hAnsiTheme="majorHAnsi"/>
                <w:noProof/>
                <w:color w:val="595959" w:themeColor="text1" w:themeTint="A6"/>
                <w:szCs w:val="26"/>
                <w:lang w:val="en-AU" w:eastAsia="en-AU"/>
              </w:rPr>
              <w:drawing>
                <wp:inline distT="0" distB="0" distL="0" distR="0" wp14:anchorId="6B511A1F" wp14:editId="21641944">
                  <wp:extent cx="1133475" cy="7239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751" w:type="dxa"/>
            <w:hideMark/>
          </w:tcPr>
          <w:p w14:paraId="7100708C"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rFonts w:ascii="Franklin Gothic Book" w:hAnsi="Franklin Gothic Book"/>
                <w:noProof/>
                <w:color w:val="595959" w:themeColor="text1" w:themeTint="A6"/>
                <w:sz w:val="21"/>
                <w:lang w:val="en-AU" w:eastAsia="en-AU"/>
              </w:rPr>
              <w:drawing>
                <wp:inline distT="0" distB="0" distL="0" distR="0" wp14:anchorId="1829FEE0" wp14:editId="1E23A18E">
                  <wp:extent cx="609600" cy="609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38EA9568"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57F997AE" wp14:editId="1D3CD8E9">
                  <wp:extent cx="60960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1A729C03"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425A2F4C" wp14:editId="18D5497C">
                  <wp:extent cx="6096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39D7E1C7" w14:textId="77777777" w:rsidR="00103711" w:rsidRPr="00BE2622" w:rsidRDefault="00103711" w:rsidP="00656E32">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4970C97A" wp14:editId="06EE2657">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77C2E586" w14:textId="77777777" w:rsidR="006202AA" w:rsidRDefault="006202AA" w:rsidP="00640A4A">
      <w:r w:rsidRPr="00640A4A">
        <w:rPr>
          <w:b/>
        </w:rPr>
        <w:t>R</w:t>
      </w:r>
      <w:r w:rsidR="00546507" w:rsidRPr="00640A4A">
        <w:rPr>
          <w:b/>
        </w:rPr>
        <w:t>ating for this objective: Amber</w:t>
      </w:r>
    </w:p>
    <w:p w14:paraId="0AEC3999" w14:textId="77777777" w:rsidR="00C2074B" w:rsidRPr="00C2074B" w:rsidRDefault="00C2074B" w:rsidP="00640A4A">
      <w:pPr>
        <w:rPr>
          <w:b/>
        </w:rPr>
      </w:pPr>
      <w:r w:rsidRPr="00C2074B">
        <w:rPr>
          <w:b/>
        </w:rPr>
        <w:t>Outcome 1: Timely and efficient implementation of TC Winston $20m recovery package</w:t>
      </w:r>
    </w:p>
    <w:p w14:paraId="236A560F" w14:textId="77777777" w:rsidR="00C2074B" w:rsidRPr="00C2074B" w:rsidRDefault="00C2074B" w:rsidP="00640A4A">
      <w:pPr>
        <w:rPr>
          <w:b/>
        </w:rPr>
      </w:pPr>
      <w:r w:rsidRPr="00C2074B">
        <w:rPr>
          <w:b/>
        </w:rPr>
        <w:t>Outcome 2: Improved health and education facilities through repaired/rebuilt buildings in select communities Ra and Koro</w:t>
      </w:r>
    </w:p>
    <w:p w14:paraId="41744F1F" w14:textId="77777777" w:rsidR="00581314" w:rsidRDefault="00581314" w:rsidP="00640A4A">
      <w:r>
        <w:t>In 2017-18, work continued to deliver Australia’</w:t>
      </w:r>
      <w:r w:rsidR="000A05A9">
        <w:t>s $20 million package of support for</w:t>
      </w:r>
      <w:r>
        <w:t xml:space="preserve"> longer-term recovery and reconstruction</w:t>
      </w:r>
      <w:r w:rsidR="000A05A9">
        <w:t xml:space="preserve"> following TC Winston.  This included work to r</w:t>
      </w:r>
      <w:r>
        <w:t xml:space="preserve">epair and </w:t>
      </w:r>
      <w:r w:rsidR="000A05A9">
        <w:t>rebuild</w:t>
      </w:r>
      <w:r>
        <w:t xml:space="preserve"> health and education facilities </w:t>
      </w:r>
      <w:r w:rsidR="003E59C1">
        <w:t xml:space="preserve">that </w:t>
      </w:r>
      <w:r w:rsidR="00AE1AFE">
        <w:t xml:space="preserve">suffered significant damage </w:t>
      </w:r>
      <w:r>
        <w:t>in Ra and Koro</w:t>
      </w:r>
      <w:r w:rsidR="00AE1AFE">
        <w:t>,</w:t>
      </w:r>
      <w:r w:rsidR="00F67D20">
        <w:t xml:space="preserve"> </w:t>
      </w:r>
      <w:r w:rsidR="005D03A4">
        <w:t>and the rebuilding of</w:t>
      </w:r>
      <w:r w:rsidR="00F67D20">
        <w:t xml:space="preserve"> </w:t>
      </w:r>
      <w:r>
        <w:t>economic infrastructure to improve livelihood opportunities for those affected</w:t>
      </w:r>
      <w:r w:rsidR="005D03A4">
        <w:t xml:space="preserve"> by TC Winston</w:t>
      </w:r>
      <w:r>
        <w:t xml:space="preserve">, particularly women. </w:t>
      </w:r>
      <w:r w:rsidR="00E54857">
        <w:t xml:space="preserve"> </w:t>
      </w:r>
      <w:r w:rsidR="00F67D20">
        <w:t>In delivering our assistance</w:t>
      </w:r>
      <w:r w:rsidR="003B4E7E">
        <w:t>,</w:t>
      </w:r>
      <w:r w:rsidR="00F67D20">
        <w:t xml:space="preserve"> we have prioritised build quality and inclusion</w:t>
      </w:r>
      <w:r w:rsidR="005E3D50">
        <w:t xml:space="preserve">, ensuring </w:t>
      </w:r>
      <w:r w:rsidR="00F67D20">
        <w:t xml:space="preserve">rebuilt facilities </w:t>
      </w:r>
      <w:r w:rsidR="005E3D50">
        <w:t>are</w:t>
      </w:r>
      <w:r w:rsidR="00F67D20">
        <w:t xml:space="preserve"> more resilient to future disasters and </w:t>
      </w:r>
      <w:r w:rsidR="00747871">
        <w:t xml:space="preserve">are </w:t>
      </w:r>
      <w:r w:rsidR="00F67D20">
        <w:t xml:space="preserve">accessible for women, children and people with disabilities. </w:t>
      </w:r>
    </w:p>
    <w:p w14:paraId="260C31A7" w14:textId="77777777" w:rsidR="00E12DAC" w:rsidRDefault="00B36EFD" w:rsidP="00640A4A">
      <w:r>
        <w:t xml:space="preserve">During the reporting period, we met our commitment to </w:t>
      </w:r>
      <w:r w:rsidR="005D03A4">
        <w:t xml:space="preserve">complete </w:t>
      </w:r>
      <w:r w:rsidR="008172B4">
        <w:t xml:space="preserve">12 schools </w:t>
      </w:r>
      <w:r w:rsidR="00AE502F">
        <w:t xml:space="preserve">in </w:t>
      </w:r>
      <w:r w:rsidR="00AE1AFE">
        <w:t>Ra</w:t>
      </w:r>
      <w:r w:rsidR="008172B4">
        <w:t xml:space="preserve">.  </w:t>
      </w:r>
      <w:r>
        <w:t xml:space="preserve">One </w:t>
      </w:r>
      <w:r w:rsidR="008C0E1B">
        <w:t xml:space="preserve">of six schools on Koro </w:t>
      </w:r>
      <w:r w:rsidR="00ED4F02">
        <w:t>has</w:t>
      </w:r>
      <w:r w:rsidR="003E59C1">
        <w:t xml:space="preserve"> </w:t>
      </w:r>
      <w:r w:rsidR="008172B4">
        <w:t xml:space="preserve">been rebuilt.  </w:t>
      </w:r>
      <w:r w:rsidR="00316215">
        <w:t xml:space="preserve">Management and operation of these facilities have been handed over to our partner government. </w:t>
      </w:r>
      <w:r w:rsidR="009101D3">
        <w:t xml:space="preserve"> </w:t>
      </w:r>
      <w:r w:rsidR="00316215">
        <w:t xml:space="preserve">Work to complete the remaining five schools on Koro </w:t>
      </w:r>
      <w:r w:rsidR="000F6811">
        <w:t>was</w:t>
      </w:r>
      <w:r w:rsidR="009101D3">
        <w:t xml:space="preserve"> delayed </w:t>
      </w:r>
      <w:r w:rsidR="00316215">
        <w:t xml:space="preserve">due </w:t>
      </w:r>
      <w:r w:rsidR="00E05EF5">
        <w:t xml:space="preserve">to </w:t>
      </w:r>
      <w:r w:rsidR="00316215">
        <w:t>adverse weather conditions, building materials shortages, logistical challenges and building contractor capacity.</w:t>
      </w:r>
      <w:r w:rsidR="00AA00F3">
        <w:t xml:space="preserve"> </w:t>
      </w:r>
      <w:r w:rsidR="00E12DAC">
        <w:t xml:space="preserve"> These difficulties have resulted in the amber rating for this objective, and continued management action.</w:t>
      </w:r>
      <w:r w:rsidR="00AA00F3">
        <w:t xml:space="preserve"> </w:t>
      </w:r>
    </w:p>
    <w:p w14:paraId="3CD9A1E5" w14:textId="77777777" w:rsidR="00AA00F3" w:rsidRDefault="00AA00F3" w:rsidP="00640A4A">
      <w:r w:rsidRPr="00AA00F3">
        <w:t>All new buildings in the 18 schools</w:t>
      </w:r>
      <w:r>
        <w:t xml:space="preserve"> </w:t>
      </w:r>
      <w:r w:rsidRPr="00AA00F3">
        <w:t>will meet or excee</w:t>
      </w:r>
      <w:r>
        <w:t>d Fiji’s National Building Code.  O</w:t>
      </w:r>
      <w:r w:rsidRPr="00AA00F3">
        <w:t xml:space="preserve">ne building in each school has been designed to withstand Category 5 wind speeds, to act as an evacuation point if needed. </w:t>
      </w:r>
      <w:r>
        <w:t xml:space="preserve"> </w:t>
      </w:r>
      <w:r w:rsidRPr="00AA00F3">
        <w:t xml:space="preserve">All schools will be provided a comprehensive furniture package in line with </w:t>
      </w:r>
      <w:r w:rsidR="000F6811">
        <w:t>MEHA’s</w:t>
      </w:r>
      <w:r>
        <w:t xml:space="preserve"> minimum standards.</w:t>
      </w:r>
    </w:p>
    <w:p w14:paraId="042499F3" w14:textId="3BC7BEEB" w:rsidR="00316215" w:rsidRDefault="000F6811" w:rsidP="00640A4A">
      <w:r w:rsidRPr="00E54857">
        <w:t xml:space="preserve">We handed over the </w:t>
      </w:r>
      <w:r w:rsidR="00AE502F" w:rsidRPr="00E54857">
        <w:t>re</w:t>
      </w:r>
      <w:r w:rsidRPr="00E54857">
        <w:t>built</w:t>
      </w:r>
      <w:r w:rsidR="00124DB9" w:rsidRPr="00E54857">
        <w:t xml:space="preserve">, </w:t>
      </w:r>
      <w:r w:rsidR="00AE502F" w:rsidRPr="00E54857">
        <w:t>upgraded</w:t>
      </w:r>
      <w:r w:rsidR="00124DB9" w:rsidRPr="00E54857">
        <w:t xml:space="preserve"> and equipped</w:t>
      </w:r>
      <w:r w:rsidR="00AE502F" w:rsidRPr="00E54857">
        <w:t xml:space="preserve"> Waimaro </w:t>
      </w:r>
      <w:r w:rsidR="008172B4" w:rsidRPr="00E54857">
        <w:t>Health Centre</w:t>
      </w:r>
      <w:r w:rsidR="00AE502F" w:rsidRPr="00E54857">
        <w:t xml:space="preserve"> in Ra to </w:t>
      </w:r>
      <w:r w:rsidRPr="00E54857">
        <w:t>the G</w:t>
      </w:r>
      <w:r w:rsidR="00AE502F" w:rsidRPr="00E54857">
        <w:t>overnment</w:t>
      </w:r>
      <w:r w:rsidR="00F93EF8">
        <w:t xml:space="preserve"> of Fiji</w:t>
      </w:r>
      <w:r w:rsidR="00AE502F" w:rsidRPr="00E54857">
        <w:t xml:space="preserve"> this year</w:t>
      </w:r>
      <w:r w:rsidRPr="00E54857">
        <w:t xml:space="preserve">.  </w:t>
      </w:r>
      <w:r w:rsidR="00C07B4A" w:rsidRPr="00E54857">
        <w:t xml:space="preserve">The Government co-financed </w:t>
      </w:r>
      <w:r w:rsidR="00C07B4A">
        <w:t xml:space="preserve">the building of </w:t>
      </w:r>
      <w:r w:rsidR="00C07B4A" w:rsidRPr="00E54857">
        <w:t>medical staff quarters.</w:t>
      </w:r>
      <w:r w:rsidR="00C07B4A">
        <w:t xml:space="preserve">  </w:t>
      </w:r>
      <w:r w:rsidR="00D108AE" w:rsidRPr="00E54857">
        <w:t>The</w:t>
      </w:r>
      <w:r w:rsidRPr="00E54857">
        <w:t xml:space="preserve"> </w:t>
      </w:r>
      <w:r w:rsidR="00AE502F" w:rsidRPr="00E54857">
        <w:t xml:space="preserve">upgrading of the </w:t>
      </w:r>
      <w:r w:rsidR="000536E4">
        <w:t>Koro</w:t>
      </w:r>
      <w:r w:rsidR="000536E4" w:rsidRPr="00E54857">
        <w:t xml:space="preserve"> </w:t>
      </w:r>
      <w:r w:rsidR="00AE502F" w:rsidRPr="00E54857">
        <w:t xml:space="preserve">Health Centre on Koro Island </w:t>
      </w:r>
      <w:r w:rsidR="008825FA">
        <w:t xml:space="preserve">also </w:t>
      </w:r>
      <w:r w:rsidR="00AE502F" w:rsidRPr="00E54857">
        <w:t>commenced in January</w:t>
      </w:r>
      <w:r w:rsidR="00E54857" w:rsidRPr="00E54857">
        <w:t xml:space="preserve"> using savings</w:t>
      </w:r>
      <w:r w:rsidR="00B25D9F">
        <w:t xml:space="preserve"> found</w:t>
      </w:r>
      <w:r w:rsidR="00E54857" w:rsidRPr="00E54857">
        <w:t xml:space="preserve"> in the recovery program.  </w:t>
      </w:r>
      <w:r w:rsidR="00E54857" w:rsidRPr="00B54179">
        <w:t>C</w:t>
      </w:r>
      <w:r w:rsidR="00AE502F" w:rsidRPr="00B54179">
        <w:t xml:space="preserve">onstruction </w:t>
      </w:r>
      <w:r w:rsidR="00406FB3" w:rsidRPr="00B54179">
        <w:t>was completed in August this year</w:t>
      </w:r>
      <w:r w:rsidR="00E54857" w:rsidRPr="00B54179">
        <w:t xml:space="preserve">, enabling </w:t>
      </w:r>
      <w:r w:rsidR="00E54857" w:rsidRPr="00E54857">
        <w:t>expectant mothers to access quality reproductive health services on Koro</w:t>
      </w:r>
      <w:r w:rsidRPr="00E54857">
        <w:t xml:space="preserve">.  </w:t>
      </w:r>
    </w:p>
    <w:p w14:paraId="0B32A4E5" w14:textId="78F4072C" w:rsidR="00C2074B" w:rsidRDefault="00C2074B" w:rsidP="00C2074B">
      <w:r>
        <w:t xml:space="preserve">While we expected all recovery work </w:t>
      </w:r>
      <w:r w:rsidR="003E59C1">
        <w:t>to</w:t>
      </w:r>
      <w:r>
        <w:t xml:space="preserve"> conclude in early 2018, we</w:t>
      </w:r>
      <w:r w:rsidR="00D76D4A">
        <w:t xml:space="preserve"> now</w:t>
      </w:r>
      <w:r>
        <w:t xml:space="preserve"> estimate the remaining</w:t>
      </w:r>
      <w:r w:rsidR="00EE3F76">
        <w:t xml:space="preserve"> health and educational</w:t>
      </w:r>
      <w:r>
        <w:t xml:space="preserve"> buildings will be complet</w:t>
      </w:r>
      <w:r w:rsidR="00565AF5">
        <w:t xml:space="preserve">ed and handed over to the </w:t>
      </w:r>
      <w:r>
        <w:t xml:space="preserve">Government </w:t>
      </w:r>
      <w:r w:rsidR="00565AF5">
        <w:t xml:space="preserve">of Fiji </w:t>
      </w:r>
      <w:r>
        <w:t>in 2019</w:t>
      </w:r>
      <w:r w:rsidR="003E59C1">
        <w:t>.</w:t>
      </w:r>
    </w:p>
    <w:p w14:paraId="30EC9FB6" w14:textId="4CCAD443" w:rsidR="00C2074B" w:rsidRPr="00C2074B" w:rsidRDefault="00C2074B" w:rsidP="00640A4A">
      <w:pPr>
        <w:rPr>
          <w:b/>
        </w:rPr>
      </w:pPr>
      <w:r w:rsidRPr="00C2074B">
        <w:rPr>
          <w:b/>
        </w:rPr>
        <w:t>Outcome 3: Increased livelihood opportunities for those affected, particularly women</w:t>
      </w:r>
      <w:r w:rsidR="00406FB3">
        <w:rPr>
          <w:b/>
        </w:rPr>
        <w:t xml:space="preserve"> </w:t>
      </w:r>
      <w:r w:rsidRPr="00C2074B">
        <w:rPr>
          <w:b/>
        </w:rPr>
        <w:t>in Rakiraki</w:t>
      </w:r>
      <w:r w:rsidR="000B5B38">
        <w:rPr>
          <w:b/>
        </w:rPr>
        <w:t>.</w:t>
      </w:r>
    </w:p>
    <w:p w14:paraId="00B7DDA4" w14:textId="21942647" w:rsidR="00C2074B" w:rsidRDefault="00BC5375" w:rsidP="005830DC">
      <w:pPr>
        <w:suppressAutoHyphens w:val="0"/>
        <w:spacing w:before="0" w:after="0" w:line="240" w:lineRule="auto"/>
      </w:pPr>
      <w:r w:rsidRPr="00A72DBC">
        <w:t>UN Women</w:t>
      </w:r>
      <w:r w:rsidR="00086D42">
        <w:t>, in partnership with the Government of Fiji,</w:t>
      </w:r>
      <w:r w:rsidRPr="00A72DBC">
        <w:t xml:space="preserve"> </w:t>
      </w:r>
      <w:r w:rsidR="009A5410" w:rsidRPr="00A72DBC">
        <w:t xml:space="preserve">continues </w:t>
      </w:r>
      <w:r w:rsidRPr="00A72DBC">
        <w:t>to mana</w:t>
      </w:r>
      <w:r w:rsidR="00AA00F3" w:rsidRPr="00A72DBC">
        <w:t>g</w:t>
      </w:r>
      <w:r w:rsidR="009A5410" w:rsidRPr="00A72DBC">
        <w:t>e</w:t>
      </w:r>
      <w:r w:rsidRPr="00A72DBC">
        <w:t xml:space="preserve"> the rebuilding of </w:t>
      </w:r>
      <w:r w:rsidR="00962615" w:rsidRPr="00A72DBC">
        <w:t xml:space="preserve">the </w:t>
      </w:r>
      <w:r w:rsidRPr="00A72DBC">
        <w:t>Rakiraki</w:t>
      </w:r>
      <w:r w:rsidR="00962615" w:rsidRPr="00A72DBC">
        <w:t xml:space="preserve"> Municipal M</w:t>
      </w:r>
      <w:r w:rsidRPr="00A72DBC">
        <w:t xml:space="preserve">arket (with a new women’s accommodation </w:t>
      </w:r>
      <w:r w:rsidR="00AA00F3" w:rsidRPr="00A72DBC">
        <w:t>centre)</w:t>
      </w:r>
      <w:r w:rsidR="00EE3F76" w:rsidRPr="00A72DBC">
        <w:t>.  Australia has provided $2</w:t>
      </w:r>
      <w:r w:rsidR="00E21938">
        <w:t xml:space="preserve"> </w:t>
      </w:r>
      <w:r w:rsidR="00EE3F76" w:rsidRPr="00A72DBC">
        <w:t>m</w:t>
      </w:r>
      <w:r w:rsidR="00E21938">
        <w:t>illion</w:t>
      </w:r>
      <w:r w:rsidR="00EE3F76" w:rsidRPr="00A72DBC">
        <w:t xml:space="preserve"> towards reconstruction. T</w:t>
      </w:r>
      <w:r w:rsidR="009A5410" w:rsidRPr="00A72DBC">
        <w:t>he</w:t>
      </w:r>
      <w:r w:rsidR="00565AF5" w:rsidRPr="00A72DBC">
        <w:t xml:space="preserve"> </w:t>
      </w:r>
      <w:r w:rsidR="009101D3" w:rsidRPr="00A72DBC">
        <w:t>G</w:t>
      </w:r>
      <w:r w:rsidR="00316215" w:rsidRPr="00A72DBC">
        <w:t>overnment</w:t>
      </w:r>
      <w:r w:rsidR="009101D3" w:rsidRPr="00A72DBC">
        <w:t xml:space="preserve"> </w:t>
      </w:r>
      <w:r w:rsidR="00565AF5" w:rsidRPr="00A72DBC">
        <w:t xml:space="preserve">of Fiji </w:t>
      </w:r>
      <w:r w:rsidR="009101D3" w:rsidRPr="00A72DBC">
        <w:t>is</w:t>
      </w:r>
      <w:r w:rsidR="008E38F7" w:rsidRPr="00A72DBC">
        <w:t xml:space="preserve"> </w:t>
      </w:r>
      <w:r w:rsidR="00316215" w:rsidRPr="00A72DBC">
        <w:t xml:space="preserve">co-financing </w:t>
      </w:r>
      <w:r w:rsidR="005E3D50" w:rsidRPr="00A72DBC">
        <w:t>the</w:t>
      </w:r>
      <w:r w:rsidR="00A274FA">
        <w:t xml:space="preserve"> build</w:t>
      </w:r>
      <w:r w:rsidR="00316215" w:rsidRPr="00A72DBC">
        <w:t xml:space="preserve"> </w:t>
      </w:r>
      <w:r w:rsidR="00C2074B" w:rsidRPr="00A72DBC">
        <w:t xml:space="preserve">with a </w:t>
      </w:r>
      <w:r w:rsidR="00C2074B" w:rsidRPr="00E23B65">
        <w:t>commitment of $1.6</w:t>
      </w:r>
      <w:r w:rsidR="00E21938">
        <w:t xml:space="preserve"> </w:t>
      </w:r>
      <w:r w:rsidR="00C2074B" w:rsidRPr="00E23B65">
        <w:t>m</w:t>
      </w:r>
      <w:r w:rsidR="00E21938">
        <w:t>illion</w:t>
      </w:r>
      <w:r w:rsidR="00C2074B" w:rsidRPr="00E23B65">
        <w:t xml:space="preserve">. </w:t>
      </w:r>
      <w:r w:rsidR="00C2074B" w:rsidRPr="00A72DBC">
        <w:t xml:space="preserve"> </w:t>
      </w:r>
      <w:r w:rsidR="00C74607" w:rsidRPr="00A72DBC">
        <w:t>Building work is on track and w</w:t>
      </w:r>
      <w:r w:rsidR="005830DC">
        <w:t xml:space="preserve">e expect the Rakiraki </w:t>
      </w:r>
      <w:r w:rsidR="00C2074B" w:rsidRPr="00A72DBC">
        <w:t xml:space="preserve">market </w:t>
      </w:r>
      <w:r w:rsidR="003E59C1" w:rsidRPr="00A72DBC">
        <w:t>to</w:t>
      </w:r>
      <w:r w:rsidR="00C2074B" w:rsidRPr="00A72DBC">
        <w:t xml:space="preserve"> be completed in late 2018. </w:t>
      </w:r>
      <w:r w:rsidR="00AF5F29" w:rsidRPr="00A72DBC">
        <w:t xml:space="preserve"> </w:t>
      </w:r>
    </w:p>
    <w:p w14:paraId="28BE8BDC" w14:textId="77777777" w:rsidR="0047187B" w:rsidRPr="00A72DBC" w:rsidRDefault="0047187B" w:rsidP="005830DC">
      <w:pPr>
        <w:suppressAutoHyphens w:val="0"/>
        <w:spacing w:before="0" w:after="0" w:line="240" w:lineRule="auto"/>
      </w:pPr>
    </w:p>
    <w:p w14:paraId="31084201" w14:textId="77777777" w:rsidR="002A51CA" w:rsidRPr="00BF5F0A" w:rsidRDefault="00BF5F0A" w:rsidP="0047187B">
      <w:pPr>
        <w:pStyle w:val="Subtitle"/>
      </w:pPr>
      <w:r>
        <w:t xml:space="preserve">Development cooperation </w:t>
      </w:r>
    </w:p>
    <w:p w14:paraId="13386B58" w14:textId="0ADE0216" w:rsidR="009574B9" w:rsidRDefault="00CA4B0A" w:rsidP="00BE6C6D">
      <w:r w:rsidRPr="00CE038F">
        <w:t>Australia’s development cooperation</w:t>
      </w:r>
      <w:r w:rsidR="00561E1B" w:rsidRPr="00CE038F">
        <w:t xml:space="preserve"> with Fiji </w:t>
      </w:r>
      <w:r w:rsidR="00316215" w:rsidRPr="00CE038F">
        <w:t>i</w:t>
      </w:r>
      <w:r w:rsidR="00561E1B" w:rsidRPr="00CE038F">
        <w:t xml:space="preserve">s </w:t>
      </w:r>
      <w:r w:rsidR="003E59C1" w:rsidRPr="00CE038F">
        <w:t xml:space="preserve">closely </w:t>
      </w:r>
      <w:r w:rsidR="00A05E5C" w:rsidRPr="00CE038F">
        <w:t>aligned with our partner government’s priorities</w:t>
      </w:r>
      <w:r w:rsidR="00D76D4A">
        <w:t>, as set out in Fiji’s NDP</w:t>
      </w:r>
      <w:r w:rsidR="007F0BAC" w:rsidRPr="00CE038F">
        <w:t xml:space="preserve">.  The program has been </w:t>
      </w:r>
      <w:r w:rsidR="00561E1B" w:rsidRPr="00CE038F">
        <w:t xml:space="preserve">highly </w:t>
      </w:r>
      <w:r w:rsidRPr="00CE038F">
        <w:t xml:space="preserve">responsive, with </w:t>
      </w:r>
      <w:r w:rsidR="00561E1B" w:rsidRPr="00CE038F">
        <w:t>sufficient</w:t>
      </w:r>
      <w:r w:rsidRPr="00CE038F">
        <w:t xml:space="preserve"> flexibility to respond to</w:t>
      </w:r>
      <w:r w:rsidR="00561E1B" w:rsidRPr="00CE038F">
        <w:t xml:space="preserve"> </w:t>
      </w:r>
      <w:r w:rsidR="00A274FA">
        <w:t xml:space="preserve">new and </w:t>
      </w:r>
      <w:r w:rsidR="003E59C1">
        <w:t>emerging</w:t>
      </w:r>
      <w:r w:rsidR="00561E1B" w:rsidRPr="00CE038F">
        <w:t xml:space="preserve"> priorities.  Australia’s ability to support </w:t>
      </w:r>
      <w:r w:rsidR="007F0BAC" w:rsidRPr="00CE038F">
        <w:t>partner-</w:t>
      </w:r>
      <w:r w:rsidR="00561E1B" w:rsidRPr="00CE038F">
        <w:t xml:space="preserve">led reforms has allowed us </w:t>
      </w:r>
      <w:r w:rsidR="007F0BAC" w:rsidRPr="00CE038F">
        <w:t>close engagement with</w:t>
      </w:r>
      <w:r w:rsidR="00561E1B" w:rsidRPr="00CE038F">
        <w:t xml:space="preserve"> </w:t>
      </w:r>
      <w:r w:rsidR="00DC555E">
        <w:t xml:space="preserve">the </w:t>
      </w:r>
      <w:r w:rsidR="007F0BAC" w:rsidRPr="00CE038F">
        <w:t>Government</w:t>
      </w:r>
      <w:r w:rsidR="00DC555E">
        <w:t xml:space="preserve"> of Fiji</w:t>
      </w:r>
      <w:r w:rsidR="00561E1B" w:rsidRPr="00CE038F">
        <w:t>.</w:t>
      </w:r>
      <w:r w:rsidR="001321AE" w:rsidRPr="00CE038F">
        <w:t xml:space="preserve"> </w:t>
      </w:r>
      <w:r w:rsidR="005B43BE">
        <w:t xml:space="preserve"> </w:t>
      </w:r>
      <w:r w:rsidR="001321AE" w:rsidRPr="00CE038F">
        <w:t xml:space="preserve">We </w:t>
      </w:r>
      <w:r w:rsidR="00BF5F0A" w:rsidRPr="00CE038F">
        <w:t xml:space="preserve">are also taking </w:t>
      </w:r>
      <w:r w:rsidR="001321AE" w:rsidRPr="00CE038F">
        <w:t>steps to enable greater delivery of a</w:t>
      </w:r>
      <w:r w:rsidR="00565AF5">
        <w:t xml:space="preserve">ssistance directly through </w:t>
      </w:r>
      <w:r w:rsidR="00747871">
        <w:t>g</w:t>
      </w:r>
      <w:r w:rsidR="001321AE" w:rsidRPr="00CE038F">
        <w:t>overnment</w:t>
      </w:r>
      <w:r w:rsidR="00565AF5">
        <w:t xml:space="preserve"> </w:t>
      </w:r>
      <w:r w:rsidR="001321AE" w:rsidRPr="00CE038F">
        <w:t>systems</w:t>
      </w:r>
      <w:r w:rsidR="00AE1752" w:rsidRPr="00CE038F">
        <w:t xml:space="preserve">. </w:t>
      </w:r>
      <w:r w:rsidR="00A05E5C" w:rsidRPr="00CE038F">
        <w:t xml:space="preserve"> We are working towards conducting a</w:t>
      </w:r>
      <w:r w:rsidR="00AE1752" w:rsidRPr="00CE038F">
        <w:t>n</w:t>
      </w:r>
      <w:r w:rsidR="001321AE" w:rsidRPr="00CE038F">
        <w:t xml:space="preserve"> </w:t>
      </w:r>
      <w:r w:rsidR="00A31742" w:rsidRPr="00CE038F">
        <w:t>a</w:t>
      </w:r>
      <w:r w:rsidR="000F5B98" w:rsidRPr="00CE038F">
        <w:t xml:space="preserve">ssessment of </w:t>
      </w:r>
      <w:r w:rsidR="00A31742" w:rsidRPr="00CE038F">
        <w:t>n</w:t>
      </w:r>
      <w:r w:rsidR="000F5B98" w:rsidRPr="00CE038F">
        <w:t xml:space="preserve">ational systems </w:t>
      </w:r>
      <w:r w:rsidR="00A05E5C" w:rsidRPr="00CE038F">
        <w:t>during 2018-19</w:t>
      </w:r>
      <w:r w:rsidR="00BF5F0A" w:rsidRPr="00CE038F">
        <w:t>.</w:t>
      </w:r>
      <w:r w:rsidR="00D76D4A">
        <w:t xml:space="preserve">  </w:t>
      </w:r>
      <w:r w:rsidR="00A05E5C" w:rsidRPr="00CE038F">
        <w:t xml:space="preserve">Work will commence on a new aid </w:t>
      </w:r>
      <w:r w:rsidR="00E265A5" w:rsidRPr="00CE038F">
        <w:t>investment plan</w:t>
      </w:r>
      <w:r w:rsidR="00A05E5C" w:rsidRPr="00CE038F">
        <w:t xml:space="preserve"> following </w:t>
      </w:r>
      <w:r w:rsidR="003E59C1">
        <w:t>the Fijian</w:t>
      </w:r>
      <w:r w:rsidR="00E21938">
        <w:t xml:space="preserve"> election.</w:t>
      </w:r>
      <w:r w:rsidR="00A05E5C">
        <w:t xml:space="preserve"> </w:t>
      </w:r>
    </w:p>
    <w:p w14:paraId="2F02ACAB" w14:textId="77777777" w:rsidR="002A51CA" w:rsidRPr="002A51CA" w:rsidRDefault="002A51CA" w:rsidP="0047187B">
      <w:pPr>
        <w:pStyle w:val="Subtitle"/>
      </w:pPr>
      <w:r w:rsidRPr="002A51CA">
        <w:lastRenderedPageBreak/>
        <w:t xml:space="preserve">Program Quality and Partner Performance </w:t>
      </w:r>
    </w:p>
    <w:p w14:paraId="14A6EDAF" w14:textId="77777777" w:rsidR="002A51CA" w:rsidRPr="002A51CA" w:rsidRDefault="002A51CA" w:rsidP="002A51CA">
      <w:pPr>
        <w:rPr>
          <w:b/>
          <w:lang w:eastAsia="zh-CN"/>
        </w:rPr>
      </w:pPr>
      <w:r w:rsidRPr="002A51CA">
        <w:rPr>
          <w:b/>
          <w:lang w:eastAsia="zh-CN"/>
        </w:rPr>
        <w:t>Overview</w:t>
      </w:r>
      <w:r w:rsidRPr="002A51CA">
        <w:rPr>
          <w:b/>
          <w:lang w:eastAsia="zh-CN"/>
        </w:rPr>
        <w:tab/>
      </w:r>
    </w:p>
    <w:p w14:paraId="62F90E54" w14:textId="6B07EC89" w:rsidR="00A606C6" w:rsidRDefault="00E22FD2" w:rsidP="00BE6C6D">
      <w:r>
        <w:t xml:space="preserve">In 2017-18, we made considerable </w:t>
      </w:r>
      <w:r w:rsidR="00FA0E29">
        <w:t xml:space="preserve">efforts to </w:t>
      </w:r>
      <w:r w:rsidR="000F35CB">
        <w:t>clarify the strategic intent of the Fiji Program</w:t>
      </w:r>
      <w:r w:rsidR="00624CC6">
        <w:t>;</w:t>
      </w:r>
      <w:r w:rsidR="000F35CB">
        <w:t xml:space="preserve"> </w:t>
      </w:r>
      <w:r w:rsidR="00C3019E">
        <w:t>enhance alignment w</w:t>
      </w:r>
      <w:r w:rsidR="000F35CB">
        <w:t xml:space="preserve">ith </w:t>
      </w:r>
      <w:r w:rsidR="00C4387A">
        <w:t>our partner</w:t>
      </w:r>
      <w:r w:rsidR="00982FDF">
        <w:t xml:space="preserve"> </w:t>
      </w:r>
      <w:r w:rsidR="00A16A3F">
        <w:t>g</w:t>
      </w:r>
      <w:r w:rsidR="00B22FD5">
        <w:t>overnment’s</w:t>
      </w:r>
      <w:r w:rsidR="000F35CB">
        <w:t xml:space="preserve"> priorities</w:t>
      </w:r>
      <w:r w:rsidR="00624CC6">
        <w:t xml:space="preserve"> as set out in the NDP;</w:t>
      </w:r>
      <w:r w:rsidR="000F35CB">
        <w:t xml:space="preserve"> </w:t>
      </w:r>
      <w:r w:rsidR="00624CC6">
        <w:t xml:space="preserve">and </w:t>
      </w:r>
      <w:r w:rsidR="00A606C6">
        <w:t>ensure</w:t>
      </w:r>
      <w:r w:rsidR="00A274FA">
        <w:t xml:space="preserve"> that</w:t>
      </w:r>
      <w:r w:rsidR="00A606C6">
        <w:t xml:space="preserve"> </w:t>
      </w:r>
      <w:r w:rsidR="001D75E1">
        <w:t xml:space="preserve">performance </w:t>
      </w:r>
      <w:r w:rsidR="00A606C6">
        <w:t xml:space="preserve">information </w:t>
      </w:r>
      <w:r w:rsidR="001D75E1">
        <w:t xml:space="preserve">is </w:t>
      </w:r>
      <w:r w:rsidR="00A606C6">
        <w:t>collected</w:t>
      </w:r>
      <w:r w:rsidR="001D75E1">
        <w:t xml:space="preserve"> </w:t>
      </w:r>
      <w:r w:rsidR="000F35CB">
        <w:t>systematically</w:t>
      </w:r>
      <w:r w:rsidR="00C4387A">
        <w:t xml:space="preserve"> and</w:t>
      </w:r>
      <w:r w:rsidR="003E59C1">
        <w:t xml:space="preserve"> </w:t>
      </w:r>
      <w:r w:rsidR="00A606C6">
        <w:t xml:space="preserve">used to improve </w:t>
      </w:r>
      <w:r w:rsidR="000338E1">
        <w:t>Program quality</w:t>
      </w:r>
      <w:r w:rsidR="00C3019E">
        <w:t xml:space="preserve">. </w:t>
      </w:r>
      <w:r w:rsidR="006C1BA9">
        <w:t xml:space="preserve"> We completed four evaluations during </w:t>
      </w:r>
      <w:r w:rsidR="00A53D39">
        <w:t>2017-18</w:t>
      </w:r>
      <w:r w:rsidR="006C1BA9">
        <w:t xml:space="preserve"> (</w:t>
      </w:r>
      <w:r w:rsidR="006C1BA9">
        <w:rPr>
          <w:b/>
        </w:rPr>
        <w:t>Annex C</w:t>
      </w:r>
      <w:r w:rsidR="006C1BA9">
        <w:t xml:space="preserve">).  </w:t>
      </w:r>
      <w:r w:rsidR="00C3019E">
        <w:t>An</w:t>
      </w:r>
      <w:r w:rsidR="000F35CB">
        <w:t xml:space="preserve"> internal review</w:t>
      </w:r>
      <w:r w:rsidR="00C803E5">
        <w:t xml:space="preserve"> of the </w:t>
      </w:r>
      <w:r w:rsidR="00A274FA">
        <w:t xml:space="preserve">Fiji </w:t>
      </w:r>
      <w:r w:rsidR="00C803E5">
        <w:t>Program</w:t>
      </w:r>
      <w:r w:rsidR="000F35CB">
        <w:t xml:space="preserve"> in November 2017</w:t>
      </w:r>
      <w:r w:rsidR="00C3019E">
        <w:t xml:space="preserve"> found no significant </w:t>
      </w:r>
      <w:r w:rsidR="00A72DBC">
        <w:t xml:space="preserve">quality </w:t>
      </w:r>
      <w:r w:rsidR="00C3019E">
        <w:t xml:space="preserve">concerns, but recommended developing </w:t>
      </w:r>
      <w:r w:rsidR="00961E4F">
        <w:t>a</w:t>
      </w:r>
      <w:r w:rsidR="001D75E1">
        <w:t xml:space="preserve"> whole- of-program </w:t>
      </w:r>
      <w:r w:rsidR="000F35CB">
        <w:t>PAF</w:t>
      </w:r>
      <w:r w:rsidR="00A274FA">
        <w:t xml:space="preserve">.  We </w:t>
      </w:r>
      <w:r w:rsidR="000338E1">
        <w:t xml:space="preserve">finalised </w:t>
      </w:r>
      <w:r w:rsidR="00A274FA">
        <w:t>the PAF in</w:t>
      </w:r>
      <w:r w:rsidR="00103510">
        <w:t xml:space="preserve"> late 2017</w:t>
      </w:r>
      <w:r w:rsidR="00C3019E">
        <w:rPr>
          <w:b/>
        </w:rPr>
        <w:t xml:space="preserve">.  </w:t>
      </w:r>
      <w:r w:rsidR="00C3019E">
        <w:t xml:space="preserve">The </w:t>
      </w:r>
      <w:r w:rsidR="00961E4F">
        <w:t xml:space="preserve">process of reporting against </w:t>
      </w:r>
      <w:r w:rsidR="00A53D39">
        <w:t>it</w:t>
      </w:r>
      <w:r w:rsidR="00A72DBC">
        <w:t xml:space="preserve"> </w:t>
      </w:r>
      <w:r w:rsidR="00961E4F">
        <w:t xml:space="preserve">has demonstrated that </w:t>
      </w:r>
      <w:r w:rsidR="00A53D39">
        <w:t xml:space="preserve">the PAF </w:t>
      </w:r>
      <w:r w:rsidR="00C3019E">
        <w:t>could be more focused</w:t>
      </w:r>
      <w:r w:rsidR="00A72DBC">
        <w:t>.  The</w:t>
      </w:r>
      <w:r w:rsidR="00C3019E">
        <w:t xml:space="preserve"> </w:t>
      </w:r>
      <w:r w:rsidR="002B5856">
        <w:t xml:space="preserve">lessons learned </w:t>
      </w:r>
      <w:r w:rsidR="00C4387A">
        <w:t>will be reflected in developing a</w:t>
      </w:r>
      <w:r w:rsidR="00961E4F">
        <w:t xml:space="preserve"> PAF for the new AIP.  </w:t>
      </w:r>
    </w:p>
    <w:p w14:paraId="07A7941C" w14:textId="57BE062A" w:rsidR="00C4387A" w:rsidRDefault="00A274FA" w:rsidP="00224C9E">
      <w:r>
        <w:t xml:space="preserve">An important </w:t>
      </w:r>
      <w:r w:rsidR="000338E1">
        <w:t>area of work in</w:t>
      </w:r>
      <w:r w:rsidR="00224C9E" w:rsidRPr="00F63C3A">
        <w:t xml:space="preserve"> 2017 was</w:t>
      </w:r>
      <w:r w:rsidR="000338E1">
        <w:t xml:space="preserve"> </w:t>
      </w:r>
      <w:r w:rsidR="00C803E5">
        <w:t>to develop</w:t>
      </w:r>
      <w:r w:rsidR="00224C9E" w:rsidRPr="00F63C3A">
        <w:t xml:space="preserve"> </w:t>
      </w:r>
      <w:r w:rsidR="00C4387A">
        <w:t>robust monitoring and evaluation</w:t>
      </w:r>
      <w:r w:rsidR="00224C9E" w:rsidRPr="00F63C3A">
        <w:t xml:space="preserve"> systems for the Facility</w:t>
      </w:r>
      <w:r w:rsidR="00A53D39">
        <w:t>, which</w:t>
      </w:r>
      <w:r w:rsidR="00FD6E50">
        <w:t xml:space="preserve"> consolidates the delivery </w:t>
      </w:r>
      <w:r w:rsidR="00A72DBC">
        <w:t>of our</w:t>
      </w:r>
      <w:r w:rsidR="00224C9E" w:rsidRPr="00F63C3A">
        <w:t xml:space="preserve"> support </w:t>
      </w:r>
      <w:r w:rsidR="00A72DBC">
        <w:t>in key</w:t>
      </w:r>
      <w:r w:rsidR="00224C9E" w:rsidRPr="00F63C3A">
        <w:t xml:space="preserve"> sectors into a single modality</w:t>
      </w:r>
      <w:r w:rsidR="00A72DBC">
        <w:t xml:space="preserve"> under</w:t>
      </w:r>
      <w:r w:rsidR="00224C9E" w:rsidRPr="00F63C3A">
        <w:t xml:space="preserve"> one contractor.  </w:t>
      </w:r>
      <w:r w:rsidR="00C4387A">
        <w:t>The intention is to</w:t>
      </w:r>
      <w:r w:rsidR="00224C9E" w:rsidRPr="00F63C3A">
        <w:t xml:space="preserve"> improve overall program </w:t>
      </w:r>
      <w:r w:rsidR="00B25D9F">
        <w:t xml:space="preserve">quality and coherence, as well </w:t>
      </w:r>
      <w:r w:rsidR="00224C9E" w:rsidRPr="00F63C3A">
        <w:t>efficiency</w:t>
      </w:r>
      <w:r w:rsidR="00A72DBC">
        <w:t xml:space="preserve"> by</w:t>
      </w:r>
      <w:r w:rsidR="00224C9E" w:rsidRPr="00F63C3A">
        <w:t xml:space="preserve"> reduc</w:t>
      </w:r>
      <w:r w:rsidR="00A72DBC">
        <w:t>ing</w:t>
      </w:r>
      <w:r w:rsidR="00224C9E" w:rsidRPr="00F63C3A">
        <w:t xml:space="preserve"> the management burden on </w:t>
      </w:r>
      <w:r w:rsidR="000B5B38">
        <w:t>our staff</w:t>
      </w:r>
      <w:r w:rsidR="00C803E5">
        <w:t>.  This should</w:t>
      </w:r>
      <w:r w:rsidR="000B5B38">
        <w:t xml:space="preserve"> in turn</w:t>
      </w:r>
      <w:r w:rsidR="00C803E5">
        <w:t xml:space="preserve"> allow </w:t>
      </w:r>
      <w:r w:rsidR="00FD6E50">
        <w:t>staff</w:t>
      </w:r>
      <w:r w:rsidR="00224C9E" w:rsidRPr="00F63C3A">
        <w:t xml:space="preserve"> to focus on strategic </w:t>
      </w:r>
      <w:r w:rsidR="00F63C3A" w:rsidRPr="00F63C3A">
        <w:t>objectives</w:t>
      </w:r>
      <w:r w:rsidR="00224C9E" w:rsidRPr="00F63C3A">
        <w:t xml:space="preserve"> and relationships.  In 2017, </w:t>
      </w:r>
      <w:r w:rsidR="00C4387A">
        <w:t>a</w:t>
      </w:r>
      <w:r w:rsidR="00224C9E" w:rsidRPr="00F63C3A">
        <w:t xml:space="preserve">n independent assessment found the </w:t>
      </w:r>
      <w:r w:rsidR="00C4387A">
        <w:t>Facility’s</w:t>
      </w:r>
      <w:r w:rsidR="00C4387A" w:rsidRPr="00F63C3A">
        <w:t xml:space="preserve"> </w:t>
      </w:r>
      <w:r w:rsidR="000B5B38">
        <w:t>monitoring, learning and evaluation</w:t>
      </w:r>
      <w:r w:rsidR="000B5B38" w:rsidRPr="00F63C3A">
        <w:t xml:space="preserve"> </w:t>
      </w:r>
      <w:r w:rsidR="000B5B38">
        <w:t>plan</w:t>
      </w:r>
      <w:r w:rsidR="000B5B38" w:rsidRPr="00F63C3A">
        <w:t xml:space="preserve"> </w:t>
      </w:r>
      <w:r w:rsidR="00224C9E" w:rsidRPr="00F63C3A">
        <w:t>to be comprehensive and grounded in good practice, but recommended ways to im</w:t>
      </w:r>
      <w:r w:rsidR="00C4387A">
        <w:t xml:space="preserve">prove its clarity and structure. </w:t>
      </w:r>
      <w:r w:rsidR="005B43BE">
        <w:t xml:space="preserve"> </w:t>
      </w:r>
      <w:r w:rsidR="000B5B38">
        <w:t xml:space="preserve">We </w:t>
      </w:r>
      <w:r w:rsidR="006004D1">
        <w:t>are working</w:t>
      </w:r>
      <w:r w:rsidR="00C4387A">
        <w:t xml:space="preserve"> with the Facility to address these recommendations</w:t>
      </w:r>
      <w:r w:rsidR="00DC5435">
        <w:t xml:space="preserve">. </w:t>
      </w:r>
      <w:r w:rsidR="00C4387A">
        <w:t xml:space="preserve"> </w:t>
      </w:r>
      <w:r w:rsidR="00224C9E" w:rsidRPr="00F63C3A">
        <w:t xml:space="preserve">Six-monthly surveys </w:t>
      </w:r>
      <w:r w:rsidR="00A53D39">
        <w:t>are also being</w:t>
      </w:r>
      <w:r w:rsidR="00224C9E" w:rsidRPr="00F63C3A">
        <w:t xml:space="preserve"> conducted to gauge </w:t>
      </w:r>
      <w:r w:rsidR="00A72DBC">
        <w:t xml:space="preserve">the Facility’s impact </w:t>
      </w:r>
      <w:r w:rsidR="00A53D39">
        <w:t>and</w:t>
      </w:r>
      <w:r w:rsidR="00A72DBC">
        <w:t xml:space="preserve"> inform p</w:t>
      </w:r>
      <w:r w:rsidR="00F63C3A" w:rsidRPr="00FD6E50">
        <w:t xml:space="preserve">lanning, coordination and direction-setting.  </w:t>
      </w:r>
    </w:p>
    <w:p w14:paraId="42E99B09" w14:textId="03D8CADB" w:rsidR="00E22FD2" w:rsidRDefault="00221563" w:rsidP="00BE6C6D">
      <w:r>
        <w:t xml:space="preserve">In response to gaps identified </w:t>
      </w:r>
      <w:r w:rsidR="00C4387A">
        <w:t xml:space="preserve">by the internal review, </w:t>
      </w:r>
      <w:r w:rsidR="00A53D39">
        <w:t xml:space="preserve">we have contracted </w:t>
      </w:r>
      <w:r>
        <w:t xml:space="preserve">two </w:t>
      </w:r>
      <w:r w:rsidR="00A53D39">
        <w:t xml:space="preserve">advisers over </w:t>
      </w:r>
      <w:r>
        <w:t xml:space="preserve">2018-2020 to </w:t>
      </w:r>
      <w:r w:rsidR="00C4387A">
        <w:t xml:space="preserve">strengthen </w:t>
      </w:r>
      <w:r w:rsidR="00F64417">
        <w:t xml:space="preserve">DFAT’s </w:t>
      </w:r>
      <w:r w:rsidR="00C4387A">
        <w:t>capacity</w:t>
      </w:r>
      <w:r w:rsidR="00A53D39">
        <w:t xml:space="preserve"> and</w:t>
      </w:r>
      <w:r w:rsidR="00995260">
        <w:t xml:space="preserve"> improve the quality of monitoring and evaluation </w:t>
      </w:r>
      <w:r>
        <w:t xml:space="preserve">across the </w:t>
      </w:r>
      <w:r w:rsidR="00A32594">
        <w:t>P</w:t>
      </w:r>
      <w:r>
        <w:t>rogram.</w:t>
      </w:r>
    </w:p>
    <w:p w14:paraId="16ED9033" w14:textId="229357AC" w:rsidR="00600479" w:rsidRDefault="005B43BE" w:rsidP="00BE6C6D">
      <w:pPr>
        <w:rPr>
          <w:b/>
          <w:lang w:eastAsia="zh-CN"/>
        </w:rPr>
      </w:pPr>
      <w:r>
        <w:rPr>
          <w:b/>
          <w:lang w:eastAsia="zh-CN"/>
        </w:rPr>
        <w:t>Aid Quality Checks</w:t>
      </w:r>
    </w:p>
    <w:p w14:paraId="32C1A588" w14:textId="602A3CF7" w:rsidR="00DB578A" w:rsidRDefault="00982FDF" w:rsidP="002E4948">
      <w:pPr>
        <w:rPr>
          <w:iCs/>
        </w:rPr>
      </w:pPr>
      <w:r>
        <w:rPr>
          <w:iCs/>
        </w:rPr>
        <w:t xml:space="preserve">DFAT conducted </w:t>
      </w:r>
      <w:r w:rsidR="002E4948">
        <w:rPr>
          <w:iCs/>
        </w:rPr>
        <w:t>Aid Quality Checks (AQC</w:t>
      </w:r>
      <w:r w:rsidR="005B43BE">
        <w:rPr>
          <w:iCs/>
        </w:rPr>
        <w:t>s</w:t>
      </w:r>
      <w:r w:rsidR="002E4948">
        <w:rPr>
          <w:iCs/>
        </w:rPr>
        <w:t xml:space="preserve">) for seven investments in 2017-18.  </w:t>
      </w:r>
      <w:r w:rsidR="000F0788">
        <w:rPr>
          <w:iCs/>
        </w:rPr>
        <w:t xml:space="preserve">A summary of AQC ratings is at </w:t>
      </w:r>
      <w:r w:rsidR="000F0788" w:rsidRPr="000923E5">
        <w:rPr>
          <w:b/>
          <w:iCs/>
        </w:rPr>
        <w:t>Annex D</w:t>
      </w:r>
      <w:r w:rsidR="000F0788">
        <w:rPr>
          <w:iCs/>
        </w:rPr>
        <w:t xml:space="preserve">.  </w:t>
      </w:r>
      <w:r w:rsidR="002E4948">
        <w:rPr>
          <w:iCs/>
        </w:rPr>
        <w:t xml:space="preserve">These included a Final AQC for </w:t>
      </w:r>
      <w:r w:rsidR="00A43698">
        <w:rPr>
          <w:iCs/>
        </w:rPr>
        <w:t>AEQP</w:t>
      </w:r>
      <w:r w:rsidR="002E4948">
        <w:rPr>
          <w:iCs/>
        </w:rPr>
        <w:t>.  Overall</w:t>
      </w:r>
      <w:r w:rsidR="00B739B9">
        <w:rPr>
          <w:iCs/>
        </w:rPr>
        <w:t xml:space="preserve">, </w:t>
      </w:r>
      <w:r w:rsidR="00A43698">
        <w:rPr>
          <w:iCs/>
        </w:rPr>
        <w:t>AQEP</w:t>
      </w:r>
      <w:r w:rsidR="002E4948">
        <w:rPr>
          <w:iCs/>
        </w:rPr>
        <w:t xml:space="preserve"> </w:t>
      </w:r>
      <w:r w:rsidR="00365008">
        <w:rPr>
          <w:iCs/>
        </w:rPr>
        <w:t xml:space="preserve">remained highly relevant and </w:t>
      </w:r>
      <w:r w:rsidR="002E4948">
        <w:rPr>
          <w:iCs/>
        </w:rPr>
        <w:t>scor</w:t>
      </w:r>
      <w:r w:rsidR="00DB578A">
        <w:rPr>
          <w:iCs/>
        </w:rPr>
        <w:t>ed</w:t>
      </w:r>
      <w:r w:rsidR="002E4948">
        <w:rPr>
          <w:iCs/>
        </w:rPr>
        <w:t xml:space="preserve"> satisfactory ratings of 4 or higher on effectiveness and sustainabil</w:t>
      </w:r>
      <w:r w:rsidR="00C4387A">
        <w:rPr>
          <w:iCs/>
        </w:rPr>
        <w:t xml:space="preserve">ity.  Performance on efficiency and </w:t>
      </w:r>
      <w:r w:rsidR="002E4948">
        <w:rPr>
          <w:iCs/>
        </w:rPr>
        <w:t>monitoring and evaluation was</w:t>
      </w:r>
      <w:r w:rsidR="00DB2592">
        <w:rPr>
          <w:iCs/>
        </w:rPr>
        <w:t xml:space="preserve"> slightly more</w:t>
      </w:r>
      <w:r w:rsidR="002E4948">
        <w:rPr>
          <w:iCs/>
        </w:rPr>
        <w:t xml:space="preserve"> </w:t>
      </w:r>
      <w:r w:rsidR="00B739B9">
        <w:rPr>
          <w:iCs/>
        </w:rPr>
        <w:t>variable</w:t>
      </w:r>
      <w:r w:rsidR="002E4948">
        <w:rPr>
          <w:iCs/>
        </w:rPr>
        <w:t xml:space="preserve">.  </w:t>
      </w:r>
    </w:p>
    <w:p w14:paraId="49F8244D" w14:textId="77777777" w:rsidR="002E4948" w:rsidRDefault="002E1328" w:rsidP="002E4948">
      <w:pPr>
        <w:rPr>
          <w:iCs/>
        </w:rPr>
      </w:pPr>
      <w:r>
        <w:rPr>
          <w:iCs/>
        </w:rPr>
        <w:t xml:space="preserve">Under the Governance Program, the </w:t>
      </w:r>
      <w:r w:rsidR="00C843B5">
        <w:rPr>
          <w:iCs/>
        </w:rPr>
        <w:t>IPP</w:t>
      </w:r>
      <w:r>
        <w:rPr>
          <w:iCs/>
        </w:rPr>
        <w:t xml:space="preserve"> </w:t>
      </w:r>
      <w:r w:rsidR="00995260">
        <w:rPr>
          <w:iCs/>
        </w:rPr>
        <w:t>was assessed as providing</w:t>
      </w:r>
      <w:r>
        <w:rPr>
          <w:iCs/>
        </w:rPr>
        <w:t xml:space="preserve"> </w:t>
      </w:r>
      <w:r w:rsidR="0078631D">
        <w:rPr>
          <w:iCs/>
        </w:rPr>
        <w:t xml:space="preserve">relevant, </w:t>
      </w:r>
      <w:r>
        <w:rPr>
          <w:iCs/>
        </w:rPr>
        <w:t xml:space="preserve">flexible and responsive assistance </w:t>
      </w:r>
      <w:r w:rsidR="00C843B5">
        <w:rPr>
          <w:iCs/>
        </w:rPr>
        <w:t xml:space="preserve">in </w:t>
      </w:r>
      <w:r w:rsidR="00C03081">
        <w:rPr>
          <w:iCs/>
        </w:rPr>
        <w:t>2017-18, with progress on track to</w:t>
      </w:r>
      <w:r w:rsidR="00C843B5">
        <w:rPr>
          <w:iCs/>
        </w:rPr>
        <w:t>wards</w:t>
      </w:r>
      <w:r w:rsidR="00C03081">
        <w:rPr>
          <w:iCs/>
        </w:rPr>
        <w:t xml:space="preserve"> end-of-program outcomes.  The IPP</w:t>
      </w:r>
      <w:r>
        <w:rPr>
          <w:iCs/>
        </w:rPr>
        <w:t xml:space="preserve"> </w:t>
      </w:r>
      <w:r w:rsidR="000F0788">
        <w:rPr>
          <w:iCs/>
        </w:rPr>
        <w:t xml:space="preserve">lifted </w:t>
      </w:r>
      <w:r w:rsidR="00C03081">
        <w:rPr>
          <w:iCs/>
        </w:rPr>
        <w:t xml:space="preserve">its rating for efficiency </w:t>
      </w:r>
      <w:r w:rsidR="00C843B5">
        <w:rPr>
          <w:iCs/>
        </w:rPr>
        <w:t xml:space="preserve">and for monitoring and evaluation </w:t>
      </w:r>
      <w:r w:rsidR="00C03081">
        <w:rPr>
          <w:iCs/>
        </w:rPr>
        <w:t xml:space="preserve">to 4 in 2017-18 due to a reduction in </w:t>
      </w:r>
      <w:r w:rsidR="00C4387A">
        <w:rPr>
          <w:iCs/>
        </w:rPr>
        <w:t xml:space="preserve">the number </w:t>
      </w:r>
      <w:r w:rsidR="00A43698">
        <w:rPr>
          <w:iCs/>
        </w:rPr>
        <w:t xml:space="preserve">of </w:t>
      </w:r>
      <w:r w:rsidR="00995260">
        <w:rPr>
          <w:iCs/>
        </w:rPr>
        <w:t>activities</w:t>
      </w:r>
      <w:r w:rsidR="00A43698">
        <w:rPr>
          <w:iCs/>
        </w:rPr>
        <w:t xml:space="preserve"> it is implementing</w:t>
      </w:r>
      <w:r w:rsidR="00C843B5">
        <w:rPr>
          <w:iCs/>
        </w:rPr>
        <w:t xml:space="preserve"> and the implementation of </w:t>
      </w:r>
      <w:r w:rsidR="00995260">
        <w:rPr>
          <w:iCs/>
        </w:rPr>
        <w:t>a</w:t>
      </w:r>
      <w:r w:rsidR="00C03081">
        <w:rPr>
          <w:iCs/>
        </w:rPr>
        <w:t xml:space="preserve"> </w:t>
      </w:r>
      <w:r w:rsidR="00995260">
        <w:rPr>
          <w:iCs/>
        </w:rPr>
        <w:t xml:space="preserve">new </w:t>
      </w:r>
      <w:r w:rsidR="00C03081">
        <w:rPr>
          <w:iCs/>
        </w:rPr>
        <w:t>monitoring and evaluation framewo</w:t>
      </w:r>
      <w:r w:rsidR="00995260">
        <w:rPr>
          <w:iCs/>
        </w:rPr>
        <w:t>rk</w:t>
      </w:r>
      <w:r w:rsidR="00E945E7">
        <w:rPr>
          <w:iCs/>
        </w:rPr>
        <w:t xml:space="preserve">. </w:t>
      </w:r>
      <w:r w:rsidR="00C03081">
        <w:rPr>
          <w:iCs/>
        </w:rPr>
        <w:t xml:space="preserve">  </w:t>
      </w:r>
      <w:r w:rsidR="00E945E7">
        <w:rPr>
          <w:iCs/>
        </w:rPr>
        <w:t xml:space="preserve"> </w:t>
      </w:r>
      <w:r>
        <w:rPr>
          <w:iCs/>
        </w:rPr>
        <w:t xml:space="preserve"> </w:t>
      </w:r>
    </w:p>
    <w:p w14:paraId="4F958C44" w14:textId="0F09A4F6" w:rsidR="002E4948" w:rsidRPr="0003392D" w:rsidRDefault="000F0788" w:rsidP="002E4948">
      <w:pPr>
        <w:rPr>
          <w:iCs/>
        </w:rPr>
      </w:pPr>
      <w:r>
        <w:rPr>
          <w:iCs/>
        </w:rPr>
        <w:t>Our IFC partnership in Fiji was rated one of the best performing programs in 2017-18, receiving a rating of 5</w:t>
      </w:r>
      <w:r w:rsidR="00C02DC9">
        <w:rPr>
          <w:iCs/>
        </w:rPr>
        <w:t> </w:t>
      </w:r>
      <w:r>
        <w:rPr>
          <w:iCs/>
        </w:rPr>
        <w:t xml:space="preserve">for relevance, effectiveness and efficiency, and a rating of 4 on all other indicators.  </w:t>
      </w:r>
      <w:r w:rsidR="00A274FA">
        <w:rPr>
          <w:iCs/>
        </w:rPr>
        <w:t xml:space="preserve">While </w:t>
      </w:r>
      <w:r w:rsidR="00E945E7">
        <w:rPr>
          <w:iCs/>
        </w:rPr>
        <w:t>MDF</w:t>
      </w:r>
      <w:r w:rsidR="00586ADE">
        <w:rPr>
          <w:iCs/>
        </w:rPr>
        <w:t xml:space="preserve"> also</w:t>
      </w:r>
      <w:r w:rsidR="002E4948">
        <w:rPr>
          <w:iCs/>
        </w:rPr>
        <w:t xml:space="preserve"> </w:t>
      </w:r>
      <w:r w:rsidR="00E945E7">
        <w:rPr>
          <w:iCs/>
        </w:rPr>
        <w:t>p</w:t>
      </w:r>
      <w:r w:rsidR="00586ADE">
        <w:rPr>
          <w:iCs/>
        </w:rPr>
        <w:t>erformed well overall</w:t>
      </w:r>
      <w:r w:rsidR="00A274FA">
        <w:rPr>
          <w:iCs/>
        </w:rPr>
        <w:t>,</w:t>
      </w:r>
      <w:r w:rsidR="00586ADE">
        <w:rPr>
          <w:iCs/>
        </w:rPr>
        <w:t xml:space="preserve"> including on gender,</w:t>
      </w:r>
      <w:r w:rsidR="00A274FA">
        <w:rPr>
          <w:iCs/>
        </w:rPr>
        <w:t xml:space="preserve"> there is </w:t>
      </w:r>
      <w:r w:rsidR="003D48A3">
        <w:rPr>
          <w:iCs/>
        </w:rPr>
        <w:t>sco</w:t>
      </w:r>
      <w:r w:rsidR="00742D66">
        <w:rPr>
          <w:iCs/>
        </w:rPr>
        <w:t>p</w:t>
      </w:r>
      <w:r w:rsidR="003D48A3">
        <w:rPr>
          <w:iCs/>
        </w:rPr>
        <w:t>e</w:t>
      </w:r>
      <w:r w:rsidR="00A274FA">
        <w:rPr>
          <w:iCs/>
        </w:rPr>
        <w:t xml:space="preserve"> </w:t>
      </w:r>
      <w:r w:rsidR="00586ADE">
        <w:rPr>
          <w:iCs/>
        </w:rPr>
        <w:t>to improve its</w:t>
      </w:r>
      <w:r w:rsidR="001C253E">
        <w:rPr>
          <w:iCs/>
        </w:rPr>
        <w:t xml:space="preserve"> effectiveness</w:t>
      </w:r>
      <w:r w:rsidR="00A274FA">
        <w:rPr>
          <w:iCs/>
        </w:rPr>
        <w:t xml:space="preserve"> and monitoring and evaluation</w:t>
      </w:r>
      <w:r w:rsidR="00586ADE">
        <w:rPr>
          <w:iCs/>
        </w:rPr>
        <w:t>.  Ratings of 4 for both</w:t>
      </w:r>
      <w:r w:rsidR="001C253E">
        <w:rPr>
          <w:iCs/>
        </w:rPr>
        <w:t xml:space="preserve"> </w:t>
      </w:r>
      <w:r w:rsidR="00586ADE">
        <w:rPr>
          <w:iCs/>
        </w:rPr>
        <w:t>reflected</w:t>
      </w:r>
      <w:r w:rsidR="00C4387A">
        <w:rPr>
          <w:iCs/>
        </w:rPr>
        <w:t xml:space="preserve"> the </w:t>
      </w:r>
      <w:r w:rsidR="001C253E">
        <w:rPr>
          <w:iCs/>
        </w:rPr>
        <w:t xml:space="preserve">challenges </w:t>
      </w:r>
      <w:r w:rsidR="00586ADE">
        <w:rPr>
          <w:iCs/>
        </w:rPr>
        <w:t>MDF</w:t>
      </w:r>
      <w:r w:rsidR="001C253E">
        <w:rPr>
          <w:iCs/>
        </w:rPr>
        <w:t xml:space="preserve"> is facing in achieving</w:t>
      </w:r>
      <w:r w:rsidR="003D48A3">
        <w:rPr>
          <w:iCs/>
        </w:rPr>
        <w:t>,</w:t>
      </w:r>
      <w:r w:rsidR="001C253E">
        <w:rPr>
          <w:iCs/>
        </w:rPr>
        <w:t xml:space="preserve"> </w:t>
      </w:r>
      <w:r w:rsidR="00A274FA">
        <w:rPr>
          <w:iCs/>
        </w:rPr>
        <w:t>and reporting its contribution to</w:t>
      </w:r>
      <w:r w:rsidR="003D48A3">
        <w:rPr>
          <w:iCs/>
        </w:rPr>
        <w:t>,</w:t>
      </w:r>
      <w:r w:rsidR="00A274FA">
        <w:rPr>
          <w:iCs/>
        </w:rPr>
        <w:t xml:space="preserve"> </w:t>
      </w:r>
      <w:r w:rsidR="001C253E">
        <w:rPr>
          <w:iCs/>
        </w:rPr>
        <w:t>system-wide change</w:t>
      </w:r>
      <w:r>
        <w:rPr>
          <w:iCs/>
        </w:rPr>
        <w:t xml:space="preserve">.  </w:t>
      </w:r>
      <w:r w:rsidR="00C803E5">
        <w:t xml:space="preserve">MDF has responded to </w:t>
      </w:r>
      <w:r w:rsidR="00586ADE">
        <w:t xml:space="preserve">our </w:t>
      </w:r>
      <w:r w:rsidR="00C803E5">
        <w:t xml:space="preserve">feedback, engaging the Springfield Centre to define, map and assess systemic change attributable to </w:t>
      </w:r>
      <w:r w:rsidR="00A274FA">
        <w:t>its</w:t>
      </w:r>
      <w:r w:rsidR="00C803E5">
        <w:t xml:space="preserve"> interventions.  </w:t>
      </w:r>
      <w:r w:rsidR="00C803E5">
        <w:rPr>
          <w:iCs/>
        </w:rPr>
        <w:t xml:space="preserve"> </w:t>
      </w:r>
    </w:p>
    <w:p w14:paraId="3732F4EE" w14:textId="2694C908" w:rsidR="00DC5435" w:rsidRDefault="00EC15D0" w:rsidP="00DC5435">
      <w:r>
        <w:rPr>
          <w:iCs/>
        </w:rPr>
        <w:t>Overall, the</w:t>
      </w:r>
      <w:r w:rsidR="00592E04">
        <w:rPr>
          <w:iCs/>
        </w:rPr>
        <w:t xml:space="preserve"> Facility met our expectations</w:t>
      </w:r>
      <w:r w:rsidR="00E0493F">
        <w:rPr>
          <w:iCs/>
        </w:rPr>
        <w:t xml:space="preserve"> of progress</w:t>
      </w:r>
      <w:r w:rsidR="00592E04">
        <w:rPr>
          <w:iCs/>
        </w:rPr>
        <w:t xml:space="preserve"> </w:t>
      </w:r>
      <w:r w:rsidR="00054A80">
        <w:rPr>
          <w:iCs/>
        </w:rPr>
        <w:t>in the first year</w:t>
      </w:r>
      <w:r w:rsidR="00592E04">
        <w:rPr>
          <w:iCs/>
        </w:rPr>
        <w:t xml:space="preserve">.  </w:t>
      </w:r>
      <w:r>
        <w:rPr>
          <w:iCs/>
        </w:rPr>
        <w:t>C</w:t>
      </w:r>
      <w:r w:rsidR="00592E04">
        <w:rPr>
          <w:iCs/>
        </w:rPr>
        <w:t>onsolidating program delivery under the Facility has produced cost savings</w:t>
      </w:r>
      <w:r w:rsidR="00592E04">
        <w:rPr>
          <w:rStyle w:val="FootnoteReference"/>
          <w:iCs/>
        </w:rPr>
        <w:footnoteReference w:id="13"/>
      </w:r>
      <w:r w:rsidR="00592E04">
        <w:rPr>
          <w:iCs/>
        </w:rPr>
        <w:t xml:space="preserve">, </w:t>
      </w:r>
      <w:r>
        <w:rPr>
          <w:iCs/>
        </w:rPr>
        <w:t>but we can do more to</w:t>
      </w:r>
      <w:r w:rsidR="00592E04">
        <w:rPr>
          <w:iCs/>
        </w:rPr>
        <w:t xml:space="preserve"> improve </w:t>
      </w:r>
      <w:r>
        <w:rPr>
          <w:iCs/>
        </w:rPr>
        <w:t xml:space="preserve">its </w:t>
      </w:r>
      <w:r w:rsidR="00592E04">
        <w:rPr>
          <w:iCs/>
        </w:rPr>
        <w:t>efficiency</w:t>
      </w:r>
      <w:r w:rsidR="00054A80">
        <w:rPr>
          <w:iCs/>
        </w:rPr>
        <w:t xml:space="preserve"> (rated 3)</w:t>
      </w:r>
      <w:r w:rsidR="00592E04">
        <w:rPr>
          <w:iCs/>
        </w:rPr>
        <w:t xml:space="preserve">. </w:t>
      </w:r>
      <w:r w:rsidR="00C4387A">
        <w:rPr>
          <w:iCs/>
        </w:rPr>
        <w:t xml:space="preserve"> We</w:t>
      </w:r>
      <w:r w:rsidR="00592E04">
        <w:rPr>
          <w:iCs/>
        </w:rPr>
        <w:t xml:space="preserve"> </w:t>
      </w:r>
      <w:r w:rsidR="00C4387A">
        <w:rPr>
          <w:iCs/>
        </w:rPr>
        <w:t>will work with</w:t>
      </w:r>
      <w:r w:rsidR="00592E04">
        <w:rPr>
          <w:iCs/>
        </w:rPr>
        <w:t xml:space="preserve"> the Facility to bed down roles and responsibilities</w:t>
      </w:r>
      <w:r w:rsidR="00A43698">
        <w:rPr>
          <w:iCs/>
        </w:rPr>
        <w:t xml:space="preserve"> and improve the quality of deliverables</w:t>
      </w:r>
      <w:r w:rsidR="00C4387A">
        <w:rPr>
          <w:iCs/>
        </w:rPr>
        <w:t>;</w:t>
      </w:r>
      <w:r w:rsidR="00592E04">
        <w:rPr>
          <w:iCs/>
        </w:rPr>
        <w:t xml:space="preserve"> and support</w:t>
      </w:r>
      <w:r w:rsidR="00F44297">
        <w:rPr>
          <w:iCs/>
        </w:rPr>
        <w:t xml:space="preserve"> our</w:t>
      </w:r>
      <w:r w:rsidR="007A524C">
        <w:rPr>
          <w:iCs/>
        </w:rPr>
        <w:t xml:space="preserve"> staff </w:t>
      </w:r>
      <w:r w:rsidR="00592E04">
        <w:rPr>
          <w:iCs/>
        </w:rPr>
        <w:t xml:space="preserve">move away from program </w:t>
      </w:r>
      <w:r w:rsidR="00090F08">
        <w:rPr>
          <w:iCs/>
        </w:rPr>
        <w:t xml:space="preserve">administration </w:t>
      </w:r>
      <w:r w:rsidR="00592E04">
        <w:rPr>
          <w:iCs/>
        </w:rPr>
        <w:t>and to focus instead on stakeholder engagement, policy dialogue</w:t>
      </w:r>
      <w:r>
        <w:rPr>
          <w:iCs/>
        </w:rPr>
        <w:t>, program performance</w:t>
      </w:r>
      <w:r w:rsidR="00592E04">
        <w:rPr>
          <w:iCs/>
        </w:rPr>
        <w:t xml:space="preserve"> and similar strategic efforts.</w:t>
      </w:r>
      <w:r w:rsidR="00592E04" w:rsidRPr="00DC388C">
        <w:rPr>
          <w:rStyle w:val="FootnoteReference"/>
          <w:iCs/>
        </w:rPr>
        <w:t xml:space="preserve"> </w:t>
      </w:r>
      <w:r w:rsidR="007A524C">
        <w:rPr>
          <w:iCs/>
        </w:rPr>
        <w:t xml:space="preserve"> </w:t>
      </w:r>
      <w:r w:rsidR="00F44297">
        <w:rPr>
          <w:iCs/>
        </w:rPr>
        <w:t>We will also agree with</w:t>
      </w:r>
      <w:r>
        <w:t xml:space="preserve"> </w:t>
      </w:r>
      <w:r w:rsidR="008C2377">
        <w:t xml:space="preserve">the </w:t>
      </w:r>
      <w:r w:rsidR="00592E04">
        <w:t xml:space="preserve">Facility contractor more precise definitions of the change </w:t>
      </w:r>
      <w:r w:rsidR="00586ADE">
        <w:t>to be achieved</w:t>
      </w:r>
      <w:r w:rsidR="00EA71F8">
        <w:t xml:space="preserve"> by the Facility, and </w:t>
      </w:r>
      <w:r w:rsidR="00586ADE">
        <w:t>a baseline</w:t>
      </w:r>
      <w:r>
        <w:t xml:space="preserve"> and</w:t>
      </w:r>
      <w:r w:rsidR="00592E04">
        <w:t xml:space="preserve"> indicators against wh</w:t>
      </w:r>
      <w:r w:rsidR="00DC5435">
        <w:t xml:space="preserve">ich </w:t>
      </w:r>
      <w:r w:rsidR="00054A80">
        <w:t>to measure progress</w:t>
      </w:r>
      <w:r w:rsidR="0003392D">
        <w:t>; and do</w:t>
      </w:r>
      <w:r w:rsidR="00920207">
        <w:rPr>
          <w:iCs/>
        </w:rPr>
        <w:t xml:space="preserve"> more </w:t>
      </w:r>
      <w:r w:rsidR="00054A80">
        <w:rPr>
          <w:iCs/>
        </w:rPr>
        <w:t xml:space="preserve">to </w:t>
      </w:r>
      <w:r>
        <w:rPr>
          <w:iCs/>
        </w:rPr>
        <w:t>assess</w:t>
      </w:r>
      <w:r w:rsidR="005421B4">
        <w:rPr>
          <w:iCs/>
        </w:rPr>
        <w:t xml:space="preserve"> the longer-term impacts of </w:t>
      </w:r>
      <w:r w:rsidR="00DC5435">
        <w:t>Australia Awards</w:t>
      </w:r>
      <w:r w:rsidR="005421B4">
        <w:t>.</w:t>
      </w:r>
      <w:r w:rsidR="00DC5435">
        <w:t xml:space="preserve"> </w:t>
      </w:r>
      <w:r w:rsidR="007A524C">
        <w:t xml:space="preserve"> This will include finding</w:t>
      </w:r>
      <w:r w:rsidR="007A524C" w:rsidRPr="005E3D50">
        <w:t xml:space="preserve"> ways to apply the lessons learned and good practices generated in the ten other Awards programs Coffey manages for </w:t>
      </w:r>
      <w:r w:rsidR="007A524C">
        <w:t>Australia</w:t>
      </w:r>
      <w:r w:rsidR="007A524C" w:rsidRPr="005E3D50">
        <w:t xml:space="preserve"> in the region to enhance program outcomes in Fiji.</w:t>
      </w:r>
    </w:p>
    <w:p w14:paraId="38EB1B57" w14:textId="77777777" w:rsidR="002E4948" w:rsidRPr="00C61187" w:rsidRDefault="00DB578A" w:rsidP="002E4948">
      <w:pPr>
        <w:rPr>
          <w:iCs/>
        </w:rPr>
      </w:pPr>
      <w:r>
        <w:rPr>
          <w:iCs/>
        </w:rPr>
        <w:t xml:space="preserve">Progress against gender indicators </w:t>
      </w:r>
      <w:r w:rsidR="00B25D9F">
        <w:rPr>
          <w:iCs/>
        </w:rPr>
        <w:t xml:space="preserve">varied </w:t>
      </w:r>
      <w:r w:rsidR="00EC495A">
        <w:rPr>
          <w:iCs/>
        </w:rPr>
        <w:t>during 2017-18</w:t>
      </w:r>
      <w:r>
        <w:rPr>
          <w:iCs/>
        </w:rPr>
        <w:t>.  There was strong performance by programs targeting gender equality</w:t>
      </w:r>
      <w:r w:rsidR="00BA41FE">
        <w:rPr>
          <w:iCs/>
        </w:rPr>
        <w:t xml:space="preserve"> – MDF and the Paci</w:t>
      </w:r>
      <w:r w:rsidR="00920207">
        <w:rPr>
          <w:iCs/>
        </w:rPr>
        <w:t xml:space="preserve">fic Women Fiji Country Plan – but weaker in our support for </w:t>
      </w:r>
      <w:r w:rsidR="00920207">
        <w:rPr>
          <w:iCs/>
        </w:rPr>
        <w:lastRenderedPageBreak/>
        <w:t>public and private se</w:t>
      </w:r>
      <w:r w:rsidR="005C4B63">
        <w:rPr>
          <w:iCs/>
        </w:rPr>
        <w:t xml:space="preserve">ctor </w:t>
      </w:r>
      <w:r w:rsidR="00920207">
        <w:rPr>
          <w:iCs/>
        </w:rPr>
        <w:t xml:space="preserve">governance.  </w:t>
      </w:r>
      <w:r w:rsidR="005421B4">
        <w:rPr>
          <w:iCs/>
        </w:rPr>
        <w:t>While we contributed strongly</w:t>
      </w:r>
      <w:r w:rsidR="00DF3015">
        <w:rPr>
          <w:iCs/>
        </w:rPr>
        <w:t xml:space="preserve"> to disability-inclusive development in 2017-18</w:t>
      </w:r>
      <w:r w:rsidR="005421B4">
        <w:rPr>
          <w:iCs/>
        </w:rPr>
        <w:t xml:space="preserve"> through our post-TC Winston recovery work, </w:t>
      </w:r>
      <w:r w:rsidR="008C5F14">
        <w:rPr>
          <w:iCs/>
        </w:rPr>
        <w:t>disability inclusiveness</w:t>
      </w:r>
      <w:r w:rsidR="00504384">
        <w:rPr>
          <w:iCs/>
        </w:rPr>
        <w:t xml:space="preserve"> </w:t>
      </w:r>
      <w:r w:rsidR="005421B4">
        <w:rPr>
          <w:iCs/>
        </w:rPr>
        <w:t>was</w:t>
      </w:r>
      <w:r w:rsidR="00504384">
        <w:rPr>
          <w:iCs/>
        </w:rPr>
        <w:t xml:space="preserve"> </w:t>
      </w:r>
      <w:r w:rsidR="001927CF">
        <w:rPr>
          <w:iCs/>
        </w:rPr>
        <w:t>weak</w:t>
      </w:r>
      <w:r w:rsidR="005421B4">
        <w:rPr>
          <w:iCs/>
        </w:rPr>
        <w:t xml:space="preserve"> in our economic governance programs. </w:t>
      </w:r>
      <w:r w:rsidR="00E0493F">
        <w:rPr>
          <w:iCs/>
        </w:rPr>
        <w:t xml:space="preserve"> </w:t>
      </w:r>
      <w:r w:rsidR="007A524C">
        <w:rPr>
          <w:iCs/>
        </w:rPr>
        <w:t xml:space="preserve">Specific interventions will be developed and implemented to address these areas of weakness in our governance programs.  </w:t>
      </w:r>
      <w:r w:rsidR="002E4948">
        <w:rPr>
          <w:iCs/>
        </w:rPr>
        <w:t xml:space="preserve">All </w:t>
      </w:r>
      <w:r w:rsidR="0011515B">
        <w:rPr>
          <w:iCs/>
        </w:rPr>
        <w:t xml:space="preserve">relevant </w:t>
      </w:r>
      <w:r w:rsidR="002E4948">
        <w:rPr>
          <w:iCs/>
        </w:rPr>
        <w:t xml:space="preserve">investments reported actions to </w:t>
      </w:r>
      <w:r w:rsidR="002E4948" w:rsidRPr="0011515B">
        <w:rPr>
          <w:iCs/>
        </w:rPr>
        <w:t>address climate change and disaster risks during implementation</w:t>
      </w:r>
      <w:r w:rsidR="0011515B">
        <w:rPr>
          <w:iCs/>
        </w:rPr>
        <w:t xml:space="preserve">. </w:t>
      </w:r>
      <w:r w:rsidR="002E4948">
        <w:rPr>
          <w:iCs/>
        </w:rPr>
        <w:t xml:space="preserve"> </w:t>
      </w:r>
    </w:p>
    <w:p w14:paraId="2E849A05" w14:textId="77777777" w:rsidR="00600479" w:rsidRDefault="00600479" w:rsidP="00600479">
      <w:pPr>
        <w:rPr>
          <w:b/>
          <w:lang w:eastAsia="zh-CN"/>
        </w:rPr>
      </w:pPr>
      <w:r>
        <w:rPr>
          <w:b/>
          <w:lang w:eastAsia="zh-CN"/>
        </w:rPr>
        <w:t>Performance of key delivery partners</w:t>
      </w:r>
      <w:r w:rsidR="00FB37A2">
        <w:rPr>
          <w:b/>
          <w:lang w:eastAsia="zh-CN"/>
        </w:rPr>
        <w:t xml:space="preserve">  </w:t>
      </w:r>
      <w:r w:rsidR="005C4B63">
        <w:rPr>
          <w:b/>
          <w:lang w:eastAsia="zh-CN"/>
        </w:rPr>
        <w:t xml:space="preserve"> </w:t>
      </w:r>
    </w:p>
    <w:p w14:paraId="30157B3F" w14:textId="57543EE7" w:rsidR="00431E2C" w:rsidRDefault="003A7A4D" w:rsidP="00431E2C">
      <w:r w:rsidRPr="00EE3F76">
        <w:t xml:space="preserve">In 2017-18, </w:t>
      </w:r>
      <w:r w:rsidR="002A50EB" w:rsidRPr="00EE3F76">
        <w:t>we</w:t>
      </w:r>
      <w:r w:rsidRPr="00EE3F76">
        <w:t xml:space="preserve"> delivered important components of the Program through partnerships with Palladium (</w:t>
      </w:r>
      <w:r w:rsidR="0054057C">
        <w:t>TC </w:t>
      </w:r>
      <w:r w:rsidR="00F81E94" w:rsidRPr="00EE3F76">
        <w:t>Winston school reconstruction</w:t>
      </w:r>
      <w:r w:rsidRPr="00EE3F76">
        <w:t>)</w:t>
      </w:r>
      <w:r w:rsidR="00390915">
        <w:t>, Cardno (Pacific Women)</w:t>
      </w:r>
      <w:r w:rsidRPr="00EE3F76">
        <w:t xml:space="preserve"> and Coffey International (the Facility).  We continued to collaborate with a number of CSOs, </w:t>
      </w:r>
      <w:r w:rsidR="00CE038F" w:rsidRPr="00EE3F76">
        <w:t xml:space="preserve">such as </w:t>
      </w:r>
      <w:r w:rsidRPr="00EE3F76">
        <w:t>the Fiji Women’s Crisis Centre</w:t>
      </w:r>
      <w:r w:rsidR="00EE3F76" w:rsidRPr="00EE3F76">
        <w:t>, femLINK</w:t>
      </w:r>
      <w:r w:rsidR="00390915">
        <w:t>p</w:t>
      </w:r>
      <w:r w:rsidR="00EE3F76" w:rsidRPr="00EE3F76">
        <w:t>acific, and Medical Services Pacific</w:t>
      </w:r>
      <w:r w:rsidRPr="00EE3F76">
        <w:t xml:space="preserve">.  Our bilateral programs worked </w:t>
      </w:r>
      <w:r w:rsidR="00C843B5">
        <w:t>closely</w:t>
      </w:r>
      <w:r w:rsidR="00565AF5">
        <w:t xml:space="preserve"> with </w:t>
      </w:r>
      <w:r w:rsidRPr="00EE3F76">
        <w:t xml:space="preserve">Government </w:t>
      </w:r>
      <w:r w:rsidR="00565AF5">
        <w:t xml:space="preserve">of Fiji </w:t>
      </w:r>
      <w:r w:rsidRPr="00EE3F76">
        <w:t xml:space="preserve">ministries and multilateral organisations, including the </w:t>
      </w:r>
      <w:r w:rsidR="00F93EF8">
        <w:t>ADB</w:t>
      </w:r>
      <w:r w:rsidRPr="00EE3F76">
        <w:t>, IFC, UNICEF and UN Women.</w:t>
      </w:r>
      <w:r>
        <w:t xml:space="preserve">  </w:t>
      </w:r>
    </w:p>
    <w:p w14:paraId="4325FA07" w14:textId="77777777" w:rsidR="007A524C" w:rsidRDefault="003A7A4D" w:rsidP="00F81E94">
      <w:r>
        <w:t xml:space="preserve">We assessed the performance of key partners </w:t>
      </w:r>
      <w:r w:rsidR="00F81E94">
        <w:t xml:space="preserve">during the reporting period </w:t>
      </w:r>
      <w:r w:rsidR="002A50EB">
        <w:t>through</w:t>
      </w:r>
      <w:r>
        <w:t xml:space="preserve"> DFAT’s Partne</w:t>
      </w:r>
      <w:r w:rsidR="00F81E94">
        <w:t>r Performance Assessment process.  This considers performance on criteria</w:t>
      </w:r>
      <w:r w:rsidR="001927CF">
        <w:t xml:space="preserve"> such as</w:t>
      </w:r>
      <w:r w:rsidR="00F81E94">
        <w:t xml:space="preserve"> lasting results and impact, value for money, pol</w:t>
      </w:r>
      <w:r w:rsidR="0054057C">
        <w:t xml:space="preserve">icy alignment, risk management, innovation </w:t>
      </w:r>
      <w:r w:rsidR="00F81E94">
        <w:t xml:space="preserve">and effective personnel.  Partners were rated as ‘adequate’ or performing well’ on most criteria.  </w:t>
      </w:r>
    </w:p>
    <w:p w14:paraId="22F5A5BA" w14:textId="77777777" w:rsidR="0006351C" w:rsidRDefault="00F81E94" w:rsidP="00F81E94">
      <w:r>
        <w:t xml:space="preserve">Palladium demonstrated </w:t>
      </w:r>
      <w:r w:rsidR="0054057C">
        <w:t>that</w:t>
      </w:r>
      <w:r>
        <w:t xml:space="preserve"> it is providing efficient and effective oversight of the school rebuilding </w:t>
      </w:r>
      <w:r w:rsidR="007A524C">
        <w:t>program</w:t>
      </w:r>
      <w:r w:rsidR="00E12DAC">
        <w:t>, despite the issues experienced on Koro</w:t>
      </w:r>
      <w:r w:rsidR="007A524C">
        <w:t>.  W</w:t>
      </w:r>
      <w:r>
        <w:t>e</w:t>
      </w:r>
      <w:r w:rsidRPr="00F81E94">
        <w:t xml:space="preserve"> </w:t>
      </w:r>
      <w:r>
        <w:t xml:space="preserve">have been </w:t>
      </w:r>
      <w:r w:rsidRPr="00F81E94">
        <w:t xml:space="preserve">pleased </w:t>
      </w:r>
      <w:r w:rsidR="007A524C">
        <w:t xml:space="preserve">overall </w:t>
      </w:r>
      <w:r w:rsidRPr="00F81E94">
        <w:t>with IFC's commitment to</w:t>
      </w:r>
      <w:r>
        <w:t xml:space="preserve"> the DFAT-IFC Fiji Partnership</w:t>
      </w:r>
      <w:r w:rsidR="00CE038F">
        <w:t>.</w:t>
      </w:r>
      <w:r w:rsidR="0006351C">
        <w:t xml:space="preserve"> </w:t>
      </w:r>
    </w:p>
    <w:p w14:paraId="44E3997A" w14:textId="77777777" w:rsidR="00E0493F" w:rsidRDefault="00F81E94" w:rsidP="005830DC">
      <w:r>
        <w:t xml:space="preserve">The </w:t>
      </w:r>
      <w:r w:rsidRPr="00F81E94">
        <w:t xml:space="preserve">Facility </w:t>
      </w:r>
      <w:r>
        <w:t>is a</w:t>
      </w:r>
      <w:r w:rsidRPr="00F81E94">
        <w:t xml:space="preserve"> new manage</w:t>
      </w:r>
      <w:r>
        <w:t>ment modality, and</w:t>
      </w:r>
      <w:r w:rsidRPr="00F81E94">
        <w:t xml:space="preserve"> a new experience in </w:t>
      </w:r>
      <w:r>
        <w:t>Fiji for both DFAT and Coffey in Fiji</w:t>
      </w:r>
      <w:r w:rsidRPr="00F81E94">
        <w:t xml:space="preserve">. </w:t>
      </w:r>
      <w:r>
        <w:t xml:space="preserve"> Looking forward, D</w:t>
      </w:r>
      <w:r w:rsidRPr="00F81E94">
        <w:t>FAT</w:t>
      </w:r>
      <w:r>
        <w:t xml:space="preserve"> and Coffey will </w:t>
      </w:r>
      <w:r w:rsidR="00D71D62">
        <w:t>establish</w:t>
      </w:r>
      <w:r w:rsidRPr="00F81E94">
        <w:t xml:space="preserve"> working principles</w:t>
      </w:r>
      <w:r w:rsidR="00CE038F">
        <w:t xml:space="preserve"> and strategies</w:t>
      </w:r>
      <w:r w:rsidRPr="00F81E94">
        <w:t xml:space="preserve"> </w:t>
      </w:r>
      <w:r w:rsidR="00D71D62">
        <w:t xml:space="preserve">to make the </w:t>
      </w:r>
      <w:r w:rsidRPr="00F81E94">
        <w:t>partnership more efficient</w:t>
      </w:r>
      <w:r>
        <w:t xml:space="preserve"> and effective</w:t>
      </w:r>
      <w:r w:rsidRPr="00F81E94">
        <w:t>.</w:t>
      </w:r>
      <w:r w:rsidR="00CE038F">
        <w:t xml:space="preserve">  </w:t>
      </w:r>
    </w:p>
    <w:p w14:paraId="6A83AD0B" w14:textId="77777777" w:rsidR="0047187B" w:rsidRDefault="0047187B" w:rsidP="005830DC"/>
    <w:p w14:paraId="58926306" w14:textId="77777777" w:rsidR="00EE3F76" w:rsidRPr="002A51CA" w:rsidRDefault="00EE3F76" w:rsidP="0047187B">
      <w:pPr>
        <w:pStyle w:val="Subtitle"/>
      </w:pPr>
      <w:r w:rsidRPr="002B363F">
        <w:t>Risks</w:t>
      </w:r>
    </w:p>
    <w:p w14:paraId="02EDC9D4" w14:textId="77777777" w:rsidR="00EE3F76" w:rsidRPr="008C2F58" w:rsidRDefault="00EE3F76" w:rsidP="00EE3F76">
      <w:pPr>
        <w:rPr>
          <w:b/>
          <w:sz w:val="24"/>
        </w:rPr>
      </w:pPr>
      <w:r w:rsidRPr="00DD3D6D">
        <w:rPr>
          <w:b/>
          <w:sz w:val="24"/>
        </w:rPr>
        <w:t>Table 3: Management of Key Risks to Achieving Objectives</w:t>
      </w:r>
    </w:p>
    <w:tbl>
      <w:tblPr>
        <w:tblStyle w:val="TableGrid"/>
        <w:tblW w:w="0" w:type="auto"/>
        <w:tblLook w:val="04A0" w:firstRow="1" w:lastRow="0" w:firstColumn="1" w:lastColumn="0" w:noHBand="0" w:noVBand="1"/>
      </w:tblPr>
      <w:tblGrid>
        <w:gridCol w:w="1696"/>
        <w:gridCol w:w="2835"/>
        <w:gridCol w:w="2127"/>
        <w:gridCol w:w="1559"/>
        <w:gridCol w:w="1411"/>
      </w:tblGrid>
      <w:tr w:rsidR="00EE3F76" w14:paraId="50859CB2" w14:textId="77777777" w:rsidTr="00E23B65">
        <w:tc>
          <w:tcPr>
            <w:tcW w:w="1696" w:type="dxa"/>
          </w:tcPr>
          <w:p w14:paraId="77648C06" w14:textId="77777777" w:rsidR="00EE3F76" w:rsidRPr="00E23B65" w:rsidRDefault="00EE3F76" w:rsidP="00A24EF1">
            <w:pPr>
              <w:spacing w:before="20" w:after="20" w:line="180" w:lineRule="atLeast"/>
              <w:rPr>
                <w:rFonts w:eastAsia="Times New Roman"/>
                <w:b/>
                <w:sz w:val="17"/>
                <w:szCs w:val="17"/>
              </w:rPr>
            </w:pPr>
            <w:r w:rsidRPr="00E23B65">
              <w:rPr>
                <w:b/>
                <w:sz w:val="17"/>
                <w:szCs w:val="17"/>
              </w:rPr>
              <w:t>Key risks</w:t>
            </w:r>
          </w:p>
        </w:tc>
        <w:tc>
          <w:tcPr>
            <w:tcW w:w="2835" w:type="dxa"/>
          </w:tcPr>
          <w:p w14:paraId="675CC35B" w14:textId="77777777" w:rsidR="00EE3F76" w:rsidRPr="00E23B65" w:rsidRDefault="00EE3F76" w:rsidP="00A24EF1">
            <w:pPr>
              <w:spacing w:before="20" w:after="20" w:line="180" w:lineRule="atLeast"/>
              <w:rPr>
                <w:rFonts w:eastAsia="Times New Roman"/>
                <w:b/>
                <w:sz w:val="17"/>
                <w:szCs w:val="17"/>
              </w:rPr>
            </w:pPr>
            <w:r w:rsidRPr="00E23B65">
              <w:rPr>
                <w:b/>
                <w:sz w:val="17"/>
                <w:szCs w:val="17"/>
              </w:rPr>
              <w:t>What actions were taken to manage the risks over the past year?</w:t>
            </w:r>
          </w:p>
        </w:tc>
        <w:tc>
          <w:tcPr>
            <w:tcW w:w="2127" w:type="dxa"/>
          </w:tcPr>
          <w:p w14:paraId="6CBF70AB" w14:textId="77777777" w:rsidR="00EE3F76" w:rsidRPr="00E23B65" w:rsidRDefault="00EE3F76" w:rsidP="00A24EF1">
            <w:pPr>
              <w:spacing w:before="20" w:after="20" w:line="180" w:lineRule="atLeast"/>
              <w:rPr>
                <w:rFonts w:eastAsia="Times New Roman"/>
                <w:b/>
                <w:sz w:val="17"/>
                <w:szCs w:val="17"/>
              </w:rPr>
            </w:pPr>
            <w:r w:rsidRPr="00E23B65">
              <w:rPr>
                <w:b/>
                <w:sz w:val="17"/>
                <w:szCs w:val="17"/>
              </w:rPr>
              <w:t>What further actions will be taken to manage the risks in the coming year?</w:t>
            </w:r>
          </w:p>
        </w:tc>
        <w:tc>
          <w:tcPr>
            <w:tcW w:w="1559" w:type="dxa"/>
          </w:tcPr>
          <w:p w14:paraId="07523E92" w14:textId="77777777" w:rsidR="00EE3F76" w:rsidRPr="00E23B65" w:rsidRDefault="004F04B8" w:rsidP="004F04B8">
            <w:pPr>
              <w:spacing w:before="20" w:after="20" w:line="180" w:lineRule="atLeast"/>
              <w:rPr>
                <w:rFonts w:eastAsia="Times New Roman"/>
                <w:b/>
                <w:sz w:val="17"/>
                <w:szCs w:val="17"/>
              </w:rPr>
            </w:pPr>
            <w:r>
              <w:rPr>
                <w:b/>
                <w:sz w:val="17"/>
                <w:szCs w:val="17"/>
              </w:rPr>
              <w:t xml:space="preserve">For emerging &amp; </w:t>
            </w:r>
            <w:r w:rsidR="00EE3F76" w:rsidRPr="00E23B65">
              <w:rPr>
                <w:b/>
                <w:sz w:val="17"/>
                <w:szCs w:val="17"/>
              </w:rPr>
              <w:t xml:space="preserve">ongoing risks provide a Risk Rating </w:t>
            </w:r>
            <w:r w:rsidR="00742D66" w:rsidRPr="00E440AA">
              <w:rPr>
                <w:b/>
                <w:sz w:val="17"/>
                <w:szCs w:val="17"/>
              </w:rPr>
              <w:t>(low, medium, high, very high)</w:t>
            </w:r>
          </w:p>
        </w:tc>
        <w:tc>
          <w:tcPr>
            <w:tcW w:w="1411" w:type="dxa"/>
          </w:tcPr>
          <w:p w14:paraId="7937109F" w14:textId="77777777" w:rsidR="00EE3F76" w:rsidRPr="00E23B65" w:rsidRDefault="00EE3F76" w:rsidP="00A24EF1">
            <w:pPr>
              <w:spacing w:before="20" w:after="20" w:line="180" w:lineRule="atLeast"/>
              <w:rPr>
                <w:rFonts w:eastAsia="Times New Roman"/>
                <w:b/>
                <w:sz w:val="17"/>
                <w:szCs w:val="17"/>
              </w:rPr>
            </w:pPr>
            <w:r w:rsidRPr="00E23B65">
              <w:rPr>
                <w:b/>
                <w:sz w:val="17"/>
                <w:szCs w:val="17"/>
              </w:rPr>
              <w:t>Are these same risks in Post’s Risk Register (Yes/No)*</w:t>
            </w:r>
          </w:p>
        </w:tc>
      </w:tr>
      <w:tr w:rsidR="00EE3F76" w14:paraId="0F5B7233" w14:textId="77777777" w:rsidTr="00E23B65">
        <w:tc>
          <w:tcPr>
            <w:tcW w:w="1696" w:type="dxa"/>
          </w:tcPr>
          <w:p w14:paraId="30D93919"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1.  Impact of climate change and natural disaster on program implementation or on loc</w:t>
            </w:r>
            <w:r w:rsidR="00C379DC">
              <w:rPr>
                <w:rFonts w:eastAsia="Times New Roman"/>
                <w:sz w:val="17"/>
                <w:szCs w:val="17"/>
              </w:rPr>
              <w:t xml:space="preserve">al systems and infrastructure. </w:t>
            </w:r>
            <w:r w:rsidRPr="00E23B65">
              <w:rPr>
                <w:rFonts w:eastAsia="Times New Roman"/>
                <w:sz w:val="17"/>
                <w:szCs w:val="17"/>
              </w:rPr>
              <w:t xml:space="preserve">Government of Fiji forced </w:t>
            </w:r>
            <w:r w:rsidR="00C379DC">
              <w:rPr>
                <w:rFonts w:eastAsia="Times New Roman"/>
                <w:sz w:val="17"/>
                <w:szCs w:val="17"/>
              </w:rPr>
              <w:t>to divert resources to respond.</w:t>
            </w:r>
            <w:r w:rsidRPr="00E23B65">
              <w:rPr>
                <w:rFonts w:eastAsia="Times New Roman"/>
                <w:sz w:val="17"/>
                <w:szCs w:val="17"/>
              </w:rPr>
              <w:t xml:space="preserve">   </w:t>
            </w:r>
          </w:p>
        </w:tc>
        <w:tc>
          <w:tcPr>
            <w:tcW w:w="2835" w:type="dxa"/>
          </w:tcPr>
          <w:p w14:paraId="18704528" w14:textId="359AA1DD" w:rsidR="00EE3F76" w:rsidRPr="00E23B65" w:rsidRDefault="00C379DC" w:rsidP="00C379DC">
            <w:pPr>
              <w:spacing w:before="20" w:after="20" w:line="180" w:lineRule="atLeast"/>
              <w:rPr>
                <w:rFonts w:eastAsia="Times New Roman"/>
                <w:sz w:val="17"/>
                <w:szCs w:val="17"/>
              </w:rPr>
            </w:pPr>
            <w:r>
              <w:rPr>
                <w:rFonts w:eastAsia="Times New Roman"/>
                <w:sz w:val="17"/>
                <w:szCs w:val="17"/>
              </w:rPr>
              <w:t xml:space="preserve">Disaster </w:t>
            </w:r>
            <w:r w:rsidR="00EE3F76" w:rsidRPr="00E23B65">
              <w:rPr>
                <w:rFonts w:eastAsia="Times New Roman"/>
                <w:sz w:val="17"/>
                <w:szCs w:val="17"/>
              </w:rPr>
              <w:t>risk reduction principles, including integrating a gender perspective, incorporated in all investments and new designs. Continued support to Fiji’s Nati</w:t>
            </w:r>
            <w:r>
              <w:rPr>
                <w:rFonts w:eastAsia="Times New Roman"/>
                <w:sz w:val="17"/>
                <w:szCs w:val="17"/>
              </w:rPr>
              <w:t xml:space="preserve">onal Disaster Management Office. </w:t>
            </w:r>
            <w:r w:rsidR="00EE3F76" w:rsidRPr="00E23B65">
              <w:rPr>
                <w:rFonts w:eastAsia="Times New Roman"/>
                <w:sz w:val="17"/>
                <w:szCs w:val="17"/>
              </w:rPr>
              <w:t>Schools and other infrastructures rebuilt to be more resilient to future disasters. Contingency funds set aside for preparedness and response efforts, including small grants to CSOs</w:t>
            </w:r>
            <w:r w:rsidR="00B73F52">
              <w:rPr>
                <w:rFonts w:eastAsia="Times New Roman"/>
                <w:sz w:val="17"/>
                <w:szCs w:val="17"/>
              </w:rPr>
              <w:t>.</w:t>
            </w:r>
          </w:p>
        </w:tc>
        <w:tc>
          <w:tcPr>
            <w:tcW w:w="2127" w:type="dxa"/>
          </w:tcPr>
          <w:p w14:paraId="2619D78A" w14:textId="77777777" w:rsidR="00EE3F76" w:rsidRPr="00E23B65" w:rsidRDefault="00EE3F76" w:rsidP="00C379DC">
            <w:pPr>
              <w:spacing w:before="20" w:after="20" w:line="180" w:lineRule="atLeast"/>
              <w:rPr>
                <w:rFonts w:eastAsia="Times New Roman"/>
                <w:sz w:val="17"/>
                <w:szCs w:val="17"/>
              </w:rPr>
            </w:pPr>
            <w:r w:rsidRPr="00E23B65">
              <w:rPr>
                <w:rFonts w:eastAsia="Times New Roman"/>
                <w:sz w:val="17"/>
                <w:szCs w:val="17"/>
              </w:rPr>
              <w:t>Increased coordination with NDMO, CSOs and Australi</w:t>
            </w:r>
            <w:r w:rsidR="00C379DC">
              <w:rPr>
                <w:rFonts w:eastAsia="Times New Roman"/>
                <w:sz w:val="17"/>
                <w:szCs w:val="17"/>
              </w:rPr>
              <w:t>an Humanitarian Partnership</w:t>
            </w:r>
            <w:r w:rsidRPr="00E23B65">
              <w:rPr>
                <w:rFonts w:eastAsia="Times New Roman"/>
                <w:sz w:val="17"/>
                <w:szCs w:val="17"/>
              </w:rPr>
              <w:t xml:space="preserve"> agencies. Engagement in Disaster READY program. Improved engagement with F</w:t>
            </w:r>
            <w:r w:rsidR="00C379DC">
              <w:rPr>
                <w:rFonts w:eastAsia="Times New Roman"/>
                <w:sz w:val="17"/>
                <w:szCs w:val="17"/>
              </w:rPr>
              <w:t xml:space="preserve">iji Council of Social Services </w:t>
            </w:r>
            <w:r w:rsidRPr="00E23B65">
              <w:rPr>
                <w:rFonts w:eastAsia="Times New Roman"/>
                <w:sz w:val="17"/>
                <w:szCs w:val="17"/>
              </w:rPr>
              <w:t>and Fiji Red Cross Society.</w:t>
            </w:r>
          </w:p>
        </w:tc>
        <w:tc>
          <w:tcPr>
            <w:tcW w:w="1559" w:type="dxa"/>
          </w:tcPr>
          <w:p w14:paraId="486E91F7"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High</w:t>
            </w:r>
          </w:p>
        </w:tc>
        <w:tc>
          <w:tcPr>
            <w:tcW w:w="1411" w:type="dxa"/>
          </w:tcPr>
          <w:p w14:paraId="54E2797C"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Yes</w:t>
            </w:r>
          </w:p>
        </w:tc>
      </w:tr>
      <w:tr w:rsidR="00EE3F76" w14:paraId="0A5856A9" w14:textId="77777777" w:rsidTr="00E23B65">
        <w:tc>
          <w:tcPr>
            <w:tcW w:w="1696" w:type="dxa"/>
          </w:tcPr>
          <w:p w14:paraId="4238D470"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2. Further delays in the completion of infrastructure post-TC Winston af</w:t>
            </w:r>
            <w:r w:rsidR="00C379DC">
              <w:rPr>
                <w:rFonts w:eastAsia="Times New Roman"/>
                <w:sz w:val="17"/>
                <w:szCs w:val="17"/>
              </w:rPr>
              <w:t>fect confidence in Australia’s Aid P</w:t>
            </w:r>
            <w:r w:rsidRPr="00E23B65">
              <w:rPr>
                <w:rFonts w:eastAsia="Times New Roman"/>
                <w:sz w:val="17"/>
                <w:szCs w:val="17"/>
              </w:rPr>
              <w:t>rogram.</w:t>
            </w:r>
          </w:p>
        </w:tc>
        <w:tc>
          <w:tcPr>
            <w:tcW w:w="2835" w:type="dxa"/>
          </w:tcPr>
          <w:p w14:paraId="193A9239"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 xml:space="preserve">Active monitoring and evaluation of progress in construction of schools and other infrastructure.  Provision of technical assistance to support partners. </w:t>
            </w:r>
          </w:p>
        </w:tc>
        <w:tc>
          <w:tcPr>
            <w:tcW w:w="2127" w:type="dxa"/>
          </w:tcPr>
          <w:p w14:paraId="77085DC2" w14:textId="597B953E"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Continued active engagement with managing contractor responsible for infrastructure progress; regula</w:t>
            </w:r>
            <w:r w:rsidR="008C2377">
              <w:rPr>
                <w:rFonts w:eastAsia="Times New Roman"/>
                <w:sz w:val="17"/>
                <w:szCs w:val="17"/>
              </w:rPr>
              <w:t>r updates provided to the Fiji G</w:t>
            </w:r>
            <w:r w:rsidRPr="00E23B65">
              <w:rPr>
                <w:rFonts w:eastAsia="Times New Roman"/>
                <w:sz w:val="17"/>
                <w:szCs w:val="17"/>
              </w:rPr>
              <w:t xml:space="preserve">overnment and to affected communities. </w:t>
            </w:r>
          </w:p>
        </w:tc>
        <w:tc>
          <w:tcPr>
            <w:tcW w:w="1559" w:type="dxa"/>
          </w:tcPr>
          <w:p w14:paraId="1701DF81"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High</w:t>
            </w:r>
          </w:p>
        </w:tc>
        <w:tc>
          <w:tcPr>
            <w:tcW w:w="1411" w:type="dxa"/>
          </w:tcPr>
          <w:p w14:paraId="3DE80D70"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Yes</w:t>
            </w:r>
          </w:p>
        </w:tc>
      </w:tr>
      <w:tr w:rsidR="00EE3F76" w14:paraId="59B59E21" w14:textId="77777777" w:rsidTr="00E23B65">
        <w:tc>
          <w:tcPr>
            <w:tcW w:w="1696" w:type="dxa"/>
          </w:tcPr>
          <w:p w14:paraId="7A01441E"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 xml:space="preserve">3. Consolidation of program delivery under the Facility does not reduce management burden </w:t>
            </w:r>
            <w:r w:rsidRPr="00E23B65">
              <w:rPr>
                <w:rFonts w:eastAsia="Times New Roman"/>
                <w:sz w:val="17"/>
                <w:szCs w:val="17"/>
              </w:rPr>
              <w:lastRenderedPageBreak/>
              <w:t xml:space="preserve">on staff, improve strategic engagement and produce high quality results  </w:t>
            </w:r>
          </w:p>
        </w:tc>
        <w:tc>
          <w:tcPr>
            <w:tcW w:w="2835" w:type="dxa"/>
          </w:tcPr>
          <w:p w14:paraId="1D9F31FB" w14:textId="77777777" w:rsidR="00EE3F76" w:rsidRPr="00E23B65" w:rsidRDefault="00EE3F76" w:rsidP="00407123">
            <w:pPr>
              <w:spacing w:before="20" w:after="20" w:line="180" w:lineRule="atLeast"/>
              <w:rPr>
                <w:rFonts w:eastAsia="Times New Roman"/>
                <w:sz w:val="17"/>
                <w:szCs w:val="17"/>
              </w:rPr>
            </w:pPr>
            <w:r w:rsidRPr="00E23B65">
              <w:rPr>
                <w:rFonts w:eastAsia="Times New Roman"/>
                <w:sz w:val="17"/>
                <w:szCs w:val="17"/>
              </w:rPr>
              <w:lastRenderedPageBreak/>
              <w:t xml:space="preserve">Active monitoring of Facility’s performance and achievement of expected benefits. Cross-cutting </w:t>
            </w:r>
            <w:r w:rsidR="00407123">
              <w:rPr>
                <w:rFonts w:eastAsia="Times New Roman"/>
                <w:sz w:val="17"/>
                <w:szCs w:val="17"/>
              </w:rPr>
              <w:t>issues</w:t>
            </w:r>
            <w:r w:rsidRPr="00E23B65">
              <w:rPr>
                <w:rFonts w:eastAsia="Times New Roman"/>
                <w:sz w:val="17"/>
                <w:szCs w:val="17"/>
              </w:rPr>
              <w:t xml:space="preserve"> of gender equality, social inclusion and climate resilience </w:t>
            </w:r>
            <w:r w:rsidRPr="00E23B65">
              <w:rPr>
                <w:rFonts w:eastAsia="Times New Roman"/>
                <w:sz w:val="17"/>
                <w:szCs w:val="17"/>
              </w:rPr>
              <w:lastRenderedPageBreak/>
              <w:t xml:space="preserve">consistently integrated across programs to contribute to whole-of-program benchmarks. </w:t>
            </w:r>
          </w:p>
        </w:tc>
        <w:tc>
          <w:tcPr>
            <w:tcW w:w="2127" w:type="dxa"/>
          </w:tcPr>
          <w:p w14:paraId="7F4D200E"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lastRenderedPageBreak/>
              <w:t xml:space="preserve">Reflections workshop provides opportunity to confirm partnership principles and definitions of desired change and roles </w:t>
            </w:r>
            <w:r w:rsidRPr="00E23B65">
              <w:rPr>
                <w:rFonts w:eastAsia="Times New Roman"/>
                <w:sz w:val="17"/>
                <w:szCs w:val="17"/>
              </w:rPr>
              <w:lastRenderedPageBreak/>
              <w:t>and responsibilities of staff. Regular engagement between DFAT and Facility teams to review progress against work programs.</w:t>
            </w:r>
          </w:p>
        </w:tc>
        <w:tc>
          <w:tcPr>
            <w:tcW w:w="1559" w:type="dxa"/>
          </w:tcPr>
          <w:p w14:paraId="4CD3A9ED"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lastRenderedPageBreak/>
              <w:t>High</w:t>
            </w:r>
          </w:p>
        </w:tc>
        <w:tc>
          <w:tcPr>
            <w:tcW w:w="1411" w:type="dxa"/>
          </w:tcPr>
          <w:p w14:paraId="6F2AD837"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Yes</w:t>
            </w:r>
          </w:p>
        </w:tc>
      </w:tr>
      <w:tr w:rsidR="00EE3F76" w14:paraId="425E9C75" w14:textId="77777777" w:rsidTr="00E23B65">
        <w:tc>
          <w:tcPr>
            <w:tcW w:w="1696" w:type="dxa"/>
          </w:tcPr>
          <w:p w14:paraId="27804469"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 xml:space="preserve">4. Failure to clarify and communicate the strategic intent of the Program, and to strengthen monitoring and evaluation, affects </w:t>
            </w:r>
          </w:p>
          <w:p w14:paraId="7ECD439C"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program quality.</w:t>
            </w:r>
          </w:p>
        </w:tc>
        <w:tc>
          <w:tcPr>
            <w:tcW w:w="2835" w:type="dxa"/>
          </w:tcPr>
          <w:p w14:paraId="23A7C537" w14:textId="77777777" w:rsidR="00EE3F76" w:rsidRPr="00196F7F" w:rsidRDefault="00EE3F76" w:rsidP="00407123">
            <w:pPr>
              <w:spacing w:before="20" w:after="20" w:line="180" w:lineRule="atLeast"/>
              <w:rPr>
                <w:rFonts w:eastAsia="Times New Roman"/>
                <w:sz w:val="17"/>
                <w:szCs w:val="17"/>
              </w:rPr>
            </w:pPr>
            <w:r w:rsidRPr="00196F7F">
              <w:rPr>
                <w:rFonts w:eastAsia="Times New Roman"/>
                <w:sz w:val="17"/>
                <w:szCs w:val="17"/>
              </w:rPr>
              <w:t>Extensive efforts to develo</w:t>
            </w:r>
            <w:r w:rsidR="00407123" w:rsidRPr="00196F7F">
              <w:rPr>
                <w:rFonts w:eastAsia="Times New Roman"/>
                <w:sz w:val="17"/>
                <w:szCs w:val="17"/>
              </w:rPr>
              <w:t>p program logics and monitoring and evaluation (M&amp;E)</w:t>
            </w:r>
            <w:r w:rsidRPr="00196F7F">
              <w:rPr>
                <w:rFonts w:eastAsia="Times New Roman"/>
                <w:sz w:val="17"/>
                <w:szCs w:val="17"/>
              </w:rPr>
              <w:t xml:space="preserve"> frameworks for each program. A DFAT M&amp;E sub-group established and meeting regularly to review M&amp;E needs/priorities of the bilateral aid program.</w:t>
            </w:r>
            <w:r w:rsidR="000B7DF4" w:rsidRPr="00196F7F">
              <w:rPr>
                <w:rFonts w:eastAsia="Times New Roman"/>
                <w:sz w:val="17"/>
                <w:szCs w:val="17"/>
              </w:rPr>
              <w:t xml:space="preserve">  </w:t>
            </w:r>
            <w:r w:rsidR="00C379DC" w:rsidRPr="00196F7F">
              <w:rPr>
                <w:rFonts w:eastAsia="Times New Roman"/>
                <w:sz w:val="17"/>
                <w:szCs w:val="17"/>
              </w:rPr>
              <w:t>Aid management t</w:t>
            </w:r>
            <w:r w:rsidRPr="00196F7F">
              <w:rPr>
                <w:rFonts w:eastAsia="Times New Roman"/>
                <w:sz w:val="17"/>
                <w:szCs w:val="17"/>
              </w:rPr>
              <w:t>raining and clinics provided to staff.</w:t>
            </w:r>
          </w:p>
        </w:tc>
        <w:tc>
          <w:tcPr>
            <w:tcW w:w="2127" w:type="dxa"/>
          </w:tcPr>
          <w:p w14:paraId="76458719" w14:textId="1F03B901" w:rsidR="00EE3F76" w:rsidRPr="00E23B65" w:rsidRDefault="00EE3F76" w:rsidP="00C379DC">
            <w:pPr>
              <w:spacing w:before="20" w:after="20" w:line="180" w:lineRule="atLeast"/>
              <w:rPr>
                <w:rFonts w:eastAsia="Times New Roman"/>
                <w:sz w:val="17"/>
                <w:szCs w:val="17"/>
              </w:rPr>
            </w:pPr>
            <w:r w:rsidRPr="00E23B65">
              <w:rPr>
                <w:rFonts w:eastAsia="Times New Roman"/>
                <w:sz w:val="17"/>
                <w:szCs w:val="17"/>
              </w:rPr>
              <w:t>Independent M&amp;E Adviser</w:t>
            </w:r>
            <w:r w:rsidR="000B7DF4" w:rsidRPr="00E23B65">
              <w:rPr>
                <w:rFonts w:eastAsia="Times New Roman"/>
                <w:sz w:val="17"/>
                <w:szCs w:val="17"/>
              </w:rPr>
              <w:t>s</w:t>
            </w:r>
            <w:r w:rsidR="006108F4">
              <w:rPr>
                <w:rFonts w:eastAsia="Times New Roman"/>
                <w:sz w:val="17"/>
                <w:szCs w:val="17"/>
              </w:rPr>
              <w:t xml:space="preserve"> to support DFAT</w:t>
            </w:r>
            <w:r w:rsidRPr="00E23B65">
              <w:rPr>
                <w:rFonts w:eastAsia="Times New Roman"/>
                <w:sz w:val="17"/>
                <w:szCs w:val="17"/>
              </w:rPr>
              <w:t xml:space="preserve"> to strengthen M&amp;E products and reporting. Continued work through the M&amp;E sub-group. Increased attention to</w:t>
            </w:r>
            <w:r w:rsidR="00C379DC">
              <w:rPr>
                <w:rFonts w:eastAsia="Times New Roman"/>
                <w:sz w:val="17"/>
                <w:szCs w:val="17"/>
              </w:rPr>
              <w:t xml:space="preserve"> the</w:t>
            </w:r>
            <w:r w:rsidRPr="00E23B65">
              <w:rPr>
                <w:rFonts w:eastAsia="Times New Roman"/>
                <w:sz w:val="17"/>
                <w:szCs w:val="17"/>
              </w:rPr>
              <w:t xml:space="preserve"> development of public products to improve visibility and transparency of </w:t>
            </w:r>
            <w:r w:rsidR="00C379DC">
              <w:rPr>
                <w:rFonts w:eastAsia="Times New Roman"/>
                <w:sz w:val="17"/>
                <w:szCs w:val="17"/>
              </w:rPr>
              <w:t>the bilateral P</w:t>
            </w:r>
            <w:r w:rsidRPr="00E23B65">
              <w:rPr>
                <w:rFonts w:eastAsia="Times New Roman"/>
                <w:sz w:val="17"/>
                <w:szCs w:val="17"/>
              </w:rPr>
              <w:t>rogram.</w:t>
            </w:r>
          </w:p>
        </w:tc>
        <w:tc>
          <w:tcPr>
            <w:tcW w:w="1559" w:type="dxa"/>
          </w:tcPr>
          <w:p w14:paraId="645CCC28"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High</w:t>
            </w:r>
          </w:p>
        </w:tc>
        <w:tc>
          <w:tcPr>
            <w:tcW w:w="1411" w:type="dxa"/>
          </w:tcPr>
          <w:p w14:paraId="571100F5" w14:textId="77777777" w:rsidR="00EE3F76" w:rsidRPr="00E23B65" w:rsidRDefault="00EE3F76" w:rsidP="00A24EF1">
            <w:pPr>
              <w:spacing w:before="20" w:after="20" w:line="180" w:lineRule="atLeast"/>
              <w:rPr>
                <w:rFonts w:eastAsia="Times New Roman"/>
                <w:sz w:val="17"/>
                <w:szCs w:val="17"/>
              </w:rPr>
            </w:pPr>
            <w:r w:rsidRPr="00E23B65">
              <w:rPr>
                <w:rFonts w:eastAsia="Times New Roman"/>
                <w:sz w:val="17"/>
                <w:szCs w:val="17"/>
              </w:rPr>
              <w:t>No</w:t>
            </w:r>
          </w:p>
        </w:tc>
      </w:tr>
    </w:tbl>
    <w:p w14:paraId="42A50C18" w14:textId="77777777" w:rsidR="001933D2" w:rsidRDefault="001933D2" w:rsidP="002A51CA">
      <w:pPr>
        <w:spacing w:before="20" w:after="20" w:line="180" w:lineRule="atLeast"/>
        <w:jc w:val="both"/>
        <w:rPr>
          <w:rFonts w:ascii="Franklin Gothic Book" w:eastAsia="Times New Roman" w:hAnsi="Franklin Gothic Book"/>
          <w:b/>
          <w:sz w:val="14"/>
          <w:szCs w:val="14"/>
        </w:rPr>
      </w:pPr>
    </w:p>
    <w:p w14:paraId="50CDDB85" w14:textId="77777777" w:rsidR="00542C8F" w:rsidRPr="00E23B65" w:rsidRDefault="0085649F" w:rsidP="00E23B65">
      <w:r>
        <w:t>The overall risk profile of th</w:t>
      </w:r>
      <w:r w:rsidR="00542C8F">
        <w:t xml:space="preserve">e Fiji Program has remained </w:t>
      </w:r>
      <w:r>
        <w:t xml:space="preserve">relatively constant over the last 12 months. </w:t>
      </w:r>
      <w:r w:rsidR="00863B4F">
        <w:t xml:space="preserve"> </w:t>
      </w:r>
      <w:r w:rsidR="00542C8F">
        <w:t>The impact</w:t>
      </w:r>
      <w:r w:rsidR="00863B4F" w:rsidRPr="00863B4F">
        <w:t xml:space="preserve"> of climate change </w:t>
      </w:r>
      <w:r w:rsidR="00863B4F">
        <w:t>or</w:t>
      </w:r>
      <w:r w:rsidR="00863B4F" w:rsidRPr="00863B4F">
        <w:t xml:space="preserve"> natural disast</w:t>
      </w:r>
      <w:r w:rsidR="00863B4F">
        <w:t xml:space="preserve">er </w:t>
      </w:r>
      <w:r w:rsidR="00D54E17">
        <w:t xml:space="preserve">will remain </w:t>
      </w:r>
      <w:r w:rsidR="00542C8F">
        <w:t>a key risk for the Program</w:t>
      </w:r>
      <w:r w:rsidR="00863B4F">
        <w:t xml:space="preserve">.  The Program has responded by investing </w:t>
      </w:r>
      <w:r w:rsidR="00542C8F">
        <w:t xml:space="preserve">in </w:t>
      </w:r>
      <w:r w:rsidR="00542C8F" w:rsidRPr="00E23B65">
        <w:t xml:space="preserve">targeted activities, including </w:t>
      </w:r>
      <w:r w:rsidR="00863B4F" w:rsidRPr="00E23B65">
        <w:t>the</w:t>
      </w:r>
      <w:r w:rsidR="00542C8F" w:rsidRPr="00E23B65">
        <w:t xml:space="preserve"> Preparedness and Response Fund, and ensuring climate resilience is integrated across all sectoral programs.</w:t>
      </w:r>
      <w:r w:rsidR="000F0788">
        <w:t xml:space="preserve"> </w:t>
      </w:r>
      <w:r w:rsidR="000B7DF4">
        <w:t xml:space="preserve"> </w:t>
      </w:r>
      <w:r w:rsidR="00542C8F" w:rsidRPr="00E23B65">
        <w:t xml:space="preserve">The risk of continued delays in TC Winston reconstruction work </w:t>
      </w:r>
      <w:r w:rsidR="000F0788">
        <w:t xml:space="preserve">also </w:t>
      </w:r>
      <w:r w:rsidR="00542C8F" w:rsidRPr="00E23B65">
        <w:t>remains high.</w:t>
      </w:r>
      <w:r w:rsidR="004522C2" w:rsidRPr="00E23B65">
        <w:t xml:space="preserve"> </w:t>
      </w:r>
      <w:r w:rsidR="00542C8F" w:rsidRPr="00E23B65">
        <w:t xml:space="preserve">  </w:t>
      </w:r>
      <w:r w:rsidR="00A81103" w:rsidRPr="00E23B65">
        <w:t xml:space="preserve"> </w:t>
      </w:r>
    </w:p>
    <w:p w14:paraId="046B5F40" w14:textId="55FE08D8" w:rsidR="00542C8F" w:rsidRPr="00E23B65" w:rsidRDefault="00542C8F" w:rsidP="00E23B65">
      <w:r w:rsidRPr="00E23B65">
        <w:t xml:space="preserve">A new risk identified is that consolidation of program delivery under the Facility </w:t>
      </w:r>
      <w:r w:rsidR="009C39C6" w:rsidRPr="00E23B65">
        <w:t>may not</w:t>
      </w:r>
      <w:r w:rsidRPr="00E23B65">
        <w:t xml:space="preserve"> reduce the management burden on</w:t>
      </w:r>
      <w:r w:rsidR="005D4AFB" w:rsidRPr="00E23B65">
        <w:t xml:space="preserve"> </w:t>
      </w:r>
      <w:r w:rsidR="00F64417">
        <w:t>DFAT</w:t>
      </w:r>
      <w:r w:rsidR="005D4AFB" w:rsidRPr="00E23B65">
        <w:t xml:space="preserve">, improve levels of strategic engagement with </w:t>
      </w:r>
      <w:r w:rsidR="005C4B63" w:rsidRPr="00E23B65">
        <w:t>partners</w:t>
      </w:r>
      <w:r w:rsidR="00A20555">
        <w:t xml:space="preserve"> and </w:t>
      </w:r>
      <w:r w:rsidR="005D4AFB" w:rsidRPr="00E23B65">
        <w:t xml:space="preserve">produce high quality results.  Early monitoring has </w:t>
      </w:r>
      <w:r w:rsidR="005C4B63" w:rsidRPr="00E23B65">
        <w:t>shown</w:t>
      </w:r>
      <w:r w:rsidR="005D4AFB" w:rsidRPr="00E23B65">
        <w:t xml:space="preserve"> the Facility’s performance </w:t>
      </w:r>
      <w:r w:rsidR="005C4B63" w:rsidRPr="00E23B65">
        <w:t xml:space="preserve">to date has been </w:t>
      </w:r>
      <w:r w:rsidR="00A43698" w:rsidRPr="00E23B65">
        <w:t xml:space="preserve">mixed.  </w:t>
      </w:r>
      <w:r w:rsidR="005C4B63" w:rsidRPr="00E23B65">
        <w:t>DFAT and the contractor</w:t>
      </w:r>
      <w:r w:rsidR="00B442F5" w:rsidRPr="00E23B65">
        <w:t xml:space="preserve"> </w:t>
      </w:r>
      <w:r w:rsidR="00A43698" w:rsidRPr="00E23B65">
        <w:t xml:space="preserve">will need to make efforts </w:t>
      </w:r>
      <w:r w:rsidR="00B442F5" w:rsidRPr="00E23B65">
        <w:t>to</w:t>
      </w:r>
      <w:r w:rsidR="005D4AFB" w:rsidRPr="00E23B65">
        <w:t xml:space="preserve"> improve</w:t>
      </w:r>
      <w:r w:rsidR="005C4B63" w:rsidRPr="00E23B65">
        <w:t xml:space="preserve"> </w:t>
      </w:r>
      <w:r w:rsidR="00A43698" w:rsidRPr="00E23B65">
        <w:t>the Facility’s efficiency and</w:t>
      </w:r>
      <w:r w:rsidR="0006351C">
        <w:t xml:space="preserve"> the</w:t>
      </w:r>
      <w:r w:rsidR="00A43698" w:rsidRPr="00E23B65">
        <w:t xml:space="preserve"> quality of deliverables. </w:t>
      </w:r>
    </w:p>
    <w:p w14:paraId="2631DD3D" w14:textId="77777777" w:rsidR="00542C8F" w:rsidRDefault="00542C8F" w:rsidP="00E23B65">
      <w:r>
        <w:t xml:space="preserve">The risk of misalignment with partner government priorities (identified in 2016-17) has been addressed.  </w:t>
      </w:r>
      <w:r w:rsidR="00701D82">
        <w:t xml:space="preserve">Fiji released its NDP in late 2017 and, in close consultation with the Government of Fiji, we have adjusted the Program to ensure we respond to the relevant objectives.  There is sufficient flexibility in the Program to respond to shifts in Fiji’s priorities following the 2018 national election.  </w:t>
      </w:r>
    </w:p>
    <w:p w14:paraId="62012F78" w14:textId="77777777" w:rsidR="0047187B" w:rsidRPr="00863B4F" w:rsidRDefault="0047187B" w:rsidP="00E23B65"/>
    <w:p w14:paraId="62870547" w14:textId="77777777" w:rsidR="002A51CA" w:rsidRPr="002A51CA" w:rsidRDefault="002A51CA" w:rsidP="0047187B">
      <w:pPr>
        <w:pStyle w:val="Subtitle"/>
      </w:pPr>
      <w:r w:rsidRPr="002A51CA">
        <w:t xml:space="preserve">Management </w:t>
      </w:r>
      <w:r w:rsidR="00AC302F">
        <w:t>actions</w:t>
      </w:r>
      <w:r w:rsidRPr="002A51CA">
        <w:tab/>
      </w:r>
      <w:r w:rsidRPr="002A51CA">
        <w:tab/>
      </w:r>
    </w:p>
    <w:p w14:paraId="70E26A34" w14:textId="77777777" w:rsidR="00221563" w:rsidRDefault="00AD4009" w:rsidP="00221563">
      <w:r>
        <w:t>Five</w:t>
      </w:r>
      <w:r w:rsidR="009B3CE2">
        <w:t xml:space="preserve"> management actions identified in the 2016-17 APPR were achieved during the reporting period</w:t>
      </w:r>
      <w:r w:rsidR="000B287D">
        <w:t xml:space="preserve"> (see </w:t>
      </w:r>
      <w:r w:rsidR="009B3CE2" w:rsidRPr="00701D82">
        <w:rPr>
          <w:b/>
        </w:rPr>
        <w:t>Annex A</w:t>
      </w:r>
      <w:r w:rsidR="000B287D">
        <w:rPr>
          <w:b/>
        </w:rPr>
        <w:t>)</w:t>
      </w:r>
      <w:r>
        <w:rPr>
          <w:b/>
        </w:rPr>
        <w:t xml:space="preserve">.  </w:t>
      </w:r>
      <w:r>
        <w:t xml:space="preserve">One management action (development of a new aid partnership) was </w:t>
      </w:r>
      <w:r w:rsidRPr="004755CE">
        <w:t xml:space="preserve">not achieved and three </w:t>
      </w:r>
      <w:r>
        <w:t xml:space="preserve">management actions </w:t>
      </w:r>
      <w:r w:rsidRPr="004755CE">
        <w:t>were</w:t>
      </w:r>
      <w:r w:rsidRPr="001B7CB9">
        <w:t xml:space="preserve"> partly achieved</w:t>
      </w:r>
      <w:r w:rsidR="009B3CE2">
        <w:t xml:space="preserve">.  </w:t>
      </w:r>
      <w:r w:rsidR="006202AA">
        <w:t>A</w:t>
      </w:r>
      <w:r>
        <w:t xml:space="preserve">n important </w:t>
      </w:r>
      <w:r w:rsidR="009B3CE2">
        <w:t>achievement has been the development of</w:t>
      </w:r>
      <w:r w:rsidR="000B287D">
        <w:t xml:space="preserve"> a </w:t>
      </w:r>
      <w:r w:rsidR="009B3CE2">
        <w:t xml:space="preserve">PAF </w:t>
      </w:r>
      <w:r w:rsidR="009B3CE2" w:rsidRPr="009B3CE2">
        <w:t>with</w:t>
      </w:r>
      <w:r w:rsidR="009B3CE2">
        <w:t xml:space="preserve"> gender indicators across all objectives, to monitor </w:t>
      </w:r>
      <w:r w:rsidR="000B287D">
        <w:t xml:space="preserve">our </w:t>
      </w:r>
      <w:r w:rsidR="009B3CE2">
        <w:t xml:space="preserve">bilateral </w:t>
      </w:r>
      <w:r w:rsidR="000B287D">
        <w:t>Pr</w:t>
      </w:r>
      <w:r w:rsidR="009B3CE2">
        <w:t xml:space="preserve">ogram and selected regional programs.  We have also </w:t>
      </w:r>
      <w:r w:rsidR="00CB638E">
        <w:t>taken early steps towards</w:t>
      </w:r>
      <w:r w:rsidR="009B3CE2">
        <w:t xml:space="preserve"> enabling </w:t>
      </w:r>
      <w:r w:rsidR="000B287D">
        <w:t>some of our aid</w:t>
      </w:r>
      <w:r w:rsidR="009B3CE2">
        <w:t xml:space="preserve"> to be managed more directly by our partner government</w:t>
      </w:r>
      <w:r w:rsidR="00CB638E">
        <w:t>.  An</w:t>
      </w:r>
      <w:r w:rsidR="009B3CE2">
        <w:t xml:space="preserve"> Assessment of National Systems </w:t>
      </w:r>
      <w:r w:rsidR="00CB638E">
        <w:t xml:space="preserve">is </w:t>
      </w:r>
      <w:r w:rsidR="007D14CD">
        <w:t xml:space="preserve">likely to take place </w:t>
      </w:r>
      <w:r w:rsidR="00090F08">
        <w:t>after the elections</w:t>
      </w:r>
      <w:r w:rsidR="009B3CE2">
        <w:t xml:space="preserve">.  </w:t>
      </w:r>
      <w:r w:rsidR="006B6EFD">
        <w:t xml:space="preserve">While there are concerns about the quality of some deliverables, the Facility is up and running and managing </w:t>
      </w:r>
      <w:r w:rsidR="000B287D">
        <w:t>a number of</w:t>
      </w:r>
      <w:r w:rsidR="006B6EFD">
        <w:t xml:space="preserve"> new</w:t>
      </w:r>
      <w:r w:rsidR="000B287D">
        <w:t xml:space="preserve"> and existing</w:t>
      </w:r>
      <w:r w:rsidR="006B6EFD">
        <w:t xml:space="preserve"> programs. </w:t>
      </w:r>
    </w:p>
    <w:p w14:paraId="39113EEF" w14:textId="77777777" w:rsidR="00221563" w:rsidRDefault="00AD2F99" w:rsidP="002A51CA">
      <w:r>
        <w:t xml:space="preserve">Following the release of Fiji’s NDP in November 2017, we commenced initial thinking </w:t>
      </w:r>
      <w:r w:rsidRPr="00CB638E">
        <w:t xml:space="preserve">and discussions with </w:t>
      </w:r>
      <w:r>
        <w:t xml:space="preserve">the </w:t>
      </w:r>
      <w:r w:rsidRPr="00CB638E">
        <w:t xml:space="preserve">Government </w:t>
      </w:r>
      <w:r>
        <w:t xml:space="preserve">of Fiji </w:t>
      </w:r>
      <w:r w:rsidRPr="00CB638E">
        <w:t>about</w:t>
      </w:r>
      <w:r>
        <w:t xml:space="preserve"> priorities for a new aid partnership, to replace the AIP when it expires.  There was insufficient time in 2017-18 to complete </w:t>
      </w:r>
      <w:r w:rsidR="00AD4009">
        <w:t>a</w:t>
      </w:r>
      <w:r>
        <w:t xml:space="preserve"> new AIP and this will be a</w:t>
      </w:r>
      <w:r w:rsidR="00AD4009">
        <w:t xml:space="preserve"> key </w:t>
      </w:r>
      <w:r>
        <w:t xml:space="preserve">area of work in 2018-19. </w:t>
      </w:r>
    </w:p>
    <w:p w14:paraId="65A81BFB" w14:textId="77777777" w:rsidR="00221563" w:rsidRDefault="0084001D" w:rsidP="002A51CA">
      <w:r>
        <w:t xml:space="preserve">The delivery of Australia’s assistance </w:t>
      </w:r>
      <w:r w:rsidR="00656E32">
        <w:t>for Fiji’s</w:t>
      </w:r>
      <w:r>
        <w:t xml:space="preserve"> recovery </w:t>
      </w:r>
      <w:r w:rsidR="00656E32">
        <w:t>after</w:t>
      </w:r>
      <w:r>
        <w:t xml:space="preserve"> TC Winston has suffered setbacks, with delays in the </w:t>
      </w:r>
      <w:r w:rsidR="00D43B85">
        <w:t>construction</w:t>
      </w:r>
      <w:r>
        <w:t xml:space="preserve"> o</w:t>
      </w:r>
      <w:r w:rsidR="00D43B85">
        <w:t>f certain infrastructure</w:t>
      </w:r>
      <w:r w:rsidR="00CB638E">
        <w:t xml:space="preserve">. </w:t>
      </w:r>
      <w:r w:rsidR="00DB0445">
        <w:t xml:space="preserve"> </w:t>
      </w:r>
      <w:r w:rsidR="005C4B63">
        <w:t>We expect the works</w:t>
      </w:r>
      <w:r w:rsidR="00CB638E">
        <w:t xml:space="preserve"> to </w:t>
      </w:r>
      <w:r w:rsidR="00AD4009">
        <w:t xml:space="preserve">be completed </w:t>
      </w:r>
      <w:r w:rsidR="00D43B85">
        <w:t xml:space="preserve">in 2019.  </w:t>
      </w:r>
    </w:p>
    <w:p w14:paraId="7D465F1F" w14:textId="77777777" w:rsidR="00BB3600" w:rsidRPr="00FB7B28" w:rsidRDefault="003D51E6" w:rsidP="002A51CA">
      <w:pPr>
        <w:rPr>
          <w:b/>
        </w:rPr>
      </w:pPr>
      <w:r w:rsidRPr="00FB7B28">
        <w:rPr>
          <w:b/>
        </w:rPr>
        <w:t xml:space="preserve">We will implement the </w:t>
      </w:r>
      <w:r w:rsidR="00D43B85" w:rsidRPr="00FB7B28">
        <w:rPr>
          <w:b/>
        </w:rPr>
        <w:t xml:space="preserve">following management actions </w:t>
      </w:r>
      <w:r w:rsidR="0023089A" w:rsidRPr="00FB7B28">
        <w:rPr>
          <w:b/>
        </w:rPr>
        <w:t>in 201</w:t>
      </w:r>
      <w:r w:rsidR="00961427" w:rsidRPr="00FB7B28">
        <w:rPr>
          <w:b/>
        </w:rPr>
        <w:t>8</w:t>
      </w:r>
      <w:r w:rsidR="0047187B">
        <w:rPr>
          <w:b/>
        </w:rPr>
        <w:t>-19:</w:t>
      </w:r>
      <w:r w:rsidR="00D43B85" w:rsidRPr="00FB7B28">
        <w:rPr>
          <w:b/>
        </w:rPr>
        <w:t xml:space="preserve"> </w:t>
      </w:r>
    </w:p>
    <w:p w14:paraId="0FBC1A88" w14:textId="77777777" w:rsidR="006C1BA9" w:rsidRDefault="00082B87" w:rsidP="006C1BA9">
      <w:r>
        <w:t>1.</w:t>
      </w:r>
      <w:r w:rsidR="00D20C9C">
        <w:t xml:space="preserve"> </w:t>
      </w:r>
      <w:r w:rsidR="0089358E">
        <w:t>Objective-specific management actions</w:t>
      </w:r>
      <w:r w:rsidR="006C1BA9">
        <w:t xml:space="preserve"> </w:t>
      </w:r>
    </w:p>
    <w:p w14:paraId="3E528708" w14:textId="77777777" w:rsidR="006C1BA9" w:rsidRDefault="006C1BA9" w:rsidP="006C1BA9">
      <w:r>
        <w:t xml:space="preserve">Objective 1: </w:t>
      </w:r>
      <w:r w:rsidR="00747871">
        <w:t xml:space="preserve">Develop and implement </w:t>
      </w:r>
      <w:r w:rsidR="00407123">
        <w:t xml:space="preserve">specific </w:t>
      </w:r>
      <w:r w:rsidR="00691BB0">
        <w:t xml:space="preserve">interventions </w:t>
      </w:r>
      <w:r w:rsidR="00747871">
        <w:t>to achieve</w:t>
      </w:r>
      <w:r w:rsidR="00407123">
        <w:t xml:space="preserve"> gender and disability outcomes</w:t>
      </w:r>
      <w:r w:rsidR="00691BB0">
        <w:t xml:space="preserve"> under new and existing programs</w:t>
      </w:r>
      <w:r w:rsidR="00407123">
        <w:t>.</w:t>
      </w:r>
      <w:r w:rsidR="00A9628B">
        <w:t xml:space="preserve"> These</w:t>
      </w:r>
      <w:r w:rsidR="00514F93">
        <w:t xml:space="preserve"> will</w:t>
      </w:r>
      <w:r w:rsidR="00A9628B">
        <w:t xml:space="preserve"> include</w:t>
      </w:r>
      <w:r w:rsidR="00514F93">
        <w:t xml:space="preserve"> the</w:t>
      </w:r>
      <w:r w:rsidR="00A9628B">
        <w:t xml:space="preserve"> development of an inclusivity guidance note for private sector development program and integrating gender analysis in the design of the new governance program. </w:t>
      </w:r>
    </w:p>
    <w:p w14:paraId="7F131D83" w14:textId="77777777" w:rsidR="006C1BA9" w:rsidRDefault="006C1BA9" w:rsidP="006C1BA9">
      <w:r>
        <w:lastRenderedPageBreak/>
        <w:t xml:space="preserve">Objective 2: </w:t>
      </w:r>
      <w:r w:rsidR="00747871">
        <w:t>Commence impl</w:t>
      </w:r>
      <w:r w:rsidR="00407123">
        <w:t>ementation of the new education program.</w:t>
      </w:r>
      <w:r w:rsidR="00747871">
        <w:t xml:space="preserve"> </w:t>
      </w:r>
    </w:p>
    <w:p w14:paraId="1B60221A" w14:textId="77777777" w:rsidR="006C1BA9" w:rsidRDefault="00B70BB7" w:rsidP="006C1BA9">
      <w:r>
        <w:t xml:space="preserve">Objective 3: </w:t>
      </w:r>
      <w:r w:rsidR="006C1BA9">
        <w:t>Take appropriate steps to ensure progress of the final phase of post-TC Winston reconstruction, enabling completion in 2019.</w:t>
      </w:r>
    </w:p>
    <w:p w14:paraId="52090E7E" w14:textId="0DA63A03" w:rsidR="00082B87" w:rsidRDefault="006C1BA9" w:rsidP="002A51CA">
      <w:r>
        <w:t xml:space="preserve">2. </w:t>
      </w:r>
      <w:r w:rsidR="000B5B38">
        <w:t>We</w:t>
      </w:r>
      <w:r w:rsidR="0089358E">
        <w:t xml:space="preserve"> will </w:t>
      </w:r>
      <w:r w:rsidR="00A95081">
        <w:t>d</w:t>
      </w:r>
      <w:r w:rsidR="00D20C9C">
        <w:t>evelop a new Aid Investment Plan</w:t>
      </w:r>
      <w:r w:rsidR="00B74EB9">
        <w:t xml:space="preserve"> for 2019-23</w:t>
      </w:r>
      <w:r w:rsidR="00A95081">
        <w:t xml:space="preserve"> with </w:t>
      </w:r>
      <w:r w:rsidR="00456ABB">
        <w:t>the Government of Fiji</w:t>
      </w:r>
      <w:r w:rsidR="00FB7B28">
        <w:t xml:space="preserve">.  </w:t>
      </w:r>
      <w:r w:rsidR="002E741B">
        <w:t>The new plan</w:t>
      </w:r>
      <w:r w:rsidR="00FB7B28">
        <w:t xml:space="preserve"> </w:t>
      </w:r>
      <w:r w:rsidR="00B74EB9">
        <w:t xml:space="preserve">will </w:t>
      </w:r>
      <w:r w:rsidR="002E741B">
        <w:t xml:space="preserve">reflect Australian Government priorities in the Pacific and </w:t>
      </w:r>
      <w:r w:rsidR="00B74EB9">
        <w:t xml:space="preserve">be </w:t>
      </w:r>
      <w:r w:rsidR="00407123">
        <w:t>aligned closely with Fiji’s NDP</w:t>
      </w:r>
      <w:r w:rsidR="002E741B">
        <w:t xml:space="preserve">.  It will include </w:t>
      </w:r>
      <w:r w:rsidR="00B74EB9">
        <w:t xml:space="preserve">a </w:t>
      </w:r>
      <w:r w:rsidR="002E741B">
        <w:t xml:space="preserve">robust and focused </w:t>
      </w:r>
      <w:r w:rsidR="00D20C9C">
        <w:t xml:space="preserve">PAF for measuring progress.  </w:t>
      </w:r>
      <w:r w:rsidR="00456ABB">
        <w:t xml:space="preserve">The size and mix of </w:t>
      </w:r>
      <w:r w:rsidR="002E741B">
        <w:t>Australia’s</w:t>
      </w:r>
      <w:r w:rsidR="00456ABB">
        <w:t xml:space="preserve"> investments</w:t>
      </w:r>
      <w:r w:rsidR="0023089A">
        <w:t xml:space="preserve"> will </w:t>
      </w:r>
      <w:r w:rsidR="00456ABB">
        <w:t xml:space="preserve">be appropriate to the context, taking into account </w:t>
      </w:r>
      <w:r w:rsidR="00B74EB9">
        <w:t>Fiji’s status as an upper middle-income country where</w:t>
      </w:r>
      <w:r w:rsidR="0023089A">
        <w:t xml:space="preserve"> aid </w:t>
      </w:r>
      <w:r w:rsidR="00464F47">
        <w:t xml:space="preserve">is </w:t>
      </w:r>
      <w:r w:rsidR="0023089A">
        <w:t>only a small portion</w:t>
      </w:r>
      <w:r w:rsidR="00D20C9C">
        <w:t xml:space="preserve"> of </w:t>
      </w:r>
      <w:r w:rsidR="00B74EB9">
        <w:t>the national budget</w:t>
      </w:r>
      <w:r w:rsidR="00CB638E">
        <w:t>.</w:t>
      </w:r>
    </w:p>
    <w:p w14:paraId="407DE9D1" w14:textId="3D0C3C03" w:rsidR="00082B87" w:rsidRDefault="006C1BA9" w:rsidP="002A51CA">
      <w:r>
        <w:t>3</w:t>
      </w:r>
      <w:r w:rsidR="00082B87">
        <w:t xml:space="preserve">. </w:t>
      </w:r>
      <w:r w:rsidR="00456ABB">
        <w:t>Take</w:t>
      </w:r>
      <w:r w:rsidR="006202AA">
        <w:t xml:space="preserve"> </w:t>
      </w:r>
      <w:r w:rsidR="004B734E">
        <w:t xml:space="preserve">steps to ensure the </w:t>
      </w:r>
      <w:r w:rsidR="0023089A">
        <w:t xml:space="preserve">Facility </w:t>
      </w:r>
      <w:r w:rsidR="004B734E">
        <w:t xml:space="preserve">remains on track to achieve program outcomes and </w:t>
      </w:r>
      <w:r w:rsidR="00954CC4">
        <w:t>provides timely and credible reporting on progress.</w:t>
      </w:r>
      <w:r w:rsidR="00154F41">
        <w:t xml:space="preserve">  </w:t>
      </w:r>
      <w:r w:rsidR="00F64417">
        <w:t xml:space="preserve">DFAT </w:t>
      </w:r>
      <w:r w:rsidR="00154F41">
        <w:t>and the Facility contractor will agree more precise definitions of</w:t>
      </w:r>
      <w:r w:rsidR="000B287D">
        <w:t>, and ways to measure,</w:t>
      </w:r>
      <w:r w:rsidR="00154F41">
        <w:t xml:space="preserve"> the change to be achieved by the Facility</w:t>
      </w:r>
      <w:r w:rsidR="00D71D62">
        <w:t>; and clarify r</w:t>
      </w:r>
      <w:r w:rsidR="004B734E">
        <w:t xml:space="preserve">oles and responsibilities between DFAT and the Facility.   </w:t>
      </w:r>
      <w:r w:rsidR="000B287D">
        <w:t xml:space="preserve">There will be an </w:t>
      </w:r>
      <w:r w:rsidR="004B734E">
        <w:t>independent mid-term review</w:t>
      </w:r>
      <w:r w:rsidR="00D71D62">
        <w:t xml:space="preserve"> of the Facility’s progress</w:t>
      </w:r>
      <w:r w:rsidR="004B734E">
        <w:t xml:space="preserve"> in 2019.</w:t>
      </w:r>
      <w:r w:rsidR="00154F41">
        <w:t xml:space="preserve"> </w:t>
      </w:r>
    </w:p>
    <w:p w14:paraId="397FBBEF" w14:textId="19671E67" w:rsidR="0023089A" w:rsidRDefault="002E741B" w:rsidP="002A51CA">
      <w:r>
        <w:t>4.</w:t>
      </w:r>
      <w:r w:rsidR="0023089A">
        <w:t xml:space="preserve"> </w:t>
      </w:r>
      <w:r w:rsidR="00CB638E">
        <w:t xml:space="preserve"> </w:t>
      </w:r>
      <w:r>
        <w:t>Engage with</w:t>
      </w:r>
      <w:r w:rsidR="00CB638E">
        <w:t xml:space="preserve"> program partners to ensure they prioritise the collection of credible performance information </w:t>
      </w:r>
      <w:r>
        <w:t xml:space="preserve">(particularly at the outcomes level) </w:t>
      </w:r>
      <w:r w:rsidR="00CB638E">
        <w:t xml:space="preserve">and communicate it accurately.  </w:t>
      </w:r>
      <w:r w:rsidR="0023089A">
        <w:t xml:space="preserve">Continue to build the capacity of </w:t>
      </w:r>
      <w:r w:rsidR="00F64417">
        <w:t>DFAT staff</w:t>
      </w:r>
      <w:r w:rsidR="0023089A">
        <w:t xml:space="preserve"> to undertake, or provide oversight of, monitoring and evaluatio</w:t>
      </w:r>
      <w:r w:rsidR="006104C3">
        <w:t xml:space="preserve">n of aid activities in Fiji </w:t>
      </w:r>
      <w:r w:rsidR="0023089A">
        <w:t>and ensure tha</w:t>
      </w:r>
      <w:r>
        <w:t>t the</w:t>
      </w:r>
      <w:r w:rsidR="0023089A">
        <w:t xml:space="preserve"> information collected is used to strengthen program performance.</w:t>
      </w:r>
      <w:r w:rsidR="00CB638E">
        <w:t xml:space="preserve">  </w:t>
      </w:r>
    </w:p>
    <w:p w14:paraId="7459A4D3" w14:textId="77777777" w:rsidR="00D15A00" w:rsidRDefault="00464F47" w:rsidP="002A51CA">
      <w:pPr>
        <w:sectPr w:rsidR="00D15A00" w:rsidSect="0023300C">
          <w:pgSz w:w="11906" w:h="16838" w:code="9"/>
          <w:pgMar w:top="1525" w:right="1134" w:bottom="851" w:left="1134" w:header="1418" w:footer="567" w:gutter="0"/>
          <w:cols w:space="397"/>
          <w:docGrid w:linePitch="360"/>
        </w:sectPr>
      </w:pPr>
      <w:r>
        <w:t xml:space="preserve"> </w:t>
      </w:r>
    </w:p>
    <w:p w14:paraId="2E152D29" w14:textId="77777777" w:rsidR="001D49F0" w:rsidRPr="00C61187" w:rsidRDefault="001D49F0" w:rsidP="00E23B65">
      <w:pPr>
        <w:pStyle w:val="Subtitle"/>
        <w:numPr>
          <w:ilvl w:val="0"/>
          <w:numId w:val="0"/>
        </w:numPr>
        <w:spacing w:after="0"/>
      </w:pPr>
      <w:r w:rsidRPr="001D49F0">
        <w:lastRenderedPageBreak/>
        <w:t>Annex A - Progress in Addressing Management actions</w:t>
      </w:r>
    </w:p>
    <w:tbl>
      <w:tblPr>
        <w:tblStyle w:val="APPR"/>
        <w:tblpPr w:leftFromText="180" w:rightFromText="180" w:vertAnchor="text" w:tblpY="1"/>
        <w:tblW w:w="5048" w:type="pct"/>
        <w:tblLayout w:type="fixed"/>
        <w:tblLook w:val="0000" w:firstRow="0" w:lastRow="0" w:firstColumn="0" w:lastColumn="0" w:noHBand="0" w:noVBand="0"/>
      </w:tblPr>
      <w:tblGrid>
        <w:gridCol w:w="6452"/>
        <w:gridCol w:w="986"/>
        <w:gridCol w:w="6871"/>
      </w:tblGrid>
      <w:tr w:rsidR="001D49F0" w:rsidRPr="00C61187" w14:paraId="238B1065" w14:textId="77777777" w:rsidTr="00E23B65">
        <w:trPr>
          <w:cnfStyle w:val="000000010000" w:firstRow="0" w:lastRow="0" w:firstColumn="0" w:lastColumn="0" w:oddVBand="0" w:evenVBand="0" w:oddHBand="0" w:evenHBand="1" w:firstRowFirstColumn="0" w:firstRowLastColumn="0" w:lastRowFirstColumn="0" w:lastRowLastColumn="0"/>
          <w:trHeight w:val="254"/>
        </w:trPr>
        <w:tc>
          <w:tcPr>
            <w:tcW w:w="6411" w:type="dxa"/>
          </w:tcPr>
          <w:p w14:paraId="7D725721" w14:textId="77777777" w:rsidR="001D49F0" w:rsidRPr="00880004" w:rsidRDefault="001D49F0"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58" w:type="dxa"/>
          </w:tcPr>
          <w:p w14:paraId="26859A01" w14:textId="77777777" w:rsidR="001D49F0" w:rsidRPr="00880004" w:rsidRDefault="001D49F0"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829" w:type="dxa"/>
          </w:tcPr>
          <w:p w14:paraId="6E71EC81" w14:textId="77777777" w:rsidR="001D49F0" w:rsidRPr="00880004" w:rsidRDefault="001D49F0" w:rsidP="008E38F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8</w:t>
            </w:r>
          </w:p>
        </w:tc>
      </w:tr>
      <w:tr w:rsidR="001D49F0" w:rsidRPr="00C61187" w14:paraId="264C22AA" w14:textId="77777777" w:rsidTr="00E23B65">
        <w:trPr>
          <w:cnfStyle w:val="000000010000" w:firstRow="0" w:lastRow="0" w:firstColumn="0" w:lastColumn="0" w:oddVBand="0" w:evenVBand="0" w:oddHBand="0" w:evenHBand="1" w:firstRowFirstColumn="0" w:firstRowLastColumn="0" w:lastRowFirstColumn="0" w:lastRowLastColumn="0"/>
          <w:trHeight w:val="635"/>
        </w:trPr>
        <w:tc>
          <w:tcPr>
            <w:tcW w:w="6411" w:type="dxa"/>
            <w:shd w:val="clear" w:color="auto" w:fill="F2F2F2" w:themeFill="background1" w:themeFillShade="F2"/>
          </w:tcPr>
          <w:p w14:paraId="2900AC2A" w14:textId="5DFD9A0C"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1. By the end of 2017, review and update Australia’s strategic objectives for the aid program and finalise a whole-of-program Performance Assessment Framework, with gender data indicators across all objectives, to monitor the bilateral aid program as well as selected key regional programs</w:t>
            </w:r>
            <w:r w:rsidR="006108F4">
              <w:rPr>
                <w:rFonts w:asciiTheme="minorHAnsi" w:eastAsia="Times New Roman" w:hAnsiTheme="minorHAnsi"/>
                <w:iCs/>
                <w:szCs w:val="17"/>
              </w:rPr>
              <w:t>.</w:t>
            </w:r>
          </w:p>
        </w:tc>
        <w:tc>
          <w:tcPr>
            <w:tcW w:w="958" w:type="dxa"/>
            <w:shd w:val="clear" w:color="auto" w:fill="92D050"/>
          </w:tcPr>
          <w:p w14:paraId="19D986F3"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lang w:eastAsia="en-US"/>
              </w:rPr>
            </w:pPr>
            <w:r w:rsidRPr="00514F93">
              <w:rPr>
                <w:rFonts w:asciiTheme="minorHAnsi" w:eastAsia="Times New Roman" w:hAnsiTheme="minorHAnsi"/>
                <w:iCs/>
                <w:color w:val="auto"/>
                <w:szCs w:val="17"/>
              </w:rPr>
              <w:t>Achieved</w:t>
            </w:r>
          </w:p>
        </w:tc>
        <w:tc>
          <w:tcPr>
            <w:tcW w:w="6829" w:type="dxa"/>
          </w:tcPr>
          <w:p w14:paraId="491ADAE3"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 xml:space="preserve">A whole-of-program Performance Assessment Framework, with gender indicators across all objectives, to monitor the bilateral aid program and selected regional programs was finalised in late 2017.   </w:t>
            </w:r>
          </w:p>
        </w:tc>
      </w:tr>
      <w:tr w:rsidR="001D49F0" w:rsidRPr="00C61187" w14:paraId="57AB1DC8" w14:textId="77777777" w:rsidTr="00E23B65">
        <w:trPr>
          <w:cnfStyle w:val="000000010000" w:firstRow="0" w:lastRow="0" w:firstColumn="0" w:lastColumn="0" w:oddVBand="0" w:evenVBand="0" w:oddHBand="0" w:evenHBand="1" w:firstRowFirstColumn="0" w:firstRowLastColumn="0" w:lastRowFirstColumn="0" w:lastRowLastColumn="0"/>
          <w:trHeight w:val="484"/>
        </w:trPr>
        <w:tc>
          <w:tcPr>
            <w:tcW w:w="6411" w:type="dxa"/>
            <w:shd w:val="clear" w:color="auto" w:fill="F2F2F2" w:themeFill="background1" w:themeFillShade="F2"/>
          </w:tcPr>
          <w:p w14:paraId="51DA9252"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 xml:space="preserve">2. Review the alignment of the AIP against Fiji’s development priorities and develop an Aid Partnership with the Government of Fiji. </w:t>
            </w:r>
          </w:p>
        </w:tc>
        <w:tc>
          <w:tcPr>
            <w:tcW w:w="958" w:type="dxa"/>
            <w:shd w:val="clear" w:color="auto" w:fill="FF0000"/>
          </w:tcPr>
          <w:p w14:paraId="492C4754"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lang w:eastAsia="en-US"/>
              </w:rPr>
            </w:pPr>
            <w:r w:rsidRPr="00514F93">
              <w:rPr>
                <w:rFonts w:asciiTheme="minorHAnsi" w:eastAsia="Times New Roman" w:hAnsiTheme="minorHAnsi"/>
                <w:iCs/>
                <w:color w:val="auto"/>
                <w:szCs w:val="17"/>
              </w:rPr>
              <w:t>Not Achieved</w:t>
            </w:r>
            <w:r w:rsidRPr="00514F93">
              <w:rPr>
                <w:rFonts w:eastAsia="Times New Roman"/>
                <w:iCs/>
                <w:color w:val="auto"/>
                <w:szCs w:val="17"/>
              </w:rPr>
              <w:fldChar w:fldCharType="begin"/>
            </w:r>
            <w:r w:rsidRPr="00514F93">
              <w:rPr>
                <w:rFonts w:asciiTheme="minorHAnsi" w:eastAsia="Times New Roman" w:hAnsiTheme="minorHAnsi"/>
                <w:iCs/>
                <w:color w:val="auto"/>
                <w:szCs w:val="17"/>
              </w:rPr>
              <w:instrText xml:space="preserve"> AUTOTEXTLIST  \s "Rating bullet"\t "Right click to choose a rating" \* MERGEFORMAT </w:instrText>
            </w:r>
            <w:r w:rsidRPr="00514F93">
              <w:rPr>
                <w:rFonts w:eastAsia="Times New Roman"/>
                <w:iCs/>
                <w:color w:val="auto"/>
                <w:szCs w:val="17"/>
              </w:rPr>
              <w:fldChar w:fldCharType="end"/>
            </w:r>
          </w:p>
        </w:tc>
        <w:tc>
          <w:tcPr>
            <w:tcW w:w="6829" w:type="dxa"/>
          </w:tcPr>
          <w:p w14:paraId="42B93ECD" w14:textId="77777777" w:rsidR="001D49F0" w:rsidRPr="00514F93" w:rsidRDefault="001D49F0" w:rsidP="00407123">
            <w:pPr>
              <w:keepLines/>
              <w:spacing w:before="40" w:after="40" w:line="200" w:lineRule="atLeast"/>
              <w:rPr>
                <w:rFonts w:asciiTheme="minorHAnsi" w:eastAsia="Times New Roman" w:hAnsiTheme="minorHAnsi"/>
                <w:iCs/>
                <w:szCs w:val="17"/>
              </w:rPr>
            </w:pPr>
            <w:r w:rsidRPr="00514F93">
              <w:rPr>
                <w:rFonts w:asciiTheme="minorHAnsi" w:eastAsia="Times New Roman" w:hAnsiTheme="minorHAnsi"/>
                <w:iCs/>
                <w:szCs w:val="17"/>
              </w:rPr>
              <w:t xml:space="preserve">Initial discussions with Government about a new aid partnership commenced following the release of the NDP in November 2017.  There was insufficient </w:t>
            </w:r>
            <w:r w:rsidR="00407123" w:rsidRPr="00514F93">
              <w:rPr>
                <w:rFonts w:asciiTheme="minorHAnsi" w:eastAsia="Times New Roman" w:hAnsiTheme="minorHAnsi"/>
                <w:iCs/>
                <w:szCs w:val="17"/>
              </w:rPr>
              <w:t>time in 2017-18</w:t>
            </w:r>
            <w:r w:rsidRPr="00514F93">
              <w:rPr>
                <w:rFonts w:asciiTheme="minorHAnsi" w:eastAsia="Times New Roman" w:hAnsiTheme="minorHAnsi"/>
                <w:iCs/>
                <w:szCs w:val="17"/>
              </w:rPr>
              <w:t xml:space="preserve"> to complete a new AIP aligned with the NDP. This will be a key area of work in 2018-19.     </w:t>
            </w:r>
          </w:p>
        </w:tc>
      </w:tr>
      <w:tr w:rsidR="001D49F0" w:rsidRPr="00C61187" w14:paraId="1FA8C1F3" w14:textId="77777777" w:rsidTr="00E23B65">
        <w:trPr>
          <w:cnfStyle w:val="000000010000" w:firstRow="0" w:lastRow="0" w:firstColumn="0" w:lastColumn="0" w:oddVBand="0" w:evenVBand="0" w:oddHBand="0" w:evenHBand="1" w:firstRowFirstColumn="0" w:firstRowLastColumn="0" w:lastRowFirstColumn="0" w:lastRowLastColumn="0"/>
          <w:trHeight w:val="484"/>
        </w:trPr>
        <w:tc>
          <w:tcPr>
            <w:tcW w:w="6411" w:type="dxa"/>
            <w:shd w:val="clear" w:color="auto" w:fill="F2F2F2" w:themeFill="background1" w:themeFillShade="F2"/>
          </w:tcPr>
          <w:p w14:paraId="5AA25D4B"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 xml:space="preserve">3. Commence discussions with the Government of Fiji on conducting an Assessment of National Systems that could enable the aid program to be increasingly managed directly by the Fiji Government. </w:t>
            </w:r>
          </w:p>
        </w:tc>
        <w:tc>
          <w:tcPr>
            <w:tcW w:w="958" w:type="dxa"/>
            <w:shd w:val="clear" w:color="auto" w:fill="92D050"/>
          </w:tcPr>
          <w:p w14:paraId="21E1E5B5"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lang w:eastAsia="en-US"/>
              </w:rPr>
            </w:pPr>
            <w:r w:rsidRPr="00514F93">
              <w:rPr>
                <w:rFonts w:asciiTheme="minorHAnsi" w:eastAsia="Times New Roman" w:hAnsiTheme="minorHAnsi"/>
                <w:iCs/>
                <w:color w:val="auto"/>
                <w:szCs w:val="17"/>
              </w:rPr>
              <w:t>Achieved</w:t>
            </w:r>
          </w:p>
        </w:tc>
        <w:tc>
          <w:tcPr>
            <w:tcW w:w="6829" w:type="dxa"/>
          </w:tcPr>
          <w:p w14:paraId="723613F6" w14:textId="3F8AADE4" w:rsidR="001D49F0" w:rsidRPr="00514F93" w:rsidRDefault="001D49F0" w:rsidP="00682F6A">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 xml:space="preserve">Good progress was made on this management action with an Assessment of National Systems planned for after the Fiji elections. </w:t>
            </w:r>
          </w:p>
        </w:tc>
      </w:tr>
      <w:tr w:rsidR="001D49F0" w:rsidRPr="00C61187" w14:paraId="64360271" w14:textId="77777777" w:rsidTr="00E23B65">
        <w:trPr>
          <w:cnfStyle w:val="000000010000" w:firstRow="0" w:lastRow="0" w:firstColumn="0" w:lastColumn="0" w:oddVBand="0" w:evenVBand="0" w:oddHBand="0" w:evenHBand="1" w:firstRowFirstColumn="0" w:firstRowLastColumn="0" w:lastRowFirstColumn="0" w:lastRowLastColumn="0"/>
          <w:trHeight w:val="635"/>
        </w:trPr>
        <w:tc>
          <w:tcPr>
            <w:tcW w:w="6411" w:type="dxa"/>
            <w:shd w:val="clear" w:color="auto" w:fill="F2F2F2" w:themeFill="background1" w:themeFillShade="F2"/>
          </w:tcPr>
          <w:p w14:paraId="28254B3D"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4. Oversee the early implementation of the Fiji Program Support Facility, including the design and delivery of new phases of the education, health and community development programs and the finalisation of the transfer of scholarships administration.  Particular attention will be paid to efficiency and resourcing.</w:t>
            </w:r>
          </w:p>
        </w:tc>
        <w:tc>
          <w:tcPr>
            <w:tcW w:w="958" w:type="dxa"/>
            <w:shd w:val="clear" w:color="auto" w:fill="92D050"/>
          </w:tcPr>
          <w:p w14:paraId="39C43356"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lang w:eastAsia="en-US"/>
              </w:rPr>
            </w:pPr>
          </w:p>
          <w:p w14:paraId="36F22B5B"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lang w:eastAsia="en-US"/>
              </w:rPr>
            </w:pPr>
            <w:r w:rsidRPr="00514F93">
              <w:rPr>
                <w:rFonts w:asciiTheme="minorHAnsi" w:eastAsia="Times New Roman" w:hAnsiTheme="minorHAnsi"/>
                <w:iCs/>
                <w:color w:val="auto"/>
                <w:szCs w:val="17"/>
              </w:rPr>
              <w:t>Achieved</w:t>
            </w:r>
          </w:p>
        </w:tc>
        <w:tc>
          <w:tcPr>
            <w:tcW w:w="6829" w:type="dxa"/>
          </w:tcPr>
          <w:p w14:paraId="037615FB"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 xml:space="preserve">The Facility is up and running and managing the delivery of new programs in education, health and community development, the Australia Awards program, and targeted bilateral activities in climate change and disaster resilience through the Preparedness and Response Fund.  </w:t>
            </w:r>
          </w:p>
        </w:tc>
      </w:tr>
      <w:tr w:rsidR="001D49F0" w:rsidRPr="00C61187" w14:paraId="441D5594" w14:textId="77777777" w:rsidTr="009574B9">
        <w:trPr>
          <w:cnfStyle w:val="000000010000" w:firstRow="0" w:lastRow="0" w:firstColumn="0" w:lastColumn="0" w:oddVBand="0" w:evenVBand="0" w:oddHBand="0" w:evenHBand="1" w:firstRowFirstColumn="0" w:firstRowLastColumn="0" w:lastRowFirstColumn="0" w:lastRowLastColumn="0"/>
          <w:trHeight w:val="657"/>
        </w:trPr>
        <w:tc>
          <w:tcPr>
            <w:tcW w:w="6411" w:type="dxa"/>
            <w:shd w:val="clear" w:color="auto" w:fill="F2F2F2" w:themeFill="background1" w:themeFillShade="F2"/>
          </w:tcPr>
          <w:p w14:paraId="0708951A"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5. Complete the delivery of Australia’s assistance package supporting Fiji’s recovery from TC Winston.</w:t>
            </w:r>
          </w:p>
          <w:p w14:paraId="6F4CB712" w14:textId="77777777" w:rsidR="001D49F0" w:rsidRPr="00514F93" w:rsidRDefault="001D49F0" w:rsidP="008E38F7">
            <w:pPr>
              <w:keepLines/>
              <w:spacing w:before="40" w:after="40" w:line="200" w:lineRule="atLeast"/>
              <w:rPr>
                <w:rFonts w:asciiTheme="minorHAnsi" w:eastAsia="Times New Roman" w:hAnsiTheme="minorHAnsi"/>
                <w:iCs/>
                <w:szCs w:val="17"/>
              </w:rPr>
            </w:pPr>
          </w:p>
        </w:tc>
        <w:tc>
          <w:tcPr>
            <w:tcW w:w="958" w:type="dxa"/>
            <w:shd w:val="clear" w:color="auto" w:fill="FFC000"/>
          </w:tcPr>
          <w:p w14:paraId="6D182951"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rPr>
            </w:pPr>
            <w:r w:rsidRPr="00514F93">
              <w:rPr>
                <w:rFonts w:asciiTheme="minorHAnsi" w:eastAsia="Times New Roman" w:hAnsiTheme="minorHAnsi"/>
                <w:iCs/>
                <w:color w:val="auto"/>
                <w:szCs w:val="17"/>
              </w:rPr>
              <w:t>Partly achieved</w:t>
            </w:r>
          </w:p>
        </w:tc>
        <w:tc>
          <w:tcPr>
            <w:tcW w:w="6829" w:type="dxa"/>
            <w:shd w:val="clear" w:color="auto" w:fill="FFFFFF" w:themeFill="background1"/>
          </w:tcPr>
          <w:p w14:paraId="52F60B53" w14:textId="1BD0B131" w:rsidR="001D49F0" w:rsidRPr="00514F93" w:rsidRDefault="00AB795A" w:rsidP="00ED4F0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rPr>
              <w:t xml:space="preserve">13 </w:t>
            </w:r>
            <w:r w:rsidR="001D49F0" w:rsidRPr="00514F93">
              <w:rPr>
                <w:rFonts w:asciiTheme="minorHAnsi" w:eastAsia="Times New Roman" w:hAnsiTheme="minorHAnsi"/>
                <w:iCs/>
                <w:szCs w:val="17"/>
              </w:rPr>
              <w:t xml:space="preserve">out of 18 schools and one out of two health centres have been handed over to the Government of Fiji. Five schools, one health centre and one market (co-financed with </w:t>
            </w:r>
            <w:r w:rsidR="00E5128F">
              <w:rPr>
                <w:rFonts w:asciiTheme="minorHAnsi" w:eastAsia="Times New Roman" w:hAnsiTheme="minorHAnsi"/>
                <w:iCs/>
                <w:szCs w:val="17"/>
              </w:rPr>
              <w:t>the</w:t>
            </w:r>
            <w:r w:rsidR="00E5128F" w:rsidRPr="00514F93">
              <w:rPr>
                <w:rFonts w:asciiTheme="minorHAnsi" w:eastAsia="Times New Roman" w:hAnsiTheme="minorHAnsi"/>
                <w:iCs/>
                <w:szCs w:val="17"/>
              </w:rPr>
              <w:t xml:space="preserve"> </w:t>
            </w:r>
            <w:r w:rsidR="001D49F0" w:rsidRPr="00514F93">
              <w:rPr>
                <w:rFonts w:asciiTheme="minorHAnsi" w:eastAsia="Times New Roman" w:hAnsiTheme="minorHAnsi"/>
                <w:iCs/>
                <w:szCs w:val="17"/>
              </w:rPr>
              <w:t>Government</w:t>
            </w:r>
            <w:r w:rsidR="00E5128F">
              <w:rPr>
                <w:rFonts w:asciiTheme="minorHAnsi" w:eastAsia="Times New Roman" w:hAnsiTheme="minorHAnsi"/>
                <w:iCs/>
                <w:szCs w:val="17"/>
              </w:rPr>
              <w:t xml:space="preserve"> of Fiji</w:t>
            </w:r>
            <w:r w:rsidR="001D49F0" w:rsidRPr="00514F93">
              <w:rPr>
                <w:rFonts w:asciiTheme="minorHAnsi" w:eastAsia="Times New Roman" w:hAnsiTheme="minorHAnsi"/>
                <w:iCs/>
                <w:szCs w:val="17"/>
              </w:rPr>
              <w:t xml:space="preserve">) have yet to be completed. The delivery of Australia’s TC Winston assistance package has suffered some setbacks, with delays in construction due to factors in the operating environment beyond Australia’s control, which will see the works conclude in 2019.  </w:t>
            </w:r>
          </w:p>
        </w:tc>
      </w:tr>
      <w:tr w:rsidR="001D49F0" w:rsidRPr="00C61187" w14:paraId="4CE86E0E" w14:textId="77777777" w:rsidTr="009574B9">
        <w:trPr>
          <w:cnfStyle w:val="000000010000" w:firstRow="0" w:lastRow="0" w:firstColumn="0" w:lastColumn="0" w:oddVBand="0" w:evenVBand="0" w:oddHBand="0" w:evenHBand="1" w:firstRowFirstColumn="0" w:firstRowLastColumn="0" w:lastRowFirstColumn="0" w:lastRowLastColumn="0"/>
          <w:trHeight w:val="491"/>
        </w:trPr>
        <w:tc>
          <w:tcPr>
            <w:tcW w:w="6411" w:type="dxa"/>
            <w:shd w:val="clear" w:color="auto" w:fill="F2F2F2" w:themeFill="background1" w:themeFillShade="F2"/>
          </w:tcPr>
          <w:p w14:paraId="3468F438" w14:textId="77777777" w:rsidR="001D49F0" w:rsidRPr="00514F93" w:rsidRDefault="001D49F0" w:rsidP="008E38F7">
            <w:pPr>
              <w:keepLines/>
              <w:spacing w:before="40" w:after="40" w:line="200" w:lineRule="atLeast"/>
              <w:rPr>
                <w:rFonts w:asciiTheme="minorHAnsi" w:eastAsia="Times New Roman" w:hAnsiTheme="minorHAnsi"/>
                <w:iCs/>
                <w:szCs w:val="17"/>
              </w:rPr>
            </w:pPr>
            <w:r w:rsidRPr="00514F93">
              <w:rPr>
                <w:rFonts w:asciiTheme="minorHAnsi" w:eastAsia="Times New Roman" w:hAnsiTheme="minorHAnsi"/>
                <w:iCs/>
                <w:szCs w:val="17"/>
              </w:rPr>
              <w:t>6. Implement agreed recommendations from the independent evaluation of Australia’s response to Tropical Cyclone Winston in the education sector (noting some timeframes extend beyond the next reporting period).</w:t>
            </w:r>
          </w:p>
        </w:tc>
        <w:tc>
          <w:tcPr>
            <w:tcW w:w="958" w:type="dxa"/>
            <w:shd w:val="clear" w:color="auto" w:fill="FFC000"/>
          </w:tcPr>
          <w:p w14:paraId="396DDFF0"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rPr>
            </w:pPr>
            <w:r w:rsidRPr="00514F93">
              <w:rPr>
                <w:rFonts w:asciiTheme="minorHAnsi" w:eastAsia="Times New Roman" w:hAnsiTheme="minorHAnsi"/>
                <w:iCs/>
                <w:color w:val="auto"/>
                <w:szCs w:val="17"/>
              </w:rPr>
              <w:t>Partly achieved</w:t>
            </w:r>
          </w:p>
        </w:tc>
        <w:tc>
          <w:tcPr>
            <w:tcW w:w="6829" w:type="dxa"/>
            <w:shd w:val="clear" w:color="auto" w:fill="FFFFFF" w:themeFill="background1"/>
          </w:tcPr>
          <w:p w14:paraId="4734BAA0"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Evaluation findings and recommendations informed the design of a new bilateral education program for Fiji, which is guided by the priorities of the Fiji Ministry of Education.</w:t>
            </w:r>
          </w:p>
        </w:tc>
      </w:tr>
      <w:tr w:rsidR="001D49F0" w:rsidRPr="00C61187" w14:paraId="1950CA34" w14:textId="77777777" w:rsidTr="009574B9">
        <w:trPr>
          <w:cnfStyle w:val="000000010000" w:firstRow="0" w:lastRow="0" w:firstColumn="0" w:lastColumn="0" w:oddVBand="0" w:evenVBand="0" w:oddHBand="0" w:evenHBand="1" w:firstRowFirstColumn="0" w:firstRowLastColumn="0" w:lastRowFirstColumn="0" w:lastRowLastColumn="0"/>
          <w:trHeight w:val="705"/>
        </w:trPr>
        <w:tc>
          <w:tcPr>
            <w:tcW w:w="6411" w:type="dxa"/>
            <w:shd w:val="clear" w:color="auto" w:fill="F2F2F2" w:themeFill="background1" w:themeFillShade="F2"/>
          </w:tcPr>
          <w:p w14:paraId="0BD2F870" w14:textId="77777777" w:rsidR="001D49F0" w:rsidRPr="00514F93" w:rsidRDefault="001D49F0" w:rsidP="008E38F7">
            <w:pPr>
              <w:rPr>
                <w:rFonts w:asciiTheme="minorHAnsi" w:eastAsia="Times New Roman" w:hAnsiTheme="minorHAnsi"/>
                <w:iCs/>
                <w:szCs w:val="17"/>
              </w:rPr>
            </w:pPr>
            <w:r w:rsidRPr="00514F93">
              <w:rPr>
                <w:rFonts w:asciiTheme="minorHAnsi" w:hAnsiTheme="minorHAnsi"/>
                <w:szCs w:val="17"/>
              </w:rPr>
              <w:t>7. In line with an updated AIP, improve the integration of climate change and disaster resilience activities across programs and invest in targeted activities through the Preparedness and Response Fund.</w:t>
            </w:r>
          </w:p>
        </w:tc>
        <w:tc>
          <w:tcPr>
            <w:tcW w:w="958" w:type="dxa"/>
            <w:shd w:val="clear" w:color="auto" w:fill="92D050"/>
          </w:tcPr>
          <w:p w14:paraId="3791A300"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rPr>
            </w:pPr>
            <w:r w:rsidRPr="00514F93">
              <w:rPr>
                <w:rFonts w:asciiTheme="minorHAnsi" w:eastAsia="Times New Roman" w:hAnsiTheme="minorHAnsi"/>
                <w:iCs/>
                <w:color w:val="auto"/>
                <w:szCs w:val="17"/>
              </w:rPr>
              <w:t>Achieved</w:t>
            </w:r>
          </w:p>
        </w:tc>
        <w:tc>
          <w:tcPr>
            <w:tcW w:w="6829" w:type="dxa"/>
            <w:shd w:val="clear" w:color="auto" w:fill="FFFFFF" w:themeFill="background1"/>
          </w:tcPr>
          <w:p w14:paraId="69270752" w14:textId="77777777" w:rsidR="001D49F0" w:rsidRPr="00514F93" w:rsidRDefault="001D49F0" w:rsidP="008E38F7">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All programs are actively managing risks and action on climate change and disaster resilience except for the governance program.  Programs are aligned to Fiji's climate &amp; disaster resilience priorities through the National Development Plan.</w:t>
            </w:r>
          </w:p>
        </w:tc>
      </w:tr>
      <w:tr w:rsidR="001D49F0" w:rsidRPr="00C61187" w14:paraId="054B3EEF" w14:textId="77777777" w:rsidTr="009574B9">
        <w:trPr>
          <w:cnfStyle w:val="000000010000" w:firstRow="0" w:lastRow="0" w:firstColumn="0" w:lastColumn="0" w:oddVBand="0" w:evenVBand="0" w:oddHBand="0" w:evenHBand="1" w:firstRowFirstColumn="0" w:firstRowLastColumn="0" w:lastRowFirstColumn="0" w:lastRowLastColumn="0"/>
          <w:trHeight w:val="599"/>
        </w:trPr>
        <w:tc>
          <w:tcPr>
            <w:tcW w:w="6411" w:type="dxa"/>
            <w:shd w:val="clear" w:color="auto" w:fill="F2F2F2" w:themeFill="background1" w:themeFillShade="F2"/>
          </w:tcPr>
          <w:p w14:paraId="4B69F891" w14:textId="77777777" w:rsidR="001D49F0" w:rsidRPr="00514F93" w:rsidRDefault="001D49F0" w:rsidP="008E38F7">
            <w:pPr>
              <w:rPr>
                <w:rFonts w:asciiTheme="minorHAnsi" w:eastAsia="Times New Roman" w:hAnsiTheme="minorHAnsi"/>
                <w:iCs/>
                <w:szCs w:val="17"/>
              </w:rPr>
            </w:pPr>
            <w:r w:rsidRPr="00514F93">
              <w:rPr>
                <w:rFonts w:asciiTheme="minorHAnsi" w:hAnsiTheme="minorHAnsi"/>
                <w:szCs w:val="17"/>
              </w:rPr>
              <w:t>8. Ongoing engagement with the Government of Fiji on our contribution to the COP 23 Trust Fund to ensure that Australia’s assistance is used to support Fiji’s COP 23 Secretariat and regional consultations with other Pacific island countries.</w:t>
            </w:r>
          </w:p>
        </w:tc>
        <w:tc>
          <w:tcPr>
            <w:tcW w:w="958" w:type="dxa"/>
            <w:shd w:val="clear" w:color="auto" w:fill="92D050"/>
          </w:tcPr>
          <w:p w14:paraId="3B71BE0C" w14:textId="77777777" w:rsidR="001D49F0" w:rsidRPr="00514F93" w:rsidRDefault="001D49F0" w:rsidP="008E38F7">
            <w:pPr>
              <w:keepLines/>
              <w:spacing w:before="40" w:after="40" w:line="200" w:lineRule="atLeast"/>
              <w:jc w:val="center"/>
              <w:rPr>
                <w:rFonts w:asciiTheme="minorHAnsi" w:eastAsia="Times New Roman" w:hAnsiTheme="minorHAnsi"/>
                <w:iCs/>
                <w:color w:val="auto"/>
                <w:szCs w:val="17"/>
              </w:rPr>
            </w:pPr>
            <w:r w:rsidRPr="00514F93">
              <w:rPr>
                <w:rFonts w:asciiTheme="minorHAnsi" w:eastAsia="Times New Roman" w:hAnsiTheme="minorHAnsi"/>
                <w:iCs/>
                <w:color w:val="auto"/>
                <w:szCs w:val="17"/>
              </w:rPr>
              <w:t>Achieved</w:t>
            </w:r>
          </w:p>
        </w:tc>
        <w:tc>
          <w:tcPr>
            <w:tcW w:w="6829" w:type="dxa"/>
            <w:shd w:val="clear" w:color="auto" w:fill="FFFFFF" w:themeFill="background1"/>
          </w:tcPr>
          <w:p w14:paraId="1594B75E" w14:textId="77777777" w:rsidR="001D49F0" w:rsidRPr="00514F93" w:rsidRDefault="001D49F0" w:rsidP="00407123">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 xml:space="preserve">Government of Fiji used funds from the COP23 Presidency Trust Fund, </w:t>
            </w:r>
            <w:r w:rsidR="00407123" w:rsidRPr="00514F93">
              <w:rPr>
                <w:rFonts w:asciiTheme="minorHAnsi" w:eastAsia="Times New Roman" w:hAnsiTheme="minorHAnsi"/>
                <w:iCs/>
                <w:szCs w:val="17"/>
              </w:rPr>
              <w:t>to which Australia contributed</w:t>
            </w:r>
            <w:r w:rsidRPr="00514F93">
              <w:rPr>
                <w:rFonts w:asciiTheme="minorHAnsi" w:eastAsia="Times New Roman" w:hAnsiTheme="minorHAnsi"/>
                <w:iCs/>
                <w:szCs w:val="17"/>
              </w:rPr>
              <w:t xml:space="preserve">, towards establishing the Secretariat and organising and conducting the inaugural Climate Action Pacific Partnerships (CAPP) Conference, Pacific Small Island Developing State (PSIDS) leaders meetings in Suva (July 2017) and the Pre-COP meeting in Denarau (October 2017). </w:t>
            </w:r>
          </w:p>
        </w:tc>
      </w:tr>
      <w:tr w:rsidR="001D49F0" w:rsidRPr="00C61187" w14:paraId="27A3C548" w14:textId="77777777" w:rsidTr="00937B5C">
        <w:trPr>
          <w:cnfStyle w:val="000000010000" w:firstRow="0" w:lastRow="0" w:firstColumn="0" w:lastColumn="0" w:oddVBand="0" w:evenVBand="0" w:oddHBand="0" w:evenHBand="1" w:firstRowFirstColumn="0" w:firstRowLastColumn="0" w:lastRowFirstColumn="0" w:lastRowLastColumn="0"/>
          <w:trHeight w:val="777"/>
        </w:trPr>
        <w:tc>
          <w:tcPr>
            <w:tcW w:w="6411" w:type="dxa"/>
            <w:shd w:val="clear" w:color="auto" w:fill="F2F2F2" w:themeFill="background1" w:themeFillShade="F2"/>
          </w:tcPr>
          <w:p w14:paraId="32BA09A0" w14:textId="77777777" w:rsidR="001D49F0" w:rsidRPr="00514F93" w:rsidRDefault="001D49F0" w:rsidP="008E38F7">
            <w:pPr>
              <w:keepLines/>
              <w:spacing w:before="40" w:after="40" w:line="200" w:lineRule="atLeast"/>
              <w:rPr>
                <w:rFonts w:asciiTheme="minorHAnsi" w:eastAsia="Times New Roman" w:hAnsiTheme="minorHAnsi"/>
                <w:iCs/>
                <w:szCs w:val="17"/>
              </w:rPr>
            </w:pPr>
            <w:r w:rsidRPr="00514F93">
              <w:rPr>
                <w:rFonts w:asciiTheme="minorHAnsi" w:eastAsia="Times New Roman" w:hAnsiTheme="minorHAnsi"/>
                <w:iCs/>
                <w:szCs w:val="17"/>
              </w:rPr>
              <w:t xml:space="preserve">9. Provide timely and effective support to the Fiji Bureau of Statistics and the Fiji Election Office to support the 2017 census and the 2018 election.  </w:t>
            </w:r>
          </w:p>
        </w:tc>
        <w:tc>
          <w:tcPr>
            <w:tcW w:w="958" w:type="dxa"/>
            <w:shd w:val="clear" w:color="auto" w:fill="92D050"/>
          </w:tcPr>
          <w:p w14:paraId="26101ECF" w14:textId="0D94EF31" w:rsidR="00937B5C" w:rsidRDefault="001D49F0" w:rsidP="008E38F7">
            <w:pPr>
              <w:keepLines/>
              <w:spacing w:before="40" w:after="40" w:line="200" w:lineRule="atLeast"/>
              <w:jc w:val="center"/>
              <w:rPr>
                <w:rFonts w:asciiTheme="minorHAnsi" w:eastAsia="Times New Roman" w:hAnsiTheme="minorHAnsi"/>
                <w:iCs/>
                <w:color w:val="auto"/>
                <w:szCs w:val="17"/>
              </w:rPr>
            </w:pPr>
            <w:r w:rsidRPr="00514F93">
              <w:rPr>
                <w:rFonts w:asciiTheme="minorHAnsi" w:eastAsia="Times New Roman" w:hAnsiTheme="minorHAnsi"/>
                <w:iCs/>
                <w:color w:val="auto"/>
                <w:szCs w:val="17"/>
              </w:rPr>
              <w:t>Achieved</w:t>
            </w:r>
          </w:p>
          <w:p w14:paraId="6E5D9FFC" w14:textId="23B0735D" w:rsidR="00937B5C" w:rsidRDefault="00937B5C" w:rsidP="00937B5C">
            <w:pPr>
              <w:keepLines/>
              <w:spacing w:before="40" w:after="40" w:line="200" w:lineRule="atLeast"/>
              <w:jc w:val="center"/>
              <w:rPr>
                <w:rFonts w:asciiTheme="minorHAnsi" w:eastAsia="Times New Roman" w:hAnsiTheme="minorHAnsi"/>
                <w:szCs w:val="17"/>
              </w:rPr>
            </w:pPr>
            <w:r w:rsidRPr="00937B5C">
              <w:rPr>
                <w:rFonts w:asciiTheme="minorHAnsi" w:eastAsia="Times New Roman" w:hAnsiTheme="minorHAnsi"/>
                <w:iCs/>
                <w:color w:val="auto"/>
                <w:szCs w:val="17"/>
              </w:rPr>
              <w:tab/>
            </w:r>
          </w:p>
          <w:p w14:paraId="434674AD" w14:textId="77777777" w:rsidR="001D49F0" w:rsidRPr="00937B5C" w:rsidRDefault="001D49F0" w:rsidP="00937B5C">
            <w:pPr>
              <w:rPr>
                <w:rFonts w:asciiTheme="minorHAnsi" w:eastAsia="Times New Roman" w:hAnsiTheme="minorHAnsi"/>
                <w:szCs w:val="17"/>
              </w:rPr>
            </w:pPr>
          </w:p>
        </w:tc>
        <w:tc>
          <w:tcPr>
            <w:tcW w:w="6829" w:type="dxa"/>
            <w:shd w:val="clear" w:color="auto" w:fill="FFFFFF" w:themeFill="background1"/>
          </w:tcPr>
          <w:p w14:paraId="537AC350" w14:textId="16D507C3" w:rsidR="001D49F0" w:rsidRPr="00514F93" w:rsidRDefault="001D49F0" w:rsidP="000B5B38">
            <w:pPr>
              <w:keepLines/>
              <w:spacing w:before="40" w:after="40" w:line="200" w:lineRule="atLeast"/>
              <w:rPr>
                <w:rFonts w:asciiTheme="minorHAnsi" w:eastAsia="Times New Roman" w:hAnsiTheme="minorHAnsi"/>
                <w:iCs/>
                <w:szCs w:val="17"/>
                <w:lang w:eastAsia="en-US"/>
              </w:rPr>
            </w:pPr>
            <w:r w:rsidRPr="00514F93">
              <w:rPr>
                <w:rFonts w:asciiTheme="minorHAnsi" w:eastAsia="Times New Roman" w:hAnsiTheme="minorHAnsi"/>
                <w:iCs/>
                <w:szCs w:val="17"/>
              </w:rPr>
              <w:t>DFAT supported the Fiji Bureau of Statistics (</w:t>
            </w:r>
            <w:r w:rsidR="000B5B38">
              <w:rPr>
                <w:rFonts w:asciiTheme="minorHAnsi" w:eastAsia="Times New Roman" w:hAnsiTheme="minorHAnsi"/>
                <w:b/>
                <w:iCs/>
                <w:szCs w:val="17"/>
              </w:rPr>
              <w:t>FBoS</w:t>
            </w:r>
            <w:r w:rsidRPr="00514F93">
              <w:rPr>
                <w:rFonts w:asciiTheme="minorHAnsi" w:eastAsia="Times New Roman" w:hAnsiTheme="minorHAnsi"/>
                <w:iCs/>
                <w:szCs w:val="17"/>
              </w:rPr>
              <w:t xml:space="preserve">) to conduct the 2017 Census, helping to achieve FBoS key indicator of at least 97 per cent total household coverage.  Preliminary Census results were published in January 2018. Election support through two elections advisers and a partnership </w:t>
            </w:r>
            <w:r w:rsidR="007D14CD" w:rsidRPr="00514F93">
              <w:rPr>
                <w:rFonts w:asciiTheme="minorHAnsi" w:eastAsia="Times New Roman" w:hAnsiTheme="minorHAnsi"/>
                <w:iCs/>
                <w:szCs w:val="17"/>
              </w:rPr>
              <w:t xml:space="preserve">between </w:t>
            </w:r>
            <w:r w:rsidR="00407123" w:rsidRPr="00514F93">
              <w:rPr>
                <w:rFonts w:asciiTheme="minorHAnsi" w:eastAsia="Times New Roman" w:hAnsiTheme="minorHAnsi"/>
                <w:iCs/>
                <w:szCs w:val="17"/>
              </w:rPr>
              <w:t>the Fijian Elections Office</w:t>
            </w:r>
            <w:r w:rsidR="007D14CD" w:rsidRPr="00514F93">
              <w:rPr>
                <w:rFonts w:asciiTheme="minorHAnsi" w:eastAsia="Times New Roman" w:hAnsiTheme="minorHAnsi"/>
                <w:iCs/>
                <w:szCs w:val="17"/>
              </w:rPr>
              <w:t xml:space="preserve"> and </w:t>
            </w:r>
            <w:r w:rsidRPr="00514F93">
              <w:rPr>
                <w:rFonts w:asciiTheme="minorHAnsi" w:eastAsia="Times New Roman" w:hAnsiTheme="minorHAnsi"/>
                <w:iCs/>
                <w:szCs w:val="17"/>
              </w:rPr>
              <w:t>the Austr</w:t>
            </w:r>
            <w:r w:rsidR="00407123" w:rsidRPr="00514F93">
              <w:rPr>
                <w:rFonts w:asciiTheme="minorHAnsi" w:eastAsia="Times New Roman" w:hAnsiTheme="minorHAnsi"/>
                <w:iCs/>
                <w:szCs w:val="17"/>
              </w:rPr>
              <w:t>alian Electoral Commission</w:t>
            </w:r>
            <w:r w:rsidRPr="00514F93">
              <w:rPr>
                <w:rFonts w:asciiTheme="minorHAnsi" w:eastAsia="Times New Roman" w:hAnsiTheme="minorHAnsi"/>
                <w:iCs/>
                <w:szCs w:val="17"/>
              </w:rPr>
              <w:t xml:space="preserve"> is ongoing ahead of the 2018 election.</w:t>
            </w:r>
          </w:p>
        </w:tc>
      </w:tr>
    </w:tbl>
    <w:p w14:paraId="50D4203D"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74E5B021"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14:paraId="2AA2D860"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14:paraId="4453B46A" w14:textId="77777777" w:rsidR="001D49F0" w:rsidRDefault="001D49F0" w:rsidP="00E23B65">
      <w:pPr>
        <w:spacing w:before="20" w:after="20" w:line="180" w:lineRule="atLeast"/>
        <w:jc w:val="both"/>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5A3D22AB" w14:textId="77777777" w:rsidR="001D49F0" w:rsidRDefault="001D49F0" w:rsidP="001D49F0">
      <w:pPr>
        <w:pStyle w:val="Subtitle"/>
        <w:numPr>
          <w:ilvl w:val="0"/>
          <w:numId w:val="0"/>
        </w:numPr>
      </w:pPr>
      <w:r w:rsidRPr="00400B0F">
        <w:lastRenderedPageBreak/>
        <w:t xml:space="preserve">Annex B </w:t>
      </w:r>
      <w:r>
        <w:t>–</w:t>
      </w:r>
      <w:r w:rsidRPr="00400B0F">
        <w:t xml:space="preserve"> </w:t>
      </w:r>
      <w:r>
        <w:t xml:space="preserve">PERFORMANCE BENCHMARKS   </w:t>
      </w:r>
    </w:p>
    <w:p w14:paraId="7667E3FE" w14:textId="77777777" w:rsidR="001D49F0" w:rsidRPr="00320251" w:rsidRDefault="001D49F0" w:rsidP="001D49F0">
      <w:pPr>
        <w:rPr>
          <w:rFonts w:ascii="Franklin Gothic Book" w:eastAsia="Times New Roman" w:hAnsi="Franklin Gothic Book"/>
          <w:b/>
          <w:sz w:val="24"/>
          <w:szCs w:val="24"/>
        </w:rPr>
      </w:pPr>
      <w:r w:rsidRPr="00E23B65">
        <w:rPr>
          <w:rFonts w:ascii="Franklin Gothic Book" w:eastAsia="Times New Roman" w:hAnsi="Franklin Gothic Book"/>
          <w:b/>
          <w:sz w:val="24"/>
          <w:szCs w:val="24"/>
        </w:rPr>
        <w:t>Progress towards Performance Benchmarks in 2017-18</w:t>
      </w:r>
    </w:p>
    <w:p w14:paraId="0AA27A5E" w14:textId="77777777" w:rsidR="001D49F0" w:rsidRPr="00CE5DF0" w:rsidRDefault="001D49F0" w:rsidP="001D49F0"/>
    <w:tbl>
      <w:tblPr>
        <w:tblStyle w:val="DFATTable"/>
        <w:tblW w:w="5000" w:type="pct"/>
        <w:tblLook w:val="04A0" w:firstRow="1" w:lastRow="0" w:firstColumn="1" w:lastColumn="0" w:noHBand="0" w:noVBand="1"/>
      </w:tblPr>
      <w:tblGrid>
        <w:gridCol w:w="2211"/>
        <w:gridCol w:w="2211"/>
        <w:gridCol w:w="1332"/>
        <w:gridCol w:w="8419"/>
      </w:tblGrid>
      <w:tr w:rsidR="001D49F0" w:rsidRPr="00C61187" w14:paraId="22553C53" w14:textId="77777777" w:rsidTr="008E38F7">
        <w:trPr>
          <w:tblHeader/>
        </w:trPr>
        <w:tc>
          <w:tcPr>
            <w:tcW w:w="780" w:type="pct"/>
            <w:tcMar>
              <w:top w:w="57" w:type="dxa"/>
              <w:bottom w:w="57" w:type="dxa"/>
            </w:tcMar>
          </w:tcPr>
          <w:p w14:paraId="163D1BA1" w14:textId="77777777" w:rsidR="001D49F0" w:rsidRPr="00880004" w:rsidRDefault="001D49F0"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41599ACC" w14:textId="77777777" w:rsidR="001D49F0" w:rsidRPr="00880004" w:rsidRDefault="001D49F0" w:rsidP="008E38F7">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25945D80" w14:textId="77777777" w:rsidR="001D49F0" w:rsidRPr="00880004" w:rsidRDefault="001D49F0" w:rsidP="008E38F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47D3C5BA" w14:textId="77777777" w:rsidR="001D49F0" w:rsidRPr="00880004" w:rsidRDefault="001D49F0" w:rsidP="008E38F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8</w:t>
            </w:r>
          </w:p>
        </w:tc>
      </w:tr>
      <w:tr w:rsidR="001D49F0" w:rsidRPr="00C61187" w14:paraId="5A3BD1E0" w14:textId="77777777" w:rsidTr="008E38F7">
        <w:tc>
          <w:tcPr>
            <w:tcW w:w="780" w:type="pct"/>
            <w:tcMar>
              <w:top w:w="57" w:type="dxa"/>
              <w:bottom w:w="57" w:type="dxa"/>
            </w:tcMar>
          </w:tcPr>
          <w:p w14:paraId="3AF80821" w14:textId="77777777" w:rsidR="001D49F0" w:rsidRPr="00880004" w:rsidRDefault="001D49F0" w:rsidP="008E38F7">
            <w:pPr>
              <w:keepLines/>
              <w:spacing w:before="40" w:after="40" w:line="200" w:lineRule="atLeast"/>
              <w:rPr>
                <w:rFonts w:asciiTheme="minorHAnsi" w:eastAsia="Times New Roman" w:hAnsiTheme="minorHAnsi"/>
                <w:iCs/>
                <w:szCs w:val="17"/>
                <w:lang w:eastAsia="en-US"/>
              </w:rPr>
            </w:pPr>
          </w:p>
        </w:tc>
        <w:tc>
          <w:tcPr>
            <w:tcW w:w="780" w:type="pct"/>
          </w:tcPr>
          <w:p w14:paraId="585CBADF" w14:textId="77777777" w:rsidR="001D49F0" w:rsidRPr="00880004" w:rsidRDefault="001D49F0" w:rsidP="008E38F7">
            <w:pPr>
              <w:keepLines/>
              <w:spacing w:before="40" w:after="40" w:line="200" w:lineRule="atLeast"/>
              <w:rPr>
                <w:rFonts w:asciiTheme="minorHAnsi" w:eastAsia="Times New Roman" w:hAnsiTheme="minorHAnsi"/>
                <w:iCs/>
                <w:szCs w:val="17"/>
                <w:lang w:eastAsia="en-US"/>
              </w:rPr>
            </w:pPr>
          </w:p>
        </w:tc>
        <w:tc>
          <w:tcPr>
            <w:tcW w:w="470" w:type="pct"/>
            <w:shd w:val="clear" w:color="auto" w:fill="auto"/>
          </w:tcPr>
          <w:p w14:paraId="7879D187" w14:textId="77777777" w:rsidR="001D49F0" w:rsidRPr="00880004" w:rsidRDefault="001D49F0" w:rsidP="008E38F7">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2970" w:type="pct"/>
          </w:tcPr>
          <w:p w14:paraId="7468240C" w14:textId="77777777" w:rsidR="001D49F0" w:rsidRPr="00880004" w:rsidRDefault="001D49F0" w:rsidP="008E38F7">
            <w:pPr>
              <w:keepLines/>
              <w:spacing w:before="40" w:after="40" w:line="200" w:lineRule="atLeast"/>
              <w:rPr>
                <w:rFonts w:asciiTheme="minorHAnsi" w:eastAsia="Times New Roman" w:hAnsiTheme="minorHAnsi"/>
                <w:iCs/>
                <w:szCs w:val="17"/>
                <w:lang w:eastAsia="en-US"/>
              </w:rPr>
            </w:pPr>
          </w:p>
        </w:tc>
      </w:tr>
      <w:tr w:rsidR="001D49F0" w:rsidRPr="00C61187" w14:paraId="163A6473" w14:textId="77777777" w:rsidTr="00806476">
        <w:tc>
          <w:tcPr>
            <w:tcW w:w="780" w:type="pct"/>
            <w:tcMar>
              <w:top w:w="57" w:type="dxa"/>
              <w:bottom w:w="57" w:type="dxa"/>
            </w:tcMar>
          </w:tcPr>
          <w:p w14:paraId="43EF5F68" w14:textId="77777777" w:rsidR="001D49F0" w:rsidRPr="00A31742" w:rsidRDefault="001D49F0" w:rsidP="008E38F7">
            <w:pPr>
              <w:keepLines/>
              <w:spacing w:before="40" w:after="40" w:line="200" w:lineRule="atLeast"/>
              <w:rPr>
                <w:rFonts w:asciiTheme="minorHAnsi" w:eastAsia="Times New Roman" w:hAnsiTheme="minorHAnsi"/>
                <w:iCs/>
                <w:szCs w:val="17"/>
                <w:lang w:eastAsia="en-US"/>
              </w:rPr>
            </w:pPr>
            <w:r w:rsidRPr="00A31742">
              <w:rPr>
                <w:rFonts w:asciiTheme="minorHAnsi" w:eastAsia="Times New Roman" w:hAnsiTheme="minorHAnsi"/>
                <w:iCs/>
                <w:szCs w:val="17"/>
                <w:lang w:eastAsia="en-US"/>
              </w:rPr>
              <w:t xml:space="preserve">Increased Private Sector Development </w:t>
            </w:r>
          </w:p>
        </w:tc>
        <w:tc>
          <w:tcPr>
            <w:tcW w:w="780" w:type="pct"/>
          </w:tcPr>
          <w:p w14:paraId="512BFB3C" w14:textId="77777777" w:rsidR="001D49F0" w:rsidRDefault="001D49F0" w:rsidP="008E38F7">
            <w:pPr>
              <w:keepLines/>
              <w:spacing w:before="40" w:after="40" w:line="200" w:lineRule="atLeast"/>
              <w:rPr>
                <w:rFonts w:asciiTheme="minorHAnsi" w:eastAsia="Times New Roman" w:hAnsiTheme="minorHAnsi"/>
                <w:iCs/>
                <w:szCs w:val="17"/>
              </w:rPr>
            </w:pPr>
            <w:r w:rsidRPr="00E9681A">
              <w:rPr>
                <w:rFonts w:asciiTheme="minorHAnsi" w:eastAsia="Times New Roman" w:hAnsiTheme="minorHAnsi"/>
                <w:iCs/>
                <w:szCs w:val="17"/>
              </w:rPr>
              <w:t>New</w:t>
            </w:r>
            <w:r>
              <w:rPr>
                <w:rFonts w:asciiTheme="minorHAnsi" w:eastAsia="Times New Roman" w:hAnsiTheme="minorHAnsi"/>
                <w:iCs/>
                <w:szCs w:val="17"/>
              </w:rPr>
              <w:t xml:space="preserve"> formal sector jobs created for the poor</w:t>
            </w:r>
          </w:p>
          <w:p w14:paraId="1F522090" w14:textId="40681D31" w:rsidR="001D49F0" w:rsidRPr="00A31742" w:rsidRDefault="00937B5C" w:rsidP="008E38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
                <w:iCs/>
                <w:szCs w:val="17"/>
              </w:rPr>
              <w:t>Target: 2</w:t>
            </w:r>
            <w:r w:rsidR="001D49F0">
              <w:rPr>
                <w:rFonts w:asciiTheme="minorHAnsi" w:eastAsia="Times New Roman" w:hAnsiTheme="minorHAnsi"/>
                <w:i/>
                <w:iCs/>
                <w:szCs w:val="17"/>
              </w:rPr>
              <w:t>50</w:t>
            </w:r>
          </w:p>
        </w:tc>
        <w:tc>
          <w:tcPr>
            <w:tcW w:w="470" w:type="pct"/>
            <w:shd w:val="clear" w:color="auto" w:fill="FFC000"/>
          </w:tcPr>
          <w:p w14:paraId="2CB80024" w14:textId="77777777" w:rsidR="001D49F0" w:rsidRPr="00D34810" w:rsidRDefault="001D49F0" w:rsidP="008E38F7">
            <w:pPr>
              <w:keepLines/>
              <w:spacing w:before="40" w:after="40" w:line="200" w:lineRule="atLeast"/>
              <w:jc w:val="center"/>
              <w:rPr>
                <w:rFonts w:asciiTheme="minorHAnsi" w:eastAsia="Times New Roman" w:hAnsiTheme="minorHAnsi"/>
                <w:iCs/>
                <w:szCs w:val="17"/>
                <w:lang w:eastAsia="en-US"/>
              </w:rPr>
            </w:pPr>
            <w:r w:rsidRPr="00D34810">
              <w:rPr>
                <w:rFonts w:asciiTheme="minorHAnsi" w:eastAsia="Times New Roman" w:hAnsiTheme="minorHAnsi"/>
                <w:iCs/>
                <w:color w:val="FFFFFF" w:themeColor="background1"/>
                <w:szCs w:val="17"/>
                <w:lang w:eastAsia="en-US"/>
              </w:rPr>
              <w:t>Partly achieved</w:t>
            </w:r>
          </w:p>
        </w:tc>
        <w:tc>
          <w:tcPr>
            <w:tcW w:w="2970" w:type="pct"/>
          </w:tcPr>
          <w:p w14:paraId="29EA3807" w14:textId="3BB150C4" w:rsidR="001D49F0" w:rsidRPr="003F73E2" w:rsidRDefault="00407123" w:rsidP="008E38F7">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 xml:space="preserve">The damage caused by </w:t>
            </w:r>
            <w:r w:rsidR="001D49F0" w:rsidRPr="003F73E2">
              <w:rPr>
                <w:rFonts w:asciiTheme="minorHAnsi" w:eastAsia="Times New Roman" w:hAnsiTheme="minorHAnsi"/>
                <w:iCs/>
                <w:szCs w:val="17"/>
              </w:rPr>
              <w:t xml:space="preserve">TC Winston in 2016 </w:t>
            </w:r>
            <w:r w:rsidR="00982FDF">
              <w:rPr>
                <w:rFonts w:asciiTheme="minorHAnsi" w:eastAsia="Times New Roman" w:hAnsiTheme="minorHAnsi"/>
                <w:iCs/>
                <w:szCs w:val="17"/>
              </w:rPr>
              <w:t>impacted upon</w:t>
            </w:r>
            <w:r w:rsidR="001D49F0" w:rsidRPr="003F73E2">
              <w:rPr>
                <w:rFonts w:asciiTheme="minorHAnsi" w:eastAsia="Times New Roman" w:hAnsiTheme="minorHAnsi"/>
                <w:iCs/>
                <w:szCs w:val="17"/>
              </w:rPr>
              <w:t xml:space="preserve"> rural job creation and market development activities.  We did not reach the projected target of 250 new formal sector jobs created as a result of our aid program (revised down from a performance benchmark of 350 in the 2016-17 APPR), but progress was solid with 189 jobs created.  Sixty per cent of these were for women</w:t>
            </w:r>
            <w:r w:rsidR="006108F4">
              <w:rPr>
                <w:rFonts w:asciiTheme="minorHAnsi" w:eastAsia="Times New Roman" w:hAnsiTheme="minorHAnsi"/>
                <w:iCs/>
                <w:szCs w:val="17"/>
              </w:rPr>
              <w:t>.</w:t>
            </w:r>
            <w:r w:rsidR="001D49F0">
              <w:rPr>
                <w:rFonts w:asciiTheme="minorHAnsi" w:eastAsia="Times New Roman" w:hAnsiTheme="minorHAnsi"/>
                <w:iCs/>
                <w:szCs w:val="17"/>
              </w:rPr>
              <w:t xml:space="preserve"> </w:t>
            </w:r>
            <w:r w:rsidR="001D49F0" w:rsidRPr="003E72BF">
              <w:rPr>
                <w:rFonts w:asciiTheme="minorHAnsi" w:eastAsia="Times New Roman" w:hAnsiTheme="minorHAnsi"/>
                <w:iCs/>
                <w:szCs w:val="17"/>
                <w:vertAlign w:val="superscript"/>
              </w:rPr>
              <w:footnoteReference w:id="14"/>
            </w:r>
            <w:r w:rsidR="001D49F0" w:rsidRPr="003E72BF">
              <w:rPr>
                <w:rFonts w:asciiTheme="minorHAnsi" w:eastAsia="Times New Roman" w:hAnsiTheme="minorHAnsi"/>
                <w:iCs/>
                <w:szCs w:val="17"/>
                <w:vertAlign w:val="superscript"/>
              </w:rPr>
              <w:t>.</w:t>
            </w:r>
            <w:r w:rsidR="001D49F0" w:rsidRPr="003F73E2">
              <w:rPr>
                <w:rFonts w:asciiTheme="minorHAnsi" w:eastAsia="Times New Roman" w:hAnsiTheme="minorHAnsi"/>
                <w:iCs/>
                <w:szCs w:val="17"/>
              </w:rPr>
              <w:t xml:space="preserve">  </w:t>
            </w:r>
          </w:p>
          <w:p w14:paraId="19741AF2" w14:textId="77777777" w:rsidR="001D49F0" w:rsidRPr="00880004" w:rsidRDefault="001D49F0" w:rsidP="008E38F7">
            <w:pPr>
              <w:keepLines/>
              <w:spacing w:before="40" w:after="40" w:line="200" w:lineRule="atLeast"/>
              <w:rPr>
                <w:rFonts w:asciiTheme="minorHAnsi" w:eastAsia="Times New Roman" w:hAnsiTheme="minorHAnsi"/>
                <w:iCs/>
                <w:szCs w:val="17"/>
                <w:lang w:eastAsia="en-US"/>
              </w:rPr>
            </w:pPr>
          </w:p>
        </w:tc>
      </w:tr>
      <w:tr w:rsidR="001D49F0" w:rsidRPr="00C61187" w14:paraId="0F3619B0" w14:textId="77777777" w:rsidTr="008E38F7">
        <w:tc>
          <w:tcPr>
            <w:tcW w:w="780" w:type="pct"/>
            <w:tcMar>
              <w:top w:w="57" w:type="dxa"/>
              <w:bottom w:w="57" w:type="dxa"/>
            </w:tcMar>
          </w:tcPr>
          <w:p w14:paraId="592C3B89" w14:textId="77777777" w:rsidR="001D49F0" w:rsidRPr="00D34810" w:rsidDel="00A31742" w:rsidRDefault="001D49F0" w:rsidP="008E38F7">
            <w:pPr>
              <w:keepLines/>
              <w:spacing w:before="40" w:after="40" w:line="200" w:lineRule="atLeast"/>
              <w:rPr>
                <w:rFonts w:asciiTheme="minorHAnsi" w:eastAsia="Times New Roman" w:hAnsiTheme="minorHAnsi"/>
                <w:iCs/>
                <w:szCs w:val="17"/>
              </w:rPr>
            </w:pPr>
            <w:r w:rsidRPr="00D34810">
              <w:rPr>
                <w:rFonts w:asciiTheme="minorHAnsi" w:eastAsia="Times New Roman" w:hAnsiTheme="minorHAnsi"/>
                <w:iCs/>
                <w:szCs w:val="17"/>
              </w:rPr>
              <w:t>Increased private sector development</w:t>
            </w:r>
          </w:p>
        </w:tc>
        <w:tc>
          <w:tcPr>
            <w:tcW w:w="780" w:type="pct"/>
          </w:tcPr>
          <w:p w14:paraId="10F4D39C" w14:textId="77777777" w:rsidR="001D49F0" w:rsidRDefault="001D49F0" w:rsidP="008E38F7">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Aid budget allocated to aid-for-trade initiatives</w:t>
            </w:r>
          </w:p>
          <w:p w14:paraId="1B66BD2C" w14:textId="77777777" w:rsidR="001D49F0" w:rsidRPr="00D34810" w:rsidRDefault="001D49F0" w:rsidP="008E38F7">
            <w:pPr>
              <w:keepLines/>
              <w:spacing w:before="40" w:after="40" w:line="200" w:lineRule="atLeast"/>
              <w:rPr>
                <w:rFonts w:asciiTheme="minorHAnsi" w:eastAsia="Times New Roman" w:hAnsiTheme="minorHAnsi"/>
                <w:i/>
                <w:iCs/>
                <w:szCs w:val="17"/>
              </w:rPr>
            </w:pPr>
            <w:r w:rsidRPr="00D34810">
              <w:rPr>
                <w:rFonts w:asciiTheme="minorHAnsi" w:eastAsia="Times New Roman" w:hAnsiTheme="minorHAnsi"/>
                <w:i/>
                <w:iCs/>
                <w:szCs w:val="17"/>
              </w:rPr>
              <w:t xml:space="preserve">Target: </w:t>
            </w:r>
            <w:r>
              <w:rPr>
                <w:rFonts w:asciiTheme="minorHAnsi" w:eastAsia="Times New Roman" w:hAnsiTheme="minorHAnsi"/>
                <w:i/>
                <w:iCs/>
                <w:szCs w:val="17"/>
              </w:rPr>
              <w:t>20 per cent</w:t>
            </w:r>
          </w:p>
        </w:tc>
        <w:tc>
          <w:tcPr>
            <w:tcW w:w="470" w:type="pct"/>
            <w:shd w:val="clear" w:color="auto" w:fill="92D050"/>
          </w:tcPr>
          <w:p w14:paraId="4F740EFC" w14:textId="77777777" w:rsidR="001D49F0" w:rsidRPr="00D34810" w:rsidRDefault="001D49F0" w:rsidP="008E38F7">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Achieved</w:t>
            </w:r>
          </w:p>
        </w:tc>
        <w:tc>
          <w:tcPr>
            <w:tcW w:w="2970" w:type="pct"/>
          </w:tcPr>
          <w:p w14:paraId="326FB6C2" w14:textId="77777777" w:rsidR="001D49F0" w:rsidRPr="00D7036C" w:rsidRDefault="001D49F0" w:rsidP="008E38F7">
            <w:pPr>
              <w:keepLines/>
              <w:spacing w:before="40" w:after="40" w:line="200" w:lineRule="atLeast"/>
              <w:rPr>
                <w:rFonts w:asciiTheme="minorHAnsi" w:eastAsia="Times New Roman" w:hAnsiTheme="minorHAnsi"/>
                <w:iCs/>
                <w:szCs w:val="17"/>
              </w:rPr>
            </w:pPr>
            <w:r w:rsidRPr="00FC6C02">
              <w:rPr>
                <w:rFonts w:asciiTheme="minorHAnsi" w:eastAsia="Times New Roman" w:hAnsiTheme="minorHAnsi"/>
                <w:iCs/>
                <w:szCs w:val="17"/>
              </w:rPr>
              <w:t xml:space="preserve">The Program reached this target through four bilateral aid-for-trade investments accounting </w:t>
            </w:r>
            <w:r>
              <w:rPr>
                <w:rFonts w:asciiTheme="minorHAnsi" w:eastAsia="Times New Roman" w:hAnsiTheme="minorHAnsi"/>
                <w:iCs/>
                <w:szCs w:val="17"/>
              </w:rPr>
              <w:t>f</w:t>
            </w:r>
            <w:r w:rsidRPr="00D7036C">
              <w:rPr>
                <w:rFonts w:asciiTheme="minorHAnsi" w:eastAsia="Times New Roman" w:hAnsiTheme="minorHAnsi"/>
                <w:iCs/>
                <w:szCs w:val="17"/>
              </w:rPr>
              <w:t xml:space="preserve">or </w:t>
            </w:r>
            <w:r w:rsidRPr="006234A1">
              <w:rPr>
                <w:rFonts w:asciiTheme="minorHAnsi" w:eastAsia="Times New Roman" w:hAnsiTheme="minorHAnsi"/>
                <w:iCs/>
                <w:szCs w:val="17"/>
              </w:rPr>
              <w:t xml:space="preserve">$8.2m or </w:t>
            </w:r>
            <w:r w:rsidR="00407123" w:rsidRPr="006234A1">
              <w:rPr>
                <w:rFonts w:asciiTheme="minorHAnsi" w:eastAsia="Times New Roman" w:hAnsiTheme="minorHAnsi"/>
                <w:iCs/>
                <w:szCs w:val="17"/>
              </w:rPr>
              <w:t>22</w:t>
            </w:r>
            <w:r w:rsidRPr="006234A1">
              <w:rPr>
                <w:rFonts w:asciiTheme="minorHAnsi" w:eastAsia="Times New Roman" w:hAnsiTheme="minorHAnsi"/>
                <w:iCs/>
                <w:szCs w:val="17"/>
              </w:rPr>
              <w:t xml:space="preserve"> per cent</w:t>
            </w:r>
            <w:r w:rsidRPr="00D7036C">
              <w:rPr>
                <w:rFonts w:asciiTheme="minorHAnsi" w:eastAsia="Times New Roman" w:hAnsiTheme="minorHAnsi"/>
                <w:iCs/>
                <w:szCs w:val="17"/>
              </w:rPr>
              <w:t xml:space="preserve"> of our aid budget in Fiji: MDF ($3m); the IFC Partnership ($1.7m), the Private Sector Development Initiative ($0.5m); and the Pacific Financial Inclusion Program ($3m).   </w:t>
            </w:r>
          </w:p>
          <w:p w14:paraId="02C308D2" w14:textId="77777777" w:rsidR="001D49F0" w:rsidRPr="00880004" w:rsidRDefault="001D49F0" w:rsidP="008E38F7">
            <w:pPr>
              <w:keepLines/>
              <w:spacing w:before="40" w:after="40" w:line="200" w:lineRule="atLeast"/>
              <w:rPr>
                <w:rFonts w:eastAsia="Times New Roman"/>
                <w:iCs/>
                <w:szCs w:val="17"/>
              </w:rPr>
            </w:pPr>
            <w:r>
              <w:rPr>
                <w:rFonts w:eastAsia="Times New Roman"/>
                <w:iCs/>
                <w:szCs w:val="17"/>
              </w:rPr>
              <w:t xml:space="preserve"> </w:t>
            </w:r>
          </w:p>
        </w:tc>
      </w:tr>
      <w:tr w:rsidR="001D49F0" w:rsidRPr="00C61187" w14:paraId="7B47C8DE" w14:textId="77777777" w:rsidTr="00806476">
        <w:tc>
          <w:tcPr>
            <w:tcW w:w="780" w:type="pct"/>
            <w:tcMar>
              <w:top w:w="57" w:type="dxa"/>
              <w:bottom w:w="57" w:type="dxa"/>
            </w:tcMar>
          </w:tcPr>
          <w:p w14:paraId="29842DAA" w14:textId="77777777" w:rsidR="001D49F0" w:rsidRPr="00D34810" w:rsidDel="00A31742" w:rsidRDefault="001D49F0" w:rsidP="008E38F7">
            <w:pPr>
              <w:keepLines/>
              <w:spacing w:before="40" w:after="40" w:line="200" w:lineRule="atLeast"/>
              <w:rPr>
                <w:rFonts w:asciiTheme="minorHAnsi" w:eastAsia="Times New Roman" w:hAnsiTheme="minorHAnsi"/>
                <w:iCs/>
                <w:szCs w:val="17"/>
              </w:rPr>
            </w:pPr>
            <w:r w:rsidRPr="00D34810">
              <w:rPr>
                <w:rFonts w:asciiTheme="minorHAnsi" w:eastAsia="Times New Roman" w:hAnsiTheme="minorHAnsi"/>
                <w:iCs/>
                <w:szCs w:val="17"/>
              </w:rPr>
              <w:t>Improved human development</w:t>
            </w:r>
          </w:p>
        </w:tc>
        <w:tc>
          <w:tcPr>
            <w:tcW w:w="780" w:type="pct"/>
          </w:tcPr>
          <w:p w14:paraId="4ED88A21" w14:textId="77777777" w:rsidR="001D49F0" w:rsidRDefault="001D49F0" w:rsidP="008E38F7">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Reduction in the percentage of students in the Access to Quality Education program targeted schools achieving in the national bottom quartiles in literacy and numeracy</w:t>
            </w:r>
          </w:p>
          <w:p w14:paraId="6437F6BE" w14:textId="77777777" w:rsidR="001D49F0" w:rsidRPr="00D34810" w:rsidRDefault="001D49F0" w:rsidP="008E38F7">
            <w:pPr>
              <w:keepLines/>
              <w:spacing w:before="40" w:after="40" w:line="200" w:lineRule="atLeast"/>
              <w:rPr>
                <w:rFonts w:asciiTheme="minorHAnsi" w:eastAsia="Times New Roman" w:hAnsiTheme="minorHAnsi"/>
                <w:i/>
                <w:iCs/>
                <w:szCs w:val="17"/>
              </w:rPr>
            </w:pPr>
            <w:r>
              <w:rPr>
                <w:rFonts w:ascii="Calibri Light" w:eastAsia="Times New Roman" w:hAnsi="Calibri Light" w:cs="Times New Roman"/>
                <w:i/>
                <w:iCs/>
                <w:color w:val="495965"/>
                <w:szCs w:val="17"/>
              </w:rPr>
              <w:t>Target: No more than 25 per cent in the bottom quartile</w:t>
            </w:r>
          </w:p>
        </w:tc>
        <w:tc>
          <w:tcPr>
            <w:tcW w:w="470" w:type="pct"/>
            <w:shd w:val="clear" w:color="auto" w:fill="FFC000"/>
          </w:tcPr>
          <w:p w14:paraId="5201C04C" w14:textId="77777777" w:rsidR="001D49F0" w:rsidRPr="00D34810" w:rsidRDefault="00763164" w:rsidP="008E38F7">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Partly achieved</w:t>
            </w:r>
          </w:p>
        </w:tc>
        <w:tc>
          <w:tcPr>
            <w:tcW w:w="2970" w:type="pct"/>
          </w:tcPr>
          <w:p w14:paraId="283B0551" w14:textId="61EA3543" w:rsidR="001D49F0" w:rsidRPr="00FC6C02" w:rsidRDefault="00763164" w:rsidP="00407123">
            <w:pPr>
              <w:keepLines/>
              <w:spacing w:before="40" w:after="40" w:line="200" w:lineRule="atLeast"/>
              <w:rPr>
                <w:rFonts w:asciiTheme="minorHAnsi" w:eastAsia="Times New Roman" w:hAnsiTheme="minorHAnsi"/>
                <w:iCs/>
                <w:szCs w:val="17"/>
              </w:rPr>
            </w:pPr>
            <w:r w:rsidRPr="00763164">
              <w:rPr>
                <w:rFonts w:asciiTheme="minorHAnsi" w:eastAsia="Times New Roman" w:hAnsiTheme="minorHAnsi"/>
                <w:iCs/>
                <w:szCs w:val="17"/>
              </w:rPr>
              <w:t>During the reporting period, we contributed to a reduction in the percentage of students at schools formerly supported by AQEP in the national bottom quartiles in the Literacy and Numeracy Assessment.  Of students at 85 schools formerly supported by AQEP, 22 per cent ranked in the bottom quartile of the Year 5 Literacy</w:t>
            </w:r>
            <w:r w:rsidR="00AB795A">
              <w:rPr>
                <w:rFonts w:asciiTheme="minorHAnsi" w:eastAsia="Times New Roman" w:hAnsiTheme="minorHAnsi"/>
                <w:iCs/>
                <w:szCs w:val="17"/>
              </w:rPr>
              <w:t xml:space="preserve"> and Numeracy Assessment </w:t>
            </w:r>
            <w:r w:rsidRPr="00763164">
              <w:rPr>
                <w:rFonts w:asciiTheme="minorHAnsi" w:eastAsia="Times New Roman" w:hAnsiTheme="minorHAnsi"/>
                <w:iCs/>
                <w:szCs w:val="17"/>
              </w:rPr>
              <w:t>in 2017 for numeracy, while 25.3 per cent ranked in the bottom quartile f</w:t>
            </w:r>
            <w:r>
              <w:rPr>
                <w:rFonts w:asciiTheme="minorHAnsi" w:eastAsia="Times New Roman" w:hAnsiTheme="minorHAnsi"/>
                <w:iCs/>
                <w:szCs w:val="17"/>
              </w:rPr>
              <w:t>or literacy.  These figures came close to the</w:t>
            </w:r>
            <w:r w:rsidRPr="00763164">
              <w:rPr>
                <w:rFonts w:asciiTheme="minorHAnsi" w:eastAsia="Times New Roman" w:hAnsiTheme="minorHAnsi"/>
                <w:iCs/>
                <w:szCs w:val="17"/>
              </w:rPr>
              <w:t xml:space="preserve"> performance benchmark we set of no more than 25 per cent</w:t>
            </w:r>
            <w:r w:rsidR="00B91651">
              <w:rPr>
                <w:rFonts w:asciiTheme="minorHAnsi" w:eastAsia="Times New Roman" w:hAnsiTheme="minorHAnsi"/>
                <w:iCs/>
                <w:szCs w:val="17"/>
              </w:rPr>
              <w:t>.</w:t>
            </w:r>
          </w:p>
        </w:tc>
      </w:tr>
      <w:tr w:rsidR="001D49F0" w:rsidRPr="00C61187" w14:paraId="562D1081" w14:textId="77777777" w:rsidTr="00514F93">
        <w:tc>
          <w:tcPr>
            <w:tcW w:w="780" w:type="pct"/>
            <w:tcMar>
              <w:top w:w="57" w:type="dxa"/>
              <w:bottom w:w="57" w:type="dxa"/>
            </w:tcMar>
          </w:tcPr>
          <w:p w14:paraId="0BF1E1B1" w14:textId="77777777" w:rsidR="001D49F0" w:rsidRPr="00D34810" w:rsidDel="00A31742" w:rsidRDefault="001D49F0" w:rsidP="008E38F7">
            <w:pPr>
              <w:keepLines/>
              <w:spacing w:before="40" w:after="40" w:line="200" w:lineRule="atLeast"/>
              <w:rPr>
                <w:rFonts w:asciiTheme="minorHAnsi" w:eastAsia="Times New Roman" w:hAnsiTheme="minorHAnsi"/>
                <w:iCs/>
                <w:szCs w:val="17"/>
              </w:rPr>
            </w:pPr>
            <w:r w:rsidRPr="00D34810">
              <w:rPr>
                <w:rFonts w:asciiTheme="minorHAnsi" w:eastAsia="Times New Roman" w:hAnsiTheme="minorHAnsi"/>
                <w:iCs/>
                <w:szCs w:val="17"/>
              </w:rPr>
              <w:t>Improved human development</w:t>
            </w:r>
          </w:p>
        </w:tc>
        <w:tc>
          <w:tcPr>
            <w:tcW w:w="780" w:type="pct"/>
          </w:tcPr>
          <w:p w14:paraId="596BEC49" w14:textId="77777777" w:rsidR="001D49F0" w:rsidRDefault="001D49F0" w:rsidP="008E38F7">
            <w:pPr>
              <w:keepLines/>
              <w:spacing w:before="20" w:after="20" w:line="18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of investments, regardless of their objectives, will effectively address gender issues in their implementation</w:t>
            </w:r>
          </w:p>
          <w:p w14:paraId="1C549413" w14:textId="77777777" w:rsidR="001D49F0" w:rsidRPr="00D34810" w:rsidRDefault="001D49F0" w:rsidP="008E38F7">
            <w:pPr>
              <w:keepLines/>
              <w:spacing w:before="20" w:after="20" w:line="180" w:lineRule="atLeast"/>
              <w:rPr>
                <w:rFonts w:asciiTheme="minorHAnsi" w:eastAsia="Times New Roman" w:hAnsiTheme="minorHAnsi"/>
                <w:iCs/>
                <w:szCs w:val="17"/>
              </w:rPr>
            </w:pPr>
          </w:p>
        </w:tc>
        <w:tc>
          <w:tcPr>
            <w:tcW w:w="470" w:type="pct"/>
            <w:shd w:val="clear" w:color="auto" w:fill="FF0000"/>
          </w:tcPr>
          <w:p w14:paraId="73C1516D" w14:textId="77777777" w:rsidR="001D49F0" w:rsidRPr="00D34810" w:rsidRDefault="00514F93" w:rsidP="008E38F7">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Not</w:t>
            </w:r>
            <w:r w:rsidR="00806476">
              <w:rPr>
                <w:rFonts w:asciiTheme="minorHAnsi" w:eastAsia="Times New Roman" w:hAnsiTheme="minorHAnsi"/>
                <w:iCs/>
                <w:color w:val="FFFFFF" w:themeColor="background1"/>
                <w:szCs w:val="17"/>
              </w:rPr>
              <w:t xml:space="preserve"> </w:t>
            </w:r>
            <w:r w:rsidR="001D49F0">
              <w:rPr>
                <w:rFonts w:asciiTheme="minorHAnsi" w:eastAsia="Times New Roman" w:hAnsiTheme="minorHAnsi"/>
                <w:iCs/>
                <w:color w:val="FFFFFF" w:themeColor="background1"/>
                <w:szCs w:val="17"/>
              </w:rPr>
              <w:t>Achieved</w:t>
            </w:r>
          </w:p>
        </w:tc>
        <w:tc>
          <w:tcPr>
            <w:tcW w:w="2970" w:type="pct"/>
          </w:tcPr>
          <w:p w14:paraId="5A5DA919" w14:textId="77777777" w:rsidR="001D49F0" w:rsidRPr="00FC6C02" w:rsidRDefault="001D49F0" w:rsidP="00806476">
            <w:pPr>
              <w:keepLines/>
              <w:spacing w:before="40" w:after="40" w:line="200" w:lineRule="atLeast"/>
              <w:rPr>
                <w:rFonts w:asciiTheme="minorHAnsi" w:eastAsia="Times New Roman" w:hAnsiTheme="minorHAnsi"/>
                <w:iCs/>
                <w:szCs w:val="17"/>
              </w:rPr>
            </w:pPr>
            <w:r w:rsidRPr="006F2FC8">
              <w:rPr>
                <w:rFonts w:asciiTheme="minorHAnsi" w:eastAsia="Times New Roman" w:hAnsiTheme="minorHAnsi"/>
                <w:iCs/>
                <w:szCs w:val="17"/>
              </w:rPr>
              <w:t xml:space="preserve">Established programs such as private sector development, Pacific Women Fiji country plan and AQEP </w:t>
            </w:r>
            <w:r>
              <w:rPr>
                <w:rFonts w:asciiTheme="minorHAnsi" w:eastAsia="Times New Roman" w:hAnsiTheme="minorHAnsi"/>
                <w:iCs/>
                <w:szCs w:val="17"/>
              </w:rPr>
              <w:t>perfor</w:t>
            </w:r>
            <w:r w:rsidR="00806476">
              <w:rPr>
                <w:rFonts w:asciiTheme="minorHAnsi" w:eastAsia="Times New Roman" w:hAnsiTheme="minorHAnsi"/>
                <w:iCs/>
                <w:szCs w:val="17"/>
              </w:rPr>
              <w:t>med well against this indicator but our investments in governance are not</w:t>
            </w:r>
            <w:r w:rsidR="00806476" w:rsidRPr="006F2FC8">
              <w:rPr>
                <w:rFonts w:asciiTheme="minorHAnsi" w:eastAsia="Times New Roman" w:hAnsiTheme="minorHAnsi"/>
                <w:iCs/>
                <w:szCs w:val="17"/>
              </w:rPr>
              <w:t xml:space="preserve"> currently not meeting the gender equality benchmark.</w:t>
            </w:r>
            <w:r w:rsidR="00514F93">
              <w:rPr>
                <w:rFonts w:asciiTheme="minorHAnsi" w:eastAsia="Times New Roman" w:hAnsiTheme="minorHAnsi"/>
                <w:iCs/>
                <w:szCs w:val="17"/>
              </w:rPr>
              <w:t xml:space="preserve">  </w:t>
            </w:r>
            <w:r w:rsidR="00806476" w:rsidRPr="006F2FC8">
              <w:rPr>
                <w:rFonts w:asciiTheme="minorHAnsi" w:eastAsia="Times New Roman" w:hAnsiTheme="minorHAnsi"/>
                <w:iCs/>
                <w:szCs w:val="17"/>
              </w:rPr>
              <w:t xml:space="preserve"> </w:t>
            </w:r>
            <w:r w:rsidRPr="006F2FC8">
              <w:rPr>
                <w:rFonts w:asciiTheme="minorHAnsi" w:eastAsia="Times New Roman" w:hAnsiTheme="minorHAnsi"/>
                <w:iCs/>
                <w:szCs w:val="17"/>
              </w:rPr>
              <w:t xml:space="preserve">In its first year of implementation, the new Fiji Program Support Facility established relevant systems, processes and an overarching Gender Equality </w:t>
            </w:r>
            <w:r w:rsidR="00806476">
              <w:rPr>
                <w:rFonts w:asciiTheme="minorHAnsi" w:eastAsia="Times New Roman" w:hAnsiTheme="minorHAnsi"/>
                <w:iCs/>
                <w:szCs w:val="17"/>
              </w:rPr>
              <w:t xml:space="preserve">and Social Inclusion framework but the </w:t>
            </w:r>
            <w:r w:rsidRPr="006F2FC8">
              <w:rPr>
                <w:rFonts w:asciiTheme="minorHAnsi" w:eastAsia="Times New Roman" w:hAnsiTheme="minorHAnsi"/>
                <w:iCs/>
                <w:szCs w:val="17"/>
              </w:rPr>
              <w:t xml:space="preserve">Facility is still at an early stage to report on </w:t>
            </w:r>
            <w:r>
              <w:rPr>
                <w:rFonts w:asciiTheme="minorHAnsi" w:eastAsia="Times New Roman" w:hAnsiTheme="minorHAnsi"/>
                <w:iCs/>
                <w:szCs w:val="17"/>
              </w:rPr>
              <w:t>gender</w:t>
            </w:r>
            <w:r w:rsidRPr="006F2FC8">
              <w:rPr>
                <w:rFonts w:asciiTheme="minorHAnsi" w:eastAsia="Times New Roman" w:hAnsiTheme="minorHAnsi"/>
                <w:iCs/>
                <w:szCs w:val="17"/>
              </w:rPr>
              <w:t xml:space="preserve"> outcomes.</w:t>
            </w:r>
            <w:r>
              <w:rPr>
                <w:rFonts w:asciiTheme="minorHAnsi" w:eastAsia="Times New Roman" w:hAnsiTheme="minorHAnsi"/>
                <w:iCs/>
                <w:szCs w:val="17"/>
              </w:rPr>
              <w:t xml:space="preserve"> </w:t>
            </w:r>
            <w:r w:rsidR="00514F93">
              <w:rPr>
                <w:rFonts w:asciiTheme="minorHAnsi" w:eastAsia="Times New Roman" w:hAnsiTheme="minorHAnsi"/>
                <w:iCs/>
                <w:szCs w:val="17"/>
              </w:rPr>
              <w:t xml:space="preserve">  </w:t>
            </w:r>
            <w:r w:rsidR="00514F93" w:rsidRPr="00ED285D">
              <w:rPr>
                <w:rFonts w:asciiTheme="minorHAnsi" w:eastAsia="Times New Roman" w:hAnsiTheme="minorHAnsi"/>
                <w:iCs/>
                <w:szCs w:val="17"/>
              </w:rPr>
              <w:t>Overall, 63 per cent of investments effectively addressed gender issues in implementation.</w:t>
            </w:r>
            <w:r w:rsidR="00514F93">
              <w:rPr>
                <w:rFonts w:asciiTheme="minorHAnsi" w:eastAsia="Times New Roman" w:hAnsiTheme="minorHAnsi"/>
                <w:iCs/>
                <w:szCs w:val="17"/>
              </w:rPr>
              <w:t xml:space="preserve"> </w:t>
            </w:r>
          </w:p>
        </w:tc>
      </w:tr>
      <w:tr w:rsidR="001D49F0" w:rsidRPr="00C61187" w14:paraId="54F52949" w14:textId="77777777" w:rsidTr="008E38F7">
        <w:tc>
          <w:tcPr>
            <w:tcW w:w="780" w:type="pct"/>
            <w:tcMar>
              <w:top w:w="57" w:type="dxa"/>
              <w:bottom w:w="57" w:type="dxa"/>
            </w:tcMar>
          </w:tcPr>
          <w:p w14:paraId="19DEF856" w14:textId="77777777" w:rsidR="001D49F0" w:rsidRPr="00A31742" w:rsidDel="00A31742" w:rsidRDefault="001D49F0" w:rsidP="008E38F7">
            <w:pPr>
              <w:keepLines/>
              <w:spacing w:before="40" w:after="40" w:line="200" w:lineRule="atLeast"/>
              <w:rPr>
                <w:rFonts w:asciiTheme="minorHAnsi" w:eastAsia="Times New Roman" w:hAnsiTheme="minorHAnsi"/>
                <w:iCs/>
                <w:szCs w:val="17"/>
              </w:rPr>
            </w:pPr>
            <w:r w:rsidRPr="00A31742">
              <w:rPr>
                <w:rFonts w:asciiTheme="minorHAnsi" w:eastAsia="Times New Roman" w:hAnsiTheme="minorHAnsi"/>
                <w:iCs/>
                <w:szCs w:val="17"/>
              </w:rPr>
              <w:lastRenderedPageBreak/>
              <w:t>Improved human development</w:t>
            </w:r>
          </w:p>
        </w:tc>
        <w:tc>
          <w:tcPr>
            <w:tcW w:w="780" w:type="pct"/>
          </w:tcPr>
          <w:p w14:paraId="19E9BC0F" w14:textId="77777777" w:rsidR="001D49F0" w:rsidRPr="00A31742" w:rsidRDefault="001D49F0" w:rsidP="008E38F7">
            <w:pPr>
              <w:keepLines/>
              <w:spacing w:before="40" w:after="40" w:line="200" w:lineRule="atLeast"/>
              <w:rPr>
                <w:rFonts w:asciiTheme="minorHAnsi" w:eastAsia="Times New Roman" w:hAnsiTheme="minorHAnsi"/>
                <w:b/>
                <w:iCs/>
                <w:szCs w:val="17"/>
              </w:rPr>
            </w:pPr>
            <w:r>
              <w:rPr>
                <w:rFonts w:ascii="Calibri Light" w:eastAsia="Times New Roman" w:hAnsi="Calibri Light" w:cs="Times New Roman"/>
                <w:iCs/>
                <w:color w:val="495965"/>
                <w:szCs w:val="17"/>
              </w:rPr>
              <w:t>80% of i</w:t>
            </w:r>
            <w:r w:rsidRPr="00A418B1">
              <w:rPr>
                <w:rFonts w:ascii="Calibri Light" w:eastAsia="Times New Roman" w:hAnsi="Calibri Light" w:cs="Times New Roman"/>
                <w:iCs/>
                <w:color w:val="495965"/>
                <w:szCs w:val="17"/>
              </w:rPr>
              <w:t>nvestments,  regardless of their objectives, will actively involve people with disabilities and/or Disabled People’s Organisations in planning, implementation and monitoring and evaluation</w:t>
            </w:r>
          </w:p>
        </w:tc>
        <w:tc>
          <w:tcPr>
            <w:tcW w:w="470" w:type="pct"/>
            <w:shd w:val="clear" w:color="auto" w:fill="FF0000"/>
          </w:tcPr>
          <w:p w14:paraId="36E0437F" w14:textId="77777777" w:rsidR="001D49F0" w:rsidRPr="00A31742" w:rsidRDefault="001D49F0" w:rsidP="008E38F7">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Not Achieved</w:t>
            </w:r>
          </w:p>
        </w:tc>
        <w:tc>
          <w:tcPr>
            <w:tcW w:w="2970" w:type="pct"/>
          </w:tcPr>
          <w:p w14:paraId="548A33E1" w14:textId="77777777" w:rsidR="001D49F0" w:rsidRPr="00D7036C" w:rsidRDefault="001D49F0" w:rsidP="008E38F7">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 xml:space="preserve">The Program did not meet the 80 per cent target under this </w:t>
            </w:r>
            <w:r w:rsidR="0062795A">
              <w:rPr>
                <w:rFonts w:asciiTheme="minorHAnsi" w:eastAsia="Times New Roman" w:hAnsiTheme="minorHAnsi"/>
                <w:iCs/>
                <w:szCs w:val="17"/>
              </w:rPr>
              <w:t xml:space="preserve">PAF </w:t>
            </w:r>
            <w:r>
              <w:rPr>
                <w:rFonts w:asciiTheme="minorHAnsi" w:eastAsia="Times New Roman" w:hAnsiTheme="minorHAnsi"/>
                <w:iCs/>
                <w:szCs w:val="17"/>
              </w:rPr>
              <w:t>performance benchmark.  Fifty</w:t>
            </w:r>
            <w:r w:rsidRPr="006F2FC8">
              <w:rPr>
                <w:rFonts w:asciiTheme="minorHAnsi" w:eastAsia="Times New Roman" w:hAnsiTheme="minorHAnsi"/>
                <w:iCs/>
                <w:szCs w:val="17"/>
              </w:rPr>
              <w:t xml:space="preserve"> per cent of investments scored 4 and higher in AQC reporting</w:t>
            </w:r>
            <w:r>
              <w:rPr>
                <w:rFonts w:asciiTheme="minorHAnsi" w:eastAsia="Times New Roman" w:hAnsiTheme="minorHAnsi"/>
                <w:iCs/>
                <w:szCs w:val="17"/>
              </w:rPr>
              <w:t xml:space="preserve"> on this indicator</w:t>
            </w:r>
            <w:r w:rsidRPr="006F2FC8">
              <w:rPr>
                <w:rFonts w:asciiTheme="minorHAnsi" w:eastAsia="Times New Roman" w:hAnsiTheme="minorHAnsi"/>
                <w:iCs/>
                <w:szCs w:val="17"/>
              </w:rPr>
              <w:t xml:space="preserve">.  </w:t>
            </w:r>
            <w:r>
              <w:rPr>
                <w:rFonts w:asciiTheme="minorHAnsi" w:eastAsia="Times New Roman" w:hAnsiTheme="minorHAnsi"/>
                <w:iCs/>
                <w:szCs w:val="17"/>
              </w:rPr>
              <w:t xml:space="preserve">We reported strong outcomes </w:t>
            </w:r>
            <w:r w:rsidRPr="006F2FC8">
              <w:rPr>
                <w:rFonts w:asciiTheme="minorHAnsi" w:eastAsia="Times New Roman" w:hAnsiTheme="minorHAnsi"/>
                <w:iCs/>
                <w:szCs w:val="17"/>
              </w:rPr>
              <w:t>for people with disability and engagement with DPO groups</w:t>
            </w:r>
            <w:r>
              <w:rPr>
                <w:rFonts w:asciiTheme="minorHAnsi" w:eastAsia="Times New Roman" w:hAnsiTheme="minorHAnsi"/>
                <w:iCs/>
                <w:szCs w:val="17"/>
              </w:rPr>
              <w:t xml:space="preserve"> under AQEP and Pacific Women.  </w:t>
            </w:r>
            <w:r w:rsidRPr="006F2FC8">
              <w:rPr>
                <w:rFonts w:asciiTheme="minorHAnsi" w:eastAsia="Times New Roman" w:hAnsiTheme="minorHAnsi"/>
                <w:iCs/>
                <w:szCs w:val="17"/>
              </w:rPr>
              <w:t xml:space="preserve">The new Fiji Program Support Facility GESI framework is inclusive of disability to ensure issues of inclusion is addressed and people with disabilities benefit from the Facility's activities. Across the other programs (governance and private sector) opportunities for program improvement include working with partners to collect and report disability disaggregated data and more actively engage with DPOs. </w:t>
            </w:r>
            <w:r w:rsidRPr="00D7036C">
              <w:rPr>
                <w:rFonts w:asciiTheme="minorHAnsi" w:eastAsia="Times New Roman" w:hAnsiTheme="minorHAnsi"/>
                <w:iCs/>
                <w:szCs w:val="17"/>
              </w:rPr>
              <w:t xml:space="preserve"> </w:t>
            </w:r>
          </w:p>
        </w:tc>
      </w:tr>
      <w:tr w:rsidR="001D49F0" w:rsidRPr="00C61187" w14:paraId="07B21125" w14:textId="77777777" w:rsidTr="008E38F7">
        <w:tc>
          <w:tcPr>
            <w:tcW w:w="780" w:type="pct"/>
            <w:tcMar>
              <w:top w:w="57" w:type="dxa"/>
              <w:bottom w:w="57" w:type="dxa"/>
            </w:tcMar>
          </w:tcPr>
          <w:p w14:paraId="5C3DBA99" w14:textId="77777777" w:rsidR="001D49F0" w:rsidRPr="00A31742" w:rsidDel="00A31742" w:rsidRDefault="001D49F0" w:rsidP="008E38F7">
            <w:pPr>
              <w:keepLines/>
              <w:spacing w:before="40" w:after="40" w:line="200" w:lineRule="atLeast"/>
              <w:rPr>
                <w:rFonts w:asciiTheme="minorHAnsi" w:eastAsia="Times New Roman" w:hAnsiTheme="minorHAnsi"/>
                <w:iCs/>
                <w:szCs w:val="17"/>
              </w:rPr>
            </w:pPr>
            <w:r w:rsidRPr="00A31742">
              <w:rPr>
                <w:rFonts w:asciiTheme="minorHAnsi" w:eastAsia="Times New Roman" w:hAnsiTheme="minorHAnsi"/>
                <w:iCs/>
                <w:szCs w:val="17"/>
              </w:rPr>
              <w:t>Improved human development</w:t>
            </w:r>
          </w:p>
        </w:tc>
        <w:tc>
          <w:tcPr>
            <w:tcW w:w="780" w:type="pct"/>
          </w:tcPr>
          <w:p w14:paraId="472C5AB2" w14:textId="77777777" w:rsidR="001D49F0" w:rsidRDefault="001D49F0" w:rsidP="008E38F7">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Climate risks and resilience are assessed and taken into account in all new Australian aid investments and activities in Fiji - including design; implementation arrangements; monitoring, evaluation and reporting frameworks; and risk management.</w:t>
            </w:r>
          </w:p>
          <w:p w14:paraId="0BA033B6" w14:textId="77777777" w:rsidR="001D49F0" w:rsidRPr="00D34810" w:rsidRDefault="001D49F0" w:rsidP="008E38F7">
            <w:pPr>
              <w:keepLines/>
              <w:spacing w:before="40" w:after="40" w:line="200" w:lineRule="atLeast"/>
              <w:rPr>
                <w:rFonts w:asciiTheme="minorHAnsi" w:eastAsia="Times New Roman" w:hAnsiTheme="minorHAnsi"/>
                <w:iCs/>
                <w:szCs w:val="17"/>
              </w:rPr>
            </w:pPr>
            <w:r>
              <w:rPr>
                <w:rFonts w:ascii="Calibri Light" w:eastAsia="Times New Roman" w:hAnsi="Calibri Light" w:cs="Times New Roman"/>
                <w:i/>
                <w:iCs/>
                <w:color w:val="495965"/>
                <w:szCs w:val="17"/>
              </w:rPr>
              <w:t>Target</w:t>
            </w:r>
            <w:r>
              <w:rPr>
                <w:rFonts w:ascii="Calibri Light" w:eastAsia="Times New Roman" w:hAnsi="Calibri Light" w:cs="Times New Roman"/>
                <w:iCs/>
                <w:color w:val="495965"/>
                <w:szCs w:val="17"/>
              </w:rPr>
              <w:t xml:space="preserve">: all new activities assess climate risks and resilience. </w:t>
            </w:r>
          </w:p>
        </w:tc>
        <w:tc>
          <w:tcPr>
            <w:tcW w:w="470" w:type="pct"/>
            <w:shd w:val="clear" w:color="auto" w:fill="92D050"/>
          </w:tcPr>
          <w:p w14:paraId="1BEC86D1" w14:textId="77777777" w:rsidR="001D49F0" w:rsidRPr="00D34810" w:rsidRDefault="001D49F0" w:rsidP="008E38F7">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Achieved</w:t>
            </w:r>
          </w:p>
        </w:tc>
        <w:tc>
          <w:tcPr>
            <w:tcW w:w="2970" w:type="pct"/>
          </w:tcPr>
          <w:p w14:paraId="5BFCAE28" w14:textId="77777777" w:rsidR="001D49F0" w:rsidRPr="00D7036C" w:rsidRDefault="001D49F0" w:rsidP="008E38F7">
            <w:pPr>
              <w:keepLines/>
              <w:spacing w:before="40" w:after="40" w:line="200" w:lineRule="atLeast"/>
              <w:rPr>
                <w:rFonts w:asciiTheme="minorHAnsi" w:eastAsia="Times New Roman" w:hAnsiTheme="minorHAnsi"/>
                <w:iCs/>
                <w:szCs w:val="17"/>
              </w:rPr>
            </w:pPr>
            <w:r w:rsidRPr="00D7036C">
              <w:rPr>
                <w:rFonts w:asciiTheme="minorHAnsi" w:eastAsia="Times New Roman" w:hAnsiTheme="minorHAnsi"/>
                <w:iCs/>
                <w:szCs w:val="17"/>
              </w:rPr>
              <w:t xml:space="preserve">All new activities address climate change risks and disaster resilience and are aligned to Fiji’s priorities as set out in </w:t>
            </w:r>
            <w:r>
              <w:rPr>
                <w:rFonts w:asciiTheme="minorHAnsi" w:eastAsia="Times New Roman" w:hAnsiTheme="minorHAnsi"/>
                <w:iCs/>
                <w:szCs w:val="17"/>
              </w:rPr>
              <w:t>Fiji’s</w:t>
            </w:r>
            <w:r w:rsidRPr="00D7036C">
              <w:rPr>
                <w:rFonts w:asciiTheme="minorHAnsi" w:eastAsia="Times New Roman" w:hAnsiTheme="minorHAnsi"/>
                <w:iCs/>
                <w:szCs w:val="17"/>
              </w:rPr>
              <w:t xml:space="preserve"> National Development Plan.   </w:t>
            </w:r>
          </w:p>
        </w:tc>
      </w:tr>
      <w:tr w:rsidR="001D49F0" w:rsidRPr="00C61187" w14:paraId="0D3E653E" w14:textId="77777777" w:rsidTr="00E23B65">
        <w:tc>
          <w:tcPr>
            <w:tcW w:w="780" w:type="pct"/>
            <w:tcMar>
              <w:top w:w="57" w:type="dxa"/>
              <w:bottom w:w="57" w:type="dxa"/>
            </w:tcMar>
          </w:tcPr>
          <w:p w14:paraId="55487F66" w14:textId="77777777" w:rsidR="001D49F0" w:rsidRPr="00A31742" w:rsidRDefault="001D49F0" w:rsidP="008E38F7">
            <w:pPr>
              <w:keepLines/>
              <w:spacing w:before="40" w:after="40" w:line="200" w:lineRule="atLeast"/>
              <w:rPr>
                <w:rFonts w:eastAsia="Times New Roman"/>
                <w:iCs/>
                <w:szCs w:val="17"/>
              </w:rPr>
            </w:pPr>
            <w:r w:rsidRPr="00FB4AC2">
              <w:rPr>
                <w:rFonts w:asciiTheme="minorHAnsi" w:eastAsia="Times New Roman" w:hAnsiTheme="minorHAnsi"/>
                <w:iCs/>
                <w:szCs w:val="17"/>
              </w:rPr>
              <w:t>Improved human development</w:t>
            </w:r>
          </w:p>
        </w:tc>
        <w:tc>
          <w:tcPr>
            <w:tcW w:w="780" w:type="pct"/>
          </w:tcPr>
          <w:p w14:paraId="594C466B" w14:textId="0597870E" w:rsidR="001D49F0" w:rsidRPr="00D34810" w:rsidRDefault="00F74F0A" w:rsidP="00CF17A2">
            <w:pPr>
              <w:keepLines/>
              <w:spacing w:before="40" w:after="40" w:line="200" w:lineRule="atLeast"/>
              <w:rPr>
                <w:rFonts w:ascii="Calibri Light" w:eastAsia="Times New Roman" w:hAnsi="Calibri Light" w:cs="Times New Roman"/>
                <w:i/>
                <w:iCs/>
                <w:color w:val="495965"/>
                <w:szCs w:val="17"/>
              </w:rPr>
            </w:pPr>
            <w:r>
              <w:rPr>
                <w:rFonts w:ascii="Calibri Light" w:eastAsia="Times New Roman" w:hAnsi="Calibri Light" w:cs="Times New Roman"/>
                <w:iCs/>
                <w:color w:val="495965"/>
                <w:szCs w:val="17"/>
              </w:rPr>
              <w:t xml:space="preserve">Increased number of births at </w:t>
            </w:r>
            <w:r w:rsidR="00CF17A2">
              <w:rPr>
                <w:rFonts w:ascii="Calibri Light" w:eastAsia="Times New Roman" w:hAnsi="Calibri Light" w:cs="Times New Roman"/>
                <w:iCs/>
                <w:color w:val="495965"/>
                <w:szCs w:val="17"/>
              </w:rPr>
              <w:t xml:space="preserve">four </w:t>
            </w:r>
            <w:r>
              <w:rPr>
                <w:rFonts w:ascii="Calibri Light" w:eastAsia="Times New Roman" w:hAnsi="Calibri Light" w:cs="Times New Roman"/>
                <w:iCs/>
                <w:color w:val="495965"/>
                <w:szCs w:val="17"/>
              </w:rPr>
              <w:t xml:space="preserve">sub-divisional hospitals by skilled attendants. </w:t>
            </w:r>
          </w:p>
        </w:tc>
        <w:tc>
          <w:tcPr>
            <w:tcW w:w="470" w:type="pct"/>
            <w:shd w:val="clear" w:color="auto" w:fill="FF0000"/>
          </w:tcPr>
          <w:p w14:paraId="5E3652F5" w14:textId="77777777" w:rsidR="001D49F0" w:rsidRPr="00F74F0A" w:rsidRDefault="00F74F0A" w:rsidP="008E38F7">
            <w:pPr>
              <w:keepLines/>
              <w:spacing w:before="40" w:after="40" w:line="200" w:lineRule="atLeast"/>
              <w:jc w:val="center"/>
              <w:rPr>
                <w:rFonts w:eastAsia="Times New Roman"/>
                <w:iCs/>
                <w:color w:val="FFFFFF" w:themeColor="background1"/>
                <w:szCs w:val="17"/>
              </w:rPr>
            </w:pPr>
            <w:r w:rsidRPr="00F74F0A">
              <w:rPr>
                <w:rFonts w:eastAsia="Times New Roman"/>
                <w:iCs/>
                <w:color w:val="FFFFFF" w:themeColor="background1"/>
                <w:szCs w:val="17"/>
              </w:rPr>
              <w:t>Not Achieved</w:t>
            </w:r>
          </w:p>
        </w:tc>
        <w:tc>
          <w:tcPr>
            <w:tcW w:w="2970" w:type="pct"/>
          </w:tcPr>
          <w:p w14:paraId="651963E8" w14:textId="1D09E583" w:rsidR="00F74F0A" w:rsidRDefault="00F74F0A" w:rsidP="00F74F0A">
            <w:pPr>
              <w:keepLines/>
              <w:spacing w:before="40" w:after="40" w:line="200" w:lineRule="atLeast"/>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Baseline</w:t>
            </w:r>
            <w:r w:rsidR="00C32CE0">
              <w:rPr>
                <w:rFonts w:ascii="Calibri Light" w:eastAsia="Times New Roman" w:hAnsi="Calibri Light" w:cs="Times New Roman"/>
                <w:iCs/>
                <w:color w:val="495965"/>
                <w:szCs w:val="17"/>
              </w:rPr>
              <w:t xml:space="preserve"> for this benchmark</w:t>
            </w:r>
            <w:r>
              <w:rPr>
                <w:rFonts w:ascii="Calibri Light" w:eastAsia="Times New Roman" w:hAnsi="Calibri Light" w:cs="Times New Roman"/>
                <w:iCs/>
                <w:color w:val="495965"/>
                <w:szCs w:val="17"/>
              </w:rPr>
              <w:t xml:space="preserve"> to be determined. Mother </w:t>
            </w:r>
            <w:r w:rsidR="00C32CE0">
              <w:rPr>
                <w:rFonts w:ascii="Calibri Light" w:eastAsia="Times New Roman" w:hAnsi="Calibri Light" w:cs="Times New Roman"/>
                <w:iCs/>
                <w:color w:val="495965"/>
                <w:szCs w:val="17"/>
              </w:rPr>
              <w:t>S</w:t>
            </w:r>
            <w:r>
              <w:rPr>
                <w:rFonts w:ascii="Calibri Light" w:eastAsia="Times New Roman" w:hAnsi="Calibri Light" w:cs="Times New Roman"/>
                <w:iCs/>
                <w:color w:val="495965"/>
                <w:szCs w:val="17"/>
              </w:rPr>
              <w:t xml:space="preserve">afe Delivery </w:t>
            </w:r>
            <w:r w:rsidR="00C32CE0">
              <w:rPr>
                <w:rFonts w:ascii="Calibri Light" w:eastAsia="Times New Roman" w:hAnsi="Calibri Light" w:cs="Times New Roman"/>
                <w:iCs/>
                <w:color w:val="495965"/>
                <w:szCs w:val="17"/>
              </w:rPr>
              <w:t>P</w:t>
            </w:r>
            <w:r>
              <w:rPr>
                <w:rFonts w:ascii="Calibri Light" w:eastAsia="Times New Roman" w:hAnsi="Calibri Light" w:cs="Times New Roman"/>
                <w:iCs/>
                <w:color w:val="495965"/>
                <w:szCs w:val="17"/>
              </w:rPr>
              <w:t xml:space="preserve">ackage </w:t>
            </w:r>
            <w:r w:rsidR="00C32CE0">
              <w:rPr>
                <w:rFonts w:ascii="Calibri Light" w:eastAsia="Times New Roman" w:hAnsi="Calibri Light" w:cs="Times New Roman"/>
                <w:iCs/>
                <w:color w:val="495965"/>
                <w:szCs w:val="17"/>
              </w:rPr>
              <w:t xml:space="preserve">being rolled out </w:t>
            </w:r>
            <w:r>
              <w:rPr>
                <w:rFonts w:ascii="Calibri Light" w:eastAsia="Times New Roman" w:hAnsi="Calibri Light" w:cs="Times New Roman"/>
                <w:iCs/>
                <w:color w:val="495965"/>
                <w:szCs w:val="17"/>
              </w:rPr>
              <w:t xml:space="preserve">to assist in devolving maternal and child health services to </w:t>
            </w:r>
            <w:r w:rsidR="00CF17A2">
              <w:rPr>
                <w:rFonts w:ascii="Calibri Light" w:eastAsia="Times New Roman" w:hAnsi="Calibri Light" w:cs="Times New Roman"/>
                <w:iCs/>
                <w:color w:val="495965"/>
                <w:szCs w:val="17"/>
              </w:rPr>
              <w:t xml:space="preserve">four </w:t>
            </w:r>
            <w:r>
              <w:rPr>
                <w:rFonts w:ascii="Calibri Light" w:eastAsia="Times New Roman" w:hAnsi="Calibri Light" w:cs="Times New Roman"/>
                <w:iCs/>
                <w:color w:val="495965"/>
                <w:szCs w:val="17"/>
              </w:rPr>
              <w:t xml:space="preserve">sub-divisional hospitals. Previous benchmarks </w:t>
            </w:r>
            <w:r w:rsidR="00C32CE0">
              <w:rPr>
                <w:rFonts w:ascii="Calibri Light" w:eastAsia="Times New Roman" w:hAnsi="Calibri Light" w:cs="Times New Roman"/>
                <w:iCs/>
                <w:color w:val="495965"/>
                <w:szCs w:val="17"/>
              </w:rPr>
              <w:t>(</w:t>
            </w:r>
            <w:r w:rsidRPr="00A418B1">
              <w:rPr>
                <w:rFonts w:ascii="Calibri Light" w:eastAsia="Times New Roman" w:hAnsi="Calibri Light" w:cs="Times New Roman"/>
                <w:iCs/>
                <w:color w:val="495965"/>
                <w:szCs w:val="17"/>
              </w:rPr>
              <w:t xml:space="preserve">Number of maternal deaths </w:t>
            </w:r>
            <w:r>
              <w:rPr>
                <w:rFonts w:ascii="Calibri Light" w:eastAsia="Times New Roman" w:hAnsi="Calibri Light" w:cs="Times New Roman"/>
                <w:iCs/>
                <w:color w:val="495965"/>
                <w:szCs w:val="17"/>
              </w:rPr>
              <w:t xml:space="preserve">and </w:t>
            </w:r>
            <w:r w:rsidRPr="00A418B1">
              <w:rPr>
                <w:rFonts w:ascii="Calibri Light" w:eastAsia="Times New Roman" w:hAnsi="Calibri Light" w:cs="Times New Roman"/>
                <w:iCs/>
                <w:color w:val="495965"/>
                <w:szCs w:val="17"/>
              </w:rPr>
              <w:t>Number of deaths per 1000 live births</w:t>
            </w:r>
            <w:r w:rsidR="00C32CE0">
              <w:rPr>
                <w:rFonts w:ascii="Calibri Light" w:eastAsia="Times New Roman" w:hAnsi="Calibri Light" w:cs="Times New Roman"/>
                <w:iCs/>
                <w:color w:val="495965"/>
                <w:szCs w:val="17"/>
              </w:rPr>
              <w:t xml:space="preserve"> </w:t>
            </w:r>
            <w:r w:rsidR="00C32CE0" w:rsidRPr="00A418B1">
              <w:rPr>
                <w:rFonts w:ascii="Calibri Light" w:eastAsia="Times New Roman" w:hAnsi="Calibri Light" w:cs="Times New Roman"/>
                <w:iCs/>
                <w:color w:val="495965"/>
                <w:szCs w:val="17"/>
              </w:rPr>
              <w:t>(Total in Fiji)</w:t>
            </w:r>
            <w:r w:rsidR="00C32CE0">
              <w:rPr>
                <w:rFonts w:ascii="Calibri Light" w:eastAsia="Times New Roman" w:hAnsi="Calibri Light" w:cs="Times New Roman"/>
                <w:iCs/>
                <w:color w:val="495965"/>
                <w:szCs w:val="17"/>
              </w:rPr>
              <w:t>) are beyond the scope of Australia’s support to Fiji’s health sector program.</w:t>
            </w:r>
          </w:p>
          <w:p w14:paraId="1A1AB27F" w14:textId="77777777" w:rsidR="001D49F0" w:rsidRPr="00406E8E" w:rsidRDefault="00F74F0A">
            <w:pPr>
              <w:keepLines/>
              <w:spacing w:before="40" w:after="40" w:line="200" w:lineRule="atLeast"/>
              <w:rPr>
                <w:rFonts w:eastAsia="Times New Roman"/>
                <w:b/>
                <w:iCs/>
                <w:szCs w:val="17"/>
              </w:rPr>
            </w:pPr>
            <w:r w:rsidRPr="00406E8E" w:rsidDel="00F74F0A">
              <w:rPr>
                <w:rFonts w:eastAsia="Times New Roman"/>
                <w:b/>
                <w:iCs/>
                <w:szCs w:val="17"/>
                <w:highlight w:val="yellow"/>
              </w:rPr>
              <w:t xml:space="preserve"> </w:t>
            </w:r>
          </w:p>
        </w:tc>
      </w:tr>
      <w:tr w:rsidR="00F74F0A" w:rsidRPr="00C61187" w14:paraId="28A3C3CF" w14:textId="77777777" w:rsidTr="00E23B65">
        <w:tc>
          <w:tcPr>
            <w:tcW w:w="780" w:type="pct"/>
            <w:tcMar>
              <w:top w:w="57" w:type="dxa"/>
              <w:bottom w:w="57" w:type="dxa"/>
            </w:tcMar>
          </w:tcPr>
          <w:p w14:paraId="2DBEAA5B" w14:textId="77777777" w:rsidR="00F74F0A" w:rsidRPr="00A31742" w:rsidDel="00A31742" w:rsidRDefault="00F74F0A" w:rsidP="00F74F0A">
            <w:pPr>
              <w:keepLines/>
              <w:spacing w:before="40" w:after="40" w:line="200" w:lineRule="atLeast"/>
              <w:rPr>
                <w:rFonts w:asciiTheme="minorHAnsi" w:eastAsia="Times New Roman" w:hAnsiTheme="minorHAnsi"/>
                <w:iCs/>
                <w:szCs w:val="17"/>
              </w:rPr>
            </w:pPr>
          </w:p>
        </w:tc>
        <w:tc>
          <w:tcPr>
            <w:tcW w:w="780" w:type="pct"/>
          </w:tcPr>
          <w:p w14:paraId="069A2CB2" w14:textId="77777777" w:rsidR="00F74F0A" w:rsidRPr="00D34810" w:rsidRDefault="00F74F0A" w:rsidP="00F74F0A">
            <w:pPr>
              <w:keepLines/>
              <w:spacing w:before="40" w:after="40" w:line="200" w:lineRule="atLeast"/>
              <w:rPr>
                <w:rFonts w:asciiTheme="minorHAnsi" w:eastAsia="Times New Roman" w:hAnsiTheme="minorHAnsi"/>
                <w:i/>
                <w:iCs/>
                <w:szCs w:val="17"/>
              </w:rPr>
            </w:pPr>
          </w:p>
        </w:tc>
        <w:tc>
          <w:tcPr>
            <w:tcW w:w="470" w:type="pct"/>
            <w:shd w:val="clear" w:color="auto" w:fill="FF0000"/>
          </w:tcPr>
          <w:p w14:paraId="63B14EA7" w14:textId="77777777" w:rsidR="00F74F0A" w:rsidRPr="00F74F0A" w:rsidRDefault="00F74F0A" w:rsidP="00F74F0A">
            <w:pPr>
              <w:keepLines/>
              <w:spacing w:before="40" w:after="40" w:line="200" w:lineRule="atLeast"/>
              <w:jc w:val="center"/>
              <w:rPr>
                <w:rFonts w:asciiTheme="minorHAnsi" w:eastAsia="Times New Roman" w:hAnsiTheme="minorHAnsi"/>
                <w:iCs/>
                <w:color w:val="FFFFFF" w:themeColor="background1"/>
                <w:szCs w:val="17"/>
              </w:rPr>
            </w:pPr>
          </w:p>
        </w:tc>
        <w:tc>
          <w:tcPr>
            <w:tcW w:w="2970" w:type="pct"/>
          </w:tcPr>
          <w:p w14:paraId="24233A08" w14:textId="77777777" w:rsidR="00F74F0A" w:rsidRDefault="00F74F0A" w:rsidP="00F74F0A">
            <w:pPr>
              <w:keepLines/>
              <w:spacing w:before="40" w:after="40" w:line="200" w:lineRule="atLeast"/>
              <w:rPr>
                <w:rFonts w:ascii="Calibri Light" w:eastAsia="Times New Roman" w:hAnsi="Calibri Light" w:cs="Times New Roman"/>
                <w:iCs/>
                <w:color w:val="495965"/>
                <w:szCs w:val="17"/>
              </w:rPr>
            </w:pPr>
          </w:p>
          <w:p w14:paraId="767604D1" w14:textId="77777777" w:rsidR="00F74F0A" w:rsidRPr="00880004" w:rsidRDefault="00F74F0A" w:rsidP="00F74F0A">
            <w:pPr>
              <w:keepLines/>
              <w:spacing w:before="40" w:after="40" w:line="200" w:lineRule="atLeast"/>
              <w:rPr>
                <w:rFonts w:eastAsia="Times New Roman"/>
                <w:iCs/>
                <w:szCs w:val="17"/>
              </w:rPr>
            </w:pPr>
          </w:p>
        </w:tc>
      </w:tr>
    </w:tbl>
    <w:p w14:paraId="2D9B95AC"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44C9A72C"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071F2BF6"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51E64233"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09868376" w14:textId="77777777" w:rsidR="001D49F0" w:rsidRDefault="001D49F0" w:rsidP="001D49F0">
      <w:pPr>
        <w:rPr>
          <w:rFonts w:ascii="Franklin Gothic Book" w:eastAsia="Times New Roman" w:hAnsi="Franklin Gothic Book"/>
          <w:b/>
          <w:sz w:val="24"/>
          <w:szCs w:val="24"/>
        </w:rPr>
      </w:pPr>
    </w:p>
    <w:p w14:paraId="086DECAF" w14:textId="77777777" w:rsidR="00806476" w:rsidRDefault="00806476" w:rsidP="001D49F0">
      <w:pPr>
        <w:rPr>
          <w:rFonts w:ascii="Franklin Gothic Book" w:eastAsia="Times New Roman" w:hAnsi="Franklin Gothic Book"/>
          <w:b/>
          <w:sz w:val="24"/>
          <w:szCs w:val="24"/>
          <w:highlight w:val="yellow"/>
        </w:rPr>
      </w:pPr>
    </w:p>
    <w:p w14:paraId="7C1DAC7E" w14:textId="77777777" w:rsidR="00806476" w:rsidRDefault="00806476" w:rsidP="001D49F0">
      <w:pPr>
        <w:rPr>
          <w:rFonts w:ascii="Franklin Gothic Book" w:eastAsia="Times New Roman" w:hAnsi="Franklin Gothic Book"/>
          <w:b/>
          <w:sz w:val="24"/>
          <w:szCs w:val="24"/>
          <w:highlight w:val="yellow"/>
        </w:rPr>
      </w:pPr>
    </w:p>
    <w:p w14:paraId="196F6373" w14:textId="77777777" w:rsidR="00806476" w:rsidRDefault="00806476" w:rsidP="001D49F0">
      <w:pPr>
        <w:rPr>
          <w:rFonts w:ascii="Franklin Gothic Book" w:eastAsia="Times New Roman" w:hAnsi="Franklin Gothic Book"/>
          <w:b/>
          <w:sz w:val="24"/>
          <w:szCs w:val="24"/>
          <w:highlight w:val="yellow"/>
        </w:rPr>
      </w:pPr>
    </w:p>
    <w:p w14:paraId="6146E80D" w14:textId="77777777" w:rsidR="001D49F0" w:rsidRDefault="001D49F0" w:rsidP="001D49F0">
      <w:pPr>
        <w:rPr>
          <w:rFonts w:ascii="Franklin Gothic Book" w:eastAsia="Times New Roman" w:hAnsi="Franklin Gothic Book"/>
          <w:b/>
          <w:sz w:val="24"/>
          <w:szCs w:val="24"/>
        </w:rPr>
      </w:pPr>
      <w:r w:rsidRPr="00806476">
        <w:rPr>
          <w:rFonts w:ascii="Franklin Gothic Book" w:eastAsia="Times New Roman" w:hAnsi="Franklin Gothic Book"/>
          <w:b/>
          <w:sz w:val="24"/>
          <w:szCs w:val="24"/>
        </w:rPr>
        <w:lastRenderedPageBreak/>
        <w:t>Performance Benchmarks for remainder of Aid Investment Plan</w:t>
      </w:r>
    </w:p>
    <w:p w14:paraId="78411A2E" w14:textId="77777777" w:rsidR="001D49F0" w:rsidRPr="007B4865" w:rsidRDefault="001D49F0" w:rsidP="001D49F0">
      <w:pPr>
        <w:rPr>
          <w:rFonts w:ascii="Franklin Gothic Book" w:eastAsia="Times New Roman" w:hAnsi="Franklin Gothic Book"/>
          <w:b/>
          <w:sz w:val="24"/>
          <w:szCs w:val="24"/>
        </w:rPr>
      </w:pPr>
    </w:p>
    <w:tbl>
      <w:tblPr>
        <w:tblStyle w:val="DFATTable"/>
        <w:tblW w:w="5200" w:type="pct"/>
        <w:tblLook w:val="04A0" w:firstRow="1" w:lastRow="0" w:firstColumn="1" w:lastColumn="0" w:noHBand="0" w:noVBand="1"/>
      </w:tblPr>
      <w:tblGrid>
        <w:gridCol w:w="2122"/>
        <w:gridCol w:w="3986"/>
        <w:gridCol w:w="2111"/>
        <w:gridCol w:w="2556"/>
        <w:gridCol w:w="3965"/>
      </w:tblGrid>
      <w:tr w:rsidR="00514F93" w14:paraId="36246AB2" w14:textId="77777777" w:rsidTr="00514F93">
        <w:trPr>
          <w:trHeight w:val="331"/>
        </w:trPr>
        <w:tc>
          <w:tcPr>
            <w:tcW w:w="720" w:type="pct"/>
            <w:tcBorders>
              <w:top w:val="single" w:sz="12" w:space="0" w:color="auto"/>
              <w:left w:val="nil"/>
              <w:bottom w:val="nil"/>
              <w:right w:val="nil"/>
            </w:tcBorders>
          </w:tcPr>
          <w:p w14:paraId="74964048" w14:textId="77777777" w:rsidR="00514F93" w:rsidRPr="00BE6C6D" w:rsidRDefault="00514F93" w:rsidP="008E38F7">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2935" w:type="pct"/>
            <w:gridSpan w:val="3"/>
            <w:tcBorders>
              <w:top w:val="single" w:sz="12" w:space="0" w:color="auto"/>
              <w:left w:val="nil"/>
              <w:bottom w:val="nil"/>
              <w:right w:val="nil"/>
            </w:tcBorders>
          </w:tcPr>
          <w:p w14:paraId="432D07D0" w14:textId="77777777" w:rsidR="00514F93" w:rsidRPr="00BE6C6D" w:rsidRDefault="00514F93" w:rsidP="008E38F7">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345" w:type="pct"/>
            <w:tcBorders>
              <w:top w:val="single" w:sz="12" w:space="0" w:color="auto"/>
              <w:left w:val="nil"/>
              <w:bottom w:val="nil"/>
              <w:right w:val="nil"/>
            </w:tcBorders>
            <w:hideMark/>
          </w:tcPr>
          <w:p w14:paraId="31918191" w14:textId="77777777" w:rsidR="00514F93" w:rsidRPr="00BE6C6D" w:rsidRDefault="00514F93" w:rsidP="008E38F7">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r>
      <w:tr w:rsidR="00514F93" w14:paraId="52B47D77" w14:textId="77777777" w:rsidTr="00514F93">
        <w:trPr>
          <w:gridAfter w:val="4"/>
          <w:wAfter w:w="4280" w:type="pct"/>
          <w:trHeight w:val="425"/>
        </w:trPr>
        <w:tc>
          <w:tcPr>
            <w:tcW w:w="720" w:type="pct"/>
            <w:tcBorders>
              <w:top w:val="nil"/>
              <w:left w:val="nil"/>
              <w:bottom w:val="nil"/>
              <w:right w:val="nil"/>
            </w:tcBorders>
            <w:hideMark/>
          </w:tcPr>
          <w:p w14:paraId="2E1E1265" w14:textId="77777777" w:rsidR="00514F93" w:rsidRPr="00BE6C6D" w:rsidRDefault="00514F93" w:rsidP="008E38F7">
            <w:pPr>
              <w:pStyle w:val="NormalIndented"/>
              <w:rPr>
                <w:rFonts w:asciiTheme="minorHAnsi" w:hAnsiTheme="minorHAnsi"/>
                <w:i/>
                <w:color w:val="808080" w:themeColor="background1" w:themeShade="80"/>
                <w:sz w:val="18"/>
              </w:rPr>
            </w:pPr>
          </w:p>
        </w:tc>
      </w:tr>
      <w:tr w:rsidR="00514F93" w14:paraId="7AD11027" w14:textId="77777777" w:rsidTr="00514F93">
        <w:trPr>
          <w:trHeight w:val="984"/>
        </w:trPr>
        <w:tc>
          <w:tcPr>
            <w:tcW w:w="720" w:type="pct"/>
            <w:tcBorders>
              <w:top w:val="nil"/>
              <w:left w:val="nil"/>
              <w:bottom w:val="nil"/>
              <w:right w:val="nil"/>
            </w:tcBorders>
          </w:tcPr>
          <w:p w14:paraId="713E10B9" w14:textId="77777777" w:rsidR="00514F93" w:rsidRPr="00806476" w:rsidRDefault="00514F93" w:rsidP="008E38F7">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Increased private sector development </w:t>
            </w:r>
            <w:r w:rsidRPr="00880004">
              <w:rPr>
                <w:rFonts w:asciiTheme="minorHAnsi" w:eastAsia="Times New Roman" w:hAnsiTheme="minorHAnsi"/>
                <w:iCs/>
                <w:szCs w:val="17"/>
                <w:lang w:eastAsia="en-US"/>
              </w:rPr>
              <w:t xml:space="preserve"> </w:t>
            </w:r>
          </w:p>
        </w:tc>
        <w:tc>
          <w:tcPr>
            <w:tcW w:w="2935" w:type="pct"/>
            <w:gridSpan w:val="3"/>
            <w:tcBorders>
              <w:top w:val="nil"/>
              <w:left w:val="nil"/>
              <w:bottom w:val="nil"/>
              <w:right w:val="nil"/>
            </w:tcBorders>
          </w:tcPr>
          <w:p w14:paraId="751488E2" w14:textId="77777777" w:rsidR="00514F93" w:rsidRPr="00806476" w:rsidRDefault="00514F93" w:rsidP="008E38F7">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New formal sector jobs created for the poor</w:t>
            </w:r>
            <w:r w:rsidRPr="00880004">
              <w:rPr>
                <w:rFonts w:asciiTheme="minorHAnsi" w:eastAsia="Times New Roman" w:hAnsiTheme="minorHAnsi"/>
                <w:iCs/>
                <w:szCs w:val="17"/>
                <w:lang w:eastAsia="en-US"/>
              </w:rPr>
              <w:t xml:space="preserve"> </w:t>
            </w:r>
          </w:p>
        </w:tc>
        <w:tc>
          <w:tcPr>
            <w:tcW w:w="1345" w:type="pct"/>
            <w:tcBorders>
              <w:top w:val="nil"/>
              <w:left w:val="nil"/>
              <w:bottom w:val="nil"/>
              <w:right w:val="nil"/>
            </w:tcBorders>
            <w:hideMark/>
          </w:tcPr>
          <w:p w14:paraId="2FD433B9" w14:textId="77777777" w:rsidR="00514F93" w:rsidRPr="00806476" w:rsidRDefault="00514F93" w:rsidP="008E38F7">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350</w:t>
            </w:r>
          </w:p>
        </w:tc>
      </w:tr>
      <w:tr w:rsidR="00514F93" w14:paraId="5FA32DB8" w14:textId="77777777" w:rsidTr="00514F93">
        <w:trPr>
          <w:trHeight w:val="614"/>
        </w:trPr>
        <w:tc>
          <w:tcPr>
            <w:tcW w:w="720" w:type="pct"/>
            <w:tcBorders>
              <w:top w:val="nil"/>
              <w:left w:val="nil"/>
              <w:bottom w:val="nil"/>
              <w:right w:val="nil"/>
            </w:tcBorders>
          </w:tcPr>
          <w:p w14:paraId="4165A11A" w14:textId="77777777" w:rsidR="00514F93" w:rsidRPr="00806476" w:rsidRDefault="00514F93" w:rsidP="008E38F7">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Increased private sector development </w:t>
            </w:r>
            <w:r w:rsidRPr="00880004">
              <w:rPr>
                <w:rFonts w:asciiTheme="minorHAnsi" w:eastAsia="Times New Roman" w:hAnsiTheme="minorHAnsi"/>
                <w:iCs/>
                <w:szCs w:val="17"/>
                <w:lang w:eastAsia="en-US"/>
              </w:rPr>
              <w:t xml:space="preserve"> </w:t>
            </w:r>
          </w:p>
        </w:tc>
        <w:tc>
          <w:tcPr>
            <w:tcW w:w="2935" w:type="pct"/>
            <w:gridSpan w:val="3"/>
            <w:tcBorders>
              <w:top w:val="nil"/>
              <w:left w:val="nil"/>
              <w:bottom w:val="nil"/>
              <w:right w:val="nil"/>
            </w:tcBorders>
          </w:tcPr>
          <w:p w14:paraId="72E242E0" w14:textId="77777777" w:rsidR="00514F93" w:rsidRPr="00806476" w:rsidRDefault="00514F93" w:rsidP="008E38F7">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Aid budget allocated to aid-for-trade initiatives</w:t>
            </w:r>
            <w:r w:rsidRPr="00880004">
              <w:rPr>
                <w:rFonts w:asciiTheme="minorHAnsi" w:eastAsia="Times New Roman" w:hAnsiTheme="minorHAnsi"/>
                <w:iCs/>
                <w:szCs w:val="17"/>
                <w:lang w:eastAsia="en-US"/>
              </w:rPr>
              <w:t xml:space="preserve"> </w:t>
            </w:r>
          </w:p>
        </w:tc>
        <w:tc>
          <w:tcPr>
            <w:tcW w:w="1345" w:type="pct"/>
            <w:tcBorders>
              <w:top w:val="nil"/>
              <w:left w:val="nil"/>
              <w:bottom w:val="nil"/>
              <w:right w:val="nil"/>
            </w:tcBorders>
          </w:tcPr>
          <w:p w14:paraId="6D2C82CF" w14:textId="77777777" w:rsidR="00514F93" w:rsidRPr="00806476" w:rsidRDefault="00514F93" w:rsidP="008E38F7">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20 percent</w:t>
            </w:r>
          </w:p>
        </w:tc>
      </w:tr>
      <w:tr w:rsidR="00514F93" w14:paraId="128347E9" w14:textId="77777777" w:rsidTr="00514F93">
        <w:trPr>
          <w:trHeight w:val="614"/>
        </w:trPr>
        <w:tc>
          <w:tcPr>
            <w:tcW w:w="720" w:type="pct"/>
            <w:tcBorders>
              <w:top w:val="nil"/>
              <w:left w:val="nil"/>
              <w:bottom w:val="nil"/>
              <w:right w:val="nil"/>
            </w:tcBorders>
          </w:tcPr>
          <w:p w14:paraId="121DC2B0" w14:textId="77777777" w:rsidR="00514F93" w:rsidRPr="00E23B65" w:rsidRDefault="00514F93" w:rsidP="008E38F7">
            <w:pPr>
              <w:pStyle w:val="NormalIndented"/>
              <w:rPr>
                <w:rFonts w:asciiTheme="minorHAnsi" w:eastAsia="Times New Roman" w:hAnsiTheme="minorHAnsi"/>
                <w:iCs/>
                <w:szCs w:val="17"/>
                <w:lang w:eastAsia="en-US"/>
              </w:rPr>
            </w:pPr>
            <w:r w:rsidRPr="00806476">
              <w:rPr>
                <w:rFonts w:asciiTheme="minorHAnsi" w:eastAsia="Times New Roman" w:hAnsiTheme="minorHAnsi"/>
                <w:iCs/>
                <w:szCs w:val="17"/>
                <w:lang w:eastAsia="en-US"/>
              </w:rPr>
              <w:t>Improved human development</w:t>
            </w:r>
          </w:p>
        </w:tc>
        <w:tc>
          <w:tcPr>
            <w:tcW w:w="2935" w:type="pct"/>
            <w:gridSpan w:val="3"/>
            <w:tcBorders>
              <w:top w:val="nil"/>
              <w:left w:val="nil"/>
              <w:bottom w:val="nil"/>
              <w:right w:val="nil"/>
            </w:tcBorders>
          </w:tcPr>
          <w:p w14:paraId="1AC2A16C" w14:textId="77777777" w:rsidR="00514F93" w:rsidRPr="00E23B65" w:rsidRDefault="00514F93">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Reduction in the percentage of students in the Access to Quality Education program targeted schools achieving in the national bottom quartiles in literacy and numeracy</w:t>
            </w:r>
          </w:p>
        </w:tc>
        <w:tc>
          <w:tcPr>
            <w:tcW w:w="1345" w:type="pct"/>
            <w:tcBorders>
              <w:top w:val="nil"/>
              <w:left w:val="nil"/>
              <w:bottom w:val="nil"/>
              <w:right w:val="nil"/>
            </w:tcBorders>
          </w:tcPr>
          <w:p w14:paraId="37B76AA7" w14:textId="77777777" w:rsidR="00514F93" w:rsidRPr="00806476" w:rsidRDefault="00514F93" w:rsidP="008E38F7">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No more than 25 percent in bottom quartile</w:t>
            </w:r>
          </w:p>
        </w:tc>
      </w:tr>
      <w:tr w:rsidR="00514F93" w14:paraId="2A6F60EA" w14:textId="77777777" w:rsidTr="00514F93">
        <w:trPr>
          <w:trHeight w:val="614"/>
        </w:trPr>
        <w:tc>
          <w:tcPr>
            <w:tcW w:w="720" w:type="pct"/>
            <w:tcBorders>
              <w:top w:val="nil"/>
              <w:left w:val="nil"/>
              <w:bottom w:val="nil"/>
              <w:right w:val="nil"/>
            </w:tcBorders>
          </w:tcPr>
          <w:p w14:paraId="516A74CF" w14:textId="77777777" w:rsidR="00514F93" w:rsidRPr="00E23B65" w:rsidRDefault="00514F93" w:rsidP="008E38F7">
            <w:pPr>
              <w:pStyle w:val="NormalIndented"/>
              <w:rPr>
                <w:rFonts w:asciiTheme="minorHAnsi" w:eastAsia="Times New Roman" w:hAnsiTheme="minorHAnsi"/>
                <w:iCs/>
                <w:szCs w:val="17"/>
                <w:lang w:eastAsia="en-US"/>
              </w:rPr>
            </w:pPr>
            <w:r w:rsidRPr="004916B8">
              <w:rPr>
                <w:rFonts w:asciiTheme="minorHAnsi" w:eastAsia="Times New Roman" w:hAnsiTheme="minorHAnsi"/>
                <w:iCs/>
                <w:szCs w:val="17"/>
                <w:lang w:eastAsia="en-US"/>
              </w:rPr>
              <w:t>Improved human development</w:t>
            </w:r>
          </w:p>
        </w:tc>
        <w:tc>
          <w:tcPr>
            <w:tcW w:w="2935" w:type="pct"/>
            <w:gridSpan w:val="3"/>
            <w:tcBorders>
              <w:top w:val="nil"/>
              <w:left w:val="nil"/>
              <w:bottom w:val="nil"/>
              <w:right w:val="nil"/>
            </w:tcBorders>
          </w:tcPr>
          <w:p w14:paraId="7C1007C1" w14:textId="77777777" w:rsidR="00514F93" w:rsidRPr="00E23B65" w:rsidRDefault="00514F93" w:rsidP="008E38F7">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80% of investments, regardless of their objectives, will effectively address gender issues in their implementation</w:t>
            </w:r>
          </w:p>
        </w:tc>
        <w:tc>
          <w:tcPr>
            <w:tcW w:w="1345" w:type="pct"/>
            <w:tcBorders>
              <w:top w:val="nil"/>
              <w:left w:val="nil"/>
              <w:bottom w:val="nil"/>
              <w:right w:val="nil"/>
            </w:tcBorders>
          </w:tcPr>
          <w:p w14:paraId="0E068029" w14:textId="77777777" w:rsidR="00514F93" w:rsidRPr="00806476" w:rsidRDefault="00514F93" w:rsidP="008E38F7">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80 percent</w:t>
            </w:r>
          </w:p>
        </w:tc>
      </w:tr>
      <w:tr w:rsidR="00514F93" w14:paraId="28C99553" w14:textId="77777777" w:rsidTr="00514F93">
        <w:trPr>
          <w:trHeight w:val="614"/>
        </w:trPr>
        <w:tc>
          <w:tcPr>
            <w:tcW w:w="720" w:type="pct"/>
            <w:tcBorders>
              <w:top w:val="nil"/>
              <w:left w:val="nil"/>
              <w:bottom w:val="nil"/>
              <w:right w:val="nil"/>
            </w:tcBorders>
          </w:tcPr>
          <w:p w14:paraId="0DE5B772" w14:textId="77777777" w:rsidR="00514F93" w:rsidRPr="00E23B65" w:rsidRDefault="00514F93" w:rsidP="00A56720">
            <w:pPr>
              <w:pStyle w:val="NormalIndented"/>
              <w:rPr>
                <w:rFonts w:asciiTheme="minorHAnsi" w:eastAsia="Times New Roman" w:hAnsiTheme="minorHAnsi"/>
                <w:iCs/>
                <w:szCs w:val="17"/>
                <w:lang w:eastAsia="en-US"/>
              </w:rPr>
            </w:pPr>
            <w:r w:rsidRPr="004916B8">
              <w:rPr>
                <w:rFonts w:asciiTheme="minorHAnsi" w:eastAsia="Times New Roman" w:hAnsiTheme="minorHAnsi"/>
                <w:iCs/>
                <w:szCs w:val="17"/>
                <w:lang w:eastAsia="en-US"/>
              </w:rPr>
              <w:t>Improved human development</w:t>
            </w:r>
          </w:p>
        </w:tc>
        <w:tc>
          <w:tcPr>
            <w:tcW w:w="2935" w:type="pct"/>
            <w:gridSpan w:val="3"/>
            <w:tcBorders>
              <w:top w:val="nil"/>
              <w:left w:val="nil"/>
              <w:bottom w:val="nil"/>
              <w:right w:val="nil"/>
            </w:tcBorders>
          </w:tcPr>
          <w:p w14:paraId="40BB3A00" w14:textId="77777777" w:rsidR="00514F93" w:rsidRPr="00E23B65" w:rsidRDefault="00514F93">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80% of investments, regardless of their objectives, will actively involves people with disabilities and/or Disabled People’s Organisations in planning, implementation and monitoring and evaluation</w:t>
            </w:r>
          </w:p>
        </w:tc>
        <w:tc>
          <w:tcPr>
            <w:tcW w:w="1345" w:type="pct"/>
            <w:tcBorders>
              <w:top w:val="nil"/>
              <w:left w:val="nil"/>
              <w:bottom w:val="nil"/>
              <w:right w:val="nil"/>
            </w:tcBorders>
          </w:tcPr>
          <w:p w14:paraId="69ACE492" w14:textId="77777777" w:rsidR="00514F93" w:rsidRPr="00806476" w:rsidRDefault="00514F93" w:rsidP="00A56720">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80 percent</w:t>
            </w:r>
          </w:p>
        </w:tc>
      </w:tr>
      <w:tr w:rsidR="00514F93" w14:paraId="2406D520" w14:textId="77777777" w:rsidTr="00514F93">
        <w:trPr>
          <w:trHeight w:val="614"/>
        </w:trPr>
        <w:tc>
          <w:tcPr>
            <w:tcW w:w="720" w:type="pct"/>
            <w:tcBorders>
              <w:top w:val="nil"/>
              <w:left w:val="nil"/>
              <w:bottom w:val="nil"/>
              <w:right w:val="nil"/>
            </w:tcBorders>
          </w:tcPr>
          <w:p w14:paraId="58725449" w14:textId="77777777" w:rsidR="00514F93" w:rsidRPr="00806476" w:rsidRDefault="00514F93" w:rsidP="00A56720">
            <w:pPr>
              <w:pStyle w:val="NormalIndented"/>
              <w:rPr>
                <w:rFonts w:asciiTheme="minorHAnsi" w:eastAsia="Times New Roman" w:hAnsiTheme="minorHAnsi"/>
                <w:iCs/>
                <w:szCs w:val="17"/>
                <w:lang w:eastAsia="en-US"/>
              </w:rPr>
            </w:pPr>
            <w:r w:rsidRPr="004916B8">
              <w:rPr>
                <w:rFonts w:asciiTheme="minorHAnsi" w:eastAsia="Times New Roman" w:hAnsiTheme="minorHAnsi"/>
                <w:iCs/>
                <w:szCs w:val="17"/>
                <w:lang w:eastAsia="en-US"/>
              </w:rPr>
              <w:t>Improved human development</w:t>
            </w:r>
          </w:p>
        </w:tc>
        <w:tc>
          <w:tcPr>
            <w:tcW w:w="2935" w:type="pct"/>
            <w:gridSpan w:val="3"/>
            <w:tcBorders>
              <w:top w:val="nil"/>
              <w:left w:val="nil"/>
              <w:bottom w:val="nil"/>
              <w:right w:val="nil"/>
            </w:tcBorders>
          </w:tcPr>
          <w:p w14:paraId="35186B22" w14:textId="77777777" w:rsidR="00514F93" w:rsidRPr="00806476" w:rsidRDefault="00514F93">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80% of investments, regardless of their objectives, will identify and address barriers to inclusion for people with disabilities to enable them to benefit equally from the aid investment</w:t>
            </w:r>
          </w:p>
        </w:tc>
        <w:tc>
          <w:tcPr>
            <w:tcW w:w="1345" w:type="pct"/>
            <w:tcBorders>
              <w:top w:val="nil"/>
              <w:left w:val="nil"/>
              <w:bottom w:val="nil"/>
              <w:right w:val="nil"/>
            </w:tcBorders>
          </w:tcPr>
          <w:p w14:paraId="04D2BF70" w14:textId="77777777" w:rsidR="00514F93" w:rsidRPr="00806476" w:rsidRDefault="00514F93" w:rsidP="00A56720">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80 percent</w:t>
            </w:r>
          </w:p>
        </w:tc>
      </w:tr>
      <w:tr w:rsidR="00514F93" w14:paraId="3FC9AA8B" w14:textId="77777777" w:rsidTr="00514F93">
        <w:trPr>
          <w:trHeight w:val="614"/>
        </w:trPr>
        <w:tc>
          <w:tcPr>
            <w:tcW w:w="720" w:type="pct"/>
            <w:tcBorders>
              <w:top w:val="nil"/>
              <w:left w:val="nil"/>
              <w:bottom w:val="nil"/>
              <w:right w:val="nil"/>
            </w:tcBorders>
          </w:tcPr>
          <w:p w14:paraId="352AF143" w14:textId="77777777" w:rsidR="00514F93" w:rsidRPr="00E23B65" w:rsidRDefault="00514F93" w:rsidP="00A56720">
            <w:pPr>
              <w:pStyle w:val="NormalIndented"/>
              <w:rPr>
                <w:rFonts w:asciiTheme="minorHAnsi" w:eastAsia="Times New Roman" w:hAnsiTheme="minorHAnsi"/>
                <w:iCs/>
                <w:szCs w:val="17"/>
                <w:lang w:eastAsia="en-US"/>
              </w:rPr>
            </w:pPr>
            <w:r w:rsidRPr="00806476">
              <w:rPr>
                <w:rFonts w:asciiTheme="minorHAnsi" w:eastAsia="Times New Roman" w:hAnsiTheme="minorHAnsi"/>
                <w:iCs/>
                <w:szCs w:val="17"/>
                <w:lang w:eastAsia="en-US"/>
              </w:rPr>
              <w:t>Improved human development</w:t>
            </w:r>
          </w:p>
        </w:tc>
        <w:tc>
          <w:tcPr>
            <w:tcW w:w="2935" w:type="pct"/>
            <w:gridSpan w:val="3"/>
            <w:tcBorders>
              <w:top w:val="nil"/>
              <w:left w:val="nil"/>
              <w:bottom w:val="nil"/>
              <w:right w:val="nil"/>
            </w:tcBorders>
          </w:tcPr>
          <w:p w14:paraId="4B765980" w14:textId="77777777" w:rsidR="00514F93" w:rsidRPr="00E23B65" w:rsidRDefault="00514F93" w:rsidP="00A56720">
            <w:pPr>
              <w:pStyle w:val="NormalIndented"/>
              <w:rPr>
                <w:rFonts w:asciiTheme="minorHAnsi" w:eastAsia="Times New Roman" w:hAnsiTheme="minorHAnsi"/>
                <w:iCs/>
                <w:szCs w:val="17"/>
                <w:lang w:eastAsia="en-US"/>
              </w:rPr>
            </w:pPr>
            <w:r w:rsidRPr="00806476">
              <w:rPr>
                <w:rFonts w:asciiTheme="minorHAnsi" w:eastAsia="Times New Roman" w:hAnsiTheme="minorHAnsi"/>
                <w:iCs/>
                <w:szCs w:val="17"/>
                <w:lang w:eastAsia="en-US"/>
              </w:rPr>
              <w:t>Climate risks and resilience are assessed and taken into account in all new Australian aid investments and activities in Fiji – including design; implementation arrangements; monitoring, evaluation and reporting frameworks; and risk management</w:t>
            </w:r>
          </w:p>
        </w:tc>
        <w:tc>
          <w:tcPr>
            <w:tcW w:w="1345" w:type="pct"/>
            <w:tcBorders>
              <w:top w:val="nil"/>
              <w:left w:val="nil"/>
              <w:bottom w:val="nil"/>
              <w:right w:val="nil"/>
            </w:tcBorders>
          </w:tcPr>
          <w:p w14:paraId="16546C41" w14:textId="77777777" w:rsidR="00514F93" w:rsidRPr="00806476" w:rsidRDefault="00514F93" w:rsidP="00A56720">
            <w:pPr>
              <w:pStyle w:val="NormalIndented"/>
              <w:ind w:left="33"/>
              <w:jc w:val="center"/>
              <w:rPr>
                <w:rFonts w:asciiTheme="minorHAnsi" w:eastAsia="Times New Roman" w:hAnsiTheme="minorHAnsi"/>
                <w:iCs/>
                <w:szCs w:val="17"/>
                <w:lang w:eastAsia="en-US"/>
              </w:rPr>
            </w:pPr>
            <w:r w:rsidRPr="00806476">
              <w:rPr>
                <w:rFonts w:asciiTheme="minorHAnsi" w:eastAsia="Times New Roman" w:hAnsiTheme="minorHAnsi"/>
                <w:iCs/>
                <w:szCs w:val="17"/>
                <w:lang w:eastAsia="en-US"/>
              </w:rPr>
              <w:t>All new activities assess climate risks and resilience</w:t>
            </w:r>
          </w:p>
        </w:tc>
      </w:tr>
      <w:tr w:rsidR="00514F93" w14:paraId="4DA244EE" w14:textId="77777777" w:rsidTr="00514F93">
        <w:trPr>
          <w:trHeight w:val="614"/>
        </w:trPr>
        <w:tc>
          <w:tcPr>
            <w:tcW w:w="720" w:type="pct"/>
            <w:tcBorders>
              <w:top w:val="nil"/>
              <w:left w:val="nil"/>
              <w:bottom w:val="nil"/>
              <w:right w:val="nil"/>
            </w:tcBorders>
          </w:tcPr>
          <w:p w14:paraId="36A0616D" w14:textId="77777777" w:rsidR="00514F93" w:rsidRPr="00806476" w:rsidRDefault="00514F93" w:rsidP="00A56720">
            <w:pPr>
              <w:pStyle w:val="NormalIndented"/>
              <w:rPr>
                <w:rFonts w:asciiTheme="minorHAnsi" w:eastAsia="Times New Roman" w:hAnsiTheme="minorHAnsi"/>
                <w:iCs/>
                <w:szCs w:val="17"/>
                <w:lang w:eastAsia="en-US"/>
              </w:rPr>
            </w:pPr>
            <w:r w:rsidRPr="004916B8">
              <w:rPr>
                <w:rFonts w:asciiTheme="minorHAnsi" w:eastAsia="Times New Roman" w:hAnsiTheme="minorHAnsi"/>
                <w:iCs/>
                <w:szCs w:val="17"/>
                <w:lang w:eastAsia="en-US"/>
              </w:rPr>
              <w:t>Improved human development</w:t>
            </w:r>
          </w:p>
        </w:tc>
        <w:tc>
          <w:tcPr>
            <w:tcW w:w="2935" w:type="pct"/>
            <w:gridSpan w:val="3"/>
            <w:tcBorders>
              <w:top w:val="nil"/>
              <w:left w:val="nil"/>
              <w:bottom w:val="nil"/>
              <w:right w:val="nil"/>
            </w:tcBorders>
          </w:tcPr>
          <w:p w14:paraId="41C65EA6" w14:textId="1FB6A2C4" w:rsidR="00514F93" w:rsidRPr="00806476" w:rsidRDefault="00514F93" w:rsidP="00A56720">
            <w:pPr>
              <w:pStyle w:val="NormalIndented"/>
              <w:rPr>
                <w:rFonts w:asciiTheme="minorHAnsi" w:eastAsia="Times New Roman" w:hAnsiTheme="minorHAnsi"/>
                <w:iCs/>
                <w:szCs w:val="17"/>
                <w:lang w:eastAsia="en-US"/>
              </w:rPr>
            </w:pPr>
            <w:r w:rsidRPr="00806476">
              <w:rPr>
                <w:rFonts w:asciiTheme="minorHAnsi" w:eastAsia="Times New Roman" w:hAnsiTheme="minorHAnsi"/>
                <w:iCs/>
                <w:szCs w:val="17"/>
                <w:lang w:eastAsia="en-US"/>
              </w:rPr>
              <w:t>Increased number of births at f</w:t>
            </w:r>
            <w:r w:rsidR="00406FB3">
              <w:rPr>
                <w:rFonts w:asciiTheme="minorHAnsi" w:eastAsia="Times New Roman" w:hAnsiTheme="minorHAnsi"/>
                <w:iCs/>
                <w:szCs w:val="17"/>
                <w:lang w:eastAsia="en-US"/>
              </w:rPr>
              <w:t>our</w:t>
            </w:r>
            <w:r w:rsidRPr="00806476">
              <w:rPr>
                <w:rFonts w:asciiTheme="minorHAnsi" w:eastAsia="Times New Roman" w:hAnsiTheme="minorHAnsi"/>
                <w:iCs/>
                <w:szCs w:val="17"/>
                <w:lang w:eastAsia="en-US"/>
              </w:rPr>
              <w:t xml:space="preserve"> sub-divisional hospitals by skilled attendants.</w:t>
            </w:r>
          </w:p>
        </w:tc>
        <w:tc>
          <w:tcPr>
            <w:tcW w:w="1345" w:type="pct"/>
            <w:tcBorders>
              <w:top w:val="nil"/>
              <w:left w:val="nil"/>
              <w:bottom w:val="nil"/>
              <w:right w:val="nil"/>
            </w:tcBorders>
          </w:tcPr>
          <w:p w14:paraId="7229EE27" w14:textId="77777777" w:rsidR="00514F93" w:rsidRPr="00806476" w:rsidRDefault="00514F93" w:rsidP="00A56720">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Increase from baseline</w:t>
            </w:r>
          </w:p>
        </w:tc>
      </w:tr>
      <w:tr w:rsidR="00514F93" w14:paraId="72E0D2F7" w14:textId="77777777" w:rsidTr="00514F93">
        <w:trPr>
          <w:trHeight w:val="614"/>
        </w:trPr>
        <w:tc>
          <w:tcPr>
            <w:tcW w:w="720" w:type="pct"/>
            <w:tcBorders>
              <w:top w:val="nil"/>
              <w:left w:val="nil"/>
              <w:bottom w:val="nil"/>
              <w:right w:val="nil"/>
            </w:tcBorders>
          </w:tcPr>
          <w:p w14:paraId="653B348D" w14:textId="77777777" w:rsidR="00514F93" w:rsidRPr="00A56720" w:rsidRDefault="00514F93" w:rsidP="00A56720">
            <w:pPr>
              <w:pStyle w:val="NormalIndented"/>
              <w:rPr>
                <w:rFonts w:eastAsia="Times New Roman"/>
                <w:iCs/>
                <w:szCs w:val="17"/>
              </w:rPr>
            </w:pPr>
          </w:p>
        </w:tc>
        <w:tc>
          <w:tcPr>
            <w:tcW w:w="2935" w:type="pct"/>
            <w:gridSpan w:val="3"/>
            <w:tcBorders>
              <w:top w:val="nil"/>
              <w:left w:val="nil"/>
              <w:bottom w:val="nil"/>
              <w:right w:val="nil"/>
            </w:tcBorders>
          </w:tcPr>
          <w:p w14:paraId="2B5BFA1D" w14:textId="77777777" w:rsidR="00514F93" w:rsidRPr="00A56720" w:rsidRDefault="00514F93" w:rsidP="00A56720">
            <w:pPr>
              <w:pStyle w:val="NormalIndented"/>
              <w:rPr>
                <w:rFonts w:eastAsia="Times New Roman"/>
                <w:iCs/>
                <w:szCs w:val="17"/>
              </w:rPr>
            </w:pPr>
          </w:p>
        </w:tc>
        <w:tc>
          <w:tcPr>
            <w:tcW w:w="1345" w:type="pct"/>
            <w:tcBorders>
              <w:top w:val="nil"/>
              <w:left w:val="nil"/>
              <w:bottom w:val="nil"/>
              <w:right w:val="nil"/>
            </w:tcBorders>
          </w:tcPr>
          <w:p w14:paraId="0296EBCD" w14:textId="77777777" w:rsidR="00514F93" w:rsidRPr="00A56720" w:rsidRDefault="00514F93" w:rsidP="00A56720">
            <w:pPr>
              <w:pStyle w:val="NormalIndented"/>
              <w:ind w:left="33"/>
              <w:jc w:val="center"/>
              <w:rPr>
                <w:color w:val="808080" w:themeColor="background1" w:themeShade="80"/>
                <w:szCs w:val="20"/>
              </w:rPr>
            </w:pPr>
          </w:p>
        </w:tc>
      </w:tr>
      <w:tr w:rsidR="00514F93" w14:paraId="7F0CC4FF" w14:textId="77777777" w:rsidTr="00514F93">
        <w:trPr>
          <w:gridAfter w:val="2"/>
          <w:wAfter w:w="2211" w:type="pct"/>
          <w:trHeight w:val="614"/>
        </w:trPr>
        <w:tc>
          <w:tcPr>
            <w:tcW w:w="720" w:type="pct"/>
            <w:tcBorders>
              <w:top w:val="nil"/>
              <w:left w:val="nil"/>
              <w:bottom w:val="nil"/>
              <w:right w:val="nil"/>
            </w:tcBorders>
          </w:tcPr>
          <w:p w14:paraId="360A301D" w14:textId="77777777" w:rsidR="00514F93" w:rsidRPr="00A56720" w:rsidRDefault="00514F93" w:rsidP="00A56720">
            <w:pPr>
              <w:pStyle w:val="NormalIndented"/>
              <w:rPr>
                <w:rFonts w:eastAsia="Times New Roman"/>
                <w:iCs/>
                <w:szCs w:val="17"/>
              </w:rPr>
            </w:pPr>
          </w:p>
        </w:tc>
        <w:tc>
          <w:tcPr>
            <w:tcW w:w="1352" w:type="pct"/>
            <w:tcBorders>
              <w:top w:val="nil"/>
              <w:left w:val="nil"/>
              <w:bottom w:val="nil"/>
              <w:right w:val="nil"/>
            </w:tcBorders>
          </w:tcPr>
          <w:p w14:paraId="3FE4A5F9" w14:textId="77777777" w:rsidR="00514F93" w:rsidRPr="00A56720" w:rsidRDefault="00514F93" w:rsidP="00A56720">
            <w:pPr>
              <w:pStyle w:val="NormalIndented"/>
              <w:rPr>
                <w:rFonts w:eastAsia="Times New Roman"/>
                <w:iCs/>
                <w:szCs w:val="17"/>
              </w:rPr>
            </w:pPr>
          </w:p>
        </w:tc>
        <w:tc>
          <w:tcPr>
            <w:tcW w:w="716" w:type="pct"/>
            <w:tcBorders>
              <w:top w:val="nil"/>
              <w:left w:val="nil"/>
              <w:bottom w:val="nil"/>
              <w:right w:val="nil"/>
            </w:tcBorders>
          </w:tcPr>
          <w:p w14:paraId="41C00857" w14:textId="77777777" w:rsidR="00514F93" w:rsidRPr="00A56720" w:rsidRDefault="00514F93" w:rsidP="00A56720">
            <w:pPr>
              <w:pStyle w:val="NormalIndented"/>
              <w:ind w:left="33"/>
              <w:jc w:val="center"/>
              <w:rPr>
                <w:color w:val="808080" w:themeColor="background1" w:themeShade="80"/>
                <w:szCs w:val="20"/>
              </w:rPr>
            </w:pPr>
          </w:p>
        </w:tc>
      </w:tr>
      <w:tr w:rsidR="00514F93" w14:paraId="1CD8EB0A" w14:textId="77777777" w:rsidTr="00514F93">
        <w:trPr>
          <w:gridAfter w:val="2"/>
          <w:wAfter w:w="2211" w:type="pct"/>
          <w:trHeight w:val="55"/>
        </w:trPr>
        <w:tc>
          <w:tcPr>
            <w:tcW w:w="720" w:type="pct"/>
            <w:tcBorders>
              <w:top w:val="nil"/>
              <w:left w:val="nil"/>
              <w:bottom w:val="nil"/>
              <w:right w:val="nil"/>
            </w:tcBorders>
          </w:tcPr>
          <w:p w14:paraId="27EE7136" w14:textId="77777777" w:rsidR="00514F93" w:rsidRPr="00A56720" w:rsidRDefault="00514F93" w:rsidP="00A56720">
            <w:pPr>
              <w:pStyle w:val="NormalIndented"/>
              <w:rPr>
                <w:rFonts w:eastAsia="Times New Roman"/>
                <w:iCs/>
                <w:szCs w:val="17"/>
              </w:rPr>
            </w:pPr>
          </w:p>
        </w:tc>
        <w:tc>
          <w:tcPr>
            <w:tcW w:w="1352" w:type="pct"/>
            <w:tcBorders>
              <w:top w:val="nil"/>
              <w:left w:val="nil"/>
              <w:bottom w:val="nil"/>
              <w:right w:val="nil"/>
            </w:tcBorders>
          </w:tcPr>
          <w:p w14:paraId="0179E0CA" w14:textId="77777777" w:rsidR="00514F93" w:rsidRPr="00A56720" w:rsidRDefault="00514F93" w:rsidP="00A56720">
            <w:pPr>
              <w:pStyle w:val="NormalIndented"/>
              <w:rPr>
                <w:rFonts w:eastAsia="Times New Roman"/>
                <w:iCs/>
                <w:szCs w:val="17"/>
              </w:rPr>
            </w:pPr>
          </w:p>
        </w:tc>
        <w:tc>
          <w:tcPr>
            <w:tcW w:w="716" w:type="pct"/>
            <w:tcBorders>
              <w:top w:val="nil"/>
              <w:left w:val="nil"/>
              <w:bottom w:val="nil"/>
              <w:right w:val="nil"/>
            </w:tcBorders>
          </w:tcPr>
          <w:p w14:paraId="3BB15364" w14:textId="77777777" w:rsidR="00514F93" w:rsidRPr="00A56720" w:rsidRDefault="00514F93" w:rsidP="00A56720">
            <w:pPr>
              <w:pStyle w:val="NormalIndented"/>
              <w:ind w:left="33"/>
              <w:jc w:val="center"/>
              <w:rPr>
                <w:color w:val="808080" w:themeColor="background1" w:themeShade="80"/>
                <w:szCs w:val="20"/>
              </w:rPr>
            </w:pPr>
          </w:p>
        </w:tc>
      </w:tr>
      <w:tr w:rsidR="00514F93" w14:paraId="72C7A387" w14:textId="77777777" w:rsidTr="00514F93">
        <w:trPr>
          <w:gridAfter w:val="2"/>
          <w:wAfter w:w="2211" w:type="pct"/>
          <w:trHeight w:val="55"/>
        </w:trPr>
        <w:tc>
          <w:tcPr>
            <w:tcW w:w="720" w:type="pct"/>
            <w:tcBorders>
              <w:top w:val="nil"/>
              <w:left w:val="nil"/>
              <w:bottom w:val="nil"/>
              <w:right w:val="nil"/>
            </w:tcBorders>
          </w:tcPr>
          <w:p w14:paraId="48BD970E" w14:textId="77777777" w:rsidR="00514F93" w:rsidRPr="00A56720" w:rsidRDefault="00514F93" w:rsidP="00A56720">
            <w:pPr>
              <w:pStyle w:val="NormalIndented"/>
              <w:rPr>
                <w:rFonts w:eastAsia="Times New Roman"/>
                <w:iCs/>
                <w:szCs w:val="17"/>
              </w:rPr>
            </w:pPr>
          </w:p>
        </w:tc>
        <w:tc>
          <w:tcPr>
            <w:tcW w:w="1352" w:type="pct"/>
            <w:tcBorders>
              <w:top w:val="nil"/>
              <w:left w:val="nil"/>
              <w:bottom w:val="nil"/>
              <w:right w:val="nil"/>
            </w:tcBorders>
          </w:tcPr>
          <w:p w14:paraId="2C58C54F" w14:textId="77777777" w:rsidR="00514F93" w:rsidRPr="00A56720" w:rsidRDefault="00514F93" w:rsidP="00A56720">
            <w:pPr>
              <w:pStyle w:val="NormalIndented"/>
              <w:rPr>
                <w:rFonts w:eastAsia="Times New Roman"/>
                <w:iCs/>
                <w:szCs w:val="17"/>
              </w:rPr>
            </w:pPr>
          </w:p>
        </w:tc>
        <w:tc>
          <w:tcPr>
            <w:tcW w:w="716" w:type="pct"/>
            <w:tcBorders>
              <w:top w:val="nil"/>
              <w:left w:val="nil"/>
              <w:bottom w:val="nil"/>
              <w:right w:val="nil"/>
            </w:tcBorders>
          </w:tcPr>
          <w:p w14:paraId="64963DA4" w14:textId="77777777" w:rsidR="00514F93" w:rsidRPr="00A56720" w:rsidRDefault="00514F93" w:rsidP="00A56720">
            <w:pPr>
              <w:pStyle w:val="NormalIndented"/>
              <w:ind w:left="33"/>
              <w:jc w:val="center"/>
              <w:rPr>
                <w:color w:val="808080" w:themeColor="background1" w:themeShade="80"/>
                <w:szCs w:val="20"/>
              </w:rPr>
            </w:pPr>
          </w:p>
        </w:tc>
      </w:tr>
    </w:tbl>
    <w:p w14:paraId="6FD961E9" w14:textId="77777777" w:rsidR="001D49F0" w:rsidRPr="00784031" w:rsidRDefault="001D49F0" w:rsidP="001D49F0">
      <w:pPr>
        <w:pStyle w:val="Subtitle"/>
        <w:numPr>
          <w:ilvl w:val="0"/>
          <w:numId w:val="0"/>
        </w:numPr>
      </w:pPr>
      <w:r w:rsidRPr="00784031">
        <w:lastRenderedPageBreak/>
        <w:t>Annex C - Evaluation Planning</w:t>
      </w:r>
    </w:p>
    <w:p w14:paraId="018E08D5" w14:textId="77777777" w:rsidR="00514F93" w:rsidRDefault="00514F93" w:rsidP="001D49F0">
      <w:pPr>
        <w:rPr>
          <w:b/>
          <w:sz w:val="24"/>
        </w:rPr>
      </w:pPr>
    </w:p>
    <w:p w14:paraId="40F5771F" w14:textId="77777777" w:rsidR="001D49F0" w:rsidRPr="008C2F58" w:rsidRDefault="001D49F0" w:rsidP="001D49F0">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093"/>
        <w:gridCol w:w="3144"/>
        <w:gridCol w:w="2942"/>
        <w:gridCol w:w="1974"/>
        <w:gridCol w:w="1693"/>
        <w:gridCol w:w="1607"/>
      </w:tblGrid>
      <w:tr w:rsidR="001D49F0" w:rsidRPr="00C61187" w14:paraId="6C92B23E"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23E7AC64" w14:textId="77777777" w:rsidR="001D49F0" w:rsidRPr="008645D9" w:rsidRDefault="001D49F0" w:rsidP="008E38F7">
            <w:pPr>
              <w:keepLines/>
              <w:spacing w:line="200" w:lineRule="atLeast"/>
              <w:rPr>
                <w:rFonts w:asciiTheme="minorHAnsi" w:eastAsia="Times New Roman" w:hAnsiTheme="minorHAnsi"/>
                <w:iCs/>
                <w:szCs w:val="17"/>
                <w:lang w:eastAsia="en-US"/>
              </w:rPr>
            </w:pPr>
            <w:r w:rsidRPr="008645D9">
              <w:rPr>
                <w:rFonts w:asciiTheme="minorHAnsi" w:eastAsia="Times New Roman" w:hAnsiTheme="minorHAnsi"/>
                <w:iCs/>
                <w:szCs w:val="17"/>
                <w:lang w:eastAsia="en-US"/>
              </w:rPr>
              <w:t xml:space="preserve">Investment number and name </w:t>
            </w:r>
          </w:p>
          <w:p w14:paraId="09CD4C40" w14:textId="77777777" w:rsidR="001D49F0" w:rsidRPr="008645D9" w:rsidRDefault="001D49F0" w:rsidP="008E38F7">
            <w:pPr>
              <w:keepLines/>
              <w:spacing w:line="200" w:lineRule="atLeast"/>
              <w:rPr>
                <w:rFonts w:asciiTheme="minorHAnsi" w:eastAsia="Times New Roman" w:hAnsiTheme="minorHAnsi"/>
                <w:b w:val="0"/>
                <w:iCs/>
                <w:szCs w:val="17"/>
                <w:lang w:eastAsia="en-US"/>
              </w:rPr>
            </w:pPr>
            <w:r w:rsidRPr="008645D9">
              <w:rPr>
                <w:rFonts w:asciiTheme="minorHAnsi" w:eastAsia="Times New Roman" w:hAnsiTheme="minorHAnsi"/>
                <w:iCs/>
                <w:szCs w:val="17"/>
                <w:lang w:eastAsia="en-US"/>
              </w:rPr>
              <w:t xml:space="preserve">(if applicable) </w:t>
            </w:r>
          </w:p>
        </w:tc>
        <w:tc>
          <w:tcPr>
            <w:tcW w:w="3116" w:type="dxa"/>
          </w:tcPr>
          <w:p w14:paraId="23F2F783" w14:textId="77777777" w:rsidR="001D49F0" w:rsidRPr="008645D9" w:rsidRDefault="001D49F0" w:rsidP="008E38F7">
            <w:pPr>
              <w:keepLines/>
              <w:spacing w:line="200" w:lineRule="atLeast"/>
              <w:rPr>
                <w:rFonts w:asciiTheme="minorHAnsi" w:eastAsia="Times New Roman" w:hAnsiTheme="minorHAnsi"/>
                <w:iCs/>
                <w:szCs w:val="17"/>
                <w:lang w:eastAsia="en-US"/>
              </w:rPr>
            </w:pPr>
            <w:r w:rsidRPr="008645D9">
              <w:rPr>
                <w:rFonts w:asciiTheme="minorHAnsi" w:eastAsia="Times New Roman" w:hAnsiTheme="minorHAnsi"/>
                <w:iCs/>
                <w:szCs w:val="17"/>
                <w:lang w:eastAsia="en-US"/>
              </w:rPr>
              <w:t>Name of evaluation</w:t>
            </w:r>
          </w:p>
        </w:tc>
        <w:tc>
          <w:tcPr>
            <w:tcW w:w="2914" w:type="dxa"/>
          </w:tcPr>
          <w:p w14:paraId="3B0E2246" w14:textId="77777777" w:rsidR="001D49F0" w:rsidRPr="008645D9" w:rsidRDefault="001D49F0" w:rsidP="008E38F7">
            <w:pPr>
              <w:keepLines/>
              <w:spacing w:line="200" w:lineRule="atLeast"/>
              <w:rPr>
                <w:rFonts w:asciiTheme="minorHAnsi" w:eastAsia="Times New Roman" w:hAnsiTheme="minorHAnsi"/>
                <w:iCs/>
                <w:szCs w:val="17"/>
                <w:lang w:eastAsia="en-US"/>
              </w:rPr>
            </w:pPr>
            <w:r w:rsidRPr="008645D9">
              <w:rPr>
                <w:rFonts w:asciiTheme="minorHAnsi" w:eastAsia="Times New Roman" w:hAnsiTheme="minorHAnsi"/>
                <w:iCs/>
                <w:szCs w:val="17"/>
                <w:lang w:eastAsia="en-US"/>
              </w:rPr>
              <w:t>Date completed</w:t>
            </w:r>
          </w:p>
        </w:tc>
        <w:tc>
          <w:tcPr>
            <w:tcW w:w="1946" w:type="dxa"/>
          </w:tcPr>
          <w:p w14:paraId="2845AE6C" w14:textId="77777777" w:rsidR="001D49F0" w:rsidRPr="008645D9" w:rsidRDefault="001D49F0" w:rsidP="008E38F7">
            <w:pPr>
              <w:keepLines/>
              <w:spacing w:line="200" w:lineRule="atLeast"/>
              <w:rPr>
                <w:rFonts w:asciiTheme="minorHAnsi" w:eastAsia="Times New Roman" w:hAnsiTheme="minorHAnsi"/>
                <w:iCs/>
                <w:szCs w:val="17"/>
                <w:lang w:eastAsia="en-US"/>
              </w:rPr>
            </w:pPr>
            <w:r w:rsidRPr="008645D9">
              <w:rPr>
                <w:rFonts w:asciiTheme="minorHAnsi" w:eastAsia="Times New Roman" w:hAnsiTheme="minorHAnsi"/>
                <w:iCs/>
                <w:szCs w:val="17"/>
                <w:lang w:eastAsia="en-US"/>
              </w:rPr>
              <w:t>Date Evaluation report Uploaded into AidWorks</w:t>
            </w:r>
          </w:p>
        </w:tc>
        <w:tc>
          <w:tcPr>
            <w:tcW w:w="1665" w:type="dxa"/>
          </w:tcPr>
          <w:p w14:paraId="14413AA8" w14:textId="77777777" w:rsidR="001D49F0" w:rsidRPr="008645D9" w:rsidRDefault="001D49F0" w:rsidP="008E38F7">
            <w:pPr>
              <w:keepLines/>
              <w:spacing w:line="200" w:lineRule="atLeast"/>
              <w:rPr>
                <w:rFonts w:asciiTheme="minorHAnsi" w:eastAsia="Times New Roman" w:hAnsiTheme="minorHAnsi"/>
                <w:iCs/>
                <w:szCs w:val="17"/>
                <w:lang w:eastAsia="en-US"/>
              </w:rPr>
            </w:pPr>
            <w:r w:rsidRPr="008645D9">
              <w:rPr>
                <w:rFonts w:asciiTheme="minorHAnsi" w:eastAsia="Times New Roman" w:hAnsiTheme="minorHAnsi"/>
                <w:iCs/>
                <w:szCs w:val="17"/>
                <w:lang w:eastAsia="en-US"/>
              </w:rPr>
              <w:t>Date Management response uploaded into AidWorks</w:t>
            </w:r>
          </w:p>
        </w:tc>
        <w:tc>
          <w:tcPr>
            <w:tcW w:w="1565" w:type="dxa"/>
          </w:tcPr>
          <w:p w14:paraId="2573F535" w14:textId="77777777" w:rsidR="001D49F0" w:rsidRPr="008645D9" w:rsidRDefault="001D49F0" w:rsidP="008E38F7">
            <w:pPr>
              <w:keepLines/>
              <w:spacing w:line="200" w:lineRule="atLeast"/>
              <w:rPr>
                <w:rFonts w:asciiTheme="minorHAnsi" w:eastAsia="Times New Roman" w:hAnsiTheme="minorHAnsi"/>
                <w:iCs/>
                <w:szCs w:val="17"/>
                <w:lang w:eastAsia="en-US"/>
              </w:rPr>
            </w:pPr>
            <w:r w:rsidRPr="008645D9">
              <w:rPr>
                <w:rFonts w:asciiTheme="minorHAnsi" w:eastAsia="Times New Roman" w:hAnsiTheme="minorHAnsi"/>
                <w:iCs/>
                <w:szCs w:val="17"/>
                <w:lang w:eastAsia="en-US"/>
              </w:rPr>
              <w:t>Published on website</w:t>
            </w:r>
          </w:p>
        </w:tc>
      </w:tr>
      <w:tr w:rsidR="001D49F0" w:rsidRPr="001D49F0" w14:paraId="133C8BE3"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52CCD302" w14:textId="77777777" w:rsidR="001D49F0" w:rsidRPr="001D49F0" w:rsidRDefault="001D49F0" w:rsidP="008E38F7">
            <w:pPr>
              <w:keepLines/>
              <w:spacing w:before="40" w:after="40" w:line="200" w:lineRule="atLeast"/>
              <w:rPr>
                <w:rFonts w:asciiTheme="minorHAnsi" w:eastAsia="Times New Roman" w:hAnsiTheme="minorHAnsi"/>
                <w:b w:val="0"/>
                <w:iCs/>
                <w:szCs w:val="17"/>
                <w:lang w:eastAsia="en-US"/>
              </w:rPr>
            </w:pPr>
            <w:r w:rsidRPr="001D49F0">
              <w:rPr>
                <w:rFonts w:asciiTheme="minorHAnsi" w:eastAsia="Times New Roman" w:hAnsiTheme="minorHAnsi"/>
                <w:b w:val="0"/>
                <w:iCs/>
                <w:szCs w:val="17"/>
                <w:lang w:eastAsia="en-US"/>
              </w:rPr>
              <w:t>INK640 Fiji Community Development Program</w:t>
            </w:r>
          </w:p>
        </w:tc>
        <w:tc>
          <w:tcPr>
            <w:tcW w:w="3116" w:type="dxa"/>
          </w:tcPr>
          <w:p w14:paraId="16C7CF84" w14:textId="77777777" w:rsidR="001D49F0" w:rsidRPr="001D49F0" w:rsidRDefault="001D49F0" w:rsidP="008E38F7">
            <w:pPr>
              <w:keepLines/>
              <w:spacing w:before="40" w:after="40" w:line="200" w:lineRule="atLeast"/>
              <w:rPr>
                <w:rFonts w:asciiTheme="minorHAnsi" w:eastAsia="Times New Roman" w:hAnsiTheme="minorHAnsi"/>
                <w:b w:val="0"/>
                <w:iCs/>
                <w:szCs w:val="17"/>
                <w:lang w:eastAsia="en-US"/>
              </w:rPr>
            </w:pPr>
            <w:r w:rsidRPr="001D49F0">
              <w:rPr>
                <w:rFonts w:asciiTheme="minorHAnsi" w:eastAsia="Times New Roman" w:hAnsiTheme="minorHAnsi"/>
                <w:b w:val="0"/>
                <w:iCs/>
                <w:szCs w:val="17"/>
                <w:lang w:eastAsia="en-US"/>
              </w:rPr>
              <w:t>End of Program Evaluation</w:t>
            </w:r>
          </w:p>
        </w:tc>
        <w:tc>
          <w:tcPr>
            <w:tcW w:w="2914" w:type="dxa"/>
          </w:tcPr>
          <w:p w14:paraId="0A70C1FD" w14:textId="77777777" w:rsidR="001D49F0" w:rsidRPr="001D49F0" w:rsidRDefault="001D49F0" w:rsidP="008E38F7">
            <w:pPr>
              <w:keepLines/>
              <w:spacing w:before="40" w:after="40" w:line="200" w:lineRule="atLeast"/>
              <w:rPr>
                <w:rFonts w:asciiTheme="minorHAnsi" w:eastAsia="Times New Roman" w:hAnsiTheme="minorHAnsi"/>
                <w:b w:val="0"/>
                <w:iCs/>
                <w:szCs w:val="17"/>
                <w:lang w:eastAsia="en-US"/>
              </w:rPr>
            </w:pPr>
            <w:r w:rsidRPr="001D49F0">
              <w:rPr>
                <w:rFonts w:asciiTheme="minorHAnsi" w:eastAsia="Times New Roman" w:hAnsiTheme="minorHAnsi"/>
                <w:b w:val="0"/>
                <w:iCs/>
                <w:szCs w:val="17"/>
                <w:lang w:eastAsia="en-US"/>
              </w:rPr>
              <w:t>November 2017</w:t>
            </w:r>
          </w:p>
        </w:tc>
        <w:tc>
          <w:tcPr>
            <w:tcW w:w="1946" w:type="dxa"/>
          </w:tcPr>
          <w:p w14:paraId="22CEC1E1" w14:textId="77777777" w:rsidR="001D49F0" w:rsidRPr="001D49F0" w:rsidRDefault="001D49F0" w:rsidP="008E38F7">
            <w:pPr>
              <w:keepLines/>
              <w:spacing w:before="40" w:after="40" w:line="200" w:lineRule="atLeast"/>
              <w:rPr>
                <w:rFonts w:asciiTheme="minorHAnsi" w:eastAsia="Times New Roman" w:hAnsiTheme="minorHAnsi"/>
                <w:b w:val="0"/>
                <w:iCs/>
                <w:szCs w:val="17"/>
                <w:lang w:eastAsia="en-US"/>
              </w:rPr>
            </w:pPr>
            <w:r w:rsidRPr="001D49F0">
              <w:rPr>
                <w:rFonts w:asciiTheme="minorHAnsi" w:eastAsia="Times New Roman" w:hAnsiTheme="minorHAnsi"/>
                <w:b w:val="0"/>
                <w:iCs/>
                <w:szCs w:val="17"/>
                <w:lang w:eastAsia="en-US"/>
              </w:rPr>
              <w:t xml:space="preserve">December 2017 </w:t>
            </w:r>
          </w:p>
        </w:tc>
        <w:tc>
          <w:tcPr>
            <w:tcW w:w="1665" w:type="dxa"/>
          </w:tcPr>
          <w:p w14:paraId="70F0ACB4" w14:textId="77777777" w:rsidR="001D49F0" w:rsidRPr="001D49F0" w:rsidRDefault="001D49F0" w:rsidP="008E38F7">
            <w:pPr>
              <w:keepLines/>
              <w:spacing w:before="40" w:after="40" w:line="200" w:lineRule="atLeast"/>
              <w:rPr>
                <w:rFonts w:asciiTheme="minorHAnsi" w:eastAsia="Times New Roman" w:hAnsiTheme="minorHAnsi"/>
                <w:b w:val="0"/>
                <w:iCs/>
                <w:szCs w:val="17"/>
                <w:lang w:eastAsia="en-US"/>
              </w:rPr>
            </w:pPr>
            <w:r w:rsidRPr="001D49F0">
              <w:rPr>
                <w:rFonts w:asciiTheme="minorHAnsi" w:eastAsia="Times New Roman" w:hAnsiTheme="minorHAnsi"/>
                <w:b w:val="0"/>
                <w:iCs/>
                <w:szCs w:val="17"/>
                <w:lang w:eastAsia="en-US"/>
              </w:rPr>
              <w:t>December 2017</w:t>
            </w:r>
          </w:p>
        </w:tc>
        <w:tc>
          <w:tcPr>
            <w:tcW w:w="1565" w:type="dxa"/>
          </w:tcPr>
          <w:p w14:paraId="5C1E58AB" w14:textId="77777777" w:rsidR="001D49F0" w:rsidRPr="001D49F0" w:rsidRDefault="001D49F0" w:rsidP="008E38F7">
            <w:pPr>
              <w:keepLines/>
              <w:spacing w:before="40" w:after="40" w:line="200" w:lineRule="atLeast"/>
              <w:rPr>
                <w:rFonts w:asciiTheme="minorHAnsi" w:eastAsia="Times New Roman" w:hAnsiTheme="minorHAnsi"/>
                <w:b w:val="0"/>
                <w:iCs/>
                <w:szCs w:val="17"/>
                <w:lang w:eastAsia="en-US"/>
              </w:rPr>
            </w:pPr>
            <w:r w:rsidRPr="001D49F0">
              <w:rPr>
                <w:rFonts w:asciiTheme="minorHAnsi" w:eastAsia="Times New Roman" w:hAnsiTheme="minorHAnsi"/>
                <w:b w:val="0"/>
                <w:iCs/>
                <w:szCs w:val="17"/>
                <w:lang w:eastAsia="en-US"/>
              </w:rPr>
              <w:t>December 2017</w:t>
            </w:r>
          </w:p>
        </w:tc>
      </w:tr>
      <w:tr w:rsidR="001D49F0" w:rsidRPr="001D49F0" w14:paraId="6FD8C862"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14CF4F4C"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INL397 Pacific Women Fiji Country Plan</w:t>
            </w:r>
          </w:p>
        </w:tc>
        <w:tc>
          <w:tcPr>
            <w:tcW w:w="3116" w:type="dxa"/>
          </w:tcPr>
          <w:p w14:paraId="7021C330"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Pacific Women Fiji Country Plan Review</w:t>
            </w:r>
          </w:p>
        </w:tc>
        <w:tc>
          <w:tcPr>
            <w:tcW w:w="2914" w:type="dxa"/>
          </w:tcPr>
          <w:p w14:paraId="5A4A0B90"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September 2017</w:t>
            </w:r>
          </w:p>
        </w:tc>
        <w:tc>
          <w:tcPr>
            <w:tcW w:w="1946" w:type="dxa"/>
          </w:tcPr>
          <w:p w14:paraId="65AA685B"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December 2017</w:t>
            </w:r>
          </w:p>
        </w:tc>
        <w:tc>
          <w:tcPr>
            <w:tcW w:w="1665" w:type="dxa"/>
          </w:tcPr>
          <w:p w14:paraId="55724B1E"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December 2017</w:t>
            </w:r>
          </w:p>
        </w:tc>
        <w:tc>
          <w:tcPr>
            <w:tcW w:w="1565" w:type="dxa"/>
          </w:tcPr>
          <w:p w14:paraId="1CB8927F"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December 2017</w:t>
            </w:r>
          </w:p>
        </w:tc>
      </w:tr>
      <w:tr w:rsidR="001D49F0" w:rsidRPr="001D49F0" w14:paraId="00DE175A"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6A8C44EB"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INL959 Cyclone Winston Humanitarian Assistance</w:t>
            </w:r>
          </w:p>
        </w:tc>
        <w:tc>
          <w:tcPr>
            <w:tcW w:w="3116" w:type="dxa"/>
          </w:tcPr>
          <w:p w14:paraId="223CEC2D"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TC Winston Education Response Evaluation</w:t>
            </w:r>
          </w:p>
        </w:tc>
        <w:tc>
          <w:tcPr>
            <w:tcW w:w="2914" w:type="dxa"/>
          </w:tcPr>
          <w:p w14:paraId="163D370B"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September 2017</w:t>
            </w:r>
          </w:p>
        </w:tc>
        <w:tc>
          <w:tcPr>
            <w:tcW w:w="1946" w:type="dxa"/>
          </w:tcPr>
          <w:p w14:paraId="4575596B" w14:textId="77777777" w:rsidR="001D49F0" w:rsidRPr="001D49F0" w:rsidRDefault="00DE22D8" w:rsidP="008E38F7">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October 2017</w:t>
            </w:r>
          </w:p>
        </w:tc>
        <w:tc>
          <w:tcPr>
            <w:tcW w:w="1665" w:type="dxa"/>
          </w:tcPr>
          <w:p w14:paraId="41F42F18" w14:textId="77777777" w:rsidR="001D49F0" w:rsidRPr="001D49F0" w:rsidRDefault="00DE22D8" w:rsidP="008E38F7">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October 2017</w:t>
            </w:r>
          </w:p>
        </w:tc>
        <w:tc>
          <w:tcPr>
            <w:tcW w:w="1565" w:type="dxa"/>
          </w:tcPr>
          <w:p w14:paraId="4FBF81A9" w14:textId="77777777" w:rsidR="001D49F0" w:rsidRPr="001D49F0" w:rsidRDefault="00DE22D8" w:rsidP="008E38F7">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October 2017</w:t>
            </w:r>
          </w:p>
        </w:tc>
      </w:tr>
      <w:tr w:rsidR="001D49F0" w:rsidRPr="001D49F0" w14:paraId="71277553"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63327AD6"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INJ515 Access to Quality Education Program (AQEP)</w:t>
            </w:r>
          </w:p>
        </w:tc>
        <w:tc>
          <w:tcPr>
            <w:tcW w:w="3116" w:type="dxa"/>
          </w:tcPr>
          <w:p w14:paraId="229F44DA" w14:textId="77777777" w:rsidR="001D49F0" w:rsidRPr="001D49F0" w:rsidRDefault="001D49F0" w:rsidP="008E38F7">
            <w:pPr>
              <w:keepLines/>
              <w:spacing w:before="40" w:after="40" w:line="200" w:lineRule="atLeast"/>
              <w:rPr>
                <w:rFonts w:asciiTheme="minorHAnsi" w:eastAsia="Times New Roman" w:hAnsiTheme="minorHAnsi"/>
                <w:b w:val="0"/>
                <w:iCs/>
                <w:szCs w:val="17"/>
              </w:rPr>
            </w:pPr>
            <w:r w:rsidRPr="001D49F0">
              <w:rPr>
                <w:rFonts w:asciiTheme="minorHAnsi" w:eastAsia="Times New Roman" w:hAnsiTheme="minorHAnsi"/>
                <w:b w:val="0"/>
                <w:iCs/>
                <w:szCs w:val="17"/>
              </w:rPr>
              <w:t>End of Program Evaluation</w:t>
            </w:r>
          </w:p>
        </w:tc>
        <w:tc>
          <w:tcPr>
            <w:tcW w:w="2914" w:type="dxa"/>
          </w:tcPr>
          <w:p w14:paraId="53212DB8" w14:textId="3C8EFA51" w:rsidR="001D49F0" w:rsidRPr="001D49F0" w:rsidRDefault="000536E4" w:rsidP="008E38F7">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May</w:t>
            </w:r>
            <w:r w:rsidRPr="001D49F0">
              <w:rPr>
                <w:rFonts w:asciiTheme="minorHAnsi" w:eastAsia="Times New Roman" w:hAnsiTheme="minorHAnsi"/>
                <w:b w:val="0"/>
                <w:iCs/>
                <w:szCs w:val="17"/>
              </w:rPr>
              <w:t xml:space="preserve"> </w:t>
            </w:r>
            <w:r w:rsidR="001D49F0" w:rsidRPr="001D49F0">
              <w:rPr>
                <w:rFonts w:asciiTheme="minorHAnsi" w:eastAsia="Times New Roman" w:hAnsiTheme="minorHAnsi"/>
                <w:b w:val="0"/>
                <w:iCs/>
                <w:szCs w:val="17"/>
              </w:rPr>
              <w:t>2018</w:t>
            </w:r>
          </w:p>
        </w:tc>
        <w:tc>
          <w:tcPr>
            <w:tcW w:w="1946" w:type="dxa"/>
          </w:tcPr>
          <w:p w14:paraId="3AE3D378" w14:textId="5425C958" w:rsidR="001D49F0" w:rsidRPr="001D49F0" w:rsidRDefault="006F5794" w:rsidP="006F5794">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October</w:t>
            </w:r>
            <w:r w:rsidR="000536E4">
              <w:rPr>
                <w:rFonts w:asciiTheme="minorHAnsi" w:eastAsia="Times New Roman" w:hAnsiTheme="minorHAnsi"/>
                <w:b w:val="0"/>
                <w:iCs/>
                <w:szCs w:val="17"/>
              </w:rPr>
              <w:t xml:space="preserve"> 2018</w:t>
            </w:r>
          </w:p>
        </w:tc>
        <w:tc>
          <w:tcPr>
            <w:tcW w:w="1665" w:type="dxa"/>
          </w:tcPr>
          <w:p w14:paraId="51348473" w14:textId="48AA1F97" w:rsidR="001D49F0" w:rsidRPr="001D49F0" w:rsidRDefault="006F5794" w:rsidP="006F5794">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October</w:t>
            </w:r>
            <w:r w:rsidR="000536E4">
              <w:rPr>
                <w:rFonts w:asciiTheme="minorHAnsi" w:eastAsia="Times New Roman" w:hAnsiTheme="minorHAnsi"/>
                <w:b w:val="0"/>
                <w:iCs/>
                <w:szCs w:val="17"/>
              </w:rPr>
              <w:t xml:space="preserve"> 2018</w:t>
            </w:r>
          </w:p>
        </w:tc>
        <w:tc>
          <w:tcPr>
            <w:tcW w:w="1565" w:type="dxa"/>
          </w:tcPr>
          <w:p w14:paraId="66CA1228" w14:textId="2D491AC1" w:rsidR="001D49F0" w:rsidRPr="001D49F0" w:rsidRDefault="00AB795A" w:rsidP="000536E4">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 xml:space="preserve">October </w:t>
            </w:r>
            <w:r w:rsidR="000536E4">
              <w:rPr>
                <w:rFonts w:asciiTheme="minorHAnsi" w:eastAsia="Times New Roman" w:hAnsiTheme="minorHAnsi"/>
                <w:b w:val="0"/>
                <w:iCs/>
                <w:szCs w:val="17"/>
              </w:rPr>
              <w:t>2018</w:t>
            </w:r>
          </w:p>
        </w:tc>
      </w:tr>
      <w:tr w:rsidR="001D49F0" w:rsidRPr="003B5EE5" w14:paraId="2D83590F"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Borders>
              <w:top w:val="nil"/>
              <w:bottom w:val="single" w:sz="4" w:space="0" w:color="auto"/>
            </w:tcBorders>
          </w:tcPr>
          <w:p w14:paraId="11CCE778" w14:textId="77777777" w:rsidR="001D49F0" w:rsidRPr="00880004" w:rsidRDefault="001D49F0" w:rsidP="008E38F7">
            <w:pPr>
              <w:keepLines/>
              <w:spacing w:before="40" w:after="40" w:line="200" w:lineRule="atLeast"/>
              <w:rPr>
                <w:rFonts w:eastAsia="Times New Roman"/>
                <w:b w:val="0"/>
                <w:iCs/>
                <w:szCs w:val="17"/>
              </w:rPr>
            </w:pPr>
          </w:p>
        </w:tc>
        <w:tc>
          <w:tcPr>
            <w:tcW w:w="3116" w:type="dxa"/>
            <w:tcBorders>
              <w:top w:val="nil"/>
              <w:bottom w:val="single" w:sz="4" w:space="0" w:color="auto"/>
            </w:tcBorders>
          </w:tcPr>
          <w:p w14:paraId="7CD892DF" w14:textId="77777777" w:rsidR="001D49F0" w:rsidRDefault="001D49F0" w:rsidP="008E38F7">
            <w:pPr>
              <w:keepLines/>
              <w:spacing w:before="40" w:after="40" w:line="200" w:lineRule="atLeast"/>
              <w:rPr>
                <w:rFonts w:eastAsia="Times New Roman"/>
                <w:b w:val="0"/>
                <w:iCs/>
                <w:szCs w:val="17"/>
              </w:rPr>
            </w:pPr>
          </w:p>
        </w:tc>
        <w:tc>
          <w:tcPr>
            <w:tcW w:w="2914" w:type="dxa"/>
            <w:tcBorders>
              <w:top w:val="nil"/>
              <w:bottom w:val="single" w:sz="4" w:space="0" w:color="auto"/>
            </w:tcBorders>
          </w:tcPr>
          <w:p w14:paraId="1B8782A1" w14:textId="77777777" w:rsidR="001D49F0" w:rsidRDefault="001D49F0" w:rsidP="008E38F7">
            <w:pPr>
              <w:keepLines/>
              <w:spacing w:before="40" w:after="40" w:line="200" w:lineRule="atLeast"/>
              <w:rPr>
                <w:rFonts w:eastAsia="Times New Roman"/>
                <w:b w:val="0"/>
                <w:iCs/>
                <w:szCs w:val="17"/>
              </w:rPr>
            </w:pPr>
          </w:p>
        </w:tc>
        <w:tc>
          <w:tcPr>
            <w:tcW w:w="1946" w:type="dxa"/>
            <w:tcBorders>
              <w:top w:val="nil"/>
              <w:bottom w:val="single" w:sz="4" w:space="0" w:color="auto"/>
            </w:tcBorders>
          </w:tcPr>
          <w:p w14:paraId="38AB19A7" w14:textId="77777777" w:rsidR="001D49F0" w:rsidRDefault="001D49F0" w:rsidP="008E38F7">
            <w:pPr>
              <w:keepLines/>
              <w:spacing w:before="40" w:after="40" w:line="200" w:lineRule="atLeast"/>
              <w:rPr>
                <w:rFonts w:eastAsia="Times New Roman"/>
                <w:b w:val="0"/>
                <w:iCs/>
                <w:szCs w:val="17"/>
              </w:rPr>
            </w:pPr>
          </w:p>
        </w:tc>
        <w:tc>
          <w:tcPr>
            <w:tcW w:w="1665" w:type="dxa"/>
            <w:tcBorders>
              <w:top w:val="nil"/>
              <w:bottom w:val="single" w:sz="4" w:space="0" w:color="auto"/>
            </w:tcBorders>
          </w:tcPr>
          <w:p w14:paraId="1703FA3B" w14:textId="77777777" w:rsidR="001D49F0" w:rsidRDefault="001D49F0" w:rsidP="008E38F7">
            <w:pPr>
              <w:keepLines/>
              <w:spacing w:before="40" w:after="40" w:line="200" w:lineRule="atLeast"/>
              <w:rPr>
                <w:rFonts w:eastAsia="Times New Roman"/>
                <w:b w:val="0"/>
                <w:iCs/>
                <w:szCs w:val="17"/>
              </w:rPr>
            </w:pPr>
          </w:p>
        </w:tc>
        <w:tc>
          <w:tcPr>
            <w:tcW w:w="1565" w:type="dxa"/>
            <w:tcBorders>
              <w:top w:val="nil"/>
              <w:bottom w:val="single" w:sz="4" w:space="0" w:color="auto"/>
            </w:tcBorders>
          </w:tcPr>
          <w:p w14:paraId="0EA365C1" w14:textId="77777777" w:rsidR="001D49F0" w:rsidRDefault="001D49F0" w:rsidP="008E38F7">
            <w:pPr>
              <w:keepLines/>
              <w:spacing w:before="40" w:after="40" w:line="200" w:lineRule="atLeast"/>
              <w:rPr>
                <w:rFonts w:eastAsia="Times New Roman"/>
                <w:b w:val="0"/>
                <w:iCs/>
                <w:szCs w:val="17"/>
              </w:rPr>
            </w:pPr>
          </w:p>
        </w:tc>
      </w:tr>
      <w:tr w:rsidR="008645D9" w:rsidRPr="003B5EE5" w14:paraId="45D82D76" w14:textId="77777777" w:rsidTr="008645D9">
        <w:trPr>
          <w:cnfStyle w:val="100000000000" w:firstRow="1" w:lastRow="0" w:firstColumn="0" w:lastColumn="0" w:oddVBand="0" w:evenVBand="0" w:oddHBand="0" w:evenHBand="0" w:firstRowFirstColumn="0" w:firstRowLastColumn="0" w:lastRowFirstColumn="0" w:lastRowLastColumn="0"/>
        </w:trPr>
        <w:tc>
          <w:tcPr>
            <w:tcW w:w="14397" w:type="dxa"/>
            <w:gridSpan w:val="6"/>
            <w:tcBorders>
              <w:top w:val="nil"/>
              <w:bottom w:val="single" w:sz="4" w:space="0" w:color="auto"/>
            </w:tcBorders>
          </w:tcPr>
          <w:p w14:paraId="22FC53EA" w14:textId="77777777" w:rsidR="008645D9" w:rsidRPr="008645D9" w:rsidRDefault="008645D9" w:rsidP="008645D9">
            <w:pPr>
              <w:rPr>
                <w:rFonts w:asciiTheme="minorHAnsi" w:hAnsiTheme="minorHAnsi"/>
                <w:sz w:val="24"/>
              </w:rPr>
            </w:pPr>
            <w:r w:rsidRPr="008645D9">
              <w:rPr>
                <w:rFonts w:asciiTheme="minorHAnsi" w:hAnsiTheme="minorHAnsi"/>
                <w:sz w:val="24"/>
              </w:rPr>
              <w:t>List of program prioritised evaluations planned for the next 12 months</w:t>
            </w:r>
          </w:p>
          <w:p w14:paraId="452C0C14" w14:textId="77777777" w:rsidR="008645D9" w:rsidRDefault="008645D9" w:rsidP="008E38F7">
            <w:pPr>
              <w:keepLines/>
              <w:spacing w:before="40" w:after="40" w:line="200" w:lineRule="atLeast"/>
              <w:rPr>
                <w:rFonts w:eastAsia="Times New Roman"/>
                <w:b w:val="0"/>
                <w:iCs/>
                <w:szCs w:val="17"/>
              </w:rPr>
            </w:pPr>
          </w:p>
        </w:tc>
      </w:tr>
      <w:tr w:rsidR="008645D9" w:rsidRPr="003B5EE5" w14:paraId="03C1F3E7"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1154EBAD" w14:textId="77777777" w:rsidR="008645D9" w:rsidRPr="008645D9" w:rsidRDefault="008645D9" w:rsidP="008645D9">
            <w:pPr>
              <w:keepLines/>
              <w:spacing w:before="40" w:after="40" w:line="200" w:lineRule="atLeast"/>
              <w:rPr>
                <w:rFonts w:asciiTheme="minorHAnsi" w:eastAsia="Times New Roman" w:hAnsiTheme="minorHAnsi"/>
                <w:iCs/>
                <w:szCs w:val="17"/>
              </w:rPr>
            </w:pPr>
            <w:r w:rsidRPr="008645D9">
              <w:rPr>
                <w:rFonts w:asciiTheme="minorHAnsi" w:eastAsia="Times New Roman" w:hAnsiTheme="minorHAnsi"/>
                <w:iCs/>
                <w:szCs w:val="17"/>
              </w:rPr>
              <w:t>Investment Number of Name</w:t>
            </w:r>
          </w:p>
        </w:tc>
        <w:tc>
          <w:tcPr>
            <w:tcW w:w="3116" w:type="dxa"/>
          </w:tcPr>
          <w:p w14:paraId="01E1FD3B" w14:textId="77777777" w:rsidR="008645D9" w:rsidRPr="008645D9" w:rsidRDefault="008645D9" w:rsidP="008645D9">
            <w:pPr>
              <w:keepLines/>
              <w:spacing w:before="40" w:after="40" w:line="200" w:lineRule="atLeast"/>
              <w:rPr>
                <w:rFonts w:asciiTheme="minorHAnsi" w:eastAsia="Times New Roman" w:hAnsiTheme="minorHAnsi"/>
                <w:iCs/>
                <w:szCs w:val="17"/>
              </w:rPr>
            </w:pPr>
            <w:r>
              <w:rPr>
                <w:rFonts w:asciiTheme="minorHAnsi" w:hAnsiTheme="minorHAnsi"/>
              </w:rPr>
              <w:t xml:space="preserve">Name of Evaluation </w:t>
            </w:r>
          </w:p>
        </w:tc>
        <w:tc>
          <w:tcPr>
            <w:tcW w:w="2914" w:type="dxa"/>
          </w:tcPr>
          <w:p w14:paraId="55BC6872" w14:textId="77777777" w:rsidR="008645D9" w:rsidRPr="008645D9" w:rsidRDefault="008645D9" w:rsidP="008645D9">
            <w:pPr>
              <w:keepLines/>
              <w:spacing w:before="40" w:after="40" w:line="200" w:lineRule="atLeast"/>
              <w:rPr>
                <w:rFonts w:asciiTheme="minorHAnsi" w:eastAsia="Times New Roman" w:hAnsiTheme="minorHAnsi"/>
                <w:iCs/>
                <w:szCs w:val="17"/>
              </w:rPr>
            </w:pPr>
            <w:r w:rsidRPr="008645D9">
              <w:rPr>
                <w:rFonts w:asciiTheme="minorHAnsi" w:hAnsiTheme="minorHAnsi"/>
              </w:rPr>
              <w:t>Dat</w:t>
            </w:r>
            <w:r>
              <w:rPr>
                <w:rFonts w:asciiTheme="minorHAnsi" w:hAnsiTheme="minorHAnsi"/>
              </w:rPr>
              <w:t>e – planned commencement</w:t>
            </w:r>
          </w:p>
        </w:tc>
        <w:tc>
          <w:tcPr>
            <w:tcW w:w="1946" w:type="dxa"/>
          </w:tcPr>
          <w:p w14:paraId="37FFB71B" w14:textId="77777777" w:rsidR="008645D9" w:rsidRPr="008645D9" w:rsidRDefault="008645D9" w:rsidP="008645D9">
            <w:pPr>
              <w:keepLines/>
              <w:spacing w:before="40" w:after="40" w:line="200" w:lineRule="atLeast"/>
              <w:rPr>
                <w:rFonts w:asciiTheme="minorHAnsi" w:eastAsia="Times New Roman" w:hAnsiTheme="minorHAnsi"/>
                <w:iCs/>
                <w:szCs w:val="17"/>
              </w:rPr>
            </w:pPr>
            <w:r w:rsidRPr="008645D9">
              <w:rPr>
                <w:rFonts w:asciiTheme="minorHAnsi" w:hAnsiTheme="minorHAnsi"/>
              </w:rPr>
              <w:t xml:space="preserve">Date – planned completion </w:t>
            </w:r>
          </w:p>
        </w:tc>
        <w:tc>
          <w:tcPr>
            <w:tcW w:w="1665" w:type="dxa"/>
          </w:tcPr>
          <w:p w14:paraId="6820618B" w14:textId="77777777" w:rsidR="008645D9" w:rsidRPr="008645D9" w:rsidRDefault="008645D9" w:rsidP="008645D9">
            <w:pPr>
              <w:keepLines/>
              <w:spacing w:before="40" w:after="40" w:line="200" w:lineRule="atLeast"/>
              <w:rPr>
                <w:rFonts w:asciiTheme="minorHAnsi" w:eastAsia="Times New Roman" w:hAnsiTheme="minorHAnsi"/>
                <w:iCs/>
                <w:szCs w:val="17"/>
              </w:rPr>
            </w:pPr>
            <w:r w:rsidRPr="008645D9">
              <w:rPr>
                <w:rFonts w:asciiTheme="minorHAnsi" w:hAnsiTheme="minorHAnsi"/>
              </w:rPr>
              <w:t>Purpose of evaluation</w:t>
            </w:r>
          </w:p>
        </w:tc>
        <w:tc>
          <w:tcPr>
            <w:tcW w:w="1565" w:type="dxa"/>
          </w:tcPr>
          <w:p w14:paraId="3D4B106D" w14:textId="77777777" w:rsidR="008645D9" w:rsidRPr="008645D9" w:rsidRDefault="008645D9" w:rsidP="008645D9">
            <w:pPr>
              <w:keepLines/>
              <w:spacing w:before="40" w:after="40" w:line="200" w:lineRule="atLeast"/>
              <w:rPr>
                <w:rFonts w:asciiTheme="minorHAnsi" w:eastAsia="Times New Roman" w:hAnsiTheme="minorHAnsi"/>
                <w:iCs/>
                <w:szCs w:val="17"/>
              </w:rPr>
            </w:pPr>
            <w:r w:rsidRPr="008645D9">
              <w:rPr>
                <w:rFonts w:asciiTheme="minorHAnsi" w:hAnsiTheme="minorHAnsi"/>
              </w:rPr>
              <w:t>Evaluation type</w:t>
            </w:r>
          </w:p>
        </w:tc>
      </w:tr>
      <w:tr w:rsidR="008645D9" w:rsidRPr="003B5EE5" w14:paraId="0DD84BD8"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42B69147"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INK496 WE RISE Phase II</w:t>
            </w:r>
          </w:p>
        </w:tc>
        <w:tc>
          <w:tcPr>
            <w:tcW w:w="3116" w:type="dxa"/>
          </w:tcPr>
          <w:p w14:paraId="70F018A6"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Mid-term Review</w:t>
            </w:r>
          </w:p>
        </w:tc>
        <w:tc>
          <w:tcPr>
            <w:tcW w:w="2914" w:type="dxa"/>
          </w:tcPr>
          <w:p w14:paraId="45EE7990"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August 2018</w:t>
            </w:r>
          </w:p>
        </w:tc>
        <w:tc>
          <w:tcPr>
            <w:tcW w:w="1946" w:type="dxa"/>
          </w:tcPr>
          <w:p w14:paraId="68BA5A75" w14:textId="333A99CC" w:rsidR="008645D9" w:rsidRPr="008645D9" w:rsidRDefault="00AB795A" w:rsidP="008645D9">
            <w:pPr>
              <w:keepLines/>
              <w:spacing w:before="40" w:after="40" w:line="200" w:lineRule="atLeast"/>
              <w:rPr>
                <w:rFonts w:asciiTheme="minorHAnsi" w:eastAsia="Times New Roman" w:hAnsiTheme="minorHAnsi"/>
                <w:b w:val="0"/>
                <w:iCs/>
                <w:szCs w:val="17"/>
              </w:rPr>
            </w:pPr>
            <w:r>
              <w:rPr>
                <w:rFonts w:asciiTheme="minorHAnsi" w:hAnsiTheme="minorHAnsi"/>
                <w:b w:val="0"/>
              </w:rPr>
              <w:t>January</w:t>
            </w:r>
            <w:r w:rsidR="009574B9">
              <w:rPr>
                <w:rFonts w:asciiTheme="minorHAnsi" w:hAnsiTheme="minorHAnsi"/>
                <w:b w:val="0"/>
              </w:rPr>
              <w:t xml:space="preserve"> </w:t>
            </w:r>
            <w:r w:rsidR="00155E7A">
              <w:rPr>
                <w:rFonts w:asciiTheme="minorHAnsi" w:hAnsiTheme="minorHAnsi"/>
                <w:b w:val="0"/>
              </w:rPr>
              <w:t>2019</w:t>
            </w:r>
            <w:r w:rsidR="008645D9" w:rsidRPr="008645D9">
              <w:rPr>
                <w:rFonts w:asciiTheme="minorHAnsi" w:hAnsiTheme="minorHAnsi"/>
                <w:b w:val="0"/>
              </w:rPr>
              <w:t xml:space="preserve"> </w:t>
            </w:r>
          </w:p>
        </w:tc>
        <w:tc>
          <w:tcPr>
            <w:tcW w:w="1665" w:type="dxa"/>
          </w:tcPr>
          <w:p w14:paraId="502D2FD7"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To review progress and effectiveness of strategies employed by the program</w:t>
            </w:r>
          </w:p>
        </w:tc>
        <w:tc>
          <w:tcPr>
            <w:tcW w:w="1565" w:type="dxa"/>
          </w:tcPr>
          <w:p w14:paraId="7091362D"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 xml:space="preserve">DFAT-led </w:t>
            </w:r>
          </w:p>
        </w:tc>
      </w:tr>
      <w:tr w:rsidR="008645D9" w:rsidRPr="003B5EE5" w14:paraId="3A17A61F"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3DE25BBC"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INM059 Fiji Program Support Facility</w:t>
            </w:r>
          </w:p>
        </w:tc>
        <w:tc>
          <w:tcPr>
            <w:tcW w:w="3116" w:type="dxa"/>
          </w:tcPr>
          <w:p w14:paraId="2FE612F7"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Mid-term Review</w:t>
            </w:r>
          </w:p>
        </w:tc>
        <w:tc>
          <w:tcPr>
            <w:tcW w:w="2914" w:type="dxa"/>
          </w:tcPr>
          <w:p w14:paraId="28725524"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March 2019</w:t>
            </w:r>
          </w:p>
        </w:tc>
        <w:tc>
          <w:tcPr>
            <w:tcW w:w="1946" w:type="dxa"/>
          </w:tcPr>
          <w:p w14:paraId="4538FD86"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September 2019</w:t>
            </w:r>
          </w:p>
        </w:tc>
        <w:tc>
          <w:tcPr>
            <w:tcW w:w="1665" w:type="dxa"/>
          </w:tcPr>
          <w:p w14:paraId="3662E768"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To verify performance and demonstrate results (subject to Canberra-led review of Facilities in 2018)</w:t>
            </w:r>
          </w:p>
        </w:tc>
        <w:tc>
          <w:tcPr>
            <w:tcW w:w="1565" w:type="dxa"/>
          </w:tcPr>
          <w:p w14:paraId="0B543F93"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DFAT-led</w:t>
            </w:r>
          </w:p>
        </w:tc>
      </w:tr>
      <w:tr w:rsidR="008645D9" w:rsidRPr="003B5EE5" w14:paraId="2BDFF61C" w14:textId="77777777" w:rsidTr="008645D9">
        <w:trPr>
          <w:cnfStyle w:val="100000000000" w:firstRow="1" w:lastRow="0" w:firstColumn="0" w:lastColumn="0" w:oddVBand="0" w:evenVBand="0" w:oddHBand="0" w:evenHBand="0" w:firstRowFirstColumn="0" w:firstRowLastColumn="0" w:lastRowFirstColumn="0" w:lastRowLastColumn="0"/>
        </w:trPr>
        <w:tc>
          <w:tcPr>
            <w:tcW w:w="3051" w:type="dxa"/>
          </w:tcPr>
          <w:p w14:paraId="384CC42F"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 xml:space="preserve">INJ339 Institutional Partnerships Program </w:t>
            </w:r>
          </w:p>
        </w:tc>
        <w:tc>
          <w:tcPr>
            <w:tcW w:w="3116" w:type="dxa"/>
          </w:tcPr>
          <w:p w14:paraId="740F1F81"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 xml:space="preserve">End of Program Evaluation </w:t>
            </w:r>
          </w:p>
        </w:tc>
        <w:tc>
          <w:tcPr>
            <w:tcW w:w="2914" w:type="dxa"/>
          </w:tcPr>
          <w:p w14:paraId="03388F4E"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December 2018</w:t>
            </w:r>
          </w:p>
        </w:tc>
        <w:tc>
          <w:tcPr>
            <w:tcW w:w="1946" w:type="dxa"/>
          </w:tcPr>
          <w:p w14:paraId="2BDE4521"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March 2019</w:t>
            </w:r>
          </w:p>
        </w:tc>
        <w:tc>
          <w:tcPr>
            <w:tcW w:w="1665" w:type="dxa"/>
          </w:tcPr>
          <w:p w14:paraId="090ED9C3"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To verify performance and results and provide evidence and recommendations to support a new program design</w:t>
            </w:r>
          </w:p>
        </w:tc>
        <w:tc>
          <w:tcPr>
            <w:tcW w:w="1565" w:type="dxa"/>
          </w:tcPr>
          <w:p w14:paraId="19C4BEFF" w14:textId="77777777" w:rsidR="008645D9" w:rsidRPr="008645D9" w:rsidRDefault="008645D9" w:rsidP="008645D9">
            <w:pPr>
              <w:keepLines/>
              <w:spacing w:before="40" w:after="40" w:line="200" w:lineRule="atLeast"/>
              <w:rPr>
                <w:rFonts w:asciiTheme="minorHAnsi" w:eastAsia="Times New Roman" w:hAnsiTheme="minorHAnsi"/>
                <w:b w:val="0"/>
                <w:iCs/>
                <w:szCs w:val="17"/>
              </w:rPr>
            </w:pPr>
            <w:r w:rsidRPr="008645D9">
              <w:rPr>
                <w:rFonts w:asciiTheme="minorHAnsi" w:hAnsiTheme="minorHAnsi"/>
                <w:b w:val="0"/>
              </w:rPr>
              <w:t>DFAT-led</w:t>
            </w:r>
          </w:p>
        </w:tc>
      </w:tr>
    </w:tbl>
    <w:p w14:paraId="49F14FDC" w14:textId="77777777" w:rsidR="00806476" w:rsidRPr="008C2F58" w:rsidRDefault="00806476" w:rsidP="001D49F0">
      <w:pPr>
        <w:rPr>
          <w:b/>
          <w:sz w:val="24"/>
        </w:rPr>
      </w:pPr>
    </w:p>
    <w:p w14:paraId="499193E5" w14:textId="77777777" w:rsidR="00DE22D8" w:rsidRPr="00C61187" w:rsidRDefault="00DE22D8" w:rsidP="00DE22D8">
      <w:pPr>
        <w:rPr>
          <w:b/>
        </w:rPr>
        <w:sectPr w:rsidR="00DE22D8" w:rsidRPr="00C61187" w:rsidSect="005C0CAB">
          <w:headerReference w:type="even" r:id="rId27"/>
          <w:headerReference w:type="default" r:id="rId28"/>
          <w:headerReference w:type="first" r:id="rId29"/>
          <w:footerReference w:type="first" r:id="rId30"/>
          <w:footnotePr>
            <w:numRestart w:val="eachPage"/>
          </w:footnotePr>
          <w:pgSz w:w="16838" w:h="11906" w:orient="landscape" w:code="9"/>
          <w:pgMar w:top="993" w:right="1814" w:bottom="709" w:left="851" w:header="709" w:footer="230" w:gutter="0"/>
          <w:cols w:space="708"/>
          <w:docGrid w:linePitch="360"/>
        </w:sectPr>
      </w:pPr>
    </w:p>
    <w:p w14:paraId="70E3A463" w14:textId="77777777" w:rsidR="001D49F0" w:rsidRPr="00784031" w:rsidRDefault="001D49F0" w:rsidP="00591835">
      <w:pPr>
        <w:pStyle w:val="Subtitle"/>
      </w:pPr>
      <w:r w:rsidRPr="00920D4B">
        <w:lastRenderedPageBreak/>
        <w:t>Annex D - Aid Quality Check ratings</w:t>
      </w:r>
    </w:p>
    <w:p w14:paraId="68264EE4" w14:textId="77777777" w:rsidR="001D49F0" w:rsidRPr="00591835" w:rsidRDefault="001D49F0" w:rsidP="00591835">
      <w:r w:rsidRPr="00591835">
        <w:rPr>
          <w:rFonts w:asciiTheme="majorHAnsi" w:eastAsiaTheme="majorEastAsia" w:hAnsiTheme="majorHAnsi" w:cstheme="majorBidi"/>
          <w:caps/>
          <w:sz w:val="38"/>
          <w:szCs w:val="26"/>
        </w:rPr>
        <w:t>AQC ratings</w:t>
      </w:r>
      <w:r w:rsidR="000B7DF4" w:rsidRPr="00591835">
        <w:t xml:space="preserve"> </w:t>
      </w:r>
      <w:r w:rsidRPr="00591835">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915"/>
        <w:gridCol w:w="2110"/>
        <w:gridCol w:w="1347"/>
        <w:gridCol w:w="1352"/>
        <w:gridCol w:w="1344"/>
        <w:gridCol w:w="1352"/>
        <w:gridCol w:w="1344"/>
        <w:gridCol w:w="1352"/>
        <w:gridCol w:w="1344"/>
      </w:tblGrid>
      <w:tr w:rsidR="000B7DF4" w:rsidRPr="00C61187" w14:paraId="388CE5B7" w14:textId="77777777" w:rsidTr="00DE22D8">
        <w:trPr>
          <w:cnfStyle w:val="000000010000" w:firstRow="0" w:lastRow="0" w:firstColumn="0" w:lastColumn="0" w:oddVBand="0" w:evenVBand="0" w:oddHBand="0" w:evenHBand="1" w:firstRowFirstColumn="0" w:firstRowLastColumn="0" w:lastRowFirstColumn="0" w:lastRowLastColumn="0"/>
          <w:trHeight w:val="740"/>
        </w:trPr>
        <w:tc>
          <w:tcPr>
            <w:tcW w:w="994" w:type="pct"/>
          </w:tcPr>
          <w:p w14:paraId="20AD7472"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91008" behindDoc="0" locked="0" layoutInCell="1" allowOverlap="1" wp14:anchorId="794182FC" wp14:editId="614B0444">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720" w:type="pct"/>
            <w:textDirection w:val="btLr"/>
          </w:tcPr>
          <w:p w14:paraId="3958F74E"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56" w:type="pct"/>
            <w:textDirection w:val="btLr"/>
          </w:tcPr>
          <w:p w14:paraId="25144687"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58" w:type="pct"/>
            <w:textDirection w:val="btLr"/>
          </w:tcPr>
          <w:p w14:paraId="15E25EB2"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55" w:type="pct"/>
            <w:textDirection w:val="btLr"/>
          </w:tcPr>
          <w:p w14:paraId="2857883D"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58" w:type="pct"/>
            <w:textDirection w:val="btLr"/>
          </w:tcPr>
          <w:p w14:paraId="41126121"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55" w:type="pct"/>
            <w:textDirection w:val="btLr"/>
          </w:tcPr>
          <w:p w14:paraId="79250813"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58" w:type="pct"/>
            <w:textDirection w:val="btLr"/>
          </w:tcPr>
          <w:p w14:paraId="1CB3BFFC"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50" w:type="pct"/>
            <w:textDirection w:val="btLr"/>
          </w:tcPr>
          <w:p w14:paraId="36D8DC6C"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r>
      <w:tr w:rsidR="00D71D62" w:rsidRPr="00C61187" w14:paraId="4B11CDB5" w14:textId="77777777" w:rsidTr="0084092C">
        <w:trPr>
          <w:cnfStyle w:val="000000010000" w:firstRow="0" w:lastRow="0" w:firstColumn="0" w:lastColumn="0" w:oddVBand="0" w:evenVBand="0" w:oddHBand="0" w:evenHBand="1" w:firstRowFirstColumn="0" w:firstRowLastColumn="0" w:lastRowFirstColumn="0" w:lastRowLastColumn="0"/>
          <w:trHeight w:val="148"/>
        </w:trPr>
        <w:tc>
          <w:tcPr>
            <w:tcW w:w="994" w:type="pct"/>
            <w:vMerge w:val="restart"/>
          </w:tcPr>
          <w:p w14:paraId="10556617"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Fiji Program Support Facility  </w:t>
            </w:r>
          </w:p>
        </w:tc>
        <w:tc>
          <w:tcPr>
            <w:tcW w:w="720" w:type="pct"/>
            <w:vMerge w:val="restart"/>
          </w:tcPr>
          <w:p w14:paraId="373A3435" w14:textId="77777777" w:rsidR="000B7DF4" w:rsidRPr="0089358E" w:rsidRDefault="000B7DF4" w:rsidP="0089358E">
            <w:pPr>
              <w:keepLines/>
              <w:spacing w:before="40" w:after="40" w:line="200" w:lineRule="atLeast"/>
              <w:rPr>
                <w:rFonts w:asciiTheme="minorHAnsi" w:eastAsia="Times New Roman" w:hAnsiTheme="minorHAnsi"/>
                <w:iCs/>
                <w:szCs w:val="17"/>
                <w:lang w:eastAsia="en-US"/>
              </w:rPr>
            </w:pPr>
            <w:r w:rsidRPr="0089358E">
              <w:rPr>
                <w:rFonts w:asciiTheme="minorHAnsi" w:eastAsia="Times New Roman" w:hAnsiTheme="minorHAnsi"/>
                <w:iCs/>
                <w:szCs w:val="17"/>
                <w:lang w:eastAsia="en-US"/>
              </w:rPr>
              <w:t xml:space="preserve">$66.045 m </w:t>
            </w:r>
          </w:p>
          <w:p w14:paraId="4EF1A367" w14:textId="77777777" w:rsidR="000B7DF4" w:rsidRPr="00880004" w:rsidRDefault="000B7DF4" w:rsidP="0089358E">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w:t>
            </w:r>
            <w:r>
              <w:rPr>
                <w:rFonts w:asciiTheme="minorHAnsi" w:eastAsia="Times New Roman" w:hAnsiTheme="minorHAnsi"/>
                <w:iCs/>
                <w:szCs w:val="17"/>
                <w:lang w:eastAsia="en-US"/>
              </w:rPr>
              <w:t xml:space="preserve">16-22 </w:t>
            </w:r>
            <w:r w:rsidRPr="00880004">
              <w:rPr>
                <w:rFonts w:asciiTheme="minorHAnsi" w:eastAsia="Times New Roman" w:hAnsiTheme="minorHAnsi"/>
                <w:iCs/>
                <w:szCs w:val="17"/>
                <w:lang w:eastAsia="en-US"/>
              </w:rPr>
              <w:t xml:space="preserve"> </w:t>
            </w:r>
          </w:p>
        </w:tc>
        <w:tc>
          <w:tcPr>
            <w:tcW w:w="456" w:type="pct"/>
          </w:tcPr>
          <w:p w14:paraId="27169191"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80004">
              <w:rPr>
                <w:rFonts w:asciiTheme="minorHAnsi" w:eastAsia="Times New Roman" w:hAnsiTheme="minorHAnsi"/>
                <w:iCs/>
                <w:szCs w:val="17"/>
                <w:lang w:eastAsia="en-US"/>
              </w:rPr>
              <w:t xml:space="preserve"> AQC</w:t>
            </w:r>
          </w:p>
        </w:tc>
        <w:tc>
          <w:tcPr>
            <w:tcW w:w="458" w:type="pct"/>
            <w:shd w:val="clear" w:color="auto" w:fill="92D050"/>
            <w:noWrap/>
          </w:tcPr>
          <w:p w14:paraId="27DB37C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5</w:t>
            </w:r>
          </w:p>
        </w:tc>
        <w:tc>
          <w:tcPr>
            <w:tcW w:w="455" w:type="pct"/>
            <w:shd w:val="clear" w:color="auto" w:fill="FFFF00"/>
            <w:noWrap/>
          </w:tcPr>
          <w:p w14:paraId="1FF78771"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4</w:t>
            </w:r>
          </w:p>
        </w:tc>
        <w:tc>
          <w:tcPr>
            <w:tcW w:w="458" w:type="pct"/>
            <w:shd w:val="clear" w:color="auto" w:fill="FFC000"/>
            <w:noWrap/>
          </w:tcPr>
          <w:p w14:paraId="7613ABBA"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5" w:type="pct"/>
            <w:shd w:val="clear" w:color="auto" w:fill="FFFF00"/>
            <w:noWrap/>
          </w:tcPr>
          <w:p w14:paraId="6BAFE8D1"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FFFF00"/>
            <w:noWrap/>
          </w:tcPr>
          <w:p w14:paraId="568389A5"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0" w:type="pct"/>
            <w:shd w:val="clear" w:color="auto" w:fill="FFFF00"/>
            <w:noWrap/>
          </w:tcPr>
          <w:p w14:paraId="0F445231"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71D62" w:rsidRPr="00C61187" w14:paraId="08A55B1B" w14:textId="77777777" w:rsidTr="000957A8">
        <w:trPr>
          <w:cnfStyle w:val="000000010000" w:firstRow="0" w:lastRow="0" w:firstColumn="0" w:lastColumn="0" w:oddVBand="0" w:evenVBand="0" w:oddHBand="0" w:evenHBand="1" w:firstRowFirstColumn="0" w:firstRowLastColumn="0" w:lastRowFirstColumn="0" w:lastRowLastColumn="0"/>
          <w:trHeight w:val="148"/>
        </w:trPr>
        <w:tc>
          <w:tcPr>
            <w:tcW w:w="994" w:type="pct"/>
            <w:vMerge/>
          </w:tcPr>
          <w:p w14:paraId="050D8388"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p>
        </w:tc>
        <w:tc>
          <w:tcPr>
            <w:tcW w:w="720" w:type="pct"/>
            <w:vMerge/>
          </w:tcPr>
          <w:p w14:paraId="727BA5A9"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p>
        </w:tc>
        <w:tc>
          <w:tcPr>
            <w:tcW w:w="456" w:type="pct"/>
          </w:tcPr>
          <w:p w14:paraId="0C8F3983" w14:textId="77777777" w:rsidR="000B7DF4" w:rsidRPr="00361975" w:rsidRDefault="000B7DF4" w:rsidP="008E38F7">
            <w:pPr>
              <w:keepLines/>
              <w:spacing w:before="40" w:after="40" w:line="200" w:lineRule="atLeast"/>
              <w:rPr>
                <w:rFonts w:asciiTheme="minorHAnsi" w:eastAsia="Times New Roman" w:hAnsiTheme="minorHAnsi"/>
                <w:b/>
                <w:iCs/>
                <w:szCs w:val="17"/>
                <w:lang w:eastAsia="en-US"/>
              </w:rPr>
            </w:pPr>
            <w:r w:rsidRPr="00361975">
              <w:rPr>
                <w:rFonts w:asciiTheme="minorHAnsi" w:eastAsia="Times New Roman" w:hAnsiTheme="minorHAnsi"/>
                <w:b/>
                <w:iCs/>
                <w:szCs w:val="17"/>
                <w:lang w:eastAsia="en-US"/>
              </w:rPr>
              <w:t>2017 AQC</w:t>
            </w:r>
          </w:p>
        </w:tc>
        <w:tc>
          <w:tcPr>
            <w:tcW w:w="458" w:type="pct"/>
            <w:shd w:val="clear" w:color="auto" w:fill="auto"/>
            <w:noWrap/>
          </w:tcPr>
          <w:p w14:paraId="6D9E067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55" w:type="pct"/>
            <w:shd w:val="clear" w:color="auto" w:fill="auto"/>
            <w:noWrap/>
          </w:tcPr>
          <w:p w14:paraId="626B060E"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58" w:type="pct"/>
            <w:shd w:val="clear" w:color="auto" w:fill="auto"/>
            <w:noWrap/>
          </w:tcPr>
          <w:p w14:paraId="3ED4269F"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55" w:type="pct"/>
            <w:shd w:val="clear" w:color="auto" w:fill="auto"/>
            <w:noWrap/>
          </w:tcPr>
          <w:p w14:paraId="6BDA6BF0"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58" w:type="pct"/>
            <w:shd w:val="clear" w:color="auto" w:fill="auto"/>
            <w:noWrap/>
          </w:tcPr>
          <w:p w14:paraId="356BCFA6"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50" w:type="pct"/>
            <w:shd w:val="clear" w:color="auto" w:fill="auto"/>
            <w:noWrap/>
          </w:tcPr>
          <w:p w14:paraId="0409D7B8"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84092C" w:rsidRPr="00880004" w14:paraId="6AB3BCDE" w14:textId="77777777" w:rsidTr="000957A8">
        <w:trPr>
          <w:cnfStyle w:val="000000010000" w:firstRow="0" w:lastRow="0" w:firstColumn="0" w:lastColumn="0" w:oddVBand="0" w:evenVBand="0" w:oddHBand="0" w:evenHBand="1" w:firstRowFirstColumn="0" w:firstRowLastColumn="0" w:lastRowFirstColumn="0" w:lastRowLastColumn="0"/>
          <w:trHeight w:val="148"/>
        </w:trPr>
        <w:tc>
          <w:tcPr>
            <w:tcW w:w="994" w:type="pct"/>
            <w:vMerge w:val="restart"/>
          </w:tcPr>
          <w:p w14:paraId="4AA4C332" w14:textId="77777777" w:rsidR="0084092C" w:rsidRPr="00880004" w:rsidRDefault="0084092C" w:rsidP="0038169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Fiji Bilateral Governance Program</w:t>
            </w:r>
            <w:r w:rsidR="00485D7E">
              <w:rPr>
                <w:rStyle w:val="FootnoteReference"/>
                <w:rFonts w:asciiTheme="minorHAnsi" w:eastAsia="Times New Roman" w:hAnsiTheme="minorHAnsi"/>
                <w:iCs/>
                <w:szCs w:val="17"/>
                <w:lang w:eastAsia="en-US"/>
              </w:rPr>
              <w:footnoteReference w:id="15"/>
            </w:r>
          </w:p>
        </w:tc>
        <w:tc>
          <w:tcPr>
            <w:tcW w:w="720" w:type="pct"/>
            <w:vMerge w:val="restart"/>
          </w:tcPr>
          <w:p w14:paraId="2DE12B55" w14:textId="77777777" w:rsidR="0084092C" w:rsidRPr="0089358E" w:rsidRDefault="0084092C" w:rsidP="0089358E">
            <w:pPr>
              <w:keepLines/>
              <w:spacing w:before="40" w:after="40" w:line="200" w:lineRule="atLeast"/>
              <w:rPr>
                <w:rFonts w:asciiTheme="minorHAnsi" w:eastAsia="Times New Roman" w:hAnsiTheme="minorHAnsi"/>
                <w:iCs/>
                <w:szCs w:val="17"/>
                <w:lang w:eastAsia="en-US"/>
              </w:rPr>
            </w:pPr>
            <w:r w:rsidRPr="0089358E">
              <w:rPr>
                <w:rFonts w:asciiTheme="minorHAnsi" w:eastAsia="Times New Roman" w:hAnsiTheme="minorHAnsi"/>
                <w:iCs/>
                <w:szCs w:val="17"/>
                <w:lang w:eastAsia="en-US"/>
              </w:rPr>
              <w:t>$</w:t>
            </w:r>
            <w:r w:rsidR="00612DD3">
              <w:rPr>
                <w:rFonts w:asciiTheme="minorHAnsi" w:eastAsia="Times New Roman" w:hAnsiTheme="minorHAnsi"/>
                <w:iCs/>
                <w:szCs w:val="17"/>
                <w:lang w:eastAsia="en-US"/>
              </w:rPr>
              <w:t>25.8</w:t>
            </w:r>
            <w:r w:rsidRPr="0089358E">
              <w:rPr>
                <w:rFonts w:asciiTheme="minorHAnsi" w:eastAsia="Times New Roman" w:hAnsiTheme="minorHAnsi"/>
                <w:iCs/>
                <w:szCs w:val="17"/>
                <w:lang w:eastAsia="en-US"/>
              </w:rPr>
              <w:t xml:space="preserve"> </w:t>
            </w:r>
          </w:p>
          <w:p w14:paraId="32483160" w14:textId="77777777" w:rsidR="0084092C" w:rsidRPr="00880004" w:rsidRDefault="0084092C" w:rsidP="0038169A">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w:t>
            </w:r>
            <w:r>
              <w:rPr>
                <w:rFonts w:asciiTheme="minorHAnsi" w:eastAsia="Times New Roman" w:hAnsiTheme="minorHAnsi"/>
                <w:iCs/>
                <w:szCs w:val="17"/>
                <w:lang w:eastAsia="en-US"/>
              </w:rPr>
              <w:t xml:space="preserve">14-20 </w:t>
            </w:r>
            <w:r w:rsidRPr="00880004">
              <w:rPr>
                <w:rFonts w:asciiTheme="minorHAnsi" w:eastAsia="Times New Roman" w:hAnsiTheme="minorHAnsi"/>
                <w:iCs/>
                <w:szCs w:val="17"/>
                <w:lang w:eastAsia="en-US"/>
              </w:rPr>
              <w:t xml:space="preserve"> </w:t>
            </w:r>
          </w:p>
        </w:tc>
        <w:tc>
          <w:tcPr>
            <w:tcW w:w="456" w:type="pct"/>
          </w:tcPr>
          <w:p w14:paraId="169AED05" w14:textId="77777777" w:rsidR="0084092C" w:rsidRPr="00880004" w:rsidRDefault="0084092C" w:rsidP="0038169A">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80004">
              <w:rPr>
                <w:rFonts w:asciiTheme="minorHAnsi" w:eastAsia="Times New Roman" w:hAnsiTheme="minorHAnsi"/>
                <w:iCs/>
                <w:szCs w:val="17"/>
                <w:lang w:eastAsia="en-US"/>
              </w:rPr>
              <w:t xml:space="preserve"> AQC</w:t>
            </w:r>
          </w:p>
        </w:tc>
        <w:tc>
          <w:tcPr>
            <w:tcW w:w="458" w:type="pct"/>
            <w:shd w:val="clear" w:color="auto" w:fill="92D050"/>
            <w:noWrap/>
          </w:tcPr>
          <w:p w14:paraId="508394AF"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5</w:t>
            </w:r>
          </w:p>
        </w:tc>
        <w:tc>
          <w:tcPr>
            <w:tcW w:w="455" w:type="pct"/>
            <w:shd w:val="clear" w:color="auto" w:fill="FFFF00"/>
            <w:noWrap/>
          </w:tcPr>
          <w:p w14:paraId="62EBDC6E"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FFFF00"/>
            <w:noWrap/>
          </w:tcPr>
          <w:p w14:paraId="0D746685"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4</w:t>
            </w:r>
          </w:p>
        </w:tc>
        <w:tc>
          <w:tcPr>
            <w:tcW w:w="455" w:type="pct"/>
            <w:shd w:val="clear" w:color="auto" w:fill="FFFF00"/>
            <w:noWrap/>
          </w:tcPr>
          <w:p w14:paraId="458DA7C6"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92D050"/>
            <w:noWrap/>
          </w:tcPr>
          <w:p w14:paraId="666A3E41"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shd w:val="clear" w:color="auto" w:fill="FFC000"/>
            <w:noWrap/>
          </w:tcPr>
          <w:p w14:paraId="14E32FF6"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84092C" w:rsidRPr="00880004" w14:paraId="7A18865A" w14:textId="77777777" w:rsidTr="000957A8">
        <w:trPr>
          <w:cnfStyle w:val="000000010000" w:firstRow="0" w:lastRow="0" w:firstColumn="0" w:lastColumn="0" w:oddVBand="0" w:evenVBand="0" w:oddHBand="0" w:evenHBand="1" w:firstRowFirstColumn="0" w:firstRowLastColumn="0" w:lastRowFirstColumn="0" w:lastRowLastColumn="0"/>
          <w:trHeight w:val="148"/>
        </w:trPr>
        <w:tc>
          <w:tcPr>
            <w:tcW w:w="994" w:type="pct"/>
            <w:vMerge/>
          </w:tcPr>
          <w:p w14:paraId="0C617BF3" w14:textId="77777777" w:rsidR="0084092C" w:rsidRPr="00880004" w:rsidRDefault="0084092C" w:rsidP="0038169A">
            <w:pPr>
              <w:keepLines/>
              <w:spacing w:before="40" w:after="40" w:line="200" w:lineRule="atLeast"/>
              <w:rPr>
                <w:rFonts w:asciiTheme="minorHAnsi" w:eastAsia="Times New Roman" w:hAnsiTheme="minorHAnsi"/>
                <w:iCs/>
                <w:szCs w:val="17"/>
                <w:lang w:eastAsia="en-US"/>
              </w:rPr>
            </w:pPr>
          </w:p>
        </w:tc>
        <w:tc>
          <w:tcPr>
            <w:tcW w:w="720" w:type="pct"/>
            <w:vMerge/>
          </w:tcPr>
          <w:p w14:paraId="12DCD0F4" w14:textId="77777777" w:rsidR="0084092C" w:rsidRPr="00880004" w:rsidRDefault="0084092C" w:rsidP="0038169A">
            <w:pPr>
              <w:keepLines/>
              <w:spacing w:before="40" w:after="40" w:line="200" w:lineRule="atLeast"/>
              <w:rPr>
                <w:rFonts w:asciiTheme="minorHAnsi" w:eastAsia="Times New Roman" w:hAnsiTheme="minorHAnsi"/>
                <w:iCs/>
                <w:szCs w:val="17"/>
                <w:lang w:eastAsia="en-US"/>
              </w:rPr>
            </w:pPr>
          </w:p>
        </w:tc>
        <w:tc>
          <w:tcPr>
            <w:tcW w:w="456" w:type="pct"/>
          </w:tcPr>
          <w:p w14:paraId="3C48D28B" w14:textId="77777777" w:rsidR="0084092C" w:rsidRPr="00880004" w:rsidRDefault="0084092C" w:rsidP="0038169A">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458" w:type="pct"/>
            <w:shd w:val="clear" w:color="auto" w:fill="92D050"/>
            <w:noWrap/>
          </w:tcPr>
          <w:p w14:paraId="50C1F749"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5" w:type="pct"/>
            <w:shd w:val="clear" w:color="auto" w:fill="FFFF00"/>
            <w:noWrap/>
          </w:tcPr>
          <w:p w14:paraId="3C388EBA"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FFC000"/>
            <w:noWrap/>
          </w:tcPr>
          <w:p w14:paraId="60C83BED"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5" w:type="pct"/>
            <w:shd w:val="clear" w:color="auto" w:fill="FFC000"/>
            <w:noWrap/>
          </w:tcPr>
          <w:p w14:paraId="7CAFE270"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8" w:type="pct"/>
            <w:shd w:val="clear" w:color="auto" w:fill="FFFF00"/>
            <w:noWrap/>
          </w:tcPr>
          <w:p w14:paraId="028EDFBF"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0" w:type="pct"/>
            <w:shd w:val="clear" w:color="auto" w:fill="FFC000"/>
            <w:noWrap/>
          </w:tcPr>
          <w:p w14:paraId="3E2A5C02" w14:textId="77777777" w:rsidR="0084092C" w:rsidRPr="00880004" w:rsidRDefault="0084092C" w:rsidP="00381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D71D62" w:rsidRPr="00C61187" w14:paraId="2C8D60DB" w14:textId="77777777" w:rsidTr="00DE22D8">
        <w:trPr>
          <w:cnfStyle w:val="000000010000" w:firstRow="0" w:lastRow="0" w:firstColumn="0" w:lastColumn="0" w:oddVBand="0" w:evenVBand="0" w:oddHBand="0" w:evenHBand="1" w:firstRowFirstColumn="0" w:firstRowLastColumn="0" w:lastRowFirstColumn="0" w:lastRowLastColumn="0"/>
          <w:trHeight w:val="148"/>
        </w:trPr>
        <w:tc>
          <w:tcPr>
            <w:tcW w:w="994" w:type="pct"/>
            <w:vMerge/>
          </w:tcPr>
          <w:p w14:paraId="19E7226F"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p>
        </w:tc>
        <w:tc>
          <w:tcPr>
            <w:tcW w:w="720" w:type="pct"/>
            <w:vMerge/>
          </w:tcPr>
          <w:p w14:paraId="5320B9FD"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p>
        </w:tc>
        <w:tc>
          <w:tcPr>
            <w:tcW w:w="456" w:type="pct"/>
          </w:tcPr>
          <w:p w14:paraId="298C0B8F"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458" w:type="pct"/>
            <w:shd w:val="clear" w:color="auto" w:fill="92D050"/>
            <w:noWrap/>
          </w:tcPr>
          <w:p w14:paraId="7CA42EF5"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5" w:type="pct"/>
            <w:shd w:val="clear" w:color="auto" w:fill="FFFF00"/>
            <w:noWrap/>
          </w:tcPr>
          <w:p w14:paraId="41AA6E2E"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FFC000"/>
            <w:noWrap/>
          </w:tcPr>
          <w:p w14:paraId="4251BA3F"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5" w:type="pct"/>
            <w:shd w:val="clear" w:color="auto" w:fill="FFC000"/>
            <w:noWrap/>
          </w:tcPr>
          <w:p w14:paraId="5462CD11"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8" w:type="pct"/>
            <w:shd w:val="clear" w:color="auto" w:fill="FFFF00"/>
            <w:noWrap/>
          </w:tcPr>
          <w:p w14:paraId="6D61D845"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0" w:type="pct"/>
            <w:shd w:val="clear" w:color="auto" w:fill="FFC000"/>
            <w:noWrap/>
          </w:tcPr>
          <w:p w14:paraId="5DB2B9C3"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D71D62" w:rsidRPr="00C61187" w14:paraId="2587F42E" w14:textId="77777777" w:rsidTr="00DE22D8">
        <w:trPr>
          <w:cnfStyle w:val="000000010000" w:firstRow="0" w:lastRow="0" w:firstColumn="0" w:lastColumn="0" w:oddVBand="0" w:evenVBand="0" w:oddHBand="0" w:evenHBand="1" w:firstRowFirstColumn="0" w:firstRowLastColumn="0" w:lastRowFirstColumn="0" w:lastRowLastColumn="0"/>
          <w:trHeight w:val="148"/>
        </w:trPr>
        <w:tc>
          <w:tcPr>
            <w:tcW w:w="994" w:type="pct"/>
            <w:vMerge w:val="restart"/>
          </w:tcPr>
          <w:p w14:paraId="46C9846E"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Inclusive Economic Growth (Market Development Facility)</w:t>
            </w:r>
          </w:p>
        </w:tc>
        <w:tc>
          <w:tcPr>
            <w:tcW w:w="720" w:type="pct"/>
            <w:vMerge w:val="restart"/>
          </w:tcPr>
          <w:p w14:paraId="3BEA45C1" w14:textId="77777777" w:rsidR="000B7DF4" w:rsidRDefault="000B7DF4" w:rsidP="008E38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$17.5m</w:t>
            </w:r>
          </w:p>
          <w:p w14:paraId="2582D621"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2017-22</w:t>
            </w:r>
          </w:p>
        </w:tc>
        <w:tc>
          <w:tcPr>
            <w:tcW w:w="456" w:type="pct"/>
          </w:tcPr>
          <w:p w14:paraId="275D81BD"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80004">
              <w:rPr>
                <w:rFonts w:asciiTheme="minorHAnsi" w:eastAsia="Times New Roman" w:hAnsiTheme="minorHAnsi"/>
                <w:iCs/>
                <w:szCs w:val="17"/>
                <w:lang w:eastAsia="en-US"/>
              </w:rPr>
              <w:t xml:space="preserve"> AQC</w:t>
            </w:r>
          </w:p>
        </w:tc>
        <w:tc>
          <w:tcPr>
            <w:tcW w:w="458" w:type="pct"/>
            <w:shd w:val="clear" w:color="auto" w:fill="92D050"/>
            <w:noWrap/>
          </w:tcPr>
          <w:p w14:paraId="4946E9A8"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5" w:type="pct"/>
            <w:shd w:val="clear" w:color="auto" w:fill="FFFF00"/>
            <w:noWrap/>
          </w:tcPr>
          <w:p w14:paraId="407E9C23"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FFFF00"/>
            <w:noWrap/>
          </w:tcPr>
          <w:p w14:paraId="5438B6D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5" w:type="pct"/>
            <w:shd w:val="clear" w:color="auto" w:fill="FFFF00"/>
            <w:noWrap/>
          </w:tcPr>
          <w:p w14:paraId="1ECB44ED"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92D050"/>
            <w:noWrap/>
          </w:tcPr>
          <w:p w14:paraId="7720045F"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shd w:val="clear" w:color="auto" w:fill="92D050"/>
            <w:noWrap/>
          </w:tcPr>
          <w:p w14:paraId="2254AD45"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71D62" w:rsidRPr="00C61187" w14:paraId="061C43A8" w14:textId="77777777" w:rsidTr="00DE22D8">
        <w:trPr>
          <w:cnfStyle w:val="000000010000" w:firstRow="0" w:lastRow="0" w:firstColumn="0" w:lastColumn="0" w:oddVBand="0" w:evenVBand="0" w:oddHBand="0" w:evenHBand="1" w:firstRowFirstColumn="0" w:firstRowLastColumn="0" w:lastRowFirstColumn="0" w:lastRowLastColumn="0"/>
          <w:trHeight w:val="148"/>
        </w:trPr>
        <w:tc>
          <w:tcPr>
            <w:tcW w:w="994" w:type="pct"/>
            <w:vMerge/>
          </w:tcPr>
          <w:p w14:paraId="6BAF4075"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p>
        </w:tc>
        <w:tc>
          <w:tcPr>
            <w:tcW w:w="720" w:type="pct"/>
            <w:vMerge/>
          </w:tcPr>
          <w:p w14:paraId="3D48A7BD"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p>
        </w:tc>
        <w:tc>
          <w:tcPr>
            <w:tcW w:w="456" w:type="pct"/>
          </w:tcPr>
          <w:p w14:paraId="2757D268"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458" w:type="pct"/>
            <w:shd w:val="clear" w:color="auto" w:fill="92D050"/>
            <w:noWrap/>
          </w:tcPr>
          <w:p w14:paraId="6F2FA3F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5" w:type="pct"/>
            <w:shd w:val="clear" w:color="auto" w:fill="FFFF00"/>
            <w:noWrap/>
          </w:tcPr>
          <w:p w14:paraId="11B21FD0"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8" w:type="pct"/>
            <w:shd w:val="clear" w:color="auto" w:fill="FFFF00"/>
            <w:noWrap/>
          </w:tcPr>
          <w:p w14:paraId="797B2362"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5" w:type="pct"/>
            <w:shd w:val="clear" w:color="auto" w:fill="92D050"/>
            <w:noWrap/>
          </w:tcPr>
          <w:p w14:paraId="040968FB"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8" w:type="pct"/>
            <w:shd w:val="clear" w:color="auto" w:fill="92D050"/>
            <w:noWrap/>
          </w:tcPr>
          <w:p w14:paraId="780D1AC1"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shd w:val="clear" w:color="auto" w:fill="92D050"/>
            <w:noWrap/>
          </w:tcPr>
          <w:p w14:paraId="29C85972"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71D62" w:rsidRPr="00C61187" w14:paraId="2AA8A906" w14:textId="77777777" w:rsidTr="00DE22D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148"/>
        </w:trPr>
        <w:tc>
          <w:tcPr>
            <w:tcW w:w="994" w:type="pct"/>
            <w:vMerge w:val="restart"/>
          </w:tcPr>
          <w:p w14:paraId="055C4453" w14:textId="77777777" w:rsidR="000B7DF4" w:rsidRPr="009D6A3A" w:rsidRDefault="000B7DF4" w:rsidP="008E38F7">
            <w:pPr>
              <w:keepLines/>
              <w:spacing w:before="40" w:after="40" w:line="200" w:lineRule="atLeast"/>
              <w:rPr>
                <w:rFonts w:asciiTheme="minorHAnsi" w:eastAsia="Times New Roman" w:hAnsiTheme="minorHAnsi"/>
                <w:b w:val="0"/>
                <w:iCs/>
                <w:szCs w:val="17"/>
                <w:lang w:eastAsia="en-US"/>
              </w:rPr>
            </w:pPr>
            <w:r w:rsidRPr="009D6A3A">
              <w:rPr>
                <w:rFonts w:asciiTheme="minorHAnsi" w:eastAsia="Times New Roman" w:hAnsiTheme="minorHAnsi"/>
                <w:b w:val="0"/>
                <w:iCs/>
                <w:szCs w:val="17"/>
                <w:lang w:eastAsia="en-US"/>
              </w:rPr>
              <w:t xml:space="preserve">Supporting Private Sector Development in Fiji  </w:t>
            </w:r>
          </w:p>
        </w:tc>
        <w:tc>
          <w:tcPr>
            <w:tcW w:w="720" w:type="pct"/>
            <w:vMerge w:val="restart"/>
          </w:tcPr>
          <w:p w14:paraId="3FB5D1C9" w14:textId="77777777" w:rsidR="000B7DF4" w:rsidRPr="0089358E" w:rsidRDefault="000B7DF4" w:rsidP="0089358E">
            <w:pPr>
              <w:keepLines/>
              <w:spacing w:before="40" w:after="40" w:line="200" w:lineRule="atLeast"/>
              <w:rPr>
                <w:rFonts w:asciiTheme="minorHAnsi" w:eastAsia="Times New Roman" w:hAnsiTheme="minorHAnsi"/>
                <w:b w:val="0"/>
                <w:iCs/>
                <w:szCs w:val="17"/>
                <w:lang w:eastAsia="en-US"/>
              </w:rPr>
            </w:pPr>
            <w:r w:rsidRPr="0089358E">
              <w:rPr>
                <w:rFonts w:asciiTheme="minorHAnsi" w:eastAsia="Times New Roman" w:hAnsiTheme="minorHAnsi"/>
                <w:b w:val="0"/>
                <w:iCs/>
                <w:szCs w:val="17"/>
                <w:lang w:eastAsia="en-US"/>
              </w:rPr>
              <w:t xml:space="preserve">$12 m </w:t>
            </w:r>
          </w:p>
          <w:p w14:paraId="3D3DD73F" w14:textId="77777777" w:rsidR="000B7DF4" w:rsidRPr="009D6A3A" w:rsidRDefault="000B7DF4" w:rsidP="0089358E">
            <w:pPr>
              <w:keepLines/>
              <w:spacing w:before="40" w:after="40" w:line="200" w:lineRule="atLeast"/>
              <w:rPr>
                <w:rFonts w:asciiTheme="minorHAnsi" w:eastAsia="Times New Roman" w:hAnsiTheme="minorHAnsi"/>
                <w:b w:val="0"/>
                <w:iCs/>
                <w:szCs w:val="17"/>
                <w:lang w:eastAsia="en-US"/>
              </w:rPr>
            </w:pPr>
            <w:r w:rsidRPr="009D6A3A">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16-20</w:t>
            </w:r>
            <w:r w:rsidRPr="009D6A3A">
              <w:rPr>
                <w:rFonts w:asciiTheme="minorHAnsi" w:eastAsia="Times New Roman" w:hAnsiTheme="minorHAnsi"/>
                <w:b w:val="0"/>
                <w:iCs/>
                <w:szCs w:val="17"/>
                <w:lang w:eastAsia="en-US"/>
              </w:rPr>
              <w:t xml:space="preserve">  </w:t>
            </w:r>
          </w:p>
        </w:tc>
        <w:tc>
          <w:tcPr>
            <w:tcW w:w="456" w:type="pct"/>
          </w:tcPr>
          <w:p w14:paraId="087773D1" w14:textId="77777777" w:rsidR="000B7DF4" w:rsidRPr="0084092C" w:rsidRDefault="000B7DF4" w:rsidP="008E38F7">
            <w:pPr>
              <w:keepLines/>
              <w:spacing w:before="40" w:after="40" w:line="200" w:lineRule="atLeast"/>
              <w:rPr>
                <w:rFonts w:asciiTheme="minorHAnsi" w:eastAsia="Times New Roman" w:hAnsiTheme="minorHAnsi"/>
                <w:b w:val="0"/>
                <w:iCs/>
                <w:szCs w:val="17"/>
                <w:lang w:eastAsia="en-US"/>
              </w:rPr>
            </w:pPr>
            <w:r w:rsidRPr="0084092C">
              <w:rPr>
                <w:rFonts w:asciiTheme="minorHAnsi" w:eastAsia="Times New Roman" w:hAnsiTheme="minorHAnsi"/>
                <w:b w:val="0"/>
                <w:iCs/>
                <w:szCs w:val="17"/>
                <w:lang w:eastAsia="en-US"/>
              </w:rPr>
              <w:t>2018 AQC</w:t>
            </w:r>
          </w:p>
        </w:tc>
        <w:tc>
          <w:tcPr>
            <w:tcW w:w="458" w:type="pct"/>
            <w:shd w:val="clear" w:color="auto" w:fill="92D050"/>
            <w:noWrap/>
          </w:tcPr>
          <w:p w14:paraId="69A2C9ED"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c>
          <w:tcPr>
            <w:tcW w:w="455" w:type="pct"/>
            <w:shd w:val="clear" w:color="auto" w:fill="92D050"/>
            <w:noWrap/>
          </w:tcPr>
          <w:p w14:paraId="2529815C"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c>
          <w:tcPr>
            <w:tcW w:w="458" w:type="pct"/>
            <w:shd w:val="clear" w:color="auto" w:fill="92D050"/>
            <w:noWrap/>
          </w:tcPr>
          <w:p w14:paraId="44546E5A"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c>
          <w:tcPr>
            <w:tcW w:w="455" w:type="pct"/>
            <w:shd w:val="clear" w:color="auto" w:fill="FFFF00"/>
            <w:noWrap/>
          </w:tcPr>
          <w:p w14:paraId="761A5AEB"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8" w:type="pct"/>
            <w:shd w:val="clear" w:color="auto" w:fill="FFFF00"/>
            <w:noWrap/>
          </w:tcPr>
          <w:p w14:paraId="6C1EDC9C"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sidRPr="009D6A3A">
              <w:rPr>
                <w:rFonts w:asciiTheme="minorHAnsi" w:eastAsia="Times New Roman" w:hAnsiTheme="minorHAnsi"/>
                <w:b w:val="0"/>
                <w:iCs/>
                <w:szCs w:val="17"/>
                <w:lang w:eastAsia="en-US"/>
              </w:rPr>
              <w:t>4</w:t>
            </w:r>
          </w:p>
        </w:tc>
        <w:tc>
          <w:tcPr>
            <w:tcW w:w="450" w:type="pct"/>
            <w:shd w:val="clear" w:color="auto" w:fill="FFFF00"/>
            <w:noWrap/>
          </w:tcPr>
          <w:p w14:paraId="77023498"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sidRPr="009D6A3A">
              <w:rPr>
                <w:rFonts w:asciiTheme="minorHAnsi" w:eastAsia="Times New Roman" w:hAnsiTheme="minorHAnsi"/>
                <w:b w:val="0"/>
                <w:iCs/>
                <w:szCs w:val="17"/>
                <w:lang w:eastAsia="en-US"/>
              </w:rPr>
              <w:t>4</w:t>
            </w:r>
          </w:p>
        </w:tc>
      </w:tr>
      <w:tr w:rsidR="000B7DF4" w:rsidRPr="00C61187" w14:paraId="3019E16B" w14:textId="77777777" w:rsidTr="00DE22D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148"/>
        </w:trPr>
        <w:tc>
          <w:tcPr>
            <w:tcW w:w="994" w:type="pct"/>
            <w:vMerge/>
          </w:tcPr>
          <w:p w14:paraId="2369241F" w14:textId="77777777" w:rsidR="000B7DF4" w:rsidRPr="00456ABB" w:rsidRDefault="000B7DF4" w:rsidP="008E38F7">
            <w:pPr>
              <w:keepLines/>
              <w:spacing w:before="40" w:after="40" w:line="200" w:lineRule="atLeast"/>
              <w:rPr>
                <w:rFonts w:asciiTheme="minorHAnsi" w:eastAsia="Times New Roman" w:hAnsiTheme="minorHAnsi"/>
                <w:b w:val="0"/>
                <w:iCs/>
                <w:szCs w:val="17"/>
                <w:lang w:eastAsia="en-US"/>
              </w:rPr>
            </w:pPr>
          </w:p>
        </w:tc>
        <w:tc>
          <w:tcPr>
            <w:tcW w:w="720" w:type="pct"/>
            <w:vMerge/>
          </w:tcPr>
          <w:p w14:paraId="139B840B" w14:textId="77777777" w:rsidR="000B7DF4" w:rsidRPr="00456ABB" w:rsidRDefault="000B7DF4" w:rsidP="008E38F7">
            <w:pPr>
              <w:keepLines/>
              <w:spacing w:before="40" w:after="40" w:line="200" w:lineRule="atLeast"/>
              <w:rPr>
                <w:rFonts w:asciiTheme="minorHAnsi" w:eastAsia="Times New Roman" w:hAnsiTheme="minorHAnsi"/>
                <w:b w:val="0"/>
                <w:iCs/>
                <w:szCs w:val="17"/>
                <w:lang w:eastAsia="en-US"/>
              </w:rPr>
            </w:pPr>
          </w:p>
        </w:tc>
        <w:tc>
          <w:tcPr>
            <w:tcW w:w="456" w:type="pct"/>
          </w:tcPr>
          <w:p w14:paraId="5025581C" w14:textId="77777777" w:rsidR="000B7DF4" w:rsidRPr="0084092C" w:rsidRDefault="000B7DF4" w:rsidP="008E38F7">
            <w:pPr>
              <w:keepLines/>
              <w:spacing w:before="40" w:after="40" w:line="200" w:lineRule="atLeast"/>
              <w:rPr>
                <w:rFonts w:asciiTheme="minorHAnsi" w:eastAsia="Times New Roman" w:hAnsiTheme="minorHAnsi"/>
                <w:b w:val="0"/>
                <w:iCs/>
                <w:szCs w:val="17"/>
                <w:lang w:eastAsia="en-US"/>
              </w:rPr>
            </w:pPr>
            <w:r w:rsidRPr="0084092C">
              <w:rPr>
                <w:rFonts w:asciiTheme="minorHAnsi" w:eastAsia="Times New Roman" w:hAnsiTheme="minorHAnsi"/>
                <w:b w:val="0"/>
                <w:iCs/>
                <w:szCs w:val="17"/>
              </w:rPr>
              <w:t>2017 AQC</w:t>
            </w:r>
            <w:r w:rsidRPr="0084092C">
              <w:rPr>
                <w:rStyle w:val="FootnoteReference"/>
                <w:rFonts w:asciiTheme="minorHAnsi" w:eastAsia="Times New Roman" w:hAnsiTheme="minorHAnsi"/>
                <w:b w:val="0"/>
                <w:iCs/>
                <w:szCs w:val="17"/>
              </w:rPr>
              <w:footnoteReference w:id="16"/>
            </w:r>
          </w:p>
        </w:tc>
        <w:tc>
          <w:tcPr>
            <w:tcW w:w="458" w:type="pct"/>
            <w:noWrap/>
          </w:tcPr>
          <w:p w14:paraId="43B21A44"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455" w:type="pct"/>
            <w:noWrap/>
          </w:tcPr>
          <w:p w14:paraId="22A6725B"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458" w:type="pct"/>
            <w:noWrap/>
          </w:tcPr>
          <w:p w14:paraId="667DC3C1"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455" w:type="pct"/>
            <w:noWrap/>
          </w:tcPr>
          <w:p w14:paraId="01CBB3E2"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458" w:type="pct"/>
            <w:noWrap/>
          </w:tcPr>
          <w:p w14:paraId="7EC0A6BC"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450" w:type="pct"/>
            <w:noWrap/>
          </w:tcPr>
          <w:p w14:paraId="3FC97EFF"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r>
      <w:tr w:rsidR="00D71D62" w:rsidRPr="00C61187" w14:paraId="5AA5192B" w14:textId="77777777" w:rsidTr="00DE22D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148"/>
        </w:trPr>
        <w:tc>
          <w:tcPr>
            <w:tcW w:w="994" w:type="pct"/>
            <w:vMerge w:val="restart"/>
          </w:tcPr>
          <w:p w14:paraId="6BE9851C" w14:textId="77777777" w:rsidR="0084092C" w:rsidRDefault="0084092C" w:rsidP="008E38F7">
            <w:pPr>
              <w:keepLines/>
              <w:spacing w:before="40" w:after="40" w:line="200" w:lineRule="atLeast"/>
              <w:rPr>
                <w:rFonts w:asciiTheme="minorHAnsi" w:eastAsia="Times New Roman" w:hAnsiTheme="minorHAnsi"/>
                <w:b w:val="0"/>
                <w:iCs/>
                <w:szCs w:val="17"/>
                <w:lang w:eastAsia="en-US"/>
              </w:rPr>
            </w:pPr>
          </w:p>
          <w:p w14:paraId="78A468B2" w14:textId="77777777" w:rsidR="000B7DF4" w:rsidRPr="009D6A3A" w:rsidRDefault="000B7DF4" w:rsidP="008E38F7">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Pacific Women Fiji Country Plan</w:t>
            </w:r>
          </w:p>
        </w:tc>
        <w:tc>
          <w:tcPr>
            <w:tcW w:w="720" w:type="pct"/>
            <w:vMerge w:val="restart"/>
          </w:tcPr>
          <w:p w14:paraId="565179A9" w14:textId="77777777" w:rsidR="000B7DF4" w:rsidRPr="0089358E" w:rsidRDefault="000B7DF4" w:rsidP="0089358E">
            <w:pPr>
              <w:keepLines/>
              <w:spacing w:before="40" w:after="40" w:line="200" w:lineRule="atLeast"/>
              <w:rPr>
                <w:rFonts w:asciiTheme="minorHAnsi" w:eastAsia="Times New Roman" w:hAnsiTheme="minorHAnsi"/>
                <w:b w:val="0"/>
                <w:iCs/>
                <w:szCs w:val="17"/>
                <w:lang w:eastAsia="en-US"/>
              </w:rPr>
            </w:pPr>
            <w:r w:rsidRPr="0089358E">
              <w:rPr>
                <w:rFonts w:asciiTheme="minorHAnsi" w:eastAsia="Times New Roman" w:hAnsiTheme="minorHAnsi"/>
                <w:b w:val="0"/>
                <w:iCs/>
                <w:szCs w:val="17"/>
                <w:lang w:eastAsia="en-US"/>
              </w:rPr>
              <w:t>$26.3m</w:t>
            </w:r>
          </w:p>
          <w:p w14:paraId="0EB5321F" w14:textId="77777777" w:rsidR="000B7DF4" w:rsidRPr="009D6A3A" w:rsidRDefault="000B7DF4" w:rsidP="0089358E">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2014-22</w:t>
            </w:r>
            <w:r w:rsidRPr="009D6A3A">
              <w:rPr>
                <w:rFonts w:asciiTheme="minorHAnsi" w:eastAsia="Times New Roman" w:hAnsiTheme="minorHAnsi"/>
                <w:b w:val="0"/>
                <w:iCs/>
                <w:szCs w:val="17"/>
                <w:lang w:eastAsia="en-US"/>
              </w:rPr>
              <w:t xml:space="preserve">  </w:t>
            </w:r>
          </w:p>
        </w:tc>
        <w:tc>
          <w:tcPr>
            <w:tcW w:w="456" w:type="pct"/>
          </w:tcPr>
          <w:p w14:paraId="58508E0D" w14:textId="77777777" w:rsidR="000B7DF4" w:rsidRPr="0084092C" w:rsidRDefault="000B7DF4" w:rsidP="008E38F7">
            <w:pPr>
              <w:keepLines/>
              <w:spacing w:before="40" w:after="40" w:line="200" w:lineRule="atLeast"/>
              <w:rPr>
                <w:rFonts w:asciiTheme="minorHAnsi" w:eastAsia="Times New Roman" w:hAnsiTheme="minorHAnsi"/>
                <w:b w:val="0"/>
                <w:iCs/>
                <w:szCs w:val="17"/>
                <w:lang w:eastAsia="en-US"/>
              </w:rPr>
            </w:pPr>
            <w:r w:rsidRPr="0084092C">
              <w:rPr>
                <w:rFonts w:asciiTheme="minorHAnsi" w:eastAsia="Times New Roman" w:hAnsiTheme="minorHAnsi"/>
                <w:b w:val="0"/>
                <w:iCs/>
                <w:szCs w:val="17"/>
                <w:lang w:eastAsia="en-US"/>
              </w:rPr>
              <w:t>2018 AQC</w:t>
            </w:r>
          </w:p>
        </w:tc>
        <w:tc>
          <w:tcPr>
            <w:tcW w:w="458" w:type="pct"/>
            <w:shd w:val="clear" w:color="auto" w:fill="92D050"/>
            <w:noWrap/>
          </w:tcPr>
          <w:p w14:paraId="25666ACE"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 5</w:t>
            </w:r>
          </w:p>
        </w:tc>
        <w:tc>
          <w:tcPr>
            <w:tcW w:w="455" w:type="pct"/>
            <w:shd w:val="clear" w:color="auto" w:fill="FFFF00"/>
            <w:noWrap/>
          </w:tcPr>
          <w:p w14:paraId="651C31C2"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8" w:type="pct"/>
            <w:shd w:val="clear" w:color="auto" w:fill="FFFF00"/>
            <w:noWrap/>
          </w:tcPr>
          <w:p w14:paraId="05ADBFEA"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5" w:type="pct"/>
            <w:shd w:val="clear" w:color="auto" w:fill="FFFF00"/>
            <w:noWrap/>
          </w:tcPr>
          <w:p w14:paraId="75A81EB7"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8" w:type="pct"/>
            <w:shd w:val="clear" w:color="auto" w:fill="FFFF00"/>
            <w:noWrap/>
          </w:tcPr>
          <w:p w14:paraId="4DAF40D9"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0" w:type="pct"/>
            <w:shd w:val="clear" w:color="auto" w:fill="92D050"/>
            <w:noWrap/>
          </w:tcPr>
          <w:p w14:paraId="5757B419" w14:textId="77777777" w:rsidR="000B7DF4" w:rsidRPr="009D6A3A"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r>
      <w:tr w:rsidR="00D71D62" w:rsidRPr="00C61187" w14:paraId="47C4D643" w14:textId="77777777" w:rsidTr="00DE22D8">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148"/>
        </w:trPr>
        <w:tc>
          <w:tcPr>
            <w:tcW w:w="994" w:type="pct"/>
            <w:vMerge/>
          </w:tcPr>
          <w:p w14:paraId="0AC36AA7" w14:textId="77777777" w:rsidR="000B7DF4" w:rsidRPr="00456ABB" w:rsidRDefault="000B7DF4" w:rsidP="008E38F7">
            <w:pPr>
              <w:keepLines/>
              <w:spacing w:before="40" w:after="40" w:line="200" w:lineRule="atLeast"/>
              <w:rPr>
                <w:rFonts w:asciiTheme="minorHAnsi" w:eastAsia="Times New Roman" w:hAnsiTheme="minorHAnsi"/>
                <w:b w:val="0"/>
                <w:iCs/>
                <w:szCs w:val="17"/>
                <w:lang w:eastAsia="en-US"/>
              </w:rPr>
            </w:pPr>
          </w:p>
        </w:tc>
        <w:tc>
          <w:tcPr>
            <w:tcW w:w="720" w:type="pct"/>
            <w:vMerge/>
          </w:tcPr>
          <w:p w14:paraId="05DF4EF4" w14:textId="77777777" w:rsidR="000B7DF4" w:rsidRPr="00456ABB" w:rsidRDefault="000B7DF4" w:rsidP="008E38F7">
            <w:pPr>
              <w:keepLines/>
              <w:spacing w:before="40" w:after="40" w:line="200" w:lineRule="atLeast"/>
              <w:rPr>
                <w:rFonts w:asciiTheme="minorHAnsi" w:eastAsia="Times New Roman" w:hAnsiTheme="minorHAnsi"/>
                <w:b w:val="0"/>
                <w:iCs/>
                <w:szCs w:val="17"/>
                <w:lang w:eastAsia="en-US"/>
              </w:rPr>
            </w:pPr>
          </w:p>
        </w:tc>
        <w:tc>
          <w:tcPr>
            <w:tcW w:w="456" w:type="pct"/>
          </w:tcPr>
          <w:p w14:paraId="62E4A8A7" w14:textId="77777777" w:rsidR="000B7DF4" w:rsidRPr="0084092C" w:rsidRDefault="000B7DF4" w:rsidP="008E38F7">
            <w:pPr>
              <w:keepLines/>
              <w:spacing w:before="40" w:after="40" w:line="200" w:lineRule="atLeast"/>
              <w:rPr>
                <w:rFonts w:asciiTheme="minorHAnsi" w:eastAsia="Times New Roman" w:hAnsiTheme="minorHAnsi"/>
                <w:b w:val="0"/>
                <w:iCs/>
                <w:szCs w:val="17"/>
                <w:lang w:eastAsia="en-US"/>
              </w:rPr>
            </w:pPr>
            <w:r w:rsidRPr="0084092C">
              <w:rPr>
                <w:rFonts w:asciiTheme="minorHAnsi" w:eastAsia="Times New Roman" w:hAnsiTheme="minorHAnsi"/>
                <w:b w:val="0"/>
                <w:iCs/>
                <w:szCs w:val="17"/>
              </w:rPr>
              <w:t>2017 AQC</w:t>
            </w:r>
          </w:p>
        </w:tc>
        <w:tc>
          <w:tcPr>
            <w:tcW w:w="458" w:type="pct"/>
            <w:shd w:val="clear" w:color="auto" w:fill="92D050"/>
            <w:noWrap/>
          </w:tcPr>
          <w:p w14:paraId="7926E97A" w14:textId="77777777" w:rsidR="000B7DF4" w:rsidRPr="000B6A81"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c>
          <w:tcPr>
            <w:tcW w:w="455" w:type="pct"/>
            <w:shd w:val="clear" w:color="auto" w:fill="FFFF00"/>
            <w:noWrap/>
          </w:tcPr>
          <w:p w14:paraId="64D7F337" w14:textId="77777777" w:rsidR="000B7DF4" w:rsidRPr="000B6A81"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8" w:type="pct"/>
            <w:shd w:val="clear" w:color="auto" w:fill="FFFF00"/>
            <w:noWrap/>
          </w:tcPr>
          <w:p w14:paraId="4B9A7599" w14:textId="77777777" w:rsidR="000B7DF4" w:rsidRPr="000B6A81"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5" w:type="pct"/>
            <w:shd w:val="clear" w:color="auto" w:fill="FFFF00"/>
            <w:noWrap/>
          </w:tcPr>
          <w:p w14:paraId="7F9E48A4" w14:textId="77777777" w:rsidR="000B7DF4" w:rsidRPr="000B6A81"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4</w:t>
            </w:r>
          </w:p>
        </w:tc>
        <w:tc>
          <w:tcPr>
            <w:tcW w:w="458" w:type="pct"/>
            <w:shd w:val="clear" w:color="auto" w:fill="FFC000"/>
            <w:noWrap/>
          </w:tcPr>
          <w:p w14:paraId="7655C884" w14:textId="77777777" w:rsidR="000B7DF4" w:rsidRPr="000B6A81"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3</w:t>
            </w:r>
          </w:p>
        </w:tc>
        <w:tc>
          <w:tcPr>
            <w:tcW w:w="450" w:type="pct"/>
            <w:shd w:val="clear" w:color="auto" w:fill="92D050"/>
            <w:noWrap/>
          </w:tcPr>
          <w:p w14:paraId="53FA636B" w14:textId="77777777" w:rsidR="000B7DF4" w:rsidRPr="000B6A81" w:rsidRDefault="000B7DF4" w:rsidP="008E38F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5</w:t>
            </w:r>
          </w:p>
        </w:tc>
      </w:tr>
    </w:tbl>
    <w:p w14:paraId="655CB2BC" w14:textId="77777777" w:rsidR="001D49F0" w:rsidRPr="00591835" w:rsidRDefault="001D49F0" w:rsidP="00591835">
      <w:r w:rsidRPr="00591835">
        <w:rPr>
          <w:rFonts w:asciiTheme="majorHAnsi" w:eastAsiaTheme="majorEastAsia" w:hAnsiTheme="majorHAnsi" w:cstheme="majorBidi"/>
          <w:caps/>
          <w:sz w:val="38"/>
          <w:szCs w:val="26"/>
        </w:rPr>
        <w:t>FAQC ratings</w:t>
      </w:r>
      <w:r w:rsidR="000B7DF4" w:rsidRPr="00591835">
        <w:t xml:space="preserve"> </w:t>
      </w:r>
      <w:r w:rsidRPr="00591835">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905"/>
        <w:gridCol w:w="2112"/>
        <w:gridCol w:w="1350"/>
        <w:gridCol w:w="1347"/>
        <w:gridCol w:w="1350"/>
        <w:gridCol w:w="1347"/>
        <w:gridCol w:w="1350"/>
        <w:gridCol w:w="1347"/>
        <w:gridCol w:w="1352"/>
      </w:tblGrid>
      <w:tr w:rsidR="000B7DF4" w:rsidRPr="00C61187" w14:paraId="63F0753E" w14:textId="77777777" w:rsidTr="006342D6">
        <w:trPr>
          <w:cnfStyle w:val="000000010000" w:firstRow="0" w:lastRow="0" w:firstColumn="0" w:lastColumn="0" w:oddVBand="0" w:evenVBand="0" w:oddHBand="0" w:evenHBand="1" w:firstRowFirstColumn="0" w:firstRowLastColumn="0" w:lastRowFirstColumn="0" w:lastRowLastColumn="0"/>
          <w:trHeight w:val="791"/>
        </w:trPr>
        <w:tc>
          <w:tcPr>
            <w:tcW w:w="991" w:type="pct"/>
          </w:tcPr>
          <w:p w14:paraId="3041D3CE"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93056" behindDoc="0" locked="0" layoutInCell="1" allowOverlap="1" wp14:anchorId="15EF9553" wp14:editId="234044DB">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721" w:type="pct"/>
            <w:textDirection w:val="btLr"/>
          </w:tcPr>
          <w:p w14:paraId="686742D3"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57" w:type="pct"/>
            <w:noWrap/>
            <w:textDirection w:val="btLr"/>
          </w:tcPr>
          <w:p w14:paraId="5C7B934F"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Overall rating</w:t>
            </w:r>
          </w:p>
        </w:tc>
        <w:tc>
          <w:tcPr>
            <w:tcW w:w="456" w:type="pct"/>
            <w:noWrap/>
            <w:textDirection w:val="btLr"/>
          </w:tcPr>
          <w:p w14:paraId="0BCF24CE"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57" w:type="pct"/>
            <w:noWrap/>
            <w:textDirection w:val="btLr"/>
          </w:tcPr>
          <w:p w14:paraId="24C3A3EA"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56" w:type="pct"/>
            <w:noWrap/>
            <w:textDirection w:val="btLr"/>
          </w:tcPr>
          <w:p w14:paraId="007420E1"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57" w:type="pct"/>
            <w:noWrap/>
            <w:textDirection w:val="btLr"/>
          </w:tcPr>
          <w:p w14:paraId="021DF530"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56" w:type="pct"/>
            <w:noWrap/>
            <w:textDirection w:val="btLr"/>
          </w:tcPr>
          <w:p w14:paraId="5253F4AD"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53" w:type="pct"/>
            <w:textDirection w:val="btLr"/>
          </w:tcPr>
          <w:p w14:paraId="79DE65B3" w14:textId="77777777" w:rsidR="000B7DF4" w:rsidRPr="00880004" w:rsidRDefault="000B7DF4" w:rsidP="008E38F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r>
      <w:tr w:rsidR="000B7DF4" w:rsidRPr="00C61187" w14:paraId="6234A2A6" w14:textId="77777777" w:rsidTr="006342D6">
        <w:trPr>
          <w:cnfStyle w:val="000000010000" w:firstRow="0" w:lastRow="0" w:firstColumn="0" w:lastColumn="0" w:oddVBand="0" w:evenVBand="0" w:oddHBand="0" w:evenHBand="1" w:firstRowFirstColumn="0" w:firstRowLastColumn="0" w:lastRowFirstColumn="0" w:lastRowLastColumn="0"/>
          <w:trHeight w:val="149"/>
        </w:trPr>
        <w:tc>
          <w:tcPr>
            <w:tcW w:w="991" w:type="pct"/>
          </w:tcPr>
          <w:p w14:paraId="1ACEB70C" w14:textId="77777777" w:rsidR="000B7DF4" w:rsidRPr="00880004" w:rsidRDefault="000B7DF4" w:rsidP="008E38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Access to Quality Education</w:t>
            </w:r>
          </w:p>
        </w:tc>
        <w:tc>
          <w:tcPr>
            <w:tcW w:w="721" w:type="pct"/>
          </w:tcPr>
          <w:p w14:paraId="075113F1" w14:textId="77777777" w:rsidR="000B7DF4" w:rsidRPr="00591835" w:rsidRDefault="000B7DF4" w:rsidP="00591835">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 xml:space="preserve">64.1 </w:t>
            </w:r>
            <w:r w:rsidRPr="00880004">
              <w:rPr>
                <w:rFonts w:asciiTheme="minorHAnsi" w:hAnsiTheme="minorHAnsi" w:cs="Franklin Gothic Book"/>
                <w:color w:val="000000"/>
                <w:szCs w:val="17"/>
              </w:rPr>
              <w:t xml:space="preserve">m </w:t>
            </w:r>
            <w:r w:rsidR="00591835">
              <w:rPr>
                <w:rFonts w:asciiTheme="minorHAnsi" w:hAnsiTheme="minorHAnsi" w:cs="Franklin Gothic Book"/>
                <w:color w:val="000000"/>
                <w:szCs w:val="17"/>
              </w:rPr>
              <w:t xml:space="preserve">  </w:t>
            </w: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0</w:t>
            </w:r>
            <w:r w:rsidRPr="00880004">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880004">
              <w:rPr>
                <w:rFonts w:asciiTheme="minorHAnsi" w:eastAsia="Times New Roman" w:hAnsiTheme="minorHAnsi"/>
                <w:iCs/>
                <w:szCs w:val="17"/>
                <w:lang w:eastAsia="en-US"/>
              </w:rPr>
              <w:t xml:space="preserve"> </w:t>
            </w:r>
          </w:p>
        </w:tc>
        <w:tc>
          <w:tcPr>
            <w:tcW w:w="457" w:type="pct"/>
            <w:shd w:val="clear" w:color="auto" w:fill="FFFF00"/>
            <w:noWrap/>
          </w:tcPr>
          <w:p w14:paraId="4C76AA1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4</w:t>
            </w:r>
          </w:p>
        </w:tc>
        <w:tc>
          <w:tcPr>
            <w:tcW w:w="456" w:type="pct"/>
            <w:shd w:val="clear" w:color="auto" w:fill="92D050"/>
            <w:noWrap/>
          </w:tcPr>
          <w:p w14:paraId="7F680E44"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5</w:t>
            </w:r>
          </w:p>
        </w:tc>
        <w:tc>
          <w:tcPr>
            <w:tcW w:w="457" w:type="pct"/>
            <w:shd w:val="clear" w:color="auto" w:fill="FFFF00"/>
            <w:noWrap/>
          </w:tcPr>
          <w:p w14:paraId="55F845B5"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6" w:type="pct"/>
            <w:shd w:val="clear" w:color="auto" w:fill="FFFF00"/>
            <w:noWrap/>
          </w:tcPr>
          <w:p w14:paraId="30970619"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7" w:type="pct"/>
            <w:shd w:val="clear" w:color="auto" w:fill="FFC000"/>
            <w:noWrap/>
          </w:tcPr>
          <w:p w14:paraId="2CD1C2A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6" w:type="pct"/>
            <w:shd w:val="clear" w:color="auto" w:fill="FFFF00"/>
            <w:noWrap/>
          </w:tcPr>
          <w:p w14:paraId="062544C8"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53" w:type="pct"/>
            <w:shd w:val="clear" w:color="auto" w:fill="FFFF00"/>
          </w:tcPr>
          <w:p w14:paraId="5ECC6467" w14:textId="77777777" w:rsidR="000B7DF4" w:rsidRPr="00880004" w:rsidRDefault="000B7DF4" w:rsidP="008E38F7">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4</w:t>
            </w:r>
          </w:p>
        </w:tc>
      </w:tr>
    </w:tbl>
    <w:p w14:paraId="1850B557"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14:paraId="6B4987D2"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sz w:val="16"/>
          <w:szCs w:val="14"/>
        </w:rPr>
        <w:t>Satisfactory (4, 5 and 6)</w:t>
      </w:r>
    </w:p>
    <w:p w14:paraId="7EEC6C7C" w14:textId="77777777" w:rsidR="00591835" w:rsidRDefault="001D49F0" w:rsidP="001D49F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14:paraId="4F0AD226"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14:paraId="6D2CD471" w14:textId="77777777" w:rsidR="001D49F0" w:rsidRPr="00880004" w:rsidRDefault="001D49F0" w:rsidP="001D49F0">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14:paraId="6BDEEEAE" w14:textId="77777777" w:rsidR="00591835" w:rsidRDefault="001D49F0" w:rsidP="00591835">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14:paraId="62777E52" w14:textId="77777777" w:rsidR="00915F7D" w:rsidRPr="00591835" w:rsidRDefault="001D49F0" w:rsidP="00591835">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14:paraId="1D360C66" w14:textId="77777777" w:rsidR="00591835" w:rsidRDefault="00591835"/>
    <w:p w14:paraId="3D865B27" w14:textId="77777777" w:rsidR="0047187B" w:rsidRPr="00BF7C40" w:rsidRDefault="0047187B" w:rsidP="00915F7D">
      <w:pPr>
        <w:framePr w:hSpace="180" w:wrap="around" w:vAnchor="text" w:hAnchor="page" w:x="529" w:y="-1661"/>
        <w:tabs>
          <w:tab w:val="left" w:pos="1635"/>
        </w:tabs>
        <w:rPr>
          <w:b/>
          <w:iCs/>
          <w:sz w:val="17"/>
          <w:szCs w:val="17"/>
          <w:lang w:val="en-AU" w:eastAsia="en-AU"/>
        </w:rPr>
      </w:pPr>
    </w:p>
    <w:p w14:paraId="6663C68D" w14:textId="77777777" w:rsidR="0047187B" w:rsidRPr="00BF7C40" w:rsidRDefault="0047187B" w:rsidP="00915F7D">
      <w:pPr>
        <w:framePr w:hSpace="180" w:wrap="around" w:vAnchor="text" w:hAnchor="page" w:x="529" w:y="-1661"/>
        <w:tabs>
          <w:tab w:val="left" w:pos="1635"/>
        </w:tabs>
        <w:rPr>
          <w:b/>
          <w:iCs/>
          <w:sz w:val="17"/>
          <w:szCs w:val="17"/>
          <w:lang w:val="en-AU" w:eastAsia="en-AU"/>
        </w:rPr>
      </w:pPr>
    </w:p>
    <w:p w14:paraId="1CC4F1D5" w14:textId="77777777" w:rsidR="0047187B" w:rsidRDefault="0047187B" w:rsidP="00915F7D">
      <w:pPr>
        <w:framePr w:hSpace="180" w:wrap="around" w:vAnchor="text" w:hAnchor="page" w:x="529" w:y="-1661"/>
        <w:tabs>
          <w:tab w:val="left" w:pos="1635"/>
        </w:tabs>
        <w:rPr>
          <w:b/>
          <w:iCs/>
          <w:sz w:val="17"/>
          <w:szCs w:val="17"/>
          <w:lang w:val="en-AU" w:eastAsia="en-AU"/>
        </w:rPr>
      </w:pPr>
    </w:p>
    <w:p w14:paraId="4A7E2D5A" w14:textId="77777777" w:rsidR="0047187B" w:rsidRPr="00591835" w:rsidRDefault="0047187B" w:rsidP="0047187B">
      <w:pPr>
        <w:pStyle w:val="Subtitle"/>
      </w:pPr>
      <w:r w:rsidRPr="00591835">
        <w:t>Annex E – Performance Assessment Framework</w:t>
      </w:r>
    </w:p>
    <w:tbl>
      <w:tblPr>
        <w:tblStyle w:val="TableGrid"/>
        <w:tblW w:w="5000" w:type="pct"/>
        <w:tblLook w:val="04A0" w:firstRow="1" w:lastRow="0" w:firstColumn="1" w:lastColumn="0" w:noHBand="0" w:noVBand="1"/>
      </w:tblPr>
      <w:tblGrid>
        <w:gridCol w:w="1860"/>
        <w:gridCol w:w="1397"/>
        <w:gridCol w:w="1455"/>
        <w:gridCol w:w="1621"/>
        <w:gridCol w:w="1732"/>
        <w:gridCol w:w="1468"/>
        <w:gridCol w:w="2929"/>
        <w:gridCol w:w="1988"/>
      </w:tblGrid>
      <w:tr w:rsidR="003D024C" w14:paraId="162AF0A4" w14:textId="77777777" w:rsidTr="00E007F5">
        <w:tc>
          <w:tcPr>
            <w:tcW w:w="5000" w:type="pct"/>
            <w:gridSpan w:val="8"/>
            <w:shd w:val="clear" w:color="auto" w:fill="D5EEE0" w:themeFill="accent6" w:themeFillTint="33"/>
          </w:tcPr>
          <w:p w14:paraId="659EBFA4" w14:textId="77777777" w:rsidR="003D024C" w:rsidRPr="00362FA5" w:rsidRDefault="003D024C" w:rsidP="00E007F5">
            <w:pPr>
              <w:spacing w:before="20" w:after="20" w:line="180" w:lineRule="atLeast"/>
              <w:rPr>
                <w:rFonts w:eastAsiaTheme="majorEastAsia" w:cstheme="majorBidi"/>
                <w:bCs/>
                <w:iCs/>
                <w:caps/>
                <w:spacing w:val="-10"/>
                <w:kern w:val="28"/>
                <w:sz w:val="20"/>
                <w:szCs w:val="20"/>
              </w:rPr>
            </w:pPr>
            <w:r w:rsidRPr="00362FA5">
              <w:rPr>
                <w:b/>
                <w:iCs/>
                <w:sz w:val="20"/>
                <w:szCs w:val="20"/>
                <w:lang w:val="en-AU" w:eastAsia="en-AU"/>
              </w:rPr>
              <w:t>Australia’s Aid Objective One: Increased Private Sector Development</w:t>
            </w:r>
          </w:p>
        </w:tc>
      </w:tr>
      <w:tr w:rsidR="003D024C" w:rsidRPr="00F51A43" w14:paraId="3FD01559" w14:textId="77777777" w:rsidTr="00E007F5">
        <w:tc>
          <w:tcPr>
            <w:tcW w:w="633" w:type="pct"/>
            <w:shd w:val="clear" w:color="auto" w:fill="auto"/>
          </w:tcPr>
          <w:p w14:paraId="085E72F0" w14:textId="77777777" w:rsidR="003D024C" w:rsidRPr="00F51A43" w:rsidRDefault="003D024C" w:rsidP="00E007F5">
            <w:pPr>
              <w:spacing w:before="20" w:after="20" w:line="180" w:lineRule="atLeast"/>
              <w:rPr>
                <w:b/>
                <w:iCs/>
                <w:sz w:val="18"/>
                <w:szCs w:val="18"/>
                <w:lang w:val="en-AU" w:eastAsia="en-AU"/>
              </w:rPr>
            </w:pPr>
            <w:r w:rsidRPr="00F51A43">
              <w:rPr>
                <w:b/>
                <w:iCs/>
                <w:sz w:val="18"/>
                <w:szCs w:val="18"/>
                <w:lang w:val="en-AU" w:eastAsia="en-AU"/>
              </w:rPr>
              <w:t>Outcome</w:t>
            </w:r>
          </w:p>
        </w:tc>
        <w:tc>
          <w:tcPr>
            <w:tcW w:w="484" w:type="pct"/>
            <w:shd w:val="clear" w:color="auto" w:fill="auto"/>
          </w:tcPr>
          <w:p w14:paraId="2A6C0CDF" w14:textId="77777777" w:rsidR="003D024C" w:rsidRPr="00F51A43" w:rsidRDefault="003D024C" w:rsidP="00E007F5">
            <w:pPr>
              <w:spacing w:before="20" w:after="20" w:line="180" w:lineRule="atLeast"/>
              <w:rPr>
                <w:b/>
                <w:iCs/>
                <w:sz w:val="18"/>
                <w:szCs w:val="18"/>
                <w:lang w:val="en-AU" w:eastAsia="en-AU"/>
              </w:rPr>
            </w:pPr>
            <w:r w:rsidRPr="00F51A43">
              <w:rPr>
                <w:b/>
                <w:iCs/>
                <w:sz w:val="18"/>
                <w:szCs w:val="18"/>
                <w:lang w:val="en-AU" w:eastAsia="en-AU"/>
              </w:rPr>
              <w:t>Indicator</w:t>
            </w:r>
          </w:p>
        </w:tc>
        <w:tc>
          <w:tcPr>
            <w:tcW w:w="504" w:type="pct"/>
            <w:shd w:val="clear" w:color="auto" w:fill="auto"/>
          </w:tcPr>
          <w:p w14:paraId="0E369CE2" w14:textId="77777777" w:rsidR="003D024C" w:rsidRPr="00F51A43" w:rsidRDefault="003D024C" w:rsidP="00E007F5">
            <w:pPr>
              <w:spacing w:before="20" w:after="20" w:line="180" w:lineRule="atLeast"/>
              <w:rPr>
                <w:b/>
                <w:iCs/>
                <w:sz w:val="18"/>
                <w:szCs w:val="18"/>
                <w:lang w:val="en-AU" w:eastAsia="en-AU"/>
              </w:rPr>
            </w:pPr>
            <w:r w:rsidRPr="00F51A43">
              <w:rPr>
                <w:b/>
                <w:iCs/>
                <w:sz w:val="18"/>
                <w:szCs w:val="18"/>
                <w:lang w:val="en-AU" w:eastAsia="en-AU"/>
              </w:rPr>
              <w:t>Baseline</w:t>
            </w:r>
          </w:p>
        </w:tc>
        <w:tc>
          <w:tcPr>
            <w:tcW w:w="562" w:type="pct"/>
            <w:shd w:val="clear" w:color="auto" w:fill="auto"/>
          </w:tcPr>
          <w:p w14:paraId="602D43B8" w14:textId="77777777" w:rsidR="003D024C" w:rsidRPr="00F51A43" w:rsidRDefault="003D024C" w:rsidP="00E007F5">
            <w:pPr>
              <w:spacing w:before="20" w:after="20" w:line="180" w:lineRule="atLeast"/>
              <w:rPr>
                <w:b/>
                <w:iCs/>
                <w:sz w:val="18"/>
                <w:szCs w:val="18"/>
                <w:lang w:val="en-AU" w:eastAsia="en-AU"/>
              </w:rPr>
            </w:pPr>
            <w:r w:rsidRPr="00362FA5">
              <w:rPr>
                <w:b/>
                <w:iCs/>
                <w:sz w:val="18"/>
                <w:szCs w:val="18"/>
                <w:lang w:val="en-AU" w:eastAsia="en-AU"/>
              </w:rPr>
              <w:t>2016-17 Actual</w:t>
            </w:r>
          </w:p>
        </w:tc>
        <w:tc>
          <w:tcPr>
            <w:tcW w:w="601" w:type="pct"/>
            <w:shd w:val="clear" w:color="auto" w:fill="auto"/>
          </w:tcPr>
          <w:p w14:paraId="438BDDD5" w14:textId="77777777" w:rsidR="003D024C" w:rsidRPr="00F51A43" w:rsidRDefault="003D024C" w:rsidP="00E007F5">
            <w:pPr>
              <w:spacing w:before="20" w:after="20" w:line="180" w:lineRule="atLeast"/>
              <w:rPr>
                <w:b/>
                <w:iCs/>
                <w:sz w:val="18"/>
                <w:szCs w:val="18"/>
                <w:lang w:val="en-AU" w:eastAsia="en-AU"/>
              </w:rPr>
            </w:pPr>
            <w:r w:rsidRPr="00362FA5">
              <w:rPr>
                <w:b/>
                <w:iCs/>
                <w:sz w:val="18"/>
                <w:szCs w:val="18"/>
                <w:lang w:val="en-AU" w:eastAsia="en-AU"/>
              </w:rPr>
              <w:t>2017-18 Projected Target</w:t>
            </w:r>
          </w:p>
        </w:tc>
        <w:tc>
          <w:tcPr>
            <w:tcW w:w="509" w:type="pct"/>
            <w:shd w:val="clear" w:color="auto" w:fill="auto"/>
          </w:tcPr>
          <w:p w14:paraId="67CA151C" w14:textId="77777777" w:rsidR="003D024C" w:rsidRPr="00F51A43" w:rsidRDefault="003D024C" w:rsidP="00E007F5">
            <w:pPr>
              <w:spacing w:before="20" w:after="20" w:line="180" w:lineRule="atLeast"/>
              <w:rPr>
                <w:b/>
                <w:iCs/>
                <w:sz w:val="18"/>
                <w:szCs w:val="18"/>
                <w:lang w:val="en-AU" w:eastAsia="en-AU"/>
              </w:rPr>
            </w:pPr>
            <w:r w:rsidRPr="00362FA5">
              <w:rPr>
                <w:b/>
                <w:iCs/>
                <w:sz w:val="18"/>
                <w:szCs w:val="18"/>
                <w:lang w:val="en-AU" w:eastAsia="en-AU"/>
              </w:rPr>
              <w:t>2017-18 Actual</w:t>
            </w:r>
          </w:p>
        </w:tc>
        <w:tc>
          <w:tcPr>
            <w:tcW w:w="1017" w:type="pct"/>
            <w:shd w:val="clear" w:color="auto" w:fill="auto"/>
          </w:tcPr>
          <w:p w14:paraId="4E98C01E" w14:textId="77777777" w:rsidR="003D024C" w:rsidRPr="00F51A43" w:rsidRDefault="003D024C" w:rsidP="00E007F5">
            <w:pPr>
              <w:spacing w:before="20" w:after="20" w:line="180" w:lineRule="atLeast"/>
              <w:rPr>
                <w:b/>
                <w:iCs/>
                <w:sz w:val="18"/>
                <w:szCs w:val="18"/>
                <w:lang w:val="en-AU" w:eastAsia="en-AU"/>
              </w:rPr>
            </w:pPr>
            <w:r w:rsidRPr="00362FA5">
              <w:rPr>
                <w:b/>
                <w:iCs/>
                <w:sz w:val="18"/>
                <w:szCs w:val="18"/>
                <w:lang w:val="en-AU" w:eastAsia="en-AU"/>
              </w:rPr>
              <w:t>2017-18 Qualitative comments or explanatory notes</w:t>
            </w:r>
          </w:p>
        </w:tc>
        <w:tc>
          <w:tcPr>
            <w:tcW w:w="691" w:type="pct"/>
            <w:shd w:val="clear" w:color="auto" w:fill="auto"/>
          </w:tcPr>
          <w:p w14:paraId="550F1CC8" w14:textId="77777777" w:rsidR="003D024C" w:rsidRPr="00F51A43" w:rsidRDefault="003D024C" w:rsidP="00E007F5">
            <w:pPr>
              <w:spacing w:before="20" w:after="20" w:line="180" w:lineRule="atLeast"/>
              <w:rPr>
                <w:b/>
                <w:iCs/>
                <w:sz w:val="18"/>
                <w:szCs w:val="18"/>
                <w:lang w:val="en-AU" w:eastAsia="en-AU"/>
              </w:rPr>
            </w:pPr>
            <w:r w:rsidRPr="00362FA5">
              <w:rPr>
                <w:b/>
                <w:iCs/>
                <w:sz w:val="18"/>
                <w:szCs w:val="18"/>
                <w:lang w:val="en-AU" w:eastAsia="en-AU"/>
              </w:rPr>
              <w:t>Data source /reference documents</w:t>
            </w:r>
          </w:p>
        </w:tc>
      </w:tr>
      <w:tr w:rsidR="003D024C" w:rsidRPr="00F51A43" w14:paraId="3CAC4A3E" w14:textId="77777777" w:rsidTr="00E007F5">
        <w:tc>
          <w:tcPr>
            <w:tcW w:w="5000" w:type="pct"/>
            <w:gridSpan w:val="8"/>
            <w:shd w:val="clear" w:color="auto" w:fill="auto"/>
          </w:tcPr>
          <w:p w14:paraId="2CCFD85E" w14:textId="77777777" w:rsidR="003D024C" w:rsidRPr="00C74E15" w:rsidRDefault="003D024C" w:rsidP="00E007F5">
            <w:pPr>
              <w:spacing w:before="20" w:after="20" w:line="180" w:lineRule="atLeast"/>
              <w:rPr>
                <w:b/>
                <w:iCs/>
                <w:sz w:val="18"/>
                <w:szCs w:val="18"/>
                <w:lang w:val="en-AU" w:eastAsia="en-AU"/>
              </w:rPr>
            </w:pPr>
            <w:r>
              <w:rPr>
                <w:b/>
                <w:iCs/>
                <w:sz w:val="18"/>
                <w:szCs w:val="18"/>
                <w:lang w:val="en-AU" w:eastAsia="en-AU"/>
              </w:rPr>
              <w:t>Sub-O</w:t>
            </w:r>
            <w:r w:rsidRPr="00C74E15">
              <w:rPr>
                <w:b/>
                <w:iCs/>
                <w:sz w:val="18"/>
                <w:szCs w:val="18"/>
                <w:lang w:val="en-AU" w:eastAsia="en-AU"/>
              </w:rPr>
              <w:t>bjective: Poverty for men and women is reduced through a more inclusive and competitive private sector</w:t>
            </w:r>
          </w:p>
        </w:tc>
      </w:tr>
      <w:tr w:rsidR="003D024C" w:rsidRPr="00F51A43" w14:paraId="6280E613" w14:textId="77777777" w:rsidTr="00E007F5">
        <w:trPr>
          <w:trHeight w:val="4706"/>
        </w:trPr>
        <w:tc>
          <w:tcPr>
            <w:tcW w:w="5000" w:type="pct"/>
            <w:gridSpan w:val="8"/>
            <w:shd w:val="clear" w:color="auto" w:fill="auto"/>
          </w:tcPr>
          <w:tbl>
            <w:tblPr>
              <w:tblpPr w:leftFromText="181" w:rightFromText="181" w:vertAnchor="text" w:horzAnchor="page" w:tblpX="50" w:tblpY="-1660"/>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02"/>
              <w:gridCol w:w="1471"/>
              <w:gridCol w:w="1605"/>
              <w:gridCol w:w="1740"/>
              <w:gridCol w:w="1471"/>
              <w:gridCol w:w="2944"/>
              <w:gridCol w:w="2007"/>
            </w:tblGrid>
            <w:tr w:rsidR="003D024C" w:rsidRPr="00BF7C40" w14:paraId="5E1A8AAD" w14:textId="77777777" w:rsidTr="00E007F5">
              <w:trPr>
                <w:trHeight w:val="624"/>
              </w:trPr>
              <w:tc>
                <w:tcPr>
                  <w:tcW w:w="1812" w:type="dxa"/>
                  <w:vMerge w:val="restart"/>
                  <w:tcBorders>
                    <w:left w:val="nil"/>
                  </w:tcBorders>
                </w:tcPr>
                <w:p w14:paraId="38A8F9ED" w14:textId="77777777" w:rsidR="003D024C" w:rsidRPr="00BF7C40" w:rsidDel="006F1764" w:rsidRDefault="003D024C" w:rsidP="00E007F5">
                  <w:pPr>
                    <w:pBdr>
                      <w:top w:val="nil"/>
                      <w:left w:val="nil"/>
                      <w:bottom w:val="nil"/>
                      <w:right w:val="nil"/>
                      <w:between w:val="nil"/>
                      <w:bar w:val="nil"/>
                    </w:pBdr>
                    <w:tabs>
                      <w:tab w:val="left" w:pos="1635"/>
                    </w:tabs>
                    <w:suppressAutoHyphens w:val="0"/>
                    <w:spacing w:before="0" w:after="0" w:line="240" w:lineRule="auto"/>
                    <w:rPr>
                      <w:b/>
                      <w:sz w:val="17"/>
                      <w:szCs w:val="17"/>
                      <w:lang w:val="en-AU" w:eastAsia="en-AU"/>
                    </w:rPr>
                  </w:pPr>
                  <w:r w:rsidRPr="004943F2">
                    <w:rPr>
                      <w:b/>
                      <w:sz w:val="17"/>
                      <w:szCs w:val="17"/>
                      <w:lang w:val="en-AU" w:eastAsia="en-AU"/>
                    </w:rPr>
                    <w:t>Outcome 1:  Increased incomes for poor households</w:t>
                  </w:r>
                </w:p>
              </w:tc>
              <w:tc>
                <w:tcPr>
                  <w:tcW w:w="1402" w:type="dxa"/>
                </w:tcPr>
                <w:p w14:paraId="4588C4ED" w14:textId="77777777" w:rsidR="003D024C" w:rsidRPr="00BF7C40" w:rsidDel="006F1764" w:rsidRDefault="003D024C" w:rsidP="00E007F5">
                  <w:pPr>
                    <w:tabs>
                      <w:tab w:val="left" w:pos="1635"/>
                    </w:tabs>
                    <w:rPr>
                      <w:i/>
                      <w:sz w:val="17"/>
                      <w:szCs w:val="17"/>
                      <w:lang w:eastAsia="en-AU"/>
                    </w:rPr>
                  </w:pPr>
                  <w:r w:rsidRPr="004943F2">
                    <w:rPr>
                      <w:i/>
                      <w:sz w:val="17"/>
                      <w:szCs w:val="17"/>
                      <w:lang w:eastAsia="en-AU"/>
                    </w:rPr>
                    <w:t>1.1 New formal sector jobs (FTE) created as a result of our aid program</w:t>
                  </w:r>
                </w:p>
              </w:tc>
              <w:tc>
                <w:tcPr>
                  <w:tcW w:w="1471" w:type="dxa"/>
                </w:tcPr>
                <w:p w14:paraId="2AF78B0B" w14:textId="77777777" w:rsidR="003D024C" w:rsidRPr="00BF7C40" w:rsidRDefault="003D024C" w:rsidP="00E007F5">
                  <w:pPr>
                    <w:tabs>
                      <w:tab w:val="left" w:pos="1635"/>
                    </w:tabs>
                    <w:rPr>
                      <w:sz w:val="17"/>
                      <w:szCs w:val="17"/>
                      <w:lang w:eastAsia="en-AU"/>
                    </w:rPr>
                  </w:pPr>
                  <w:r w:rsidRPr="004943F2">
                    <w:rPr>
                      <w:sz w:val="17"/>
                      <w:szCs w:val="17"/>
                      <w:lang w:eastAsia="en-AU"/>
                    </w:rPr>
                    <w:t>191 (as at Dec 2015)</w:t>
                  </w:r>
                </w:p>
              </w:tc>
              <w:tc>
                <w:tcPr>
                  <w:tcW w:w="1605" w:type="dxa"/>
                </w:tcPr>
                <w:p w14:paraId="759E01C1" w14:textId="77777777" w:rsidR="003D024C" w:rsidRPr="00BF7C40" w:rsidRDefault="003D024C" w:rsidP="00E007F5">
                  <w:pPr>
                    <w:tabs>
                      <w:tab w:val="left" w:pos="1635"/>
                    </w:tabs>
                    <w:rPr>
                      <w:sz w:val="17"/>
                      <w:szCs w:val="17"/>
                      <w:lang w:eastAsia="en-AU"/>
                    </w:rPr>
                  </w:pPr>
                  <w:r w:rsidRPr="004943F2">
                    <w:rPr>
                      <w:sz w:val="17"/>
                      <w:szCs w:val="17"/>
                      <w:lang w:eastAsia="en-AU"/>
                    </w:rPr>
                    <w:t>222 jobs (108 males and 114 females) as at Dec 2016)</w:t>
                  </w:r>
                </w:p>
              </w:tc>
              <w:tc>
                <w:tcPr>
                  <w:tcW w:w="1740" w:type="dxa"/>
                </w:tcPr>
                <w:p w14:paraId="49B6445F" w14:textId="77777777" w:rsidR="003D024C" w:rsidRPr="00BF7C40" w:rsidRDefault="003D024C" w:rsidP="00E007F5">
                  <w:pPr>
                    <w:tabs>
                      <w:tab w:val="left" w:pos="1635"/>
                    </w:tabs>
                    <w:rPr>
                      <w:sz w:val="17"/>
                      <w:szCs w:val="17"/>
                      <w:lang w:eastAsia="en-AU"/>
                    </w:rPr>
                  </w:pPr>
                  <w:r w:rsidRPr="004943F2">
                    <w:rPr>
                      <w:sz w:val="17"/>
                      <w:szCs w:val="17"/>
                      <w:lang w:eastAsia="en-AU"/>
                    </w:rPr>
                    <w:t>250 jobs (by Dec 2017)</w:t>
                  </w:r>
                </w:p>
              </w:tc>
              <w:tc>
                <w:tcPr>
                  <w:tcW w:w="1471" w:type="dxa"/>
                  <w:shd w:val="clear" w:color="auto" w:fill="auto"/>
                </w:tcPr>
                <w:p w14:paraId="7069C2B5" w14:textId="77777777" w:rsidR="003D024C" w:rsidRPr="00BF7C40" w:rsidRDefault="003D024C" w:rsidP="00E007F5">
                  <w:pPr>
                    <w:tabs>
                      <w:tab w:val="left" w:pos="1635"/>
                    </w:tabs>
                    <w:rPr>
                      <w:sz w:val="17"/>
                      <w:szCs w:val="17"/>
                      <w:lang w:eastAsia="en-AU"/>
                    </w:rPr>
                  </w:pPr>
                  <w:r w:rsidRPr="004943F2">
                    <w:rPr>
                      <w:sz w:val="17"/>
                      <w:szCs w:val="17"/>
                      <w:lang w:eastAsia="en-AU"/>
                    </w:rPr>
                    <w:t>189.5 (73.9 males and 115.6 females) as at Nov 2017)</w:t>
                  </w:r>
                </w:p>
              </w:tc>
              <w:tc>
                <w:tcPr>
                  <w:tcW w:w="2944" w:type="dxa"/>
                </w:tcPr>
                <w:p w14:paraId="245F7D8F" w14:textId="77777777" w:rsidR="003D024C" w:rsidRPr="00362FA5" w:rsidRDefault="003D024C" w:rsidP="00E007F5">
                  <w:pPr>
                    <w:tabs>
                      <w:tab w:val="left" w:pos="1635"/>
                    </w:tabs>
                    <w:rPr>
                      <w:sz w:val="17"/>
                      <w:szCs w:val="17"/>
                      <w:highlight w:val="yellow"/>
                      <w:lang w:eastAsia="en-AU"/>
                    </w:rPr>
                  </w:pPr>
                  <w:r>
                    <w:rPr>
                      <w:sz w:val="17"/>
                      <w:szCs w:val="17"/>
                      <w:lang w:eastAsia="en-AU"/>
                    </w:rPr>
                    <w:t xml:space="preserve">Farmers have increased incomes to due greater productivity.  As a result, they have </w:t>
                  </w:r>
                  <w:r w:rsidRPr="0065403C">
                    <w:rPr>
                      <w:sz w:val="17"/>
                      <w:szCs w:val="17"/>
                      <w:lang w:eastAsia="en-AU"/>
                    </w:rPr>
                    <w:t>not required as many additional workers as expected.  The agriculture sector is also still suffering from the effects of TC Winston in 2016 and three cyclones and floods in 2018.</w:t>
                  </w:r>
                </w:p>
              </w:tc>
              <w:tc>
                <w:tcPr>
                  <w:tcW w:w="2007" w:type="dxa"/>
                </w:tcPr>
                <w:p w14:paraId="7E60AEB0" w14:textId="77777777" w:rsidR="003D024C" w:rsidRPr="00BF7C40" w:rsidRDefault="003D024C" w:rsidP="00E007F5">
                  <w:pPr>
                    <w:tabs>
                      <w:tab w:val="left" w:pos="1635"/>
                    </w:tabs>
                    <w:rPr>
                      <w:sz w:val="17"/>
                      <w:szCs w:val="17"/>
                      <w:lang w:eastAsia="en-AU"/>
                    </w:rPr>
                  </w:pPr>
                  <w:r w:rsidRPr="004943F2">
                    <w:rPr>
                      <w:sz w:val="17"/>
                      <w:szCs w:val="17"/>
                      <w:lang w:eastAsia="en-AU"/>
                    </w:rPr>
                    <w:t>MDF Annual Aggregation Report 2017</w:t>
                  </w:r>
                </w:p>
              </w:tc>
            </w:tr>
            <w:tr w:rsidR="003D024C" w:rsidRPr="00BF7C40" w14:paraId="30BA5535" w14:textId="77777777" w:rsidTr="00E007F5">
              <w:trPr>
                <w:trHeight w:val="1624"/>
              </w:trPr>
              <w:tc>
                <w:tcPr>
                  <w:tcW w:w="1812" w:type="dxa"/>
                  <w:vMerge/>
                  <w:tcBorders>
                    <w:left w:val="nil"/>
                  </w:tcBorders>
                </w:tcPr>
                <w:p w14:paraId="3B46E8B0" w14:textId="77777777" w:rsidR="003D024C" w:rsidRPr="00BF7C40" w:rsidRDefault="003D024C" w:rsidP="00E007F5">
                  <w:pPr>
                    <w:tabs>
                      <w:tab w:val="left" w:pos="1635"/>
                    </w:tabs>
                    <w:rPr>
                      <w:sz w:val="17"/>
                      <w:szCs w:val="17"/>
                      <w:lang w:eastAsia="en-AU"/>
                    </w:rPr>
                  </w:pPr>
                </w:p>
              </w:tc>
              <w:tc>
                <w:tcPr>
                  <w:tcW w:w="1402" w:type="dxa"/>
                </w:tcPr>
                <w:p w14:paraId="2A59799C" w14:textId="77777777" w:rsidR="003D024C" w:rsidRPr="00BF7C40" w:rsidRDefault="003D024C" w:rsidP="00E007F5">
                  <w:pPr>
                    <w:tabs>
                      <w:tab w:val="left" w:pos="1635"/>
                    </w:tabs>
                    <w:rPr>
                      <w:i/>
                      <w:sz w:val="17"/>
                      <w:szCs w:val="17"/>
                      <w:lang w:eastAsia="en-AU"/>
                    </w:rPr>
                  </w:pPr>
                  <w:r w:rsidRPr="00F90453">
                    <w:rPr>
                      <w:i/>
                      <w:sz w:val="17"/>
                      <w:szCs w:val="17"/>
                      <w:lang w:eastAsia="en-AU"/>
                    </w:rPr>
                    <w:t>1.2 Additional personal income for men and women generated as a result of our aid program</w:t>
                  </w:r>
                </w:p>
              </w:tc>
              <w:tc>
                <w:tcPr>
                  <w:tcW w:w="1471" w:type="dxa"/>
                </w:tcPr>
                <w:p w14:paraId="459B2F10" w14:textId="77777777" w:rsidR="003D024C" w:rsidRPr="00BF7C40" w:rsidRDefault="003D024C" w:rsidP="00E007F5">
                  <w:pPr>
                    <w:tabs>
                      <w:tab w:val="left" w:pos="1635"/>
                    </w:tabs>
                    <w:rPr>
                      <w:sz w:val="17"/>
                      <w:szCs w:val="17"/>
                      <w:lang w:eastAsia="en-AU"/>
                    </w:rPr>
                  </w:pPr>
                  <w:r w:rsidRPr="004943F2">
                    <w:rPr>
                      <w:sz w:val="17"/>
                      <w:szCs w:val="17"/>
                      <w:lang w:eastAsia="en-AU"/>
                    </w:rPr>
                    <w:t>USD2.5 million (as at Dec 2015)</w:t>
                  </w:r>
                </w:p>
              </w:tc>
              <w:tc>
                <w:tcPr>
                  <w:tcW w:w="1605" w:type="dxa"/>
                </w:tcPr>
                <w:p w14:paraId="6D694709" w14:textId="77777777" w:rsidR="003D024C" w:rsidRPr="00BF7C40" w:rsidRDefault="003D024C" w:rsidP="00E007F5">
                  <w:pPr>
                    <w:tabs>
                      <w:tab w:val="left" w:pos="1635"/>
                    </w:tabs>
                    <w:rPr>
                      <w:sz w:val="17"/>
                      <w:szCs w:val="17"/>
                      <w:lang w:eastAsia="en-AU"/>
                    </w:rPr>
                  </w:pPr>
                  <w:r w:rsidRPr="004943F2">
                    <w:rPr>
                      <w:sz w:val="17"/>
                      <w:szCs w:val="17"/>
                      <w:lang w:eastAsia="en-AU"/>
                    </w:rPr>
                    <w:t>USD3.3 million (2016)</w:t>
                  </w:r>
                </w:p>
              </w:tc>
              <w:tc>
                <w:tcPr>
                  <w:tcW w:w="1740" w:type="dxa"/>
                </w:tcPr>
                <w:p w14:paraId="7AD71662" w14:textId="77777777" w:rsidR="003D024C" w:rsidRPr="00BF7C40" w:rsidRDefault="003D024C" w:rsidP="00E007F5">
                  <w:pPr>
                    <w:tabs>
                      <w:tab w:val="left" w:pos="1635"/>
                    </w:tabs>
                    <w:rPr>
                      <w:sz w:val="17"/>
                      <w:szCs w:val="17"/>
                      <w:lang w:eastAsia="en-AU"/>
                    </w:rPr>
                  </w:pPr>
                  <w:r w:rsidRPr="004943F2">
                    <w:rPr>
                      <w:sz w:val="17"/>
                      <w:szCs w:val="17"/>
                      <w:lang w:eastAsia="en-AU"/>
                    </w:rPr>
                    <w:t>USD4.2 million (2017)</w:t>
                  </w:r>
                </w:p>
              </w:tc>
              <w:tc>
                <w:tcPr>
                  <w:tcW w:w="1471" w:type="dxa"/>
                  <w:shd w:val="clear" w:color="auto" w:fill="auto"/>
                </w:tcPr>
                <w:p w14:paraId="2882A005" w14:textId="77777777" w:rsidR="003D024C" w:rsidRPr="00BF7C40" w:rsidRDefault="003D024C" w:rsidP="00E007F5">
                  <w:pPr>
                    <w:tabs>
                      <w:tab w:val="left" w:pos="1635"/>
                    </w:tabs>
                    <w:rPr>
                      <w:sz w:val="17"/>
                      <w:szCs w:val="17"/>
                      <w:lang w:eastAsia="en-AU"/>
                    </w:rPr>
                  </w:pPr>
                  <w:r w:rsidRPr="004943F2">
                    <w:rPr>
                      <w:sz w:val="17"/>
                      <w:szCs w:val="17"/>
                      <w:lang w:eastAsia="en-AU"/>
                    </w:rPr>
                    <w:t>USD9.17 million (as at Nov 2017)</w:t>
                  </w:r>
                </w:p>
              </w:tc>
              <w:tc>
                <w:tcPr>
                  <w:tcW w:w="2944" w:type="dxa"/>
                </w:tcPr>
                <w:p w14:paraId="3641A161" w14:textId="77777777" w:rsidR="003D024C" w:rsidRPr="00BF7C40" w:rsidRDefault="003D024C" w:rsidP="00E007F5">
                  <w:pPr>
                    <w:tabs>
                      <w:tab w:val="left" w:pos="1635"/>
                    </w:tabs>
                    <w:rPr>
                      <w:sz w:val="17"/>
                      <w:szCs w:val="17"/>
                      <w:lang w:eastAsia="en-AU"/>
                    </w:rPr>
                  </w:pPr>
                </w:p>
              </w:tc>
              <w:tc>
                <w:tcPr>
                  <w:tcW w:w="2007" w:type="dxa"/>
                </w:tcPr>
                <w:p w14:paraId="0ED8DD9C" w14:textId="77777777" w:rsidR="003D024C" w:rsidRPr="00BF7C40" w:rsidRDefault="003D024C" w:rsidP="00E007F5">
                  <w:pPr>
                    <w:rPr>
                      <w:sz w:val="17"/>
                      <w:szCs w:val="17"/>
                      <w:lang w:eastAsia="en-AU"/>
                    </w:rPr>
                  </w:pPr>
                  <w:r w:rsidRPr="004943F2">
                    <w:rPr>
                      <w:sz w:val="17"/>
                      <w:szCs w:val="17"/>
                      <w:lang w:eastAsia="en-AU"/>
                    </w:rPr>
                    <w:t>MDF Annual Aggregation Report 2017</w:t>
                  </w:r>
                </w:p>
              </w:tc>
            </w:tr>
            <w:tr w:rsidR="003D024C" w:rsidRPr="00BF7C40" w14:paraId="18ECC646" w14:textId="77777777" w:rsidTr="00E007F5">
              <w:trPr>
                <w:trHeight w:val="624"/>
              </w:trPr>
              <w:tc>
                <w:tcPr>
                  <w:tcW w:w="1812" w:type="dxa"/>
                  <w:vMerge/>
                  <w:tcBorders>
                    <w:left w:val="nil"/>
                  </w:tcBorders>
                </w:tcPr>
                <w:p w14:paraId="77639A2F" w14:textId="77777777" w:rsidR="003D024C" w:rsidRPr="00BF7C40" w:rsidRDefault="003D024C" w:rsidP="00E007F5">
                  <w:pPr>
                    <w:tabs>
                      <w:tab w:val="left" w:pos="1635"/>
                    </w:tabs>
                    <w:rPr>
                      <w:sz w:val="17"/>
                      <w:szCs w:val="17"/>
                      <w:lang w:eastAsia="en-AU"/>
                    </w:rPr>
                  </w:pPr>
                </w:p>
              </w:tc>
              <w:tc>
                <w:tcPr>
                  <w:tcW w:w="1402" w:type="dxa"/>
                </w:tcPr>
                <w:p w14:paraId="431EE54D" w14:textId="77777777" w:rsidR="003D024C" w:rsidRPr="00BF7C40" w:rsidRDefault="003D024C" w:rsidP="00E007F5">
                  <w:pPr>
                    <w:tabs>
                      <w:tab w:val="left" w:pos="1635"/>
                    </w:tabs>
                    <w:rPr>
                      <w:i/>
                      <w:sz w:val="17"/>
                      <w:szCs w:val="17"/>
                      <w:lang w:eastAsia="en-AU"/>
                    </w:rPr>
                  </w:pPr>
                  <w:r w:rsidRPr="00F90453">
                    <w:rPr>
                      <w:i/>
                      <w:sz w:val="17"/>
                      <w:szCs w:val="17"/>
                      <w:lang w:eastAsia="en-AU"/>
                    </w:rPr>
                    <w:t>1.3 Fiji increases its participation in the Seasonal Worker Program</w:t>
                  </w:r>
                </w:p>
              </w:tc>
              <w:tc>
                <w:tcPr>
                  <w:tcW w:w="1471" w:type="dxa"/>
                </w:tcPr>
                <w:p w14:paraId="134F87ED" w14:textId="77777777" w:rsidR="003D024C" w:rsidRPr="00BF7C40" w:rsidRDefault="003D024C" w:rsidP="006108F4">
                  <w:pPr>
                    <w:tabs>
                      <w:tab w:val="left" w:pos="1635"/>
                    </w:tabs>
                    <w:rPr>
                      <w:sz w:val="17"/>
                      <w:szCs w:val="17"/>
                      <w:lang w:eastAsia="en-AU"/>
                    </w:rPr>
                  </w:pPr>
                  <w:r w:rsidRPr="004943F2">
                    <w:rPr>
                      <w:sz w:val="17"/>
                      <w:szCs w:val="17"/>
                      <w:lang w:eastAsia="en-AU"/>
                    </w:rPr>
                    <w:t>160</w:t>
                  </w:r>
                </w:p>
              </w:tc>
              <w:tc>
                <w:tcPr>
                  <w:tcW w:w="1605" w:type="dxa"/>
                </w:tcPr>
                <w:p w14:paraId="6D1E577A" w14:textId="77777777" w:rsidR="003D024C" w:rsidRPr="00BF7C40" w:rsidRDefault="003D024C" w:rsidP="00E007F5">
                  <w:pPr>
                    <w:tabs>
                      <w:tab w:val="left" w:pos="1635"/>
                    </w:tabs>
                    <w:jc w:val="center"/>
                    <w:rPr>
                      <w:sz w:val="17"/>
                      <w:szCs w:val="17"/>
                      <w:lang w:eastAsia="en-AU"/>
                    </w:rPr>
                  </w:pPr>
                  <w:r w:rsidRPr="004943F2">
                    <w:rPr>
                      <w:sz w:val="17"/>
                      <w:szCs w:val="17"/>
                      <w:lang w:eastAsia="en-AU"/>
                    </w:rPr>
                    <w:t>190 (7.8% female)</w:t>
                  </w:r>
                </w:p>
              </w:tc>
              <w:tc>
                <w:tcPr>
                  <w:tcW w:w="1740" w:type="dxa"/>
                </w:tcPr>
                <w:p w14:paraId="400ECEFE" w14:textId="77777777" w:rsidR="003D024C" w:rsidRPr="00BF7C40" w:rsidRDefault="003D024C" w:rsidP="00E007F5">
                  <w:pPr>
                    <w:tabs>
                      <w:tab w:val="left" w:pos="1635"/>
                    </w:tabs>
                    <w:jc w:val="center"/>
                    <w:rPr>
                      <w:sz w:val="17"/>
                      <w:szCs w:val="17"/>
                      <w:lang w:eastAsia="en-AU"/>
                    </w:rPr>
                  </w:pPr>
                  <w:r w:rsidRPr="004943F2">
                    <w:rPr>
                      <w:sz w:val="17"/>
                      <w:szCs w:val="17"/>
                      <w:lang w:eastAsia="en-AU"/>
                    </w:rPr>
                    <w:t>200 (10% female)</w:t>
                  </w:r>
                </w:p>
              </w:tc>
              <w:tc>
                <w:tcPr>
                  <w:tcW w:w="1471" w:type="dxa"/>
                  <w:shd w:val="clear" w:color="auto" w:fill="auto"/>
                </w:tcPr>
                <w:p w14:paraId="1327C0DD" w14:textId="77777777" w:rsidR="003D024C" w:rsidRPr="00BF7C40" w:rsidRDefault="003D024C" w:rsidP="00E007F5">
                  <w:pPr>
                    <w:tabs>
                      <w:tab w:val="left" w:pos="1635"/>
                    </w:tabs>
                    <w:rPr>
                      <w:sz w:val="17"/>
                      <w:szCs w:val="17"/>
                      <w:lang w:eastAsia="en-AU"/>
                    </w:rPr>
                  </w:pPr>
                  <w:r w:rsidRPr="004943F2">
                    <w:rPr>
                      <w:sz w:val="17"/>
                      <w:szCs w:val="17"/>
                      <w:lang w:eastAsia="en-AU"/>
                    </w:rPr>
                    <w:t>247 (11.7% female)</w:t>
                  </w:r>
                </w:p>
              </w:tc>
              <w:tc>
                <w:tcPr>
                  <w:tcW w:w="2944" w:type="dxa"/>
                </w:tcPr>
                <w:p w14:paraId="771EA8E9" w14:textId="77777777" w:rsidR="003D024C" w:rsidRPr="00BF7C40" w:rsidRDefault="003D024C" w:rsidP="00E007F5">
                  <w:pPr>
                    <w:tabs>
                      <w:tab w:val="left" w:pos="1635"/>
                    </w:tabs>
                    <w:rPr>
                      <w:sz w:val="17"/>
                      <w:szCs w:val="17"/>
                      <w:lang w:eastAsia="en-AU"/>
                    </w:rPr>
                  </w:pPr>
                </w:p>
              </w:tc>
              <w:tc>
                <w:tcPr>
                  <w:tcW w:w="2007" w:type="dxa"/>
                </w:tcPr>
                <w:p w14:paraId="6E42EF8C" w14:textId="77777777" w:rsidR="003D024C" w:rsidRPr="00BF7C40" w:rsidRDefault="003D024C" w:rsidP="00E007F5">
                  <w:pPr>
                    <w:tabs>
                      <w:tab w:val="left" w:pos="1635"/>
                    </w:tabs>
                    <w:rPr>
                      <w:sz w:val="17"/>
                      <w:szCs w:val="17"/>
                      <w:lang w:eastAsia="en-AU"/>
                    </w:rPr>
                  </w:pPr>
                  <w:r w:rsidRPr="004943F2">
                    <w:rPr>
                      <w:sz w:val="17"/>
                      <w:szCs w:val="17"/>
                      <w:lang w:eastAsia="en-AU"/>
                    </w:rPr>
                    <w:t>DFAT Seasonal Workers Program</w:t>
                  </w:r>
                  <w:r w:rsidR="0009075E">
                    <w:rPr>
                      <w:sz w:val="17"/>
                      <w:szCs w:val="17"/>
                      <w:lang w:eastAsia="en-AU"/>
                    </w:rPr>
                    <w:t>me</w:t>
                  </w:r>
                  <w:r w:rsidRPr="004943F2">
                    <w:rPr>
                      <w:sz w:val="17"/>
                      <w:szCs w:val="17"/>
                      <w:lang w:eastAsia="en-AU"/>
                    </w:rPr>
                    <w:t xml:space="preserve"> Summary Report</w:t>
                  </w:r>
                </w:p>
              </w:tc>
            </w:tr>
            <w:tr w:rsidR="003D024C" w:rsidRPr="00BF7C40" w14:paraId="2EC4B800" w14:textId="77777777" w:rsidTr="00E007F5">
              <w:trPr>
                <w:trHeight w:val="624"/>
              </w:trPr>
              <w:tc>
                <w:tcPr>
                  <w:tcW w:w="1812" w:type="dxa"/>
                  <w:vMerge w:val="restart"/>
                  <w:tcBorders>
                    <w:left w:val="nil"/>
                  </w:tcBorders>
                </w:tcPr>
                <w:p w14:paraId="4E7F1B02" w14:textId="77777777" w:rsidR="003D024C" w:rsidRPr="00BF7C40" w:rsidRDefault="003D024C" w:rsidP="00E007F5">
                  <w:pPr>
                    <w:tabs>
                      <w:tab w:val="left" w:pos="1635"/>
                    </w:tabs>
                    <w:rPr>
                      <w:b/>
                      <w:sz w:val="17"/>
                      <w:szCs w:val="17"/>
                      <w:lang w:eastAsia="en-AU"/>
                    </w:rPr>
                  </w:pPr>
                  <w:r w:rsidRPr="008D48C8">
                    <w:rPr>
                      <w:b/>
                      <w:sz w:val="17"/>
                      <w:szCs w:val="17"/>
                      <w:lang w:eastAsia="en-AU"/>
                    </w:rPr>
                    <w:t>Outcome 2: Fiji's business environment is conducive to inclusive private sector-led growth</w:t>
                  </w:r>
                </w:p>
              </w:tc>
              <w:tc>
                <w:tcPr>
                  <w:tcW w:w="1402" w:type="dxa"/>
                </w:tcPr>
                <w:p w14:paraId="7D3C02AD" w14:textId="77777777" w:rsidR="003D024C" w:rsidRPr="00BF7C40" w:rsidRDefault="003D024C" w:rsidP="00E007F5">
                  <w:pPr>
                    <w:tabs>
                      <w:tab w:val="left" w:pos="1635"/>
                    </w:tabs>
                    <w:rPr>
                      <w:i/>
                      <w:sz w:val="17"/>
                      <w:szCs w:val="17"/>
                      <w:lang w:eastAsia="en-AU"/>
                    </w:rPr>
                  </w:pPr>
                  <w:r w:rsidRPr="00F90453">
                    <w:rPr>
                      <w:i/>
                      <w:sz w:val="17"/>
                      <w:szCs w:val="17"/>
                      <w:lang w:eastAsia="en-AU"/>
                    </w:rPr>
                    <w:t>2.1 Reduced number of working days to start a business</w:t>
                  </w:r>
                </w:p>
              </w:tc>
              <w:tc>
                <w:tcPr>
                  <w:tcW w:w="1471" w:type="dxa"/>
                </w:tcPr>
                <w:p w14:paraId="023F96B8" w14:textId="77777777" w:rsidR="003D024C" w:rsidRPr="00BF7C40" w:rsidRDefault="003D024C" w:rsidP="00E007F5">
                  <w:pPr>
                    <w:tabs>
                      <w:tab w:val="left" w:pos="1635"/>
                    </w:tabs>
                    <w:rPr>
                      <w:sz w:val="17"/>
                      <w:szCs w:val="17"/>
                      <w:lang w:eastAsia="en-AU"/>
                    </w:rPr>
                  </w:pPr>
                  <w:r w:rsidRPr="00F90453">
                    <w:rPr>
                      <w:sz w:val="17"/>
                      <w:szCs w:val="17"/>
                      <w:lang w:eastAsia="en-AU"/>
                    </w:rPr>
                    <w:t>58 days (2015)</w:t>
                  </w:r>
                </w:p>
              </w:tc>
              <w:tc>
                <w:tcPr>
                  <w:tcW w:w="1605" w:type="dxa"/>
                  <w:shd w:val="clear" w:color="auto" w:fill="auto"/>
                </w:tcPr>
                <w:p w14:paraId="5C85CBA9" w14:textId="77777777" w:rsidR="003D024C" w:rsidRPr="00BF7C40" w:rsidRDefault="003D024C" w:rsidP="00E007F5">
                  <w:pPr>
                    <w:tabs>
                      <w:tab w:val="left" w:pos="1635"/>
                    </w:tabs>
                    <w:rPr>
                      <w:sz w:val="17"/>
                      <w:szCs w:val="17"/>
                      <w:lang w:eastAsia="en-AU"/>
                    </w:rPr>
                  </w:pPr>
                  <w:r w:rsidRPr="00F90453">
                    <w:rPr>
                      <w:sz w:val="17"/>
                      <w:szCs w:val="17"/>
                    </w:rPr>
                    <w:t>58 days (2016)</w:t>
                  </w:r>
                </w:p>
              </w:tc>
              <w:tc>
                <w:tcPr>
                  <w:tcW w:w="1740" w:type="dxa"/>
                  <w:shd w:val="clear" w:color="auto" w:fill="auto"/>
                </w:tcPr>
                <w:p w14:paraId="13E302CB" w14:textId="77777777" w:rsidR="003D024C" w:rsidRPr="00BF7C40" w:rsidRDefault="003D024C" w:rsidP="00E007F5">
                  <w:pPr>
                    <w:tabs>
                      <w:tab w:val="left" w:pos="1635"/>
                    </w:tabs>
                    <w:rPr>
                      <w:i/>
                      <w:sz w:val="17"/>
                      <w:szCs w:val="17"/>
                      <w:lang w:eastAsia="en-AU"/>
                    </w:rPr>
                  </w:pPr>
                  <w:r w:rsidRPr="00F90453">
                    <w:rPr>
                      <w:sz w:val="17"/>
                      <w:szCs w:val="17"/>
                    </w:rPr>
                    <w:t>40 days (2017)</w:t>
                  </w:r>
                </w:p>
              </w:tc>
              <w:tc>
                <w:tcPr>
                  <w:tcW w:w="1471" w:type="dxa"/>
                  <w:shd w:val="clear" w:color="auto" w:fill="auto"/>
                </w:tcPr>
                <w:p w14:paraId="06EEDB8C" w14:textId="77777777" w:rsidR="003D024C" w:rsidRPr="00BF7C40" w:rsidRDefault="003D024C" w:rsidP="00E007F5">
                  <w:pPr>
                    <w:tabs>
                      <w:tab w:val="left" w:pos="1635"/>
                    </w:tabs>
                    <w:rPr>
                      <w:i/>
                      <w:sz w:val="17"/>
                      <w:szCs w:val="17"/>
                      <w:lang w:eastAsia="en-AU"/>
                    </w:rPr>
                  </w:pPr>
                  <w:r w:rsidRPr="00F90453">
                    <w:rPr>
                      <w:sz w:val="17"/>
                      <w:szCs w:val="17"/>
                    </w:rPr>
                    <w:t>40 days (2017)</w:t>
                  </w:r>
                </w:p>
              </w:tc>
              <w:tc>
                <w:tcPr>
                  <w:tcW w:w="2944" w:type="dxa"/>
                  <w:shd w:val="clear" w:color="auto" w:fill="auto"/>
                </w:tcPr>
                <w:p w14:paraId="14694D5F" w14:textId="77777777" w:rsidR="003D024C" w:rsidRPr="00BF7C40" w:rsidRDefault="003D024C" w:rsidP="00E007F5">
                  <w:pPr>
                    <w:tabs>
                      <w:tab w:val="left" w:pos="1635"/>
                    </w:tabs>
                    <w:rPr>
                      <w:sz w:val="17"/>
                      <w:szCs w:val="17"/>
                      <w:lang w:eastAsia="en-AU"/>
                    </w:rPr>
                  </w:pPr>
                  <w:r w:rsidRPr="00F90453">
                    <w:rPr>
                      <w:sz w:val="17"/>
                      <w:szCs w:val="17"/>
                    </w:rPr>
                    <w:t xml:space="preserve">Application for name search and reservation at Companies Registrar reduced from 8 days to 4 days. Registration of company with Companies Registrar reduced from 21 days to 7 days. Registration of tax identification number reduced from 11 days to 1 day. </w:t>
                  </w:r>
                </w:p>
              </w:tc>
              <w:tc>
                <w:tcPr>
                  <w:tcW w:w="2007" w:type="dxa"/>
                  <w:shd w:val="clear" w:color="auto" w:fill="auto"/>
                </w:tcPr>
                <w:p w14:paraId="26CA023D" w14:textId="77777777" w:rsidR="003D024C" w:rsidRPr="00BF7C40" w:rsidRDefault="003D024C" w:rsidP="00E007F5">
                  <w:pPr>
                    <w:tabs>
                      <w:tab w:val="left" w:pos="1635"/>
                    </w:tabs>
                    <w:rPr>
                      <w:sz w:val="17"/>
                      <w:szCs w:val="17"/>
                      <w:lang w:eastAsia="en-AU"/>
                    </w:rPr>
                  </w:pPr>
                  <w:r w:rsidRPr="00F90453">
                    <w:rPr>
                      <w:sz w:val="17"/>
                      <w:szCs w:val="17"/>
                    </w:rPr>
                    <w:t xml:space="preserve">World Bank Doing Business Database; PSDI/IFC </w:t>
                  </w:r>
                </w:p>
              </w:tc>
            </w:tr>
            <w:tr w:rsidR="003D024C" w:rsidRPr="00BF7C40" w14:paraId="4004CD15" w14:textId="77777777" w:rsidTr="00E007F5">
              <w:trPr>
                <w:trHeight w:val="624"/>
              </w:trPr>
              <w:tc>
                <w:tcPr>
                  <w:tcW w:w="1812" w:type="dxa"/>
                  <w:vMerge/>
                  <w:tcBorders>
                    <w:left w:val="nil"/>
                  </w:tcBorders>
                </w:tcPr>
                <w:p w14:paraId="4BD3A9AC" w14:textId="77777777" w:rsidR="003D024C" w:rsidRPr="00BF7C40" w:rsidRDefault="003D024C" w:rsidP="00E007F5">
                  <w:pPr>
                    <w:tabs>
                      <w:tab w:val="left" w:pos="1635"/>
                    </w:tabs>
                    <w:rPr>
                      <w:sz w:val="17"/>
                      <w:szCs w:val="17"/>
                      <w:lang w:eastAsia="en-AU"/>
                    </w:rPr>
                  </w:pPr>
                </w:p>
              </w:tc>
              <w:tc>
                <w:tcPr>
                  <w:tcW w:w="1402" w:type="dxa"/>
                  <w:shd w:val="clear" w:color="auto" w:fill="auto"/>
                </w:tcPr>
                <w:p w14:paraId="122104E0" w14:textId="77777777" w:rsidR="003D024C" w:rsidRPr="00BF7C40" w:rsidRDefault="003D024C" w:rsidP="00E007F5">
                  <w:pPr>
                    <w:tabs>
                      <w:tab w:val="left" w:pos="1635"/>
                    </w:tabs>
                    <w:rPr>
                      <w:i/>
                      <w:sz w:val="17"/>
                      <w:szCs w:val="17"/>
                      <w:lang w:eastAsia="en-AU"/>
                    </w:rPr>
                  </w:pPr>
                  <w:r w:rsidRPr="008D48C8">
                    <w:rPr>
                      <w:i/>
                      <w:sz w:val="17"/>
                      <w:szCs w:val="17"/>
                    </w:rPr>
                    <w:t xml:space="preserve">2.2 Improved performance of SOEs, as measured by the return on assets (ROA) </w:t>
                  </w:r>
                </w:p>
              </w:tc>
              <w:tc>
                <w:tcPr>
                  <w:tcW w:w="1471" w:type="dxa"/>
                  <w:shd w:val="clear" w:color="auto" w:fill="auto"/>
                </w:tcPr>
                <w:p w14:paraId="17C4D39A" w14:textId="77777777" w:rsidR="003D024C" w:rsidRPr="00BF7C40" w:rsidRDefault="003D024C" w:rsidP="00E007F5">
                  <w:pPr>
                    <w:tabs>
                      <w:tab w:val="left" w:pos="1635"/>
                    </w:tabs>
                    <w:rPr>
                      <w:sz w:val="17"/>
                      <w:szCs w:val="17"/>
                      <w:lang w:eastAsia="en-AU"/>
                    </w:rPr>
                  </w:pPr>
                  <w:r w:rsidRPr="00F90453">
                    <w:rPr>
                      <w:sz w:val="17"/>
                      <w:szCs w:val="17"/>
                    </w:rPr>
                    <w:t>1.5% average between 2010-2014</w:t>
                  </w:r>
                </w:p>
              </w:tc>
              <w:tc>
                <w:tcPr>
                  <w:tcW w:w="1605" w:type="dxa"/>
                  <w:shd w:val="clear" w:color="auto" w:fill="auto"/>
                </w:tcPr>
                <w:p w14:paraId="74F686B2" w14:textId="77777777" w:rsidR="003D024C" w:rsidRPr="00BF7C40" w:rsidRDefault="003D024C" w:rsidP="00E007F5">
                  <w:pPr>
                    <w:tabs>
                      <w:tab w:val="left" w:pos="1635"/>
                    </w:tabs>
                    <w:rPr>
                      <w:sz w:val="17"/>
                      <w:szCs w:val="17"/>
                      <w:lang w:eastAsia="en-AU"/>
                    </w:rPr>
                  </w:pPr>
                  <w:r w:rsidRPr="00F90453">
                    <w:rPr>
                      <w:sz w:val="17"/>
                      <w:szCs w:val="17"/>
                    </w:rPr>
                    <w:t>13.34% (2016)</w:t>
                  </w:r>
                </w:p>
              </w:tc>
              <w:tc>
                <w:tcPr>
                  <w:tcW w:w="1740" w:type="dxa"/>
                  <w:shd w:val="clear" w:color="auto" w:fill="auto"/>
                </w:tcPr>
                <w:p w14:paraId="309A4D02" w14:textId="77777777" w:rsidR="003D024C" w:rsidRPr="00BF7C40" w:rsidRDefault="003D024C" w:rsidP="00E007F5">
                  <w:pPr>
                    <w:tabs>
                      <w:tab w:val="left" w:pos="1635"/>
                    </w:tabs>
                    <w:rPr>
                      <w:i/>
                      <w:sz w:val="17"/>
                      <w:szCs w:val="17"/>
                      <w:lang w:eastAsia="en-AU"/>
                    </w:rPr>
                  </w:pPr>
                  <w:r w:rsidRPr="00F90453">
                    <w:rPr>
                      <w:sz w:val="17"/>
                      <w:szCs w:val="17"/>
                    </w:rPr>
                    <w:t>Maintain or increase ROA from baseline</w:t>
                  </w:r>
                </w:p>
              </w:tc>
              <w:tc>
                <w:tcPr>
                  <w:tcW w:w="1471" w:type="dxa"/>
                  <w:shd w:val="clear" w:color="auto" w:fill="auto"/>
                </w:tcPr>
                <w:p w14:paraId="2A890066" w14:textId="77777777" w:rsidR="003D024C" w:rsidRPr="00BF7C40" w:rsidRDefault="003D024C" w:rsidP="00E007F5">
                  <w:pPr>
                    <w:tabs>
                      <w:tab w:val="left" w:pos="1635"/>
                    </w:tabs>
                    <w:rPr>
                      <w:i/>
                      <w:sz w:val="17"/>
                      <w:szCs w:val="17"/>
                      <w:lang w:eastAsia="en-AU"/>
                    </w:rPr>
                  </w:pPr>
                  <w:r w:rsidRPr="00F90453">
                    <w:rPr>
                      <w:sz w:val="17"/>
                      <w:szCs w:val="17"/>
                    </w:rPr>
                    <w:t>NA</w:t>
                  </w:r>
                </w:p>
              </w:tc>
              <w:tc>
                <w:tcPr>
                  <w:tcW w:w="2944" w:type="dxa"/>
                  <w:shd w:val="clear" w:color="auto" w:fill="auto"/>
                </w:tcPr>
                <w:p w14:paraId="64E10525" w14:textId="77777777" w:rsidR="003D024C" w:rsidRPr="00BF7C40" w:rsidRDefault="003D024C" w:rsidP="00E007F5">
                  <w:pPr>
                    <w:tabs>
                      <w:tab w:val="left" w:pos="1635"/>
                    </w:tabs>
                    <w:rPr>
                      <w:sz w:val="17"/>
                      <w:szCs w:val="17"/>
                      <w:lang w:eastAsia="en-AU"/>
                    </w:rPr>
                  </w:pPr>
                  <w:r w:rsidRPr="00F90453">
                    <w:rPr>
                      <w:sz w:val="17"/>
                      <w:szCs w:val="17"/>
                    </w:rPr>
                    <w:t xml:space="preserve">2016 ROA covers Energy of Fiji Limited, Airports Fiji Limited, Fiji Ports Corporation Limited. No information collected for 2017 due to limited engagement with Ministry of Public Enterprises following slow implementation of SOE reforms. </w:t>
                  </w:r>
                </w:p>
              </w:tc>
              <w:tc>
                <w:tcPr>
                  <w:tcW w:w="2007" w:type="dxa"/>
                  <w:shd w:val="clear" w:color="auto" w:fill="auto"/>
                </w:tcPr>
                <w:p w14:paraId="278F5035" w14:textId="77777777" w:rsidR="003D024C" w:rsidRPr="00BF7C40" w:rsidRDefault="003D024C" w:rsidP="00E007F5">
                  <w:pPr>
                    <w:tabs>
                      <w:tab w:val="left" w:pos="1635"/>
                    </w:tabs>
                    <w:rPr>
                      <w:sz w:val="17"/>
                      <w:szCs w:val="17"/>
                      <w:lang w:eastAsia="en-AU"/>
                    </w:rPr>
                  </w:pPr>
                  <w:r w:rsidRPr="00F90453">
                    <w:rPr>
                      <w:sz w:val="17"/>
                      <w:szCs w:val="17"/>
                    </w:rPr>
                    <w:t>PSDI correspondence</w:t>
                  </w:r>
                </w:p>
              </w:tc>
            </w:tr>
            <w:tr w:rsidR="003D024C" w:rsidRPr="00BF7C40" w14:paraId="350D327E" w14:textId="77777777" w:rsidTr="00E007F5">
              <w:trPr>
                <w:trHeight w:val="1461"/>
              </w:trPr>
              <w:tc>
                <w:tcPr>
                  <w:tcW w:w="1812" w:type="dxa"/>
                  <w:vMerge/>
                  <w:tcBorders>
                    <w:left w:val="nil"/>
                  </w:tcBorders>
                </w:tcPr>
                <w:p w14:paraId="133C7194" w14:textId="77777777" w:rsidR="003D024C" w:rsidRPr="00BF7C40" w:rsidRDefault="003D024C" w:rsidP="00E007F5">
                  <w:pPr>
                    <w:tabs>
                      <w:tab w:val="left" w:pos="1635"/>
                    </w:tabs>
                    <w:rPr>
                      <w:b/>
                      <w:sz w:val="17"/>
                      <w:szCs w:val="17"/>
                      <w:lang w:val="en-AU" w:eastAsia="en-AU"/>
                    </w:rPr>
                  </w:pPr>
                </w:p>
              </w:tc>
              <w:tc>
                <w:tcPr>
                  <w:tcW w:w="1402" w:type="dxa"/>
                </w:tcPr>
                <w:p w14:paraId="10DDF12B" w14:textId="77777777" w:rsidR="003D024C" w:rsidRPr="00BF7C40" w:rsidRDefault="003D024C" w:rsidP="00E007F5">
                  <w:pPr>
                    <w:tabs>
                      <w:tab w:val="left" w:pos="1635"/>
                    </w:tabs>
                    <w:rPr>
                      <w:i/>
                      <w:sz w:val="17"/>
                      <w:szCs w:val="17"/>
                      <w:lang w:eastAsia="en-AU"/>
                    </w:rPr>
                  </w:pPr>
                  <w:r w:rsidRPr="008D48C8">
                    <w:rPr>
                      <w:i/>
                      <w:sz w:val="17"/>
                      <w:szCs w:val="17"/>
                    </w:rPr>
                    <w:t xml:space="preserve">2.3 Improved accountability of SOEs, as measured by the proportion of SOEs that publish audited annual reports within statutory timeframes </w:t>
                  </w:r>
                </w:p>
              </w:tc>
              <w:tc>
                <w:tcPr>
                  <w:tcW w:w="1471" w:type="dxa"/>
                </w:tcPr>
                <w:p w14:paraId="2D79AD27" w14:textId="77777777" w:rsidR="003D024C" w:rsidRPr="00BF7C40" w:rsidRDefault="003D024C" w:rsidP="00E007F5">
                  <w:pPr>
                    <w:tabs>
                      <w:tab w:val="left" w:pos="1635"/>
                    </w:tabs>
                    <w:rPr>
                      <w:sz w:val="17"/>
                      <w:szCs w:val="17"/>
                      <w:lang w:eastAsia="en-AU"/>
                    </w:rPr>
                  </w:pPr>
                  <w:r w:rsidRPr="008D48C8">
                    <w:rPr>
                      <w:sz w:val="17"/>
                      <w:szCs w:val="17"/>
                    </w:rPr>
                    <w:t>10-20% of SOEs submit and publish audited annual reports within statutory timeframes</w:t>
                  </w:r>
                </w:p>
              </w:tc>
              <w:tc>
                <w:tcPr>
                  <w:tcW w:w="1605" w:type="dxa"/>
                </w:tcPr>
                <w:p w14:paraId="2FF4834A" w14:textId="77777777" w:rsidR="003D024C" w:rsidRPr="00BF7C40" w:rsidRDefault="003D024C" w:rsidP="00E007F5">
                  <w:pPr>
                    <w:tabs>
                      <w:tab w:val="left" w:pos="1635"/>
                    </w:tabs>
                    <w:rPr>
                      <w:sz w:val="17"/>
                      <w:szCs w:val="17"/>
                      <w:lang w:eastAsia="en-AU"/>
                    </w:rPr>
                  </w:pPr>
                  <w:r w:rsidRPr="008D48C8">
                    <w:rPr>
                      <w:sz w:val="17"/>
                      <w:szCs w:val="17"/>
                    </w:rPr>
                    <w:t>NA</w:t>
                  </w:r>
                </w:p>
              </w:tc>
              <w:tc>
                <w:tcPr>
                  <w:tcW w:w="1740" w:type="dxa"/>
                </w:tcPr>
                <w:p w14:paraId="525D8AB8" w14:textId="77777777" w:rsidR="003D024C" w:rsidRPr="00BF7C40" w:rsidRDefault="003D024C" w:rsidP="00E007F5">
                  <w:pPr>
                    <w:tabs>
                      <w:tab w:val="left" w:pos="1635"/>
                    </w:tabs>
                    <w:rPr>
                      <w:sz w:val="17"/>
                      <w:szCs w:val="17"/>
                      <w:lang w:eastAsia="en-AU"/>
                    </w:rPr>
                  </w:pPr>
                  <w:r w:rsidRPr="008D48C8">
                    <w:rPr>
                      <w:sz w:val="17"/>
                      <w:szCs w:val="17"/>
                    </w:rPr>
                    <w:t>Increase</w:t>
                  </w:r>
                </w:p>
              </w:tc>
              <w:tc>
                <w:tcPr>
                  <w:tcW w:w="1471" w:type="dxa"/>
                  <w:shd w:val="clear" w:color="auto" w:fill="auto"/>
                </w:tcPr>
                <w:p w14:paraId="699F90B4" w14:textId="77777777" w:rsidR="003D024C" w:rsidRPr="00BF7C40" w:rsidRDefault="003D024C" w:rsidP="00E007F5">
                  <w:pPr>
                    <w:tabs>
                      <w:tab w:val="left" w:pos="1635"/>
                    </w:tabs>
                    <w:rPr>
                      <w:i/>
                      <w:sz w:val="17"/>
                      <w:szCs w:val="17"/>
                      <w:lang w:eastAsia="en-AU"/>
                    </w:rPr>
                  </w:pPr>
                  <w:r w:rsidRPr="008D48C8">
                    <w:rPr>
                      <w:sz w:val="17"/>
                      <w:szCs w:val="17"/>
                    </w:rPr>
                    <w:t>NA</w:t>
                  </w:r>
                </w:p>
              </w:tc>
              <w:tc>
                <w:tcPr>
                  <w:tcW w:w="2944" w:type="dxa"/>
                </w:tcPr>
                <w:p w14:paraId="297F3DC2" w14:textId="77777777" w:rsidR="003D024C" w:rsidRPr="00BF7C40" w:rsidRDefault="003D024C" w:rsidP="00E007F5">
                  <w:pPr>
                    <w:tabs>
                      <w:tab w:val="left" w:pos="1635"/>
                    </w:tabs>
                    <w:rPr>
                      <w:sz w:val="17"/>
                      <w:szCs w:val="17"/>
                      <w:lang w:eastAsia="en-AU"/>
                    </w:rPr>
                  </w:pPr>
                  <w:r w:rsidRPr="008D48C8">
                    <w:rPr>
                      <w:sz w:val="17"/>
                      <w:szCs w:val="17"/>
                    </w:rPr>
                    <w:t xml:space="preserve">No information collected for 2016 and 2017 due to limited engagement with Ministry of Public Enterprises following slow implementation of SOE reforms. </w:t>
                  </w:r>
                </w:p>
              </w:tc>
              <w:tc>
                <w:tcPr>
                  <w:tcW w:w="2007" w:type="dxa"/>
                </w:tcPr>
                <w:p w14:paraId="1170F254" w14:textId="77777777" w:rsidR="003D024C" w:rsidRPr="00BF7C40" w:rsidRDefault="003D024C" w:rsidP="00E007F5">
                  <w:pPr>
                    <w:tabs>
                      <w:tab w:val="left" w:pos="1635"/>
                    </w:tabs>
                    <w:rPr>
                      <w:sz w:val="17"/>
                      <w:szCs w:val="17"/>
                      <w:lang w:eastAsia="en-AU"/>
                    </w:rPr>
                  </w:pPr>
                  <w:r w:rsidRPr="008D48C8">
                    <w:rPr>
                      <w:sz w:val="17"/>
                      <w:szCs w:val="17"/>
                    </w:rPr>
                    <w:t>PSDI correspondence</w:t>
                  </w:r>
                </w:p>
              </w:tc>
            </w:tr>
            <w:tr w:rsidR="003D024C" w:rsidRPr="00BF7C40" w14:paraId="67AD8E30" w14:textId="77777777" w:rsidTr="00E007F5">
              <w:trPr>
                <w:trHeight w:val="624"/>
              </w:trPr>
              <w:tc>
                <w:tcPr>
                  <w:tcW w:w="1812" w:type="dxa"/>
                  <w:vMerge/>
                  <w:tcBorders>
                    <w:left w:val="nil"/>
                  </w:tcBorders>
                </w:tcPr>
                <w:p w14:paraId="5656EB88" w14:textId="77777777" w:rsidR="003D024C" w:rsidRPr="00BF7C40" w:rsidRDefault="003D024C" w:rsidP="00E007F5">
                  <w:pPr>
                    <w:tabs>
                      <w:tab w:val="left" w:pos="1635"/>
                    </w:tabs>
                    <w:rPr>
                      <w:sz w:val="17"/>
                      <w:szCs w:val="17"/>
                      <w:lang w:eastAsia="en-AU"/>
                    </w:rPr>
                  </w:pPr>
                </w:p>
              </w:tc>
              <w:tc>
                <w:tcPr>
                  <w:tcW w:w="1402" w:type="dxa"/>
                </w:tcPr>
                <w:p w14:paraId="5F969F7D" w14:textId="77777777" w:rsidR="003D024C" w:rsidRPr="00BF7C40" w:rsidRDefault="003D024C" w:rsidP="00E007F5">
                  <w:pPr>
                    <w:tabs>
                      <w:tab w:val="left" w:pos="1635"/>
                    </w:tabs>
                    <w:rPr>
                      <w:i/>
                      <w:sz w:val="17"/>
                      <w:szCs w:val="17"/>
                      <w:lang w:eastAsia="en-AU"/>
                    </w:rPr>
                  </w:pPr>
                  <w:r w:rsidRPr="008D48C8">
                    <w:rPr>
                      <w:i/>
                      <w:sz w:val="17"/>
                      <w:szCs w:val="17"/>
                    </w:rPr>
                    <w:t>2.4 Improved MSMEs access to finance through secured transactions reform</w:t>
                  </w:r>
                </w:p>
              </w:tc>
              <w:tc>
                <w:tcPr>
                  <w:tcW w:w="1471" w:type="dxa"/>
                </w:tcPr>
                <w:p w14:paraId="30716B82" w14:textId="77777777" w:rsidR="003D024C" w:rsidRPr="00BF7C40" w:rsidRDefault="003D024C" w:rsidP="00E007F5">
                  <w:pPr>
                    <w:tabs>
                      <w:tab w:val="left" w:pos="1635"/>
                    </w:tabs>
                    <w:rPr>
                      <w:sz w:val="17"/>
                      <w:szCs w:val="17"/>
                      <w:lang w:eastAsia="en-AU"/>
                    </w:rPr>
                  </w:pPr>
                  <w:r w:rsidRPr="008D48C8">
                    <w:rPr>
                      <w:sz w:val="17"/>
                      <w:szCs w:val="17"/>
                    </w:rPr>
                    <w:t xml:space="preserve">Moveable assets not able to be used as collateral. </w:t>
                  </w:r>
                </w:p>
              </w:tc>
              <w:tc>
                <w:tcPr>
                  <w:tcW w:w="1605" w:type="dxa"/>
                </w:tcPr>
                <w:p w14:paraId="0A361FB0" w14:textId="77777777" w:rsidR="003D024C" w:rsidRPr="00BF7C40" w:rsidRDefault="003D024C" w:rsidP="00E007F5">
                  <w:pPr>
                    <w:tabs>
                      <w:tab w:val="left" w:pos="1635"/>
                    </w:tabs>
                    <w:rPr>
                      <w:sz w:val="17"/>
                      <w:szCs w:val="17"/>
                      <w:lang w:eastAsia="en-AU"/>
                    </w:rPr>
                  </w:pPr>
                  <w:r w:rsidRPr="008D48C8">
                    <w:rPr>
                      <w:sz w:val="17"/>
                      <w:szCs w:val="17"/>
                    </w:rPr>
                    <w:t>A secured transactions framework developed</w:t>
                  </w:r>
                </w:p>
              </w:tc>
              <w:tc>
                <w:tcPr>
                  <w:tcW w:w="1740" w:type="dxa"/>
                </w:tcPr>
                <w:p w14:paraId="596A6506" w14:textId="77777777" w:rsidR="003D024C" w:rsidRPr="00BF7C40" w:rsidRDefault="003D024C" w:rsidP="00E007F5">
                  <w:pPr>
                    <w:tabs>
                      <w:tab w:val="left" w:pos="1635"/>
                    </w:tabs>
                    <w:rPr>
                      <w:i/>
                      <w:sz w:val="17"/>
                      <w:szCs w:val="17"/>
                      <w:lang w:eastAsia="en-AU"/>
                    </w:rPr>
                  </w:pPr>
                  <w:r w:rsidRPr="008D48C8">
                    <w:rPr>
                      <w:sz w:val="17"/>
                      <w:szCs w:val="17"/>
                    </w:rPr>
                    <w:t>Personal Property Securities Act passed by Parliament</w:t>
                  </w:r>
                </w:p>
              </w:tc>
              <w:tc>
                <w:tcPr>
                  <w:tcW w:w="1471" w:type="dxa"/>
                  <w:shd w:val="clear" w:color="auto" w:fill="auto"/>
                </w:tcPr>
                <w:p w14:paraId="61B278F6" w14:textId="77777777" w:rsidR="003D024C" w:rsidRPr="00BF7C40" w:rsidRDefault="003D024C" w:rsidP="00E007F5">
                  <w:pPr>
                    <w:tabs>
                      <w:tab w:val="left" w:pos="1635"/>
                    </w:tabs>
                    <w:rPr>
                      <w:sz w:val="17"/>
                      <w:szCs w:val="17"/>
                      <w:lang w:eastAsia="en-AU"/>
                    </w:rPr>
                  </w:pPr>
                  <w:r w:rsidRPr="008D48C8">
                    <w:rPr>
                      <w:sz w:val="17"/>
                      <w:szCs w:val="17"/>
                    </w:rPr>
                    <w:t xml:space="preserve">Personal Property Securities Bill passed in Parliament in September 2017. </w:t>
                  </w:r>
                </w:p>
              </w:tc>
              <w:tc>
                <w:tcPr>
                  <w:tcW w:w="2944" w:type="dxa"/>
                </w:tcPr>
                <w:p w14:paraId="16D750C8" w14:textId="77777777" w:rsidR="003D024C" w:rsidRPr="008D48C8" w:rsidRDefault="003D024C" w:rsidP="00E007F5">
                  <w:pPr>
                    <w:tabs>
                      <w:tab w:val="left" w:pos="1635"/>
                    </w:tabs>
                    <w:rPr>
                      <w:sz w:val="17"/>
                      <w:szCs w:val="17"/>
                      <w:vertAlign w:val="superscript"/>
                      <w:lang w:eastAsia="en-AU"/>
                    </w:rPr>
                  </w:pPr>
                </w:p>
              </w:tc>
              <w:tc>
                <w:tcPr>
                  <w:tcW w:w="2007" w:type="dxa"/>
                </w:tcPr>
                <w:p w14:paraId="5D42D335" w14:textId="77777777" w:rsidR="003D024C" w:rsidRPr="00BF7C40" w:rsidRDefault="003D024C" w:rsidP="00E007F5">
                  <w:pPr>
                    <w:tabs>
                      <w:tab w:val="left" w:pos="1635"/>
                    </w:tabs>
                    <w:rPr>
                      <w:sz w:val="17"/>
                      <w:szCs w:val="17"/>
                      <w:lang w:eastAsia="en-AU"/>
                    </w:rPr>
                  </w:pPr>
                  <w:r w:rsidRPr="008D48C8">
                    <w:rPr>
                      <w:sz w:val="17"/>
                      <w:szCs w:val="17"/>
                    </w:rPr>
                    <w:t xml:space="preserve">Fiji media; PSDI </w:t>
                  </w:r>
                </w:p>
              </w:tc>
            </w:tr>
            <w:tr w:rsidR="003D024C" w:rsidRPr="00BF7C40" w14:paraId="583A7D78" w14:textId="77777777" w:rsidTr="00E007F5">
              <w:trPr>
                <w:trHeight w:val="624"/>
              </w:trPr>
              <w:tc>
                <w:tcPr>
                  <w:tcW w:w="1812" w:type="dxa"/>
                  <w:vMerge/>
                  <w:tcBorders>
                    <w:left w:val="nil"/>
                  </w:tcBorders>
                </w:tcPr>
                <w:p w14:paraId="0834C3E6" w14:textId="77777777" w:rsidR="003D024C" w:rsidRPr="00BF7C40" w:rsidRDefault="003D024C" w:rsidP="00E007F5">
                  <w:pPr>
                    <w:tabs>
                      <w:tab w:val="left" w:pos="1635"/>
                    </w:tabs>
                    <w:rPr>
                      <w:sz w:val="17"/>
                      <w:szCs w:val="17"/>
                      <w:lang w:eastAsia="en-AU"/>
                    </w:rPr>
                  </w:pPr>
                </w:p>
              </w:tc>
              <w:tc>
                <w:tcPr>
                  <w:tcW w:w="1402" w:type="dxa"/>
                </w:tcPr>
                <w:p w14:paraId="6B4BF6B7" w14:textId="77777777" w:rsidR="003D024C" w:rsidRPr="00BF7C40" w:rsidRDefault="003D024C" w:rsidP="00E007F5">
                  <w:pPr>
                    <w:tabs>
                      <w:tab w:val="left" w:pos="1635"/>
                    </w:tabs>
                    <w:rPr>
                      <w:i/>
                      <w:sz w:val="17"/>
                      <w:szCs w:val="17"/>
                      <w:lang w:eastAsia="en-AU"/>
                    </w:rPr>
                  </w:pPr>
                  <w:r w:rsidRPr="008D48C8">
                    <w:rPr>
                      <w:i/>
                      <w:sz w:val="17"/>
                      <w:szCs w:val="17"/>
                    </w:rPr>
                    <w:t>2.5 Percentage of adults that have an active mobile money account (used in the last 90 days)</w:t>
                  </w:r>
                </w:p>
              </w:tc>
              <w:tc>
                <w:tcPr>
                  <w:tcW w:w="1471" w:type="dxa"/>
                </w:tcPr>
                <w:p w14:paraId="5C44B21B" w14:textId="77777777" w:rsidR="003D024C" w:rsidRPr="00BF7C40" w:rsidRDefault="003D024C" w:rsidP="00E007F5">
                  <w:pPr>
                    <w:tabs>
                      <w:tab w:val="left" w:pos="1635"/>
                    </w:tabs>
                    <w:rPr>
                      <w:sz w:val="17"/>
                      <w:szCs w:val="17"/>
                      <w:lang w:eastAsia="en-AU"/>
                    </w:rPr>
                  </w:pPr>
                  <w:r w:rsidRPr="008D48C8">
                    <w:rPr>
                      <w:sz w:val="17"/>
                      <w:szCs w:val="17"/>
                    </w:rPr>
                    <w:t>2.16 per cent (2015)</w:t>
                  </w:r>
                </w:p>
              </w:tc>
              <w:tc>
                <w:tcPr>
                  <w:tcW w:w="1605" w:type="dxa"/>
                </w:tcPr>
                <w:p w14:paraId="527197BD" w14:textId="77777777" w:rsidR="003D024C" w:rsidRPr="00BF7C40" w:rsidRDefault="003D024C" w:rsidP="00E007F5">
                  <w:pPr>
                    <w:tabs>
                      <w:tab w:val="left" w:pos="1635"/>
                    </w:tabs>
                    <w:rPr>
                      <w:sz w:val="17"/>
                      <w:szCs w:val="17"/>
                      <w:lang w:eastAsia="en-AU"/>
                    </w:rPr>
                  </w:pPr>
                  <w:r w:rsidRPr="008D48C8">
                    <w:rPr>
                      <w:sz w:val="17"/>
                      <w:szCs w:val="17"/>
                    </w:rPr>
                    <w:t>2.56 per cent (2016)</w:t>
                  </w:r>
                </w:p>
              </w:tc>
              <w:tc>
                <w:tcPr>
                  <w:tcW w:w="1740" w:type="dxa"/>
                </w:tcPr>
                <w:p w14:paraId="6AD71702" w14:textId="77777777" w:rsidR="003D024C" w:rsidRPr="00BF7C40" w:rsidRDefault="003D024C" w:rsidP="00E007F5">
                  <w:pPr>
                    <w:tabs>
                      <w:tab w:val="left" w:pos="1635"/>
                    </w:tabs>
                    <w:rPr>
                      <w:i/>
                      <w:sz w:val="17"/>
                      <w:szCs w:val="17"/>
                      <w:lang w:eastAsia="en-AU"/>
                    </w:rPr>
                  </w:pPr>
                  <w:r w:rsidRPr="008D48C8">
                    <w:rPr>
                      <w:sz w:val="17"/>
                      <w:szCs w:val="17"/>
                    </w:rPr>
                    <w:t>3 per cent (2017)</w:t>
                  </w:r>
                </w:p>
              </w:tc>
              <w:tc>
                <w:tcPr>
                  <w:tcW w:w="1471" w:type="dxa"/>
                  <w:shd w:val="clear" w:color="auto" w:fill="auto"/>
                </w:tcPr>
                <w:p w14:paraId="589A9066" w14:textId="77777777" w:rsidR="003D024C" w:rsidRPr="00BF7C40" w:rsidRDefault="003D024C" w:rsidP="00E007F5">
                  <w:pPr>
                    <w:tabs>
                      <w:tab w:val="left" w:pos="1635"/>
                    </w:tabs>
                    <w:rPr>
                      <w:i/>
                      <w:sz w:val="17"/>
                      <w:szCs w:val="17"/>
                      <w:lang w:eastAsia="en-AU"/>
                    </w:rPr>
                  </w:pPr>
                  <w:r w:rsidRPr="008D48C8">
                    <w:rPr>
                      <w:sz w:val="17"/>
                      <w:szCs w:val="17"/>
                    </w:rPr>
                    <w:t xml:space="preserve">3.04 (2017) </w:t>
                  </w:r>
                </w:p>
              </w:tc>
              <w:tc>
                <w:tcPr>
                  <w:tcW w:w="2944" w:type="dxa"/>
                </w:tcPr>
                <w:p w14:paraId="3CA28FD1" w14:textId="77777777" w:rsidR="003D024C" w:rsidRPr="008D48C8" w:rsidRDefault="003D024C" w:rsidP="00E007F5">
                  <w:pPr>
                    <w:tabs>
                      <w:tab w:val="left" w:pos="1635"/>
                    </w:tabs>
                    <w:rPr>
                      <w:sz w:val="17"/>
                      <w:szCs w:val="17"/>
                      <w:vertAlign w:val="superscript"/>
                      <w:lang w:eastAsia="en-AU"/>
                    </w:rPr>
                  </w:pPr>
                  <w:r w:rsidRPr="008D48C8">
                    <w:rPr>
                      <w:sz w:val="17"/>
                      <w:szCs w:val="17"/>
                    </w:rPr>
                    <w:t xml:space="preserve">In 2017, PFIP launched a partnership between HFC Bank and Vodafone to offer customers banking services via the M-Paisa agent network with access to banking services beyond normal banking hours through over 23 Vodafone outlets around Fiji.  </w:t>
                  </w:r>
                </w:p>
              </w:tc>
              <w:tc>
                <w:tcPr>
                  <w:tcW w:w="2007" w:type="dxa"/>
                </w:tcPr>
                <w:p w14:paraId="43741AF2" w14:textId="77777777" w:rsidR="003D024C" w:rsidRPr="00BF7C40" w:rsidRDefault="003D024C" w:rsidP="00E007F5">
                  <w:pPr>
                    <w:tabs>
                      <w:tab w:val="left" w:pos="1635"/>
                    </w:tabs>
                    <w:rPr>
                      <w:sz w:val="17"/>
                      <w:szCs w:val="17"/>
                      <w:lang w:eastAsia="en-AU"/>
                    </w:rPr>
                  </w:pPr>
                  <w:r w:rsidRPr="008D48C8">
                    <w:rPr>
                      <w:sz w:val="17"/>
                      <w:szCs w:val="17"/>
                    </w:rPr>
                    <w:t>Reserve Bank of Fiji (RBF) Financial Inclusion Report; PFIP</w:t>
                  </w:r>
                </w:p>
              </w:tc>
            </w:tr>
            <w:tr w:rsidR="003D024C" w:rsidRPr="008D48C8" w14:paraId="519D39EA" w14:textId="77777777" w:rsidTr="00E007F5">
              <w:trPr>
                <w:trHeight w:val="624"/>
              </w:trPr>
              <w:tc>
                <w:tcPr>
                  <w:tcW w:w="1812" w:type="dxa"/>
                  <w:vMerge w:val="restart"/>
                  <w:tcBorders>
                    <w:left w:val="nil"/>
                  </w:tcBorders>
                </w:tcPr>
                <w:p w14:paraId="56EC5057" w14:textId="77777777" w:rsidR="003D024C" w:rsidRPr="008D48C8" w:rsidRDefault="003D024C" w:rsidP="00E007F5">
                  <w:pPr>
                    <w:tabs>
                      <w:tab w:val="left" w:pos="1635"/>
                    </w:tabs>
                    <w:rPr>
                      <w:b/>
                      <w:sz w:val="17"/>
                      <w:szCs w:val="17"/>
                      <w:lang w:eastAsia="en-AU"/>
                    </w:rPr>
                  </w:pPr>
                  <w:r w:rsidRPr="008D48C8">
                    <w:rPr>
                      <w:b/>
                      <w:sz w:val="17"/>
                      <w:szCs w:val="17"/>
                      <w:lang w:eastAsia="en-AU"/>
                    </w:rPr>
                    <w:t>Outcome 3: Improved trade competitiveness of key pro-poor sectors</w:t>
                  </w:r>
                </w:p>
              </w:tc>
              <w:tc>
                <w:tcPr>
                  <w:tcW w:w="1402" w:type="dxa"/>
                </w:tcPr>
                <w:p w14:paraId="42D2FB16" w14:textId="77777777" w:rsidR="003D024C" w:rsidRPr="008D48C8" w:rsidRDefault="003D024C" w:rsidP="00E007F5">
                  <w:pPr>
                    <w:tabs>
                      <w:tab w:val="left" w:pos="1635"/>
                    </w:tabs>
                    <w:rPr>
                      <w:i/>
                      <w:sz w:val="17"/>
                      <w:szCs w:val="17"/>
                    </w:rPr>
                  </w:pPr>
                  <w:r w:rsidRPr="008D48C8">
                    <w:rPr>
                      <w:i/>
                      <w:sz w:val="17"/>
                      <w:szCs w:val="17"/>
                    </w:rPr>
                    <w:t xml:space="preserve">3.1 Market access maintained or improved for three export commodities (ginger, taro, kava) and new market access </w:t>
                  </w:r>
                  <w:r w:rsidRPr="008D48C8">
                    <w:rPr>
                      <w:i/>
                      <w:sz w:val="17"/>
                      <w:szCs w:val="17"/>
                    </w:rPr>
                    <w:lastRenderedPageBreak/>
                    <w:t>opened for new commodities</w:t>
                  </w:r>
                </w:p>
              </w:tc>
              <w:tc>
                <w:tcPr>
                  <w:tcW w:w="1471" w:type="dxa"/>
                </w:tcPr>
                <w:p w14:paraId="32F760E5" w14:textId="77777777" w:rsidR="003D024C" w:rsidRPr="008D48C8" w:rsidRDefault="003D024C" w:rsidP="00E007F5">
                  <w:pPr>
                    <w:tabs>
                      <w:tab w:val="left" w:pos="1635"/>
                    </w:tabs>
                    <w:rPr>
                      <w:sz w:val="17"/>
                      <w:szCs w:val="17"/>
                    </w:rPr>
                  </w:pPr>
                  <w:r w:rsidRPr="008D48C8">
                    <w:rPr>
                      <w:sz w:val="17"/>
                      <w:szCs w:val="17"/>
                    </w:rPr>
                    <w:lastRenderedPageBreak/>
                    <w:t>Market access protected for fresh ginger, taro and kava</w:t>
                  </w:r>
                </w:p>
              </w:tc>
              <w:tc>
                <w:tcPr>
                  <w:tcW w:w="1605" w:type="dxa"/>
                </w:tcPr>
                <w:p w14:paraId="574D0C3A" w14:textId="77777777" w:rsidR="003D024C" w:rsidRPr="008D48C8" w:rsidRDefault="003D024C" w:rsidP="00E007F5">
                  <w:pPr>
                    <w:tabs>
                      <w:tab w:val="left" w:pos="1635"/>
                    </w:tabs>
                    <w:rPr>
                      <w:sz w:val="17"/>
                      <w:szCs w:val="17"/>
                    </w:rPr>
                  </w:pPr>
                  <w:r w:rsidRPr="008D48C8">
                    <w:rPr>
                      <w:sz w:val="17"/>
                      <w:szCs w:val="17"/>
                    </w:rPr>
                    <w:t xml:space="preserve">Market access protected for fresh ginger, taro and kava </w:t>
                  </w:r>
                </w:p>
              </w:tc>
              <w:tc>
                <w:tcPr>
                  <w:tcW w:w="1740" w:type="dxa"/>
                </w:tcPr>
                <w:p w14:paraId="41DB0182" w14:textId="77777777" w:rsidR="003D024C" w:rsidRPr="008D48C8" w:rsidRDefault="003D024C" w:rsidP="00E007F5">
                  <w:pPr>
                    <w:tabs>
                      <w:tab w:val="left" w:pos="1635"/>
                    </w:tabs>
                    <w:rPr>
                      <w:sz w:val="17"/>
                      <w:szCs w:val="17"/>
                    </w:rPr>
                  </w:pPr>
                  <w:r w:rsidRPr="008D48C8">
                    <w:rPr>
                      <w:sz w:val="17"/>
                      <w:szCs w:val="17"/>
                    </w:rPr>
                    <w:t>Market access created for new commodities (breadfruit and chilli)</w:t>
                  </w:r>
                </w:p>
              </w:tc>
              <w:tc>
                <w:tcPr>
                  <w:tcW w:w="1471" w:type="dxa"/>
                  <w:shd w:val="clear" w:color="auto" w:fill="auto"/>
                </w:tcPr>
                <w:p w14:paraId="09D5BC69" w14:textId="77777777" w:rsidR="003D024C" w:rsidRPr="008D48C8" w:rsidRDefault="003D024C" w:rsidP="00E007F5">
                  <w:pPr>
                    <w:tabs>
                      <w:tab w:val="left" w:pos="1635"/>
                    </w:tabs>
                    <w:rPr>
                      <w:sz w:val="17"/>
                      <w:szCs w:val="17"/>
                    </w:rPr>
                  </w:pPr>
                  <w:r w:rsidRPr="008D48C8">
                    <w:rPr>
                      <w:sz w:val="17"/>
                      <w:szCs w:val="17"/>
                    </w:rPr>
                    <w:t xml:space="preserve">Breadfruit import review conducted in 2018, with draft report being cleared by DAWR. Chilli import review to be conducted after </w:t>
                  </w:r>
                  <w:r w:rsidRPr="008D48C8">
                    <w:rPr>
                      <w:sz w:val="17"/>
                      <w:szCs w:val="17"/>
                    </w:rPr>
                    <w:lastRenderedPageBreak/>
                    <w:t>breadfruit has been finalised.</w:t>
                  </w:r>
                </w:p>
              </w:tc>
              <w:tc>
                <w:tcPr>
                  <w:tcW w:w="2944" w:type="dxa"/>
                </w:tcPr>
                <w:p w14:paraId="67A9B600" w14:textId="77777777" w:rsidR="003D024C" w:rsidRPr="008D48C8" w:rsidRDefault="003D024C" w:rsidP="00E007F5">
                  <w:pPr>
                    <w:tabs>
                      <w:tab w:val="left" w:pos="1635"/>
                    </w:tabs>
                    <w:rPr>
                      <w:sz w:val="17"/>
                      <w:szCs w:val="17"/>
                    </w:rPr>
                  </w:pPr>
                </w:p>
              </w:tc>
              <w:tc>
                <w:tcPr>
                  <w:tcW w:w="2007" w:type="dxa"/>
                </w:tcPr>
                <w:p w14:paraId="74B7FE21" w14:textId="77777777" w:rsidR="003D024C" w:rsidRPr="008D48C8" w:rsidRDefault="003D024C" w:rsidP="00E007F5">
                  <w:pPr>
                    <w:tabs>
                      <w:tab w:val="left" w:pos="1635"/>
                    </w:tabs>
                    <w:rPr>
                      <w:sz w:val="17"/>
                      <w:szCs w:val="17"/>
                    </w:rPr>
                  </w:pPr>
                  <w:r w:rsidRPr="008D48C8">
                    <w:rPr>
                      <w:sz w:val="17"/>
                      <w:szCs w:val="17"/>
                    </w:rPr>
                    <w:t>Department of Agriculture and Water Resources (DAWR); PHAMA</w:t>
                  </w:r>
                </w:p>
              </w:tc>
            </w:tr>
            <w:tr w:rsidR="003D024C" w:rsidRPr="008D48C8" w14:paraId="42940722" w14:textId="77777777" w:rsidTr="00E007F5">
              <w:trPr>
                <w:trHeight w:val="624"/>
              </w:trPr>
              <w:tc>
                <w:tcPr>
                  <w:tcW w:w="1812" w:type="dxa"/>
                  <w:vMerge/>
                  <w:tcBorders>
                    <w:left w:val="nil"/>
                  </w:tcBorders>
                </w:tcPr>
                <w:p w14:paraId="17C39EA7" w14:textId="77777777" w:rsidR="003D024C" w:rsidRPr="00BF7C40" w:rsidRDefault="003D024C" w:rsidP="00E007F5">
                  <w:pPr>
                    <w:tabs>
                      <w:tab w:val="left" w:pos="1635"/>
                    </w:tabs>
                    <w:rPr>
                      <w:sz w:val="17"/>
                      <w:szCs w:val="17"/>
                      <w:lang w:eastAsia="en-AU"/>
                    </w:rPr>
                  </w:pPr>
                </w:p>
              </w:tc>
              <w:tc>
                <w:tcPr>
                  <w:tcW w:w="1402" w:type="dxa"/>
                </w:tcPr>
                <w:p w14:paraId="46AA1B93" w14:textId="553C2159" w:rsidR="003D024C" w:rsidRPr="008D48C8" w:rsidRDefault="003D024C" w:rsidP="00E007F5">
                  <w:pPr>
                    <w:tabs>
                      <w:tab w:val="left" w:pos="1635"/>
                    </w:tabs>
                    <w:rPr>
                      <w:i/>
                      <w:sz w:val="17"/>
                      <w:szCs w:val="17"/>
                    </w:rPr>
                  </w:pPr>
                  <w:r w:rsidRPr="008D48C8">
                    <w:rPr>
                      <w:i/>
                      <w:sz w:val="17"/>
                      <w:szCs w:val="17"/>
                    </w:rPr>
                    <w:t xml:space="preserve">3.2 Growth in tourist numbers to less visited </w:t>
                  </w:r>
                  <w:r w:rsidRPr="00983436">
                    <w:rPr>
                      <w:i/>
                      <w:color w:val="auto"/>
                      <w:sz w:val="17"/>
                      <w:szCs w:val="17"/>
                    </w:rPr>
                    <w:t>areas of Fiji (i.e destinations other than Den</w:t>
                  </w:r>
                  <w:r w:rsidR="009B0514" w:rsidRPr="00983436">
                    <w:rPr>
                      <w:i/>
                      <w:color w:val="auto"/>
                      <w:sz w:val="17"/>
                      <w:szCs w:val="17"/>
                    </w:rPr>
                    <w:t>a</w:t>
                  </w:r>
                  <w:r w:rsidRPr="00983436">
                    <w:rPr>
                      <w:i/>
                      <w:color w:val="auto"/>
                      <w:sz w:val="17"/>
                      <w:szCs w:val="17"/>
                    </w:rPr>
                    <w:t>rau Nadi-Coral Coast-Mamanuca</w:t>
                  </w:r>
                  <w:r w:rsidR="009B0514" w:rsidRPr="00983436">
                    <w:rPr>
                      <w:i/>
                      <w:color w:val="auto"/>
                      <w:sz w:val="17"/>
                      <w:szCs w:val="17"/>
                    </w:rPr>
                    <w:t xml:space="preserve"> Islands</w:t>
                  </w:r>
                  <w:r w:rsidRPr="00983436">
                    <w:rPr>
                      <w:i/>
                      <w:color w:val="auto"/>
                      <w:sz w:val="17"/>
                      <w:szCs w:val="17"/>
                    </w:rPr>
                    <w:t>)</w:t>
                  </w:r>
                </w:p>
              </w:tc>
              <w:tc>
                <w:tcPr>
                  <w:tcW w:w="1471" w:type="dxa"/>
                </w:tcPr>
                <w:p w14:paraId="06F0A502" w14:textId="77777777" w:rsidR="003D024C" w:rsidRPr="008D48C8" w:rsidRDefault="003D024C" w:rsidP="00E007F5">
                  <w:pPr>
                    <w:tabs>
                      <w:tab w:val="left" w:pos="1635"/>
                    </w:tabs>
                    <w:rPr>
                      <w:sz w:val="17"/>
                      <w:szCs w:val="17"/>
                    </w:rPr>
                  </w:pPr>
                  <w:r w:rsidRPr="008D48C8">
                    <w:rPr>
                      <w:sz w:val="17"/>
                      <w:szCs w:val="17"/>
                    </w:rPr>
                    <w:t>301,080 visitors (or 38% of total tourists) visited 'other' regions in 2016.</w:t>
                  </w:r>
                </w:p>
              </w:tc>
              <w:tc>
                <w:tcPr>
                  <w:tcW w:w="1605" w:type="dxa"/>
                </w:tcPr>
                <w:p w14:paraId="58F6DF98" w14:textId="77777777" w:rsidR="003D024C" w:rsidRPr="008D48C8" w:rsidRDefault="003D024C" w:rsidP="00E007F5">
                  <w:pPr>
                    <w:tabs>
                      <w:tab w:val="left" w:pos="1635"/>
                    </w:tabs>
                    <w:rPr>
                      <w:sz w:val="17"/>
                      <w:szCs w:val="17"/>
                    </w:rPr>
                  </w:pPr>
                  <w:r w:rsidRPr="008D48C8">
                    <w:rPr>
                      <w:sz w:val="17"/>
                      <w:szCs w:val="17"/>
                    </w:rPr>
                    <w:t>301,080 visitors (38% o</w:t>
                  </w:r>
                  <w:r>
                    <w:rPr>
                      <w:sz w:val="17"/>
                      <w:szCs w:val="17"/>
                    </w:rPr>
                    <w:t>f</w:t>
                  </w:r>
                  <w:r w:rsidRPr="008D48C8">
                    <w:rPr>
                      <w:sz w:val="17"/>
                      <w:szCs w:val="17"/>
                    </w:rPr>
                    <w:t xml:space="preserve"> total tourists)</w:t>
                  </w:r>
                </w:p>
              </w:tc>
              <w:tc>
                <w:tcPr>
                  <w:tcW w:w="1740" w:type="dxa"/>
                </w:tcPr>
                <w:p w14:paraId="11ECA7F5" w14:textId="77777777" w:rsidR="003D024C" w:rsidRPr="008D48C8" w:rsidRDefault="003D024C" w:rsidP="00E007F5">
                  <w:pPr>
                    <w:tabs>
                      <w:tab w:val="left" w:pos="1635"/>
                    </w:tabs>
                    <w:rPr>
                      <w:sz w:val="17"/>
                      <w:szCs w:val="17"/>
                    </w:rPr>
                  </w:pPr>
                  <w:r w:rsidRPr="008D48C8">
                    <w:rPr>
                      <w:sz w:val="17"/>
                      <w:szCs w:val="17"/>
                    </w:rPr>
                    <w:t>Increase</w:t>
                  </w:r>
                </w:p>
              </w:tc>
              <w:tc>
                <w:tcPr>
                  <w:tcW w:w="1471" w:type="dxa"/>
                  <w:shd w:val="clear" w:color="auto" w:fill="auto"/>
                </w:tcPr>
                <w:p w14:paraId="3EF41E66" w14:textId="77777777" w:rsidR="003D024C" w:rsidRPr="008D48C8" w:rsidRDefault="003D024C" w:rsidP="00E007F5">
                  <w:pPr>
                    <w:tabs>
                      <w:tab w:val="left" w:pos="1635"/>
                    </w:tabs>
                    <w:rPr>
                      <w:sz w:val="17"/>
                      <w:szCs w:val="17"/>
                    </w:rPr>
                  </w:pPr>
                  <w:r w:rsidRPr="008D48C8">
                    <w:rPr>
                      <w:sz w:val="17"/>
                      <w:szCs w:val="17"/>
                    </w:rPr>
                    <w:t>558,898 visitors (66% of total tourists) in 2017</w:t>
                  </w:r>
                </w:p>
              </w:tc>
              <w:tc>
                <w:tcPr>
                  <w:tcW w:w="2944" w:type="dxa"/>
                </w:tcPr>
                <w:p w14:paraId="363EF1F7" w14:textId="77777777" w:rsidR="003D024C" w:rsidRPr="008D48C8" w:rsidRDefault="003D024C" w:rsidP="00E007F5">
                  <w:pPr>
                    <w:tabs>
                      <w:tab w:val="left" w:pos="1635"/>
                    </w:tabs>
                    <w:rPr>
                      <w:sz w:val="17"/>
                      <w:szCs w:val="17"/>
                    </w:rPr>
                  </w:pPr>
                  <w:r w:rsidRPr="008D48C8">
                    <w:rPr>
                      <w:sz w:val="17"/>
                      <w:szCs w:val="17"/>
                    </w:rPr>
                    <w:t xml:space="preserve">Other regions include Suva, Yasawa, Lautoka, Suncoast, Vanua Levu and outer islands. In 2017, MDF's partnership with Tifajek Mud Pools has enabled the community tourism operator to receive 13,000 more tourists since completion of mud pool facilities in 2016. MDF's partnership with tour operator (Walks and Trails) has increased bookings by more than 400 trips per annum since 2014. </w:t>
                  </w:r>
                </w:p>
              </w:tc>
              <w:tc>
                <w:tcPr>
                  <w:tcW w:w="2007" w:type="dxa"/>
                </w:tcPr>
                <w:p w14:paraId="27D57270" w14:textId="77777777" w:rsidR="003D024C" w:rsidRPr="008D48C8" w:rsidRDefault="003D024C" w:rsidP="00E007F5">
                  <w:pPr>
                    <w:tabs>
                      <w:tab w:val="left" w:pos="1635"/>
                    </w:tabs>
                    <w:rPr>
                      <w:sz w:val="17"/>
                      <w:szCs w:val="17"/>
                    </w:rPr>
                  </w:pPr>
                  <w:r w:rsidRPr="008D48C8">
                    <w:rPr>
                      <w:sz w:val="17"/>
                      <w:szCs w:val="17"/>
                    </w:rPr>
                    <w:t>Fiji Bureau of Statistics Quarterly Statistical Newsletters; MDF</w:t>
                  </w:r>
                </w:p>
              </w:tc>
            </w:tr>
            <w:tr w:rsidR="003D024C" w:rsidRPr="008D48C8" w14:paraId="1DF78AC5" w14:textId="77777777" w:rsidTr="00E007F5">
              <w:trPr>
                <w:trHeight w:val="624"/>
              </w:trPr>
              <w:tc>
                <w:tcPr>
                  <w:tcW w:w="1812" w:type="dxa"/>
                  <w:vMerge/>
                  <w:tcBorders>
                    <w:left w:val="nil"/>
                  </w:tcBorders>
                </w:tcPr>
                <w:p w14:paraId="43E27207" w14:textId="77777777" w:rsidR="003D024C" w:rsidRPr="00BF7C40" w:rsidRDefault="003D024C" w:rsidP="00E007F5">
                  <w:pPr>
                    <w:tabs>
                      <w:tab w:val="left" w:pos="1635"/>
                    </w:tabs>
                    <w:rPr>
                      <w:sz w:val="17"/>
                      <w:szCs w:val="17"/>
                      <w:lang w:eastAsia="en-AU"/>
                    </w:rPr>
                  </w:pPr>
                </w:p>
              </w:tc>
              <w:tc>
                <w:tcPr>
                  <w:tcW w:w="1402" w:type="dxa"/>
                </w:tcPr>
                <w:p w14:paraId="613D45BE" w14:textId="77777777" w:rsidR="003D024C" w:rsidRPr="008D48C8" w:rsidRDefault="003D024C" w:rsidP="00E007F5">
                  <w:pPr>
                    <w:rPr>
                      <w:i/>
                      <w:sz w:val="17"/>
                      <w:szCs w:val="17"/>
                    </w:rPr>
                  </w:pPr>
                  <w:r w:rsidRPr="008D48C8">
                    <w:rPr>
                      <w:i/>
                      <w:sz w:val="17"/>
                      <w:szCs w:val="17"/>
                    </w:rPr>
                    <w:t>3.3 Increased private investment due to our aid programs</w:t>
                  </w:r>
                </w:p>
                <w:p w14:paraId="06A963A4" w14:textId="77777777" w:rsidR="003D024C" w:rsidRPr="008D48C8" w:rsidRDefault="003D024C" w:rsidP="00E007F5">
                  <w:pPr>
                    <w:tabs>
                      <w:tab w:val="left" w:pos="1635"/>
                    </w:tabs>
                    <w:rPr>
                      <w:i/>
                      <w:sz w:val="17"/>
                      <w:szCs w:val="17"/>
                    </w:rPr>
                  </w:pPr>
                </w:p>
              </w:tc>
              <w:tc>
                <w:tcPr>
                  <w:tcW w:w="1471" w:type="dxa"/>
                </w:tcPr>
                <w:p w14:paraId="2B604759" w14:textId="77777777" w:rsidR="003D024C" w:rsidRPr="008D48C8" w:rsidRDefault="003D024C" w:rsidP="005B43BE">
                  <w:pPr>
                    <w:tabs>
                      <w:tab w:val="left" w:pos="1635"/>
                    </w:tabs>
                    <w:rPr>
                      <w:sz w:val="17"/>
                      <w:szCs w:val="17"/>
                    </w:rPr>
                  </w:pPr>
                  <w:r w:rsidRPr="008D48C8">
                    <w:rPr>
                      <w:sz w:val="17"/>
                      <w:szCs w:val="17"/>
                    </w:rPr>
                    <w:t>USD1.4 million leveraged in 2015</w:t>
                  </w:r>
                </w:p>
              </w:tc>
              <w:tc>
                <w:tcPr>
                  <w:tcW w:w="1605" w:type="dxa"/>
                </w:tcPr>
                <w:p w14:paraId="279DE0B9" w14:textId="77777777" w:rsidR="003D024C" w:rsidRPr="008D48C8" w:rsidRDefault="003D024C" w:rsidP="00E007F5">
                  <w:pPr>
                    <w:tabs>
                      <w:tab w:val="left" w:pos="1635"/>
                    </w:tabs>
                    <w:rPr>
                      <w:sz w:val="17"/>
                      <w:szCs w:val="17"/>
                    </w:rPr>
                  </w:pPr>
                  <w:r w:rsidRPr="008D48C8">
                    <w:rPr>
                      <w:sz w:val="17"/>
                      <w:szCs w:val="17"/>
                    </w:rPr>
                    <w:t>USD2.8 million leveraged in 2016</w:t>
                  </w:r>
                </w:p>
              </w:tc>
              <w:tc>
                <w:tcPr>
                  <w:tcW w:w="1740" w:type="dxa"/>
                </w:tcPr>
                <w:p w14:paraId="6EC2E64E" w14:textId="77777777" w:rsidR="003D024C" w:rsidRPr="008D48C8" w:rsidRDefault="003D024C" w:rsidP="00E007F5">
                  <w:pPr>
                    <w:tabs>
                      <w:tab w:val="left" w:pos="1635"/>
                    </w:tabs>
                    <w:rPr>
                      <w:sz w:val="17"/>
                      <w:szCs w:val="17"/>
                    </w:rPr>
                  </w:pPr>
                  <w:r w:rsidRPr="008D48C8">
                    <w:rPr>
                      <w:sz w:val="17"/>
                      <w:szCs w:val="17"/>
                    </w:rPr>
                    <w:t>USD3.5 million (by Dec 2017)</w:t>
                  </w:r>
                </w:p>
              </w:tc>
              <w:tc>
                <w:tcPr>
                  <w:tcW w:w="1471" w:type="dxa"/>
                  <w:shd w:val="clear" w:color="auto" w:fill="auto"/>
                </w:tcPr>
                <w:p w14:paraId="460A3B04" w14:textId="77777777" w:rsidR="003D024C" w:rsidRPr="008D48C8" w:rsidRDefault="003D024C" w:rsidP="00E007F5">
                  <w:pPr>
                    <w:tabs>
                      <w:tab w:val="left" w:pos="1635"/>
                    </w:tabs>
                    <w:rPr>
                      <w:sz w:val="17"/>
                      <w:szCs w:val="17"/>
                    </w:rPr>
                  </w:pPr>
                  <w:r w:rsidRPr="008D48C8">
                    <w:rPr>
                      <w:sz w:val="17"/>
                      <w:szCs w:val="17"/>
                    </w:rPr>
                    <w:t>USD4.2 million leveraged as at Nov 2017</w:t>
                  </w:r>
                </w:p>
              </w:tc>
              <w:tc>
                <w:tcPr>
                  <w:tcW w:w="2944" w:type="dxa"/>
                </w:tcPr>
                <w:p w14:paraId="1186EBE3" w14:textId="77777777" w:rsidR="003D024C" w:rsidRPr="008D48C8" w:rsidRDefault="003D024C" w:rsidP="00E007F5">
                  <w:pPr>
                    <w:tabs>
                      <w:tab w:val="left" w:pos="1635"/>
                    </w:tabs>
                    <w:rPr>
                      <w:sz w:val="17"/>
                      <w:szCs w:val="17"/>
                    </w:rPr>
                  </w:pPr>
                  <w:r w:rsidRPr="008D48C8">
                    <w:rPr>
                      <w:sz w:val="17"/>
                      <w:szCs w:val="17"/>
                    </w:rPr>
                    <w:t>USD4.2m leveraged through MDF interventions. Nil investment leveraged through IFC interventions as the focus in 2017 was on resource mobilisation and early implementation.</w:t>
                  </w:r>
                </w:p>
              </w:tc>
              <w:tc>
                <w:tcPr>
                  <w:tcW w:w="2007" w:type="dxa"/>
                </w:tcPr>
                <w:p w14:paraId="0014185E" w14:textId="77777777" w:rsidR="003D024C" w:rsidRPr="008D48C8" w:rsidRDefault="003D024C" w:rsidP="00E007F5">
                  <w:pPr>
                    <w:tabs>
                      <w:tab w:val="left" w:pos="1635"/>
                    </w:tabs>
                    <w:rPr>
                      <w:sz w:val="17"/>
                      <w:szCs w:val="17"/>
                    </w:rPr>
                  </w:pPr>
                  <w:r w:rsidRPr="008D48C8">
                    <w:rPr>
                      <w:sz w:val="17"/>
                      <w:szCs w:val="17"/>
                    </w:rPr>
                    <w:t>MDF Annual Aggregation Report. IFC Annual Progress Report.</w:t>
                  </w:r>
                </w:p>
              </w:tc>
            </w:tr>
            <w:tr w:rsidR="003D024C" w:rsidRPr="008D48C8" w14:paraId="10FA6BB3" w14:textId="77777777" w:rsidTr="00E007F5">
              <w:trPr>
                <w:trHeight w:val="624"/>
              </w:trPr>
              <w:tc>
                <w:tcPr>
                  <w:tcW w:w="1812" w:type="dxa"/>
                  <w:tcBorders>
                    <w:left w:val="nil"/>
                  </w:tcBorders>
                </w:tcPr>
                <w:p w14:paraId="3C935905" w14:textId="77777777" w:rsidR="003D024C" w:rsidRPr="00BF7C40" w:rsidRDefault="003D024C" w:rsidP="00E007F5">
                  <w:pPr>
                    <w:tabs>
                      <w:tab w:val="left" w:pos="1635"/>
                    </w:tabs>
                    <w:rPr>
                      <w:sz w:val="17"/>
                      <w:szCs w:val="17"/>
                      <w:lang w:eastAsia="en-AU"/>
                    </w:rPr>
                  </w:pPr>
                </w:p>
              </w:tc>
              <w:tc>
                <w:tcPr>
                  <w:tcW w:w="1402" w:type="dxa"/>
                </w:tcPr>
                <w:p w14:paraId="7BCAF7CB" w14:textId="77777777" w:rsidR="003D024C" w:rsidRPr="008D48C8" w:rsidRDefault="003D024C" w:rsidP="00E007F5">
                  <w:pPr>
                    <w:tabs>
                      <w:tab w:val="left" w:pos="1635"/>
                    </w:tabs>
                    <w:rPr>
                      <w:i/>
                      <w:sz w:val="17"/>
                      <w:szCs w:val="17"/>
                    </w:rPr>
                  </w:pPr>
                  <w:r w:rsidRPr="008D48C8">
                    <w:rPr>
                      <w:i/>
                      <w:sz w:val="17"/>
                      <w:szCs w:val="17"/>
                    </w:rPr>
                    <w:t xml:space="preserve">3.4 Increased aid budget allocated to aid-for-trade initiatives </w:t>
                  </w:r>
                </w:p>
              </w:tc>
              <w:tc>
                <w:tcPr>
                  <w:tcW w:w="1471" w:type="dxa"/>
                </w:tcPr>
                <w:p w14:paraId="349124ED" w14:textId="77777777" w:rsidR="003D024C" w:rsidRPr="008D48C8" w:rsidRDefault="003D024C" w:rsidP="00E007F5">
                  <w:pPr>
                    <w:tabs>
                      <w:tab w:val="left" w:pos="1635"/>
                    </w:tabs>
                    <w:rPr>
                      <w:sz w:val="17"/>
                      <w:szCs w:val="17"/>
                    </w:rPr>
                  </w:pPr>
                  <w:r w:rsidRPr="008D48C8">
                    <w:rPr>
                      <w:sz w:val="17"/>
                      <w:szCs w:val="17"/>
                    </w:rPr>
                    <w:t>10.5 percent (2015-16)</w:t>
                  </w:r>
                </w:p>
              </w:tc>
              <w:tc>
                <w:tcPr>
                  <w:tcW w:w="1605" w:type="dxa"/>
                </w:tcPr>
                <w:p w14:paraId="3F426D71" w14:textId="77777777" w:rsidR="003D024C" w:rsidRPr="008D48C8" w:rsidRDefault="003D024C" w:rsidP="00E007F5">
                  <w:pPr>
                    <w:tabs>
                      <w:tab w:val="left" w:pos="1635"/>
                    </w:tabs>
                    <w:rPr>
                      <w:sz w:val="17"/>
                      <w:szCs w:val="17"/>
                    </w:rPr>
                  </w:pPr>
                  <w:r w:rsidRPr="008D48C8">
                    <w:rPr>
                      <w:sz w:val="17"/>
                      <w:szCs w:val="17"/>
                    </w:rPr>
                    <w:t>14.3 percent</w:t>
                  </w:r>
                </w:p>
              </w:tc>
              <w:tc>
                <w:tcPr>
                  <w:tcW w:w="1740" w:type="dxa"/>
                </w:tcPr>
                <w:p w14:paraId="726D5D9E" w14:textId="77777777" w:rsidR="003D024C" w:rsidRPr="008D48C8" w:rsidRDefault="003D024C" w:rsidP="00E007F5">
                  <w:pPr>
                    <w:tabs>
                      <w:tab w:val="left" w:pos="1635"/>
                    </w:tabs>
                    <w:rPr>
                      <w:sz w:val="17"/>
                      <w:szCs w:val="17"/>
                    </w:rPr>
                  </w:pPr>
                  <w:r w:rsidRPr="008D48C8">
                    <w:rPr>
                      <w:sz w:val="17"/>
                      <w:szCs w:val="17"/>
                    </w:rPr>
                    <w:t>20 percent</w:t>
                  </w:r>
                </w:p>
              </w:tc>
              <w:tc>
                <w:tcPr>
                  <w:tcW w:w="1471" w:type="dxa"/>
                  <w:shd w:val="clear" w:color="auto" w:fill="auto"/>
                </w:tcPr>
                <w:p w14:paraId="68AD60DF" w14:textId="77777777" w:rsidR="003D024C" w:rsidRPr="008D48C8" w:rsidRDefault="003D024C" w:rsidP="00E007F5">
                  <w:pPr>
                    <w:tabs>
                      <w:tab w:val="left" w:pos="1635"/>
                    </w:tabs>
                    <w:rPr>
                      <w:sz w:val="17"/>
                      <w:szCs w:val="17"/>
                    </w:rPr>
                  </w:pPr>
                  <w:r w:rsidRPr="008D48C8">
                    <w:rPr>
                      <w:sz w:val="17"/>
                      <w:szCs w:val="17"/>
                    </w:rPr>
                    <w:t>22 percent</w:t>
                  </w:r>
                </w:p>
              </w:tc>
              <w:tc>
                <w:tcPr>
                  <w:tcW w:w="2944" w:type="dxa"/>
                </w:tcPr>
                <w:p w14:paraId="5E6A2932" w14:textId="77777777" w:rsidR="003D024C" w:rsidRPr="008D48C8" w:rsidRDefault="003D024C" w:rsidP="00E007F5">
                  <w:pPr>
                    <w:tabs>
                      <w:tab w:val="left" w:pos="1635"/>
                    </w:tabs>
                    <w:rPr>
                      <w:sz w:val="17"/>
                      <w:szCs w:val="17"/>
                    </w:rPr>
                  </w:pPr>
                  <w:r w:rsidRPr="008D48C8">
                    <w:rPr>
                      <w:sz w:val="17"/>
                      <w:szCs w:val="17"/>
                    </w:rPr>
                    <w:t xml:space="preserve">Four bilateral aid-for-trade initiatives - Market Development Facility ($3m), International Finance Corporation ($1.7m), Private Sector Development Initiative ($0.5m) and the Pacific Financial Inclusion Program ($3m), totalled $8.2 million or 23 percent of the Fiji bilateral budget allocation in 2017-18 (not including TC Winston funds). </w:t>
                  </w:r>
                </w:p>
              </w:tc>
              <w:tc>
                <w:tcPr>
                  <w:tcW w:w="2007" w:type="dxa"/>
                </w:tcPr>
                <w:p w14:paraId="29BB495E" w14:textId="77777777" w:rsidR="003D024C" w:rsidRPr="008D48C8" w:rsidRDefault="003D024C" w:rsidP="00E007F5">
                  <w:pPr>
                    <w:tabs>
                      <w:tab w:val="left" w:pos="1635"/>
                    </w:tabs>
                    <w:rPr>
                      <w:sz w:val="17"/>
                      <w:szCs w:val="17"/>
                    </w:rPr>
                  </w:pPr>
                  <w:r w:rsidRPr="008D48C8">
                    <w:rPr>
                      <w:sz w:val="17"/>
                      <w:szCs w:val="17"/>
                    </w:rPr>
                    <w:t xml:space="preserve">AidWorks </w:t>
                  </w:r>
                </w:p>
              </w:tc>
            </w:tr>
          </w:tbl>
          <w:p w14:paraId="72026F9E" w14:textId="77777777" w:rsidR="003D024C" w:rsidRPr="00362FA5" w:rsidRDefault="003D024C" w:rsidP="00E007F5">
            <w:pPr>
              <w:spacing w:before="20" w:after="20" w:line="180" w:lineRule="atLeast"/>
              <w:rPr>
                <w:iCs/>
                <w:sz w:val="18"/>
                <w:szCs w:val="18"/>
                <w:lang w:val="en-AU" w:eastAsia="en-AU"/>
              </w:rPr>
            </w:pPr>
          </w:p>
        </w:tc>
      </w:tr>
    </w:tbl>
    <w:p w14:paraId="0607537A" w14:textId="77777777" w:rsidR="003D024C" w:rsidRPr="00BF7C40" w:rsidRDefault="003D024C" w:rsidP="003D024C"/>
    <w:p w14:paraId="621A2A5D" w14:textId="77777777" w:rsidR="003D024C" w:rsidRDefault="003D024C" w:rsidP="003D024C">
      <w:r>
        <w:br w:type="page"/>
      </w:r>
    </w:p>
    <w:tbl>
      <w:tblPr>
        <w:tblpPr w:leftFromText="180" w:rightFromText="180" w:vertAnchor="text" w:horzAnchor="page" w:tblpX="529" w:tblpY="-1661"/>
        <w:tblW w:w="14884" w:type="dxa"/>
        <w:tblLayout w:type="fixed"/>
        <w:tblLook w:val="04A0" w:firstRow="1" w:lastRow="0" w:firstColumn="1" w:lastColumn="0" w:noHBand="0" w:noVBand="1"/>
      </w:tblPr>
      <w:tblGrid>
        <w:gridCol w:w="1649"/>
        <w:gridCol w:w="1328"/>
        <w:gridCol w:w="1418"/>
        <w:gridCol w:w="1701"/>
        <w:gridCol w:w="1984"/>
        <w:gridCol w:w="1559"/>
        <w:gridCol w:w="3119"/>
        <w:gridCol w:w="2126"/>
      </w:tblGrid>
      <w:tr w:rsidR="003D024C" w:rsidRPr="00BF7C40" w14:paraId="1C064201" w14:textId="77777777" w:rsidTr="00E007F5">
        <w:trPr>
          <w:trHeight w:val="1069"/>
        </w:trPr>
        <w:tc>
          <w:tcPr>
            <w:tcW w:w="14884" w:type="dxa"/>
            <w:gridSpan w:val="8"/>
            <w:tcBorders>
              <w:bottom w:val="single" w:sz="4" w:space="0" w:color="auto"/>
            </w:tcBorders>
            <w:shd w:val="clear" w:color="auto" w:fill="auto"/>
          </w:tcPr>
          <w:p w14:paraId="20D810B9" w14:textId="77777777" w:rsidR="003D024C" w:rsidRPr="008C28E8" w:rsidRDefault="003D024C" w:rsidP="00E007F5">
            <w:pPr>
              <w:tabs>
                <w:tab w:val="left" w:pos="1635"/>
              </w:tabs>
              <w:rPr>
                <w:b/>
                <w:iCs/>
                <w:sz w:val="18"/>
                <w:szCs w:val="18"/>
                <w:lang w:val="en-AU" w:eastAsia="en-AU"/>
              </w:rPr>
            </w:pPr>
          </w:p>
        </w:tc>
      </w:tr>
      <w:tr w:rsidR="003D024C" w:rsidRPr="00783E43" w14:paraId="389FC384" w14:textId="77777777" w:rsidTr="00E007F5">
        <w:trPr>
          <w:trHeight w:val="365"/>
        </w:trPr>
        <w:tc>
          <w:tcPr>
            <w:tcW w:w="14884" w:type="dxa"/>
            <w:gridSpan w:val="8"/>
            <w:tcBorders>
              <w:top w:val="single" w:sz="4" w:space="0" w:color="auto"/>
              <w:left w:val="single" w:sz="4" w:space="0" w:color="auto"/>
              <w:bottom w:val="single" w:sz="4" w:space="0" w:color="auto"/>
              <w:right w:val="single" w:sz="4" w:space="0" w:color="auto"/>
            </w:tcBorders>
            <w:shd w:val="clear" w:color="auto" w:fill="D5EEE0" w:themeFill="accent6" w:themeFillTint="33"/>
          </w:tcPr>
          <w:p w14:paraId="371EEE11" w14:textId="77777777" w:rsidR="003D024C" w:rsidRPr="00F51A43" w:rsidRDefault="003D024C" w:rsidP="00E007F5">
            <w:pPr>
              <w:spacing w:before="20" w:after="20" w:line="180" w:lineRule="atLeast"/>
              <w:rPr>
                <w:b/>
                <w:iCs/>
                <w:sz w:val="20"/>
                <w:szCs w:val="20"/>
                <w:lang w:val="en-AU" w:eastAsia="en-AU"/>
              </w:rPr>
            </w:pPr>
            <w:r w:rsidRPr="00783E43">
              <w:rPr>
                <w:b/>
                <w:iCs/>
                <w:sz w:val="20"/>
                <w:szCs w:val="20"/>
                <w:lang w:val="en-AU" w:eastAsia="en-AU"/>
              </w:rPr>
              <w:br w:type="page"/>
            </w:r>
            <w:r w:rsidRPr="00F51A43">
              <w:rPr>
                <w:b/>
                <w:iCs/>
                <w:sz w:val="20"/>
                <w:szCs w:val="20"/>
                <w:lang w:val="en-AU" w:eastAsia="en-AU"/>
              </w:rPr>
              <w:t>Australia’s aid objective two:  Improved human development</w:t>
            </w:r>
          </w:p>
        </w:tc>
      </w:tr>
      <w:tr w:rsidR="003D024C" w:rsidRPr="00BF7C40" w14:paraId="4C38F32B" w14:textId="77777777" w:rsidTr="00E007F5">
        <w:trPr>
          <w:trHeight w:val="758"/>
        </w:trPr>
        <w:tc>
          <w:tcPr>
            <w:tcW w:w="1649" w:type="dxa"/>
            <w:tcBorders>
              <w:top w:val="single" w:sz="4" w:space="0" w:color="auto"/>
              <w:left w:val="single" w:sz="4" w:space="0" w:color="auto"/>
              <w:bottom w:val="single" w:sz="4" w:space="0" w:color="auto"/>
              <w:right w:val="single" w:sz="4" w:space="0" w:color="auto"/>
            </w:tcBorders>
            <w:shd w:val="clear" w:color="auto" w:fill="auto"/>
          </w:tcPr>
          <w:p w14:paraId="641C616A" w14:textId="77777777" w:rsidR="003D024C" w:rsidRPr="00BF7C40" w:rsidRDefault="003D024C" w:rsidP="00E007F5">
            <w:pPr>
              <w:tabs>
                <w:tab w:val="left" w:pos="1635"/>
              </w:tabs>
              <w:rPr>
                <w:b/>
                <w:i/>
                <w:iCs/>
                <w:sz w:val="18"/>
                <w:szCs w:val="18"/>
                <w:lang w:val="en-AU" w:eastAsia="en-AU"/>
              </w:rPr>
            </w:pPr>
            <w:r w:rsidRPr="00AC1291">
              <w:rPr>
                <w:b/>
                <w:sz w:val="18"/>
                <w:szCs w:val="18"/>
              </w:rPr>
              <w:t>Outcome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FD1FDC5" w14:textId="77777777" w:rsidR="003D024C" w:rsidRPr="00BF7C40" w:rsidRDefault="003D024C" w:rsidP="00E007F5">
            <w:pPr>
              <w:tabs>
                <w:tab w:val="left" w:pos="1635"/>
              </w:tabs>
              <w:rPr>
                <w:b/>
                <w:i/>
                <w:iCs/>
                <w:sz w:val="18"/>
                <w:szCs w:val="18"/>
                <w:lang w:val="en-AU" w:eastAsia="en-AU"/>
              </w:rPr>
            </w:pPr>
            <w:r w:rsidRPr="00AC1291">
              <w:rPr>
                <w:b/>
                <w:sz w:val="18"/>
                <w:szCs w:val="18"/>
              </w:rPr>
              <w:t>Indicator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13560" w14:textId="77777777" w:rsidR="003D024C" w:rsidRPr="00BF7C40" w:rsidRDefault="003D024C" w:rsidP="00E007F5">
            <w:pPr>
              <w:tabs>
                <w:tab w:val="left" w:pos="1635"/>
              </w:tabs>
              <w:rPr>
                <w:b/>
                <w:i/>
                <w:iCs/>
                <w:sz w:val="18"/>
                <w:szCs w:val="18"/>
                <w:lang w:val="en-AU" w:eastAsia="en-AU"/>
              </w:rPr>
            </w:pPr>
            <w:r w:rsidRPr="00AC1291">
              <w:rPr>
                <w:b/>
                <w:sz w:val="18"/>
                <w:szCs w:val="18"/>
              </w:rPr>
              <w:t>Baseline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69704E" w14:textId="77777777" w:rsidR="003D024C" w:rsidRPr="00BF7C40" w:rsidRDefault="003D024C" w:rsidP="00E007F5">
            <w:pPr>
              <w:tabs>
                <w:tab w:val="left" w:pos="1635"/>
              </w:tabs>
              <w:rPr>
                <w:b/>
                <w:i/>
                <w:iCs/>
                <w:sz w:val="18"/>
                <w:szCs w:val="18"/>
                <w:lang w:val="en-AU" w:eastAsia="en-AU"/>
              </w:rPr>
            </w:pPr>
            <w:r w:rsidRPr="00AC1291">
              <w:rPr>
                <w:b/>
                <w:sz w:val="18"/>
                <w:szCs w:val="18"/>
              </w:rPr>
              <w:t>2016-17 Actual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061E4D" w14:textId="77777777" w:rsidR="003D024C" w:rsidRPr="00BF7C40" w:rsidRDefault="003D024C" w:rsidP="00E007F5">
            <w:pPr>
              <w:tabs>
                <w:tab w:val="left" w:pos="1635"/>
              </w:tabs>
              <w:rPr>
                <w:b/>
                <w:iCs/>
                <w:sz w:val="18"/>
                <w:szCs w:val="18"/>
                <w:lang w:val="en-AU" w:eastAsia="en-AU"/>
              </w:rPr>
            </w:pPr>
            <w:r w:rsidRPr="00AC1291">
              <w:rPr>
                <w:b/>
                <w:sz w:val="18"/>
                <w:szCs w:val="18"/>
              </w:rPr>
              <w:t>2017-18 Projected Target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C55221" w14:textId="77777777" w:rsidR="003D024C" w:rsidRPr="00BF7C40" w:rsidRDefault="003D024C" w:rsidP="00E007F5">
            <w:pPr>
              <w:tabs>
                <w:tab w:val="left" w:pos="1635"/>
              </w:tabs>
              <w:rPr>
                <w:b/>
                <w:iCs/>
                <w:sz w:val="18"/>
                <w:szCs w:val="18"/>
                <w:lang w:val="en-AU" w:eastAsia="en-AU"/>
              </w:rPr>
            </w:pPr>
            <w:r w:rsidRPr="00AC1291">
              <w:rPr>
                <w:b/>
                <w:sz w:val="18"/>
                <w:szCs w:val="18"/>
              </w:rPr>
              <w:t>2017-18 Actual</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EC93E2" w14:textId="77777777" w:rsidR="003D024C" w:rsidRPr="00BF7C40" w:rsidRDefault="003D024C" w:rsidP="00E007F5">
            <w:pPr>
              <w:tabs>
                <w:tab w:val="left" w:pos="1635"/>
              </w:tabs>
              <w:rPr>
                <w:b/>
                <w:iCs/>
                <w:sz w:val="18"/>
                <w:szCs w:val="18"/>
                <w:lang w:val="en-AU" w:eastAsia="en-AU"/>
              </w:rPr>
            </w:pPr>
            <w:r w:rsidRPr="00AC1291">
              <w:rPr>
                <w:b/>
                <w:sz w:val="18"/>
                <w:szCs w:val="18"/>
              </w:rPr>
              <w:t>2017-18 Qualitative comments or explanatory notes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F1FB0D" w14:textId="77777777" w:rsidR="003D024C" w:rsidRPr="00BF7C40" w:rsidRDefault="003D024C" w:rsidP="00E007F5">
            <w:pPr>
              <w:tabs>
                <w:tab w:val="left" w:pos="1635"/>
              </w:tabs>
              <w:rPr>
                <w:b/>
                <w:i/>
                <w:iCs/>
                <w:sz w:val="18"/>
                <w:szCs w:val="18"/>
                <w:lang w:val="en-AU" w:eastAsia="en-AU"/>
              </w:rPr>
            </w:pPr>
            <w:r w:rsidRPr="00BF7C40">
              <w:rPr>
                <w:b/>
                <w:iCs/>
                <w:sz w:val="18"/>
                <w:szCs w:val="18"/>
                <w:lang w:val="en-AU" w:eastAsia="en-AU"/>
              </w:rPr>
              <w:t xml:space="preserve">Data source </w:t>
            </w:r>
            <w:r>
              <w:rPr>
                <w:b/>
                <w:iCs/>
                <w:sz w:val="18"/>
                <w:szCs w:val="18"/>
                <w:lang w:val="en-AU" w:eastAsia="en-AU"/>
              </w:rPr>
              <w:t>/reference documents</w:t>
            </w:r>
          </w:p>
        </w:tc>
      </w:tr>
      <w:tr w:rsidR="003D024C" w:rsidRPr="00BF7C40" w14:paraId="01ED0D30" w14:textId="77777777" w:rsidTr="00E007F5">
        <w:trPr>
          <w:trHeight w:val="297"/>
        </w:trPr>
        <w:tc>
          <w:tcPr>
            <w:tcW w:w="14884" w:type="dxa"/>
            <w:gridSpan w:val="8"/>
            <w:tcBorders>
              <w:top w:val="single" w:sz="4" w:space="0" w:color="auto"/>
              <w:left w:val="single" w:sz="4" w:space="0" w:color="auto"/>
              <w:bottom w:val="single" w:sz="4" w:space="0" w:color="auto"/>
              <w:right w:val="single" w:sz="4" w:space="0" w:color="auto"/>
            </w:tcBorders>
            <w:shd w:val="clear" w:color="auto" w:fill="auto"/>
          </w:tcPr>
          <w:p w14:paraId="3FD5A378" w14:textId="77777777" w:rsidR="003D024C" w:rsidRPr="00AC1291" w:rsidRDefault="003D024C" w:rsidP="00E007F5">
            <w:pPr>
              <w:tabs>
                <w:tab w:val="left" w:pos="1635"/>
              </w:tabs>
              <w:rPr>
                <w:b/>
                <w:sz w:val="18"/>
                <w:szCs w:val="18"/>
              </w:rPr>
            </w:pPr>
            <w:r w:rsidRPr="00AC1291">
              <w:rPr>
                <w:b/>
                <w:sz w:val="18"/>
                <w:szCs w:val="18"/>
              </w:rPr>
              <w:t xml:space="preserve">Sub-objective: Improved access to quality education services </w:t>
            </w:r>
            <w:r w:rsidRPr="00727744">
              <w:rPr>
                <w:sz w:val="18"/>
                <w:szCs w:val="18"/>
              </w:rPr>
              <w:t>(Note: Education program newly designed - Monitoring, Evaluation and Learning plan to be developed during inception period Jul-Sep18)</w:t>
            </w:r>
          </w:p>
        </w:tc>
      </w:tr>
      <w:tr w:rsidR="003D024C" w:rsidRPr="00BF7C40" w14:paraId="0F4AE49C" w14:textId="77777777" w:rsidTr="00E007F5">
        <w:trPr>
          <w:trHeight w:val="845"/>
        </w:trPr>
        <w:tc>
          <w:tcPr>
            <w:tcW w:w="1649" w:type="dxa"/>
            <w:vMerge w:val="restart"/>
            <w:tcBorders>
              <w:top w:val="single" w:sz="4" w:space="0" w:color="auto"/>
              <w:left w:val="single" w:sz="4" w:space="0" w:color="auto"/>
              <w:bottom w:val="single" w:sz="4" w:space="0" w:color="auto"/>
              <w:right w:val="single" w:sz="4" w:space="0" w:color="auto"/>
            </w:tcBorders>
          </w:tcPr>
          <w:p w14:paraId="7E1F8EB3"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r w:rsidRPr="00AC1291">
              <w:rPr>
                <w:b/>
                <w:sz w:val="17"/>
                <w:szCs w:val="17"/>
                <w:lang w:val="en-AU" w:eastAsia="en-AU"/>
              </w:rPr>
              <w:t>Outcome 1: Improved education access and quality, including for children with disabilities in formerly supported AQEP schools</w:t>
            </w:r>
          </w:p>
        </w:tc>
        <w:tc>
          <w:tcPr>
            <w:tcW w:w="1328" w:type="dxa"/>
            <w:tcBorders>
              <w:top w:val="single" w:sz="4" w:space="0" w:color="auto"/>
              <w:left w:val="single" w:sz="4" w:space="0" w:color="auto"/>
              <w:bottom w:val="single" w:sz="4" w:space="0" w:color="auto"/>
              <w:right w:val="single" w:sz="4" w:space="0" w:color="auto"/>
            </w:tcBorders>
          </w:tcPr>
          <w:p w14:paraId="1BB265F0" w14:textId="77777777" w:rsidR="003D024C" w:rsidRPr="00BF7C40" w:rsidRDefault="003D024C" w:rsidP="00E007F5">
            <w:pPr>
              <w:tabs>
                <w:tab w:val="left" w:pos="1635"/>
              </w:tabs>
              <w:rPr>
                <w:i/>
                <w:sz w:val="17"/>
                <w:szCs w:val="17"/>
                <w:lang w:eastAsia="en-AU"/>
              </w:rPr>
            </w:pPr>
            <w:r w:rsidRPr="00144E6F">
              <w:rPr>
                <w:i/>
                <w:sz w:val="17"/>
                <w:szCs w:val="17"/>
              </w:rPr>
              <w:t>1.1 Reduction in % of students (boys and girls) at Australia (AQEP) supported schools performing in the national bottom quartile in the Literacy and Numeracy Assessment (LANA) for years 5 and 7</w:t>
            </w:r>
          </w:p>
        </w:tc>
        <w:tc>
          <w:tcPr>
            <w:tcW w:w="1418" w:type="dxa"/>
            <w:tcBorders>
              <w:top w:val="single" w:sz="4" w:space="0" w:color="auto"/>
              <w:left w:val="single" w:sz="4" w:space="0" w:color="auto"/>
              <w:bottom w:val="single" w:sz="4" w:space="0" w:color="auto"/>
              <w:right w:val="single" w:sz="4" w:space="0" w:color="auto"/>
            </w:tcBorders>
          </w:tcPr>
          <w:p w14:paraId="25FD6ACD" w14:textId="77777777" w:rsidR="003D024C" w:rsidRPr="00BF7C40" w:rsidRDefault="003D024C" w:rsidP="00E007F5">
            <w:pPr>
              <w:tabs>
                <w:tab w:val="left" w:pos="1635"/>
              </w:tabs>
              <w:rPr>
                <w:sz w:val="17"/>
                <w:szCs w:val="17"/>
                <w:lang w:eastAsia="en-AU"/>
              </w:rPr>
            </w:pPr>
            <w:r w:rsidRPr="00144E6F">
              <w:rPr>
                <w:sz w:val="17"/>
                <w:szCs w:val="17"/>
              </w:rPr>
              <w:t>Literacy = 33%; Numeracy = 33% (2012)</w:t>
            </w:r>
          </w:p>
        </w:tc>
        <w:tc>
          <w:tcPr>
            <w:tcW w:w="1701" w:type="dxa"/>
            <w:tcBorders>
              <w:top w:val="single" w:sz="4" w:space="0" w:color="auto"/>
              <w:left w:val="single" w:sz="4" w:space="0" w:color="auto"/>
              <w:bottom w:val="single" w:sz="4" w:space="0" w:color="auto"/>
              <w:right w:val="single" w:sz="4" w:space="0" w:color="auto"/>
            </w:tcBorders>
          </w:tcPr>
          <w:p w14:paraId="05F7004F" w14:textId="77777777" w:rsidR="003D024C" w:rsidRPr="00BF7C40" w:rsidRDefault="003D024C" w:rsidP="00E007F5">
            <w:pPr>
              <w:tabs>
                <w:tab w:val="left" w:pos="1635"/>
              </w:tabs>
              <w:rPr>
                <w:sz w:val="17"/>
                <w:szCs w:val="17"/>
                <w:lang w:eastAsia="en-AU"/>
              </w:rPr>
            </w:pPr>
            <w:r w:rsidRPr="00144E6F">
              <w:rPr>
                <w:sz w:val="17"/>
                <w:szCs w:val="17"/>
              </w:rPr>
              <w:t>Literacy = 25%; Numeracy = 22%</w:t>
            </w:r>
          </w:p>
        </w:tc>
        <w:tc>
          <w:tcPr>
            <w:tcW w:w="1984" w:type="dxa"/>
            <w:tcBorders>
              <w:top w:val="single" w:sz="4" w:space="0" w:color="auto"/>
              <w:left w:val="single" w:sz="4" w:space="0" w:color="auto"/>
              <w:bottom w:val="single" w:sz="4" w:space="0" w:color="auto"/>
              <w:right w:val="single" w:sz="4" w:space="0" w:color="auto"/>
            </w:tcBorders>
          </w:tcPr>
          <w:p w14:paraId="6FD39543" w14:textId="77777777" w:rsidR="003D024C" w:rsidRPr="00BF7C40" w:rsidRDefault="003D024C" w:rsidP="00E007F5">
            <w:pPr>
              <w:tabs>
                <w:tab w:val="left" w:pos="1635"/>
              </w:tabs>
              <w:rPr>
                <w:sz w:val="17"/>
                <w:szCs w:val="17"/>
                <w:lang w:eastAsia="en-AU"/>
              </w:rPr>
            </w:pPr>
            <w:r w:rsidRPr="00144E6F">
              <w:rPr>
                <w:sz w:val="17"/>
                <w:szCs w:val="17"/>
              </w:rPr>
              <w:t>Maintain below 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121EE2" w14:textId="77777777" w:rsidR="003D024C" w:rsidRPr="00BF7C40" w:rsidRDefault="003D024C" w:rsidP="00E007F5">
            <w:pPr>
              <w:tabs>
                <w:tab w:val="left" w:pos="1635"/>
              </w:tabs>
              <w:rPr>
                <w:sz w:val="17"/>
                <w:szCs w:val="17"/>
                <w:lang w:eastAsia="en-AU"/>
              </w:rPr>
            </w:pPr>
            <w:r w:rsidRPr="00144E6F">
              <w:rPr>
                <w:sz w:val="17"/>
                <w:szCs w:val="17"/>
              </w:rPr>
              <w:t>Literacy = 25.3%; Numeracy = 22%</w:t>
            </w:r>
          </w:p>
        </w:tc>
        <w:tc>
          <w:tcPr>
            <w:tcW w:w="3119" w:type="dxa"/>
            <w:tcBorders>
              <w:top w:val="single" w:sz="4" w:space="0" w:color="auto"/>
              <w:left w:val="single" w:sz="4" w:space="0" w:color="auto"/>
              <w:bottom w:val="single" w:sz="4" w:space="0" w:color="auto"/>
              <w:right w:val="single" w:sz="4" w:space="0" w:color="auto"/>
            </w:tcBorders>
          </w:tcPr>
          <w:p w14:paraId="09377B2D" w14:textId="77777777" w:rsidR="003D024C" w:rsidRDefault="003D024C" w:rsidP="00E007F5">
            <w:pPr>
              <w:tabs>
                <w:tab w:val="left" w:pos="1635"/>
              </w:tabs>
              <w:rPr>
                <w:sz w:val="17"/>
                <w:szCs w:val="17"/>
                <w:lang w:eastAsia="en-AU"/>
              </w:rPr>
            </w:pPr>
          </w:p>
          <w:p w14:paraId="307D343B" w14:textId="77777777" w:rsidR="003D024C" w:rsidRPr="00B209E6" w:rsidRDefault="003D024C" w:rsidP="00E007F5">
            <w:pPr>
              <w:rPr>
                <w:sz w:val="17"/>
                <w:szCs w:val="17"/>
                <w:lang w:eastAsia="en-AU"/>
              </w:rPr>
            </w:pPr>
          </w:p>
          <w:p w14:paraId="4E498ED4" w14:textId="77777777" w:rsidR="003D024C" w:rsidRDefault="003D024C" w:rsidP="00E007F5">
            <w:pPr>
              <w:rPr>
                <w:sz w:val="17"/>
                <w:szCs w:val="17"/>
                <w:lang w:eastAsia="en-AU"/>
              </w:rPr>
            </w:pPr>
          </w:p>
          <w:p w14:paraId="76F93B38" w14:textId="77777777" w:rsidR="003D024C" w:rsidRPr="00B209E6" w:rsidRDefault="003D024C" w:rsidP="00E007F5">
            <w:pPr>
              <w:jc w:val="center"/>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5261DC3D" w14:textId="77777777" w:rsidR="003D024C" w:rsidRPr="00BF7C40" w:rsidRDefault="003D024C" w:rsidP="00E007F5">
            <w:pPr>
              <w:tabs>
                <w:tab w:val="left" w:pos="1635"/>
              </w:tabs>
              <w:rPr>
                <w:sz w:val="17"/>
                <w:szCs w:val="17"/>
                <w:lang w:eastAsia="en-AU"/>
              </w:rPr>
            </w:pPr>
            <w:r w:rsidRPr="00144E6F">
              <w:rPr>
                <w:sz w:val="17"/>
                <w:szCs w:val="17"/>
              </w:rPr>
              <w:t>Fiji Education Management Information System (FEMIS)</w:t>
            </w:r>
          </w:p>
        </w:tc>
      </w:tr>
      <w:tr w:rsidR="003D024C" w:rsidRPr="00BF7C40" w14:paraId="18D11473" w14:textId="77777777" w:rsidTr="00E007F5">
        <w:trPr>
          <w:trHeight w:val="845"/>
        </w:trPr>
        <w:tc>
          <w:tcPr>
            <w:tcW w:w="1649" w:type="dxa"/>
            <w:vMerge/>
            <w:tcBorders>
              <w:top w:val="single" w:sz="4" w:space="0" w:color="auto"/>
              <w:left w:val="single" w:sz="4" w:space="0" w:color="auto"/>
              <w:bottom w:val="single" w:sz="4" w:space="0" w:color="auto"/>
              <w:right w:val="single" w:sz="4" w:space="0" w:color="auto"/>
            </w:tcBorders>
          </w:tcPr>
          <w:p w14:paraId="4730DCFC" w14:textId="77777777" w:rsidR="003D024C" w:rsidRPr="00AC1291" w:rsidRDefault="003D024C" w:rsidP="00E007F5">
            <w:pPr>
              <w:pBdr>
                <w:top w:val="nil"/>
                <w:left w:val="nil"/>
                <w:bottom w:val="nil"/>
                <w:right w:val="nil"/>
                <w:between w:val="nil"/>
                <w:bar w:val="nil"/>
              </w:pBdr>
              <w:tabs>
                <w:tab w:val="left" w:pos="1635"/>
              </w:tabs>
              <w:rPr>
                <w:b/>
                <w:sz w:val="17"/>
                <w:szCs w:val="17"/>
                <w:lang w:val="en-AU" w:eastAsia="en-AU"/>
              </w:rPr>
            </w:pPr>
          </w:p>
        </w:tc>
        <w:tc>
          <w:tcPr>
            <w:tcW w:w="1328" w:type="dxa"/>
            <w:tcBorders>
              <w:top w:val="single" w:sz="4" w:space="0" w:color="auto"/>
              <w:left w:val="single" w:sz="4" w:space="0" w:color="auto"/>
              <w:bottom w:val="single" w:sz="4" w:space="0" w:color="auto"/>
              <w:right w:val="single" w:sz="4" w:space="0" w:color="auto"/>
            </w:tcBorders>
          </w:tcPr>
          <w:p w14:paraId="389A7EBF" w14:textId="77777777" w:rsidR="003D024C" w:rsidRPr="00144E6F" w:rsidRDefault="003D024C" w:rsidP="00E007F5">
            <w:pPr>
              <w:tabs>
                <w:tab w:val="left" w:pos="1635"/>
              </w:tabs>
              <w:rPr>
                <w:i/>
                <w:sz w:val="17"/>
                <w:szCs w:val="17"/>
                <w:lang w:eastAsia="en-AU"/>
              </w:rPr>
            </w:pPr>
            <w:r w:rsidRPr="00144E6F">
              <w:rPr>
                <w:i/>
                <w:sz w:val="17"/>
                <w:szCs w:val="17"/>
              </w:rPr>
              <w:t>1.2 Increase in the proportion of students (boys and girls) with disabilities enrolled in primary school (indicator under review)</w:t>
            </w:r>
          </w:p>
        </w:tc>
        <w:tc>
          <w:tcPr>
            <w:tcW w:w="1418" w:type="dxa"/>
            <w:tcBorders>
              <w:top w:val="single" w:sz="4" w:space="0" w:color="auto"/>
              <w:left w:val="single" w:sz="4" w:space="0" w:color="auto"/>
              <w:bottom w:val="single" w:sz="4" w:space="0" w:color="auto"/>
              <w:right w:val="single" w:sz="4" w:space="0" w:color="auto"/>
            </w:tcBorders>
          </w:tcPr>
          <w:p w14:paraId="19FD3F01" w14:textId="77777777" w:rsidR="003D024C" w:rsidRPr="00144E6F" w:rsidRDefault="003D024C" w:rsidP="00E007F5">
            <w:pPr>
              <w:tabs>
                <w:tab w:val="left" w:pos="1635"/>
              </w:tabs>
              <w:rPr>
                <w:sz w:val="17"/>
                <w:szCs w:val="17"/>
                <w:lang w:eastAsia="en-AU"/>
              </w:rPr>
            </w:pPr>
            <w:r w:rsidRPr="00144E6F">
              <w:rPr>
                <w:sz w:val="17"/>
                <w:szCs w:val="17"/>
              </w:rPr>
              <w:t>6 in 2011</w:t>
            </w:r>
          </w:p>
        </w:tc>
        <w:tc>
          <w:tcPr>
            <w:tcW w:w="1701" w:type="dxa"/>
            <w:tcBorders>
              <w:top w:val="single" w:sz="4" w:space="0" w:color="auto"/>
              <w:left w:val="single" w:sz="4" w:space="0" w:color="auto"/>
              <w:bottom w:val="single" w:sz="4" w:space="0" w:color="auto"/>
              <w:right w:val="single" w:sz="4" w:space="0" w:color="auto"/>
            </w:tcBorders>
          </w:tcPr>
          <w:p w14:paraId="2366C622" w14:textId="77777777" w:rsidR="003D024C" w:rsidRPr="00144E6F" w:rsidRDefault="003D024C" w:rsidP="00E007F5">
            <w:pPr>
              <w:tabs>
                <w:tab w:val="left" w:pos="1635"/>
              </w:tabs>
              <w:rPr>
                <w:sz w:val="17"/>
                <w:szCs w:val="17"/>
                <w:lang w:eastAsia="en-AU"/>
              </w:rPr>
            </w:pPr>
            <w:r w:rsidRPr="00144E6F">
              <w:rPr>
                <w:sz w:val="17"/>
                <w:szCs w:val="17"/>
              </w:rPr>
              <w:t>323</w:t>
            </w:r>
          </w:p>
        </w:tc>
        <w:tc>
          <w:tcPr>
            <w:tcW w:w="1984" w:type="dxa"/>
            <w:tcBorders>
              <w:top w:val="single" w:sz="4" w:space="0" w:color="auto"/>
              <w:left w:val="single" w:sz="4" w:space="0" w:color="auto"/>
              <w:bottom w:val="single" w:sz="4" w:space="0" w:color="auto"/>
              <w:right w:val="single" w:sz="4" w:space="0" w:color="auto"/>
            </w:tcBorders>
          </w:tcPr>
          <w:p w14:paraId="38CBC5BE" w14:textId="77777777" w:rsidR="003D024C" w:rsidRPr="00144E6F" w:rsidRDefault="00E007F5" w:rsidP="00E007F5">
            <w:pPr>
              <w:tabs>
                <w:tab w:val="left" w:pos="1635"/>
              </w:tabs>
              <w:rPr>
                <w:sz w:val="17"/>
                <w:szCs w:val="17"/>
                <w:lang w:eastAsia="en-AU"/>
              </w:rPr>
            </w:pPr>
            <w:r w:rsidRPr="00144E6F">
              <w:rPr>
                <w:sz w:val="17"/>
                <w:szCs w:val="17"/>
              </w:rPr>
              <w:t>I</w:t>
            </w:r>
            <w:r w:rsidR="003D024C" w:rsidRPr="00144E6F">
              <w:rPr>
                <w:sz w:val="17"/>
                <w:szCs w:val="17"/>
              </w:rPr>
              <w:t>ncrease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6DD71F" w14:textId="77777777" w:rsidR="003D024C" w:rsidRPr="00144E6F" w:rsidRDefault="003D024C" w:rsidP="00E007F5">
            <w:pPr>
              <w:tabs>
                <w:tab w:val="left" w:pos="1635"/>
              </w:tabs>
              <w:rPr>
                <w:sz w:val="17"/>
                <w:szCs w:val="17"/>
                <w:lang w:eastAsia="en-AU"/>
              </w:rPr>
            </w:pPr>
            <w:r>
              <w:rPr>
                <w:sz w:val="17"/>
                <w:szCs w:val="17"/>
              </w:rPr>
              <w:t>A</w:t>
            </w:r>
            <w:r w:rsidRPr="00144E6F">
              <w:rPr>
                <w:sz w:val="17"/>
                <w:szCs w:val="17"/>
              </w:rPr>
              <w:t>ctual to be determined</w:t>
            </w:r>
          </w:p>
        </w:tc>
        <w:tc>
          <w:tcPr>
            <w:tcW w:w="3119" w:type="dxa"/>
            <w:tcBorders>
              <w:top w:val="single" w:sz="4" w:space="0" w:color="auto"/>
              <w:left w:val="single" w:sz="4" w:space="0" w:color="auto"/>
              <w:bottom w:val="single" w:sz="4" w:space="0" w:color="auto"/>
              <w:right w:val="single" w:sz="4" w:space="0" w:color="auto"/>
            </w:tcBorders>
          </w:tcPr>
          <w:p w14:paraId="1CE2BCF2" w14:textId="77777777" w:rsidR="003D024C" w:rsidRPr="00144E6F"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41774CFB" w14:textId="77777777" w:rsidR="003D024C" w:rsidRPr="00144E6F" w:rsidRDefault="003D024C" w:rsidP="00E007F5">
            <w:pPr>
              <w:tabs>
                <w:tab w:val="left" w:pos="1635"/>
              </w:tabs>
              <w:rPr>
                <w:sz w:val="17"/>
                <w:szCs w:val="17"/>
                <w:lang w:eastAsia="en-AU"/>
              </w:rPr>
            </w:pPr>
            <w:r w:rsidRPr="00144E6F">
              <w:rPr>
                <w:sz w:val="17"/>
                <w:szCs w:val="17"/>
              </w:rPr>
              <w:t>FEMIS</w:t>
            </w:r>
          </w:p>
        </w:tc>
      </w:tr>
      <w:tr w:rsidR="003D024C" w:rsidRPr="00BF7C40" w14:paraId="07DEABEB" w14:textId="77777777" w:rsidTr="00E007F5">
        <w:trPr>
          <w:trHeight w:val="1692"/>
        </w:trPr>
        <w:tc>
          <w:tcPr>
            <w:tcW w:w="1649" w:type="dxa"/>
            <w:tcBorders>
              <w:top w:val="single" w:sz="4" w:space="0" w:color="auto"/>
              <w:left w:val="single" w:sz="4" w:space="0" w:color="auto"/>
              <w:bottom w:val="single" w:sz="4" w:space="0" w:color="auto"/>
              <w:right w:val="single" w:sz="4" w:space="0" w:color="auto"/>
            </w:tcBorders>
          </w:tcPr>
          <w:p w14:paraId="280A3C65" w14:textId="77777777" w:rsidR="003D024C" w:rsidRPr="00BF7C40" w:rsidRDefault="003D024C" w:rsidP="00E007F5">
            <w:pPr>
              <w:tabs>
                <w:tab w:val="left" w:pos="1635"/>
              </w:tabs>
              <w:rPr>
                <w:b/>
                <w:sz w:val="17"/>
                <w:szCs w:val="17"/>
                <w:lang w:eastAsia="en-AU"/>
              </w:rPr>
            </w:pPr>
            <w:r w:rsidRPr="00144E6F">
              <w:rPr>
                <w:b/>
                <w:sz w:val="17"/>
                <w:szCs w:val="17"/>
                <w:lang w:eastAsia="en-AU"/>
              </w:rPr>
              <w:t>Outcome 2: Improved use of education management information system</w:t>
            </w:r>
          </w:p>
        </w:tc>
        <w:tc>
          <w:tcPr>
            <w:tcW w:w="1328" w:type="dxa"/>
            <w:tcBorders>
              <w:top w:val="single" w:sz="4" w:space="0" w:color="auto"/>
              <w:left w:val="single" w:sz="4" w:space="0" w:color="auto"/>
              <w:bottom w:val="single" w:sz="4" w:space="0" w:color="auto"/>
              <w:right w:val="single" w:sz="4" w:space="0" w:color="auto"/>
            </w:tcBorders>
          </w:tcPr>
          <w:p w14:paraId="2BBBC682" w14:textId="77777777" w:rsidR="003D024C" w:rsidRPr="00BF7C40" w:rsidRDefault="003D024C" w:rsidP="00E007F5">
            <w:pPr>
              <w:tabs>
                <w:tab w:val="left" w:pos="1635"/>
              </w:tabs>
              <w:rPr>
                <w:i/>
                <w:sz w:val="17"/>
                <w:szCs w:val="17"/>
                <w:lang w:eastAsia="en-AU"/>
              </w:rPr>
            </w:pPr>
            <w:r w:rsidRPr="00144E6F">
              <w:rPr>
                <w:i/>
                <w:sz w:val="17"/>
                <w:szCs w:val="17"/>
                <w:lang w:eastAsia="en-AU"/>
              </w:rPr>
              <w:t>indicators to be determined</w:t>
            </w:r>
          </w:p>
        </w:tc>
        <w:tc>
          <w:tcPr>
            <w:tcW w:w="1418" w:type="dxa"/>
            <w:tcBorders>
              <w:top w:val="single" w:sz="4" w:space="0" w:color="auto"/>
              <w:left w:val="single" w:sz="4" w:space="0" w:color="auto"/>
              <w:bottom w:val="single" w:sz="4" w:space="0" w:color="auto"/>
              <w:right w:val="single" w:sz="4" w:space="0" w:color="auto"/>
            </w:tcBorders>
          </w:tcPr>
          <w:p w14:paraId="5DBB3E92" w14:textId="77777777" w:rsidR="003D024C" w:rsidRPr="00BF7C40" w:rsidRDefault="003D024C" w:rsidP="00E007F5">
            <w:pPr>
              <w:tabs>
                <w:tab w:val="left" w:pos="1635"/>
              </w:tabs>
              <w:rPr>
                <w:sz w:val="17"/>
                <w:szCs w:val="17"/>
                <w:lang w:eastAsia="en-AU"/>
              </w:rPr>
            </w:pPr>
          </w:p>
        </w:tc>
        <w:tc>
          <w:tcPr>
            <w:tcW w:w="1701" w:type="dxa"/>
            <w:tcBorders>
              <w:top w:val="single" w:sz="4" w:space="0" w:color="auto"/>
              <w:left w:val="single" w:sz="4" w:space="0" w:color="auto"/>
              <w:bottom w:val="single" w:sz="4" w:space="0" w:color="auto"/>
              <w:right w:val="single" w:sz="4" w:space="0" w:color="auto"/>
            </w:tcBorders>
          </w:tcPr>
          <w:p w14:paraId="735C3C9B" w14:textId="77777777" w:rsidR="003D024C" w:rsidRPr="00BF7C40" w:rsidRDefault="003D024C" w:rsidP="00E007F5">
            <w:pPr>
              <w:tabs>
                <w:tab w:val="left" w:pos="1635"/>
              </w:tabs>
              <w:rPr>
                <w:sz w:val="17"/>
                <w:szCs w:val="17"/>
                <w:lang w:eastAsia="en-AU"/>
              </w:rPr>
            </w:pPr>
          </w:p>
        </w:tc>
        <w:tc>
          <w:tcPr>
            <w:tcW w:w="1984" w:type="dxa"/>
            <w:tcBorders>
              <w:top w:val="single" w:sz="4" w:space="0" w:color="auto"/>
              <w:left w:val="single" w:sz="4" w:space="0" w:color="auto"/>
              <w:bottom w:val="single" w:sz="4" w:space="0" w:color="auto"/>
              <w:right w:val="single" w:sz="4" w:space="0" w:color="auto"/>
            </w:tcBorders>
          </w:tcPr>
          <w:p w14:paraId="348DF0C8" w14:textId="77777777" w:rsidR="003D024C" w:rsidRPr="00BF7C40" w:rsidRDefault="003D024C" w:rsidP="00E007F5">
            <w:pPr>
              <w:tabs>
                <w:tab w:val="left" w:pos="1635"/>
              </w:tabs>
              <w:rPr>
                <w:sz w:val="17"/>
                <w:szCs w:val="17"/>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5B06D7" w14:textId="77777777" w:rsidR="003D024C" w:rsidRPr="00BF7C40" w:rsidRDefault="003D024C" w:rsidP="00E007F5">
            <w:pPr>
              <w:tabs>
                <w:tab w:val="left" w:pos="1635"/>
              </w:tabs>
              <w:rPr>
                <w:sz w:val="17"/>
                <w:szCs w:val="17"/>
                <w:lang w:eastAsia="en-AU"/>
              </w:rPr>
            </w:pPr>
          </w:p>
        </w:tc>
        <w:tc>
          <w:tcPr>
            <w:tcW w:w="3119" w:type="dxa"/>
            <w:tcBorders>
              <w:top w:val="single" w:sz="4" w:space="0" w:color="auto"/>
              <w:left w:val="single" w:sz="4" w:space="0" w:color="auto"/>
              <w:bottom w:val="single" w:sz="4" w:space="0" w:color="auto"/>
              <w:right w:val="single" w:sz="4" w:space="0" w:color="auto"/>
            </w:tcBorders>
          </w:tcPr>
          <w:p w14:paraId="73224C4E" w14:textId="77777777" w:rsidR="003D024C" w:rsidRPr="00BF7C40"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05D64340" w14:textId="77777777" w:rsidR="003D024C" w:rsidRPr="00BF7C40" w:rsidRDefault="003D024C" w:rsidP="00E007F5">
            <w:pPr>
              <w:tabs>
                <w:tab w:val="left" w:pos="1635"/>
              </w:tabs>
              <w:rPr>
                <w:sz w:val="17"/>
                <w:szCs w:val="17"/>
                <w:lang w:eastAsia="en-AU"/>
              </w:rPr>
            </w:pPr>
          </w:p>
        </w:tc>
      </w:tr>
      <w:tr w:rsidR="003D024C" w:rsidRPr="00BF7C40" w14:paraId="6B1C5D26" w14:textId="77777777" w:rsidTr="00E007F5">
        <w:trPr>
          <w:trHeight w:val="68"/>
        </w:trPr>
        <w:tc>
          <w:tcPr>
            <w:tcW w:w="1649" w:type="dxa"/>
            <w:vMerge w:val="restart"/>
            <w:tcBorders>
              <w:top w:val="single" w:sz="4" w:space="0" w:color="auto"/>
              <w:left w:val="single" w:sz="4" w:space="0" w:color="auto"/>
              <w:bottom w:val="single" w:sz="4" w:space="0" w:color="auto"/>
              <w:right w:val="single" w:sz="4" w:space="0" w:color="auto"/>
            </w:tcBorders>
          </w:tcPr>
          <w:p w14:paraId="04761CA8"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r w:rsidRPr="00144E6F">
              <w:rPr>
                <w:b/>
                <w:sz w:val="17"/>
                <w:szCs w:val="17"/>
                <w:lang w:val="en-AU" w:eastAsia="en-AU"/>
              </w:rPr>
              <w:lastRenderedPageBreak/>
              <w:t>Outcome 3:  Fiji alumni have necessary skills and knowledge to progress sustainable development priorities</w:t>
            </w:r>
          </w:p>
        </w:tc>
        <w:tc>
          <w:tcPr>
            <w:tcW w:w="1328" w:type="dxa"/>
            <w:tcBorders>
              <w:top w:val="single" w:sz="4" w:space="0" w:color="auto"/>
              <w:left w:val="single" w:sz="4" w:space="0" w:color="auto"/>
              <w:bottom w:val="single" w:sz="4" w:space="0" w:color="auto"/>
              <w:right w:val="single" w:sz="4" w:space="0" w:color="auto"/>
            </w:tcBorders>
          </w:tcPr>
          <w:p w14:paraId="42361B0B" w14:textId="77777777" w:rsidR="003D024C" w:rsidRPr="00BF7C40" w:rsidRDefault="003D024C" w:rsidP="00E007F5">
            <w:pPr>
              <w:tabs>
                <w:tab w:val="left" w:pos="1635"/>
              </w:tabs>
              <w:rPr>
                <w:i/>
                <w:sz w:val="17"/>
                <w:szCs w:val="17"/>
                <w:lang w:eastAsia="en-AU"/>
              </w:rPr>
            </w:pPr>
            <w:r w:rsidRPr="00144E6F">
              <w:rPr>
                <w:sz w:val="17"/>
                <w:szCs w:val="17"/>
              </w:rPr>
              <w:t>3.1 Maintaining proportion of Australia Awards recipients (men and women) who complete their study successfully </w:t>
            </w:r>
          </w:p>
        </w:tc>
        <w:tc>
          <w:tcPr>
            <w:tcW w:w="1418" w:type="dxa"/>
            <w:tcBorders>
              <w:top w:val="single" w:sz="4" w:space="0" w:color="auto"/>
              <w:left w:val="single" w:sz="4" w:space="0" w:color="auto"/>
              <w:bottom w:val="single" w:sz="4" w:space="0" w:color="auto"/>
              <w:right w:val="single" w:sz="4" w:space="0" w:color="auto"/>
            </w:tcBorders>
          </w:tcPr>
          <w:p w14:paraId="30B84FCF" w14:textId="77777777" w:rsidR="003D024C" w:rsidRPr="00BF7C40" w:rsidRDefault="003D024C" w:rsidP="00E007F5">
            <w:pPr>
              <w:tabs>
                <w:tab w:val="left" w:pos="1635"/>
              </w:tabs>
              <w:rPr>
                <w:sz w:val="17"/>
                <w:szCs w:val="17"/>
                <w:lang w:eastAsia="en-AU"/>
              </w:rPr>
            </w:pPr>
            <w:r w:rsidRPr="00144E6F">
              <w:rPr>
                <w:sz w:val="17"/>
                <w:szCs w:val="17"/>
              </w:rPr>
              <w:t>90%</w:t>
            </w:r>
          </w:p>
        </w:tc>
        <w:tc>
          <w:tcPr>
            <w:tcW w:w="1701" w:type="dxa"/>
            <w:tcBorders>
              <w:top w:val="single" w:sz="4" w:space="0" w:color="auto"/>
              <w:left w:val="single" w:sz="4" w:space="0" w:color="auto"/>
              <w:bottom w:val="single" w:sz="4" w:space="0" w:color="auto"/>
              <w:right w:val="single" w:sz="4" w:space="0" w:color="auto"/>
            </w:tcBorders>
          </w:tcPr>
          <w:p w14:paraId="29DA97BC" w14:textId="77777777" w:rsidR="003D024C" w:rsidRPr="00BF7C40" w:rsidRDefault="003D024C" w:rsidP="00E007F5">
            <w:pPr>
              <w:tabs>
                <w:tab w:val="left" w:pos="1635"/>
              </w:tabs>
              <w:rPr>
                <w:sz w:val="17"/>
                <w:szCs w:val="17"/>
                <w:lang w:eastAsia="en-AU"/>
              </w:rPr>
            </w:pPr>
            <w:r w:rsidRPr="00144E6F">
              <w:rPr>
                <w:sz w:val="17"/>
                <w:szCs w:val="17"/>
              </w:rPr>
              <w:t>90%</w:t>
            </w:r>
          </w:p>
        </w:tc>
        <w:tc>
          <w:tcPr>
            <w:tcW w:w="1984" w:type="dxa"/>
            <w:tcBorders>
              <w:top w:val="single" w:sz="4" w:space="0" w:color="auto"/>
              <w:left w:val="single" w:sz="4" w:space="0" w:color="auto"/>
              <w:bottom w:val="single" w:sz="4" w:space="0" w:color="auto"/>
              <w:right w:val="single" w:sz="4" w:space="0" w:color="auto"/>
            </w:tcBorders>
          </w:tcPr>
          <w:p w14:paraId="41FBD17A" w14:textId="77777777" w:rsidR="003D024C" w:rsidRPr="00BF7C40" w:rsidRDefault="003D024C" w:rsidP="00E007F5">
            <w:pPr>
              <w:tabs>
                <w:tab w:val="left" w:pos="1635"/>
              </w:tabs>
              <w:rPr>
                <w:sz w:val="17"/>
                <w:szCs w:val="17"/>
                <w:lang w:eastAsia="en-AU"/>
              </w:rPr>
            </w:pPr>
            <w:r w:rsidRPr="00144E6F">
              <w:rPr>
                <w:sz w:val="17"/>
                <w:szCs w:val="17"/>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0086A" w14:textId="77777777" w:rsidR="003D024C" w:rsidRPr="00BF7C40" w:rsidRDefault="003D024C" w:rsidP="00E007F5">
            <w:pPr>
              <w:rPr>
                <w:sz w:val="17"/>
                <w:szCs w:val="17"/>
                <w:lang w:eastAsia="en-AU"/>
              </w:rPr>
            </w:pPr>
            <w:r w:rsidRPr="00144E6F">
              <w:rPr>
                <w:sz w:val="17"/>
                <w:szCs w:val="17"/>
              </w:rPr>
              <w:t>90%</w:t>
            </w:r>
          </w:p>
        </w:tc>
        <w:tc>
          <w:tcPr>
            <w:tcW w:w="3119" w:type="dxa"/>
            <w:tcBorders>
              <w:top w:val="single" w:sz="4" w:space="0" w:color="auto"/>
              <w:left w:val="single" w:sz="4" w:space="0" w:color="auto"/>
              <w:bottom w:val="single" w:sz="4" w:space="0" w:color="auto"/>
              <w:right w:val="single" w:sz="4" w:space="0" w:color="auto"/>
            </w:tcBorders>
          </w:tcPr>
          <w:p w14:paraId="3A6FB535" w14:textId="77777777" w:rsidR="003D024C" w:rsidRPr="00BF7C40" w:rsidRDefault="003D024C" w:rsidP="00E007F5">
            <w:pPr>
              <w:tabs>
                <w:tab w:val="left" w:pos="1635"/>
              </w:tabs>
              <w:rPr>
                <w:sz w:val="17"/>
                <w:szCs w:val="17"/>
                <w:lang w:eastAsia="en-AU"/>
              </w:rPr>
            </w:pPr>
            <w:r w:rsidRPr="00144E6F">
              <w:rPr>
                <w:sz w:val="17"/>
                <w:szCs w:val="17"/>
              </w:rPr>
              <w:t xml:space="preserve">The Australia Awards is highly </w:t>
            </w:r>
            <w:r>
              <w:rPr>
                <w:sz w:val="17"/>
                <w:szCs w:val="17"/>
              </w:rPr>
              <w:t xml:space="preserve">regarded </w:t>
            </w:r>
            <w:r w:rsidRPr="00144E6F">
              <w:rPr>
                <w:sz w:val="17"/>
                <w:szCs w:val="17"/>
              </w:rPr>
              <w:t>in Fiji among high-performing professionals in the private and public sector. This results in a high completion rate</w:t>
            </w:r>
            <w:r>
              <w:rPr>
                <w:sz w:val="17"/>
                <w:szCs w:val="17"/>
              </w:rPr>
              <w:t>,</w:t>
            </w:r>
            <w:r w:rsidRPr="00144E6F">
              <w:rPr>
                <w:sz w:val="17"/>
                <w:szCs w:val="17"/>
              </w:rPr>
              <w:t xml:space="preserve"> which is a reflection of the robust selection process in place.</w:t>
            </w:r>
          </w:p>
        </w:tc>
        <w:tc>
          <w:tcPr>
            <w:tcW w:w="2126" w:type="dxa"/>
            <w:tcBorders>
              <w:top w:val="single" w:sz="4" w:space="0" w:color="auto"/>
              <w:left w:val="single" w:sz="4" w:space="0" w:color="auto"/>
              <w:bottom w:val="single" w:sz="4" w:space="0" w:color="auto"/>
              <w:right w:val="single" w:sz="4" w:space="0" w:color="auto"/>
            </w:tcBorders>
          </w:tcPr>
          <w:p w14:paraId="6A877EE7" w14:textId="77777777" w:rsidR="003D024C" w:rsidRPr="00BF7C40" w:rsidRDefault="003D024C" w:rsidP="00E007F5">
            <w:pPr>
              <w:rPr>
                <w:sz w:val="17"/>
                <w:szCs w:val="17"/>
                <w:lang w:eastAsia="en-AU"/>
              </w:rPr>
            </w:pPr>
            <w:r w:rsidRPr="00144E6F">
              <w:rPr>
                <w:sz w:val="17"/>
                <w:szCs w:val="17"/>
              </w:rPr>
              <w:t>OASIS (Australia Awards)</w:t>
            </w:r>
          </w:p>
        </w:tc>
      </w:tr>
      <w:tr w:rsidR="003D024C" w:rsidRPr="00BF7C40" w14:paraId="71333EE6" w14:textId="77777777" w:rsidTr="00E007F5">
        <w:trPr>
          <w:trHeight w:val="1104"/>
        </w:trPr>
        <w:tc>
          <w:tcPr>
            <w:tcW w:w="1649" w:type="dxa"/>
            <w:vMerge/>
            <w:tcBorders>
              <w:top w:val="single" w:sz="4" w:space="0" w:color="auto"/>
              <w:left w:val="single" w:sz="4" w:space="0" w:color="auto"/>
              <w:bottom w:val="single" w:sz="4" w:space="0" w:color="auto"/>
              <w:right w:val="single" w:sz="4" w:space="0" w:color="auto"/>
            </w:tcBorders>
          </w:tcPr>
          <w:p w14:paraId="3A2E76F6" w14:textId="77777777" w:rsidR="003D024C" w:rsidRPr="00BF7C40" w:rsidRDefault="003D024C" w:rsidP="00E007F5">
            <w:pPr>
              <w:tabs>
                <w:tab w:val="left" w:pos="1635"/>
              </w:tabs>
              <w:rPr>
                <w:iCs/>
                <w:sz w:val="17"/>
                <w:szCs w:val="17"/>
                <w:lang w:val="en-AU" w:eastAsia="en-AU"/>
              </w:rPr>
            </w:pPr>
          </w:p>
        </w:tc>
        <w:tc>
          <w:tcPr>
            <w:tcW w:w="1328" w:type="dxa"/>
            <w:tcBorders>
              <w:top w:val="single" w:sz="4" w:space="0" w:color="auto"/>
              <w:left w:val="single" w:sz="4" w:space="0" w:color="auto"/>
              <w:bottom w:val="single" w:sz="4" w:space="0" w:color="auto"/>
              <w:right w:val="single" w:sz="4" w:space="0" w:color="auto"/>
            </w:tcBorders>
          </w:tcPr>
          <w:p w14:paraId="23969476" w14:textId="77777777" w:rsidR="003D024C" w:rsidRPr="00BF7C40" w:rsidRDefault="003D024C" w:rsidP="00E007F5">
            <w:pPr>
              <w:tabs>
                <w:tab w:val="left" w:pos="1635"/>
              </w:tabs>
              <w:rPr>
                <w:iCs/>
                <w:sz w:val="17"/>
                <w:szCs w:val="17"/>
                <w:lang w:val="en-AU" w:eastAsia="en-AU"/>
              </w:rPr>
            </w:pPr>
            <w:r w:rsidRPr="00144E6F">
              <w:rPr>
                <w:sz w:val="17"/>
                <w:szCs w:val="17"/>
              </w:rPr>
              <w:t>3.2  % of graduates (men and women) who find employment in their area of study within 6 months of graduating</w:t>
            </w:r>
          </w:p>
        </w:tc>
        <w:tc>
          <w:tcPr>
            <w:tcW w:w="1418" w:type="dxa"/>
            <w:tcBorders>
              <w:top w:val="single" w:sz="4" w:space="0" w:color="auto"/>
              <w:left w:val="single" w:sz="4" w:space="0" w:color="auto"/>
              <w:bottom w:val="single" w:sz="4" w:space="0" w:color="auto"/>
              <w:right w:val="single" w:sz="4" w:space="0" w:color="auto"/>
            </w:tcBorders>
          </w:tcPr>
          <w:p w14:paraId="62CA2538" w14:textId="77777777" w:rsidR="003D024C" w:rsidRPr="00BF7C40" w:rsidRDefault="003D024C" w:rsidP="00E007F5">
            <w:pPr>
              <w:tabs>
                <w:tab w:val="left" w:pos="1635"/>
              </w:tabs>
              <w:rPr>
                <w:sz w:val="17"/>
                <w:szCs w:val="17"/>
                <w:lang w:eastAsia="en-AU"/>
              </w:rPr>
            </w:pPr>
            <w:r w:rsidRPr="00144E6F">
              <w:rPr>
                <w:sz w:val="17"/>
                <w:szCs w:val="17"/>
              </w:rPr>
              <w:t>90%</w:t>
            </w:r>
          </w:p>
        </w:tc>
        <w:tc>
          <w:tcPr>
            <w:tcW w:w="1701" w:type="dxa"/>
            <w:tcBorders>
              <w:top w:val="single" w:sz="4" w:space="0" w:color="auto"/>
              <w:left w:val="single" w:sz="4" w:space="0" w:color="auto"/>
              <w:bottom w:val="single" w:sz="4" w:space="0" w:color="auto"/>
              <w:right w:val="single" w:sz="4" w:space="0" w:color="auto"/>
            </w:tcBorders>
          </w:tcPr>
          <w:p w14:paraId="0002B196" w14:textId="77777777" w:rsidR="003D024C" w:rsidRPr="00BF7C40" w:rsidRDefault="003D024C" w:rsidP="00E007F5">
            <w:pPr>
              <w:tabs>
                <w:tab w:val="left" w:pos="1635"/>
              </w:tabs>
              <w:rPr>
                <w:sz w:val="17"/>
                <w:szCs w:val="17"/>
                <w:lang w:eastAsia="en-AU"/>
              </w:rPr>
            </w:pPr>
            <w:r w:rsidRPr="00144E6F">
              <w:rPr>
                <w:sz w:val="17"/>
                <w:szCs w:val="17"/>
              </w:rPr>
              <w:t>80%</w:t>
            </w:r>
          </w:p>
        </w:tc>
        <w:tc>
          <w:tcPr>
            <w:tcW w:w="1984" w:type="dxa"/>
            <w:tcBorders>
              <w:top w:val="single" w:sz="4" w:space="0" w:color="auto"/>
              <w:left w:val="single" w:sz="4" w:space="0" w:color="auto"/>
              <w:bottom w:val="single" w:sz="4" w:space="0" w:color="auto"/>
              <w:right w:val="single" w:sz="4" w:space="0" w:color="auto"/>
            </w:tcBorders>
          </w:tcPr>
          <w:p w14:paraId="02636B9D" w14:textId="77777777" w:rsidR="003D024C" w:rsidRPr="00BF7C40" w:rsidRDefault="003D024C" w:rsidP="00E007F5">
            <w:pPr>
              <w:tabs>
                <w:tab w:val="left" w:pos="1635"/>
              </w:tabs>
              <w:rPr>
                <w:sz w:val="17"/>
                <w:szCs w:val="17"/>
                <w:lang w:eastAsia="en-AU"/>
              </w:rPr>
            </w:pPr>
            <w:r w:rsidRPr="00144E6F">
              <w:rPr>
                <w:sz w:val="17"/>
                <w:szCs w:val="17"/>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240848" w14:textId="77777777" w:rsidR="003D024C" w:rsidRPr="00BF7C40" w:rsidRDefault="003D024C" w:rsidP="00E007F5">
            <w:pPr>
              <w:tabs>
                <w:tab w:val="left" w:pos="1635"/>
              </w:tabs>
              <w:rPr>
                <w:sz w:val="17"/>
                <w:szCs w:val="17"/>
                <w:lang w:eastAsia="en-AU"/>
              </w:rPr>
            </w:pPr>
            <w:r w:rsidRPr="00144E6F">
              <w:rPr>
                <w:sz w:val="17"/>
                <w:szCs w:val="17"/>
              </w:rPr>
              <w:t xml:space="preserve">Approximately 60% of alumni that return are in public sector and absorbed into respective ministries. 40% return to private sector as practitioners (infrastructure mostly), training institutions (USP &amp; Fiji National University) and non-government organisations. Less than ten alumni had problems finding jobs in first six months, but later found employment. </w:t>
            </w:r>
          </w:p>
        </w:tc>
        <w:tc>
          <w:tcPr>
            <w:tcW w:w="3119" w:type="dxa"/>
            <w:tcBorders>
              <w:top w:val="single" w:sz="4" w:space="0" w:color="auto"/>
              <w:left w:val="single" w:sz="4" w:space="0" w:color="auto"/>
              <w:bottom w:val="single" w:sz="4" w:space="0" w:color="auto"/>
              <w:right w:val="single" w:sz="4" w:space="0" w:color="auto"/>
            </w:tcBorders>
          </w:tcPr>
          <w:p w14:paraId="705E73D7" w14:textId="77777777" w:rsidR="003D024C" w:rsidRPr="00BF7C40" w:rsidRDefault="003D024C" w:rsidP="00E007F5">
            <w:pPr>
              <w:tabs>
                <w:tab w:val="left" w:pos="1635"/>
              </w:tabs>
              <w:rPr>
                <w:sz w:val="17"/>
                <w:szCs w:val="17"/>
                <w:lang w:eastAsia="en-AU"/>
              </w:rPr>
            </w:pPr>
            <w:r w:rsidRPr="00144E6F">
              <w:rPr>
                <w:sz w:val="17"/>
                <w:szCs w:val="17"/>
              </w:rPr>
              <w:t>Reintegration plans and discussions with alumni upon return.</w:t>
            </w:r>
          </w:p>
        </w:tc>
        <w:tc>
          <w:tcPr>
            <w:tcW w:w="2126" w:type="dxa"/>
            <w:tcBorders>
              <w:top w:val="single" w:sz="4" w:space="0" w:color="auto"/>
              <w:left w:val="single" w:sz="4" w:space="0" w:color="auto"/>
              <w:bottom w:val="single" w:sz="4" w:space="0" w:color="auto"/>
              <w:right w:val="single" w:sz="4" w:space="0" w:color="auto"/>
            </w:tcBorders>
          </w:tcPr>
          <w:p w14:paraId="728EF3FE" w14:textId="77777777" w:rsidR="003D024C" w:rsidRPr="00BF7C40" w:rsidRDefault="003D024C" w:rsidP="00E007F5">
            <w:pPr>
              <w:tabs>
                <w:tab w:val="left" w:pos="1635"/>
              </w:tabs>
              <w:rPr>
                <w:b/>
                <w:sz w:val="17"/>
                <w:szCs w:val="17"/>
                <w:lang w:eastAsia="en-AU"/>
              </w:rPr>
            </w:pPr>
            <w:r w:rsidRPr="00144E6F">
              <w:rPr>
                <w:sz w:val="17"/>
                <w:szCs w:val="17"/>
              </w:rPr>
              <w:t>Australia Awards</w:t>
            </w:r>
          </w:p>
        </w:tc>
      </w:tr>
    </w:tbl>
    <w:p w14:paraId="5600DF7C" w14:textId="77777777" w:rsidR="003D024C" w:rsidRDefault="003D024C" w:rsidP="003D024C">
      <w:pPr>
        <w:tabs>
          <w:tab w:val="left" w:pos="1635"/>
        </w:tabs>
        <w:rPr>
          <w:b/>
          <w:sz w:val="18"/>
          <w:szCs w:val="18"/>
        </w:rPr>
        <w:sectPr w:rsidR="003D024C" w:rsidSect="00E23B65">
          <w:headerReference w:type="default" r:id="rId31"/>
          <w:pgSz w:w="16838" w:h="11906" w:orient="landscape" w:code="9"/>
          <w:pgMar w:top="568" w:right="1527" w:bottom="1134" w:left="851" w:header="566" w:footer="267" w:gutter="0"/>
          <w:cols w:space="397"/>
          <w:docGrid w:linePitch="360"/>
        </w:sectPr>
      </w:pPr>
    </w:p>
    <w:tbl>
      <w:tblPr>
        <w:tblpPr w:leftFromText="180" w:rightFromText="180" w:vertAnchor="text" w:horzAnchor="page" w:tblpX="529" w:tblpY="-1661"/>
        <w:tblW w:w="14884" w:type="dxa"/>
        <w:tblLayout w:type="fixed"/>
        <w:tblLook w:val="04A0" w:firstRow="1" w:lastRow="0" w:firstColumn="1" w:lastColumn="0" w:noHBand="0" w:noVBand="1"/>
      </w:tblPr>
      <w:tblGrid>
        <w:gridCol w:w="1649"/>
        <w:gridCol w:w="1328"/>
        <w:gridCol w:w="1418"/>
        <w:gridCol w:w="1701"/>
        <w:gridCol w:w="1984"/>
        <w:gridCol w:w="1559"/>
        <w:gridCol w:w="3119"/>
        <w:gridCol w:w="2126"/>
      </w:tblGrid>
      <w:tr w:rsidR="003D024C" w:rsidRPr="00BF7C40" w14:paraId="2E95C83D" w14:textId="77777777" w:rsidTr="00E007F5">
        <w:trPr>
          <w:trHeight w:val="723"/>
        </w:trPr>
        <w:tc>
          <w:tcPr>
            <w:tcW w:w="14884" w:type="dxa"/>
            <w:gridSpan w:val="8"/>
            <w:tcBorders>
              <w:bottom w:val="single" w:sz="4" w:space="0" w:color="auto"/>
            </w:tcBorders>
            <w:shd w:val="clear" w:color="auto" w:fill="auto"/>
          </w:tcPr>
          <w:p w14:paraId="7A8A8178" w14:textId="77777777" w:rsidR="003D024C" w:rsidRPr="00901BFA" w:rsidRDefault="003D024C" w:rsidP="00E007F5">
            <w:pPr>
              <w:tabs>
                <w:tab w:val="left" w:pos="1635"/>
              </w:tabs>
              <w:rPr>
                <w:b/>
                <w:sz w:val="18"/>
                <w:szCs w:val="18"/>
              </w:rPr>
            </w:pPr>
          </w:p>
        </w:tc>
      </w:tr>
      <w:tr w:rsidR="003D024C" w:rsidRPr="00BF7C40" w14:paraId="13FAB6F4" w14:textId="77777777" w:rsidTr="00E007F5">
        <w:trPr>
          <w:trHeight w:val="723"/>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32F9883" w14:textId="77777777" w:rsidR="003D024C" w:rsidRPr="00901BFA" w:rsidRDefault="003D024C" w:rsidP="00E007F5">
            <w:pPr>
              <w:tabs>
                <w:tab w:val="left" w:pos="1635"/>
              </w:tabs>
              <w:rPr>
                <w:b/>
                <w:sz w:val="18"/>
                <w:szCs w:val="18"/>
              </w:rPr>
            </w:pPr>
            <w:r w:rsidRPr="00901BFA">
              <w:rPr>
                <w:b/>
                <w:sz w:val="18"/>
                <w:szCs w:val="18"/>
              </w:rPr>
              <w:t xml:space="preserve">Sub-Objective: Improved access to quality health services </w:t>
            </w:r>
            <w:r w:rsidRPr="00901BFA">
              <w:rPr>
                <w:sz w:val="18"/>
                <w:szCs w:val="18"/>
              </w:rPr>
              <w:t>(Note: new Health program commenced in late 2017. Over the next 18 months, outcome areas and indicators are pitched at an intermediate level that sit below long-term outcomes; SO1 - Improve Health Service Delivery; SO2 - Strengthen Public Health Services; SO3 - Strengthen Health Policy, Financing and Planning; SO4 - Strengthen Leadership, Management and Workforce Development; SO5 - Cross-cutting Objectives: GESI, CSO Engagement, Disaster Preparedness &amp; Innovation)</w:t>
            </w:r>
            <w:r w:rsidRPr="00901BFA">
              <w:rPr>
                <w:b/>
                <w:sz w:val="18"/>
                <w:szCs w:val="18"/>
              </w:rPr>
              <w:tab/>
            </w:r>
            <w:r w:rsidRPr="00901BFA">
              <w:rPr>
                <w:b/>
                <w:sz w:val="18"/>
                <w:szCs w:val="18"/>
              </w:rPr>
              <w:tab/>
            </w:r>
            <w:r w:rsidRPr="00901BFA">
              <w:rPr>
                <w:b/>
                <w:sz w:val="18"/>
                <w:szCs w:val="18"/>
              </w:rPr>
              <w:tab/>
            </w:r>
            <w:r w:rsidRPr="00901BFA">
              <w:rPr>
                <w:b/>
                <w:sz w:val="18"/>
                <w:szCs w:val="18"/>
              </w:rPr>
              <w:tab/>
            </w:r>
            <w:r w:rsidRPr="00901BFA">
              <w:rPr>
                <w:b/>
                <w:sz w:val="18"/>
                <w:szCs w:val="18"/>
              </w:rPr>
              <w:tab/>
            </w:r>
            <w:r w:rsidRPr="00901BFA">
              <w:rPr>
                <w:b/>
                <w:sz w:val="18"/>
                <w:szCs w:val="18"/>
              </w:rPr>
              <w:tab/>
            </w:r>
          </w:p>
        </w:tc>
      </w:tr>
      <w:tr w:rsidR="003D024C" w:rsidRPr="00BF7C40" w14:paraId="28F21C03" w14:textId="77777777" w:rsidTr="00E007F5">
        <w:trPr>
          <w:trHeight w:val="1683"/>
        </w:trPr>
        <w:tc>
          <w:tcPr>
            <w:tcW w:w="1649" w:type="dxa"/>
            <w:tcBorders>
              <w:top w:val="single" w:sz="4" w:space="0" w:color="auto"/>
              <w:left w:val="single" w:sz="4" w:space="0" w:color="auto"/>
              <w:bottom w:val="single" w:sz="4" w:space="0" w:color="auto"/>
              <w:right w:val="single" w:sz="4" w:space="0" w:color="auto"/>
            </w:tcBorders>
          </w:tcPr>
          <w:p w14:paraId="14496E8F" w14:textId="77777777" w:rsidR="003D024C" w:rsidRPr="00983436" w:rsidRDefault="003D024C" w:rsidP="00E007F5">
            <w:pPr>
              <w:pBdr>
                <w:top w:val="nil"/>
                <w:left w:val="nil"/>
                <w:bottom w:val="nil"/>
                <w:right w:val="nil"/>
                <w:between w:val="nil"/>
                <w:bar w:val="nil"/>
              </w:pBdr>
              <w:tabs>
                <w:tab w:val="left" w:pos="1635"/>
              </w:tabs>
              <w:rPr>
                <w:b/>
                <w:sz w:val="17"/>
                <w:szCs w:val="17"/>
                <w:lang w:val="en-AU" w:eastAsia="en-AU"/>
              </w:rPr>
            </w:pPr>
            <w:r w:rsidRPr="00983436">
              <w:rPr>
                <w:b/>
                <w:sz w:val="17"/>
                <w:szCs w:val="17"/>
              </w:rPr>
              <w:t>Intermediate Outcome 1: Quality obstetric care at sub-divisional hospitals</w:t>
            </w:r>
          </w:p>
        </w:tc>
        <w:tc>
          <w:tcPr>
            <w:tcW w:w="1328" w:type="dxa"/>
            <w:tcBorders>
              <w:top w:val="single" w:sz="4" w:space="0" w:color="auto"/>
              <w:left w:val="single" w:sz="4" w:space="0" w:color="auto"/>
              <w:bottom w:val="single" w:sz="4" w:space="0" w:color="auto"/>
              <w:right w:val="single" w:sz="4" w:space="0" w:color="auto"/>
            </w:tcBorders>
          </w:tcPr>
          <w:p w14:paraId="6023151A" w14:textId="4829CD0F" w:rsidR="003D024C" w:rsidRPr="00983436" w:rsidRDefault="003D024C" w:rsidP="000536E4">
            <w:pPr>
              <w:tabs>
                <w:tab w:val="left" w:pos="1635"/>
              </w:tabs>
              <w:rPr>
                <w:i/>
                <w:sz w:val="17"/>
                <w:szCs w:val="17"/>
                <w:lang w:eastAsia="en-AU"/>
              </w:rPr>
            </w:pPr>
            <w:r w:rsidRPr="00983436">
              <w:rPr>
                <w:i/>
                <w:sz w:val="17"/>
                <w:szCs w:val="17"/>
              </w:rPr>
              <w:t xml:space="preserve">1.1a Average % adherence to Mother Safe Hospital Initiative (MSHI) standards in subdivisional hospitals;                                                                                                                   1.1b increase in </w:t>
            </w:r>
            <w:r w:rsidRPr="00983436">
              <w:rPr>
                <w:i/>
                <w:color w:val="auto"/>
                <w:sz w:val="17"/>
                <w:szCs w:val="17"/>
              </w:rPr>
              <w:t xml:space="preserve">births in </w:t>
            </w:r>
            <w:r w:rsidR="000536E4" w:rsidRPr="00983436">
              <w:rPr>
                <w:i/>
                <w:color w:val="auto"/>
                <w:sz w:val="17"/>
                <w:szCs w:val="17"/>
              </w:rPr>
              <w:t xml:space="preserve">four </w:t>
            </w:r>
            <w:r w:rsidRPr="00983436">
              <w:rPr>
                <w:i/>
                <w:sz w:val="17"/>
                <w:szCs w:val="17"/>
              </w:rPr>
              <w:t>sub-divisional hospitals by skilled birth attendants</w:t>
            </w:r>
          </w:p>
        </w:tc>
        <w:tc>
          <w:tcPr>
            <w:tcW w:w="1418" w:type="dxa"/>
            <w:tcBorders>
              <w:top w:val="single" w:sz="4" w:space="0" w:color="auto"/>
              <w:left w:val="single" w:sz="4" w:space="0" w:color="auto"/>
              <w:bottom w:val="single" w:sz="4" w:space="0" w:color="auto"/>
              <w:right w:val="single" w:sz="4" w:space="0" w:color="auto"/>
            </w:tcBorders>
          </w:tcPr>
          <w:p w14:paraId="3CED6647" w14:textId="77777777" w:rsidR="003D024C" w:rsidRPr="00983436" w:rsidDel="007F0BE3" w:rsidRDefault="003D024C" w:rsidP="00E007F5">
            <w:pPr>
              <w:tabs>
                <w:tab w:val="left" w:pos="1635"/>
              </w:tabs>
              <w:rPr>
                <w:sz w:val="17"/>
                <w:szCs w:val="17"/>
                <w:lang w:eastAsia="en-AU"/>
              </w:rPr>
            </w:pPr>
            <w:r w:rsidRPr="00983436">
              <w:rPr>
                <w:sz w:val="17"/>
                <w:szCs w:val="17"/>
              </w:rPr>
              <w:t>0% - MSHI has not been extended to pilot sites</w:t>
            </w:r>
          </w:p>
        </w:tc>
        <w:tc>
          <w:tcPr>
            <w:tcW w:w="1701" w:type="dxa"/>
            <w:tcBorders>
              <w:top w:val="single" w:sz="4" w:space="0" w:color="auto"/>
              <w:left w:val="single" w:sz="4" w:space="0" w:color="auto"/>
              <w:bottom w:val="single" w:sz="4" w:space="0" w:color="auto"/>
              <w:right w:val="single" w:sz="4" w:space="0" w:color="auto"/>
            </w:tcBorders>
          </w:tcPr>
          <w:p w14:paraId="7A7997D8" w14:textId="77777777" w:rsidR="003D024C" w:rsidRPr="00983436" w:rsidRDefault="003D024C" w:rsidP="00E007F5">
            <w:pPr>
              <w:tabs>
                <w:tab w:val="left" w:pos="1635"/>
              </w:tabs>
              <w:rPr>
                <w:sz w:val="17"/>
                <w:szCs w:val="17"/>
                <w:lang w:eastAsia="en-AU"/>
              </w:rPr>
            </w:pPr>
            <w:r w:rsidRPr="00983436">
              <w:rPr>
                <w:sz w:val="17"/>
                <w:szCs w:val="17"/>
              </w:rPr>
              <w:t>0%</w:t>
            </w:r>
          </w:p>
        </w:tc>
        <w:tc>
          <w:tcPr>
            <w:tcW w:w="1984" w:type="dxa"/>
            <w:tcBorders>
              <w:top w:val="single" w:sz="4" w:space="0" w:color="auto"/>
              <w:left w:val="single" w:sz="4" w:space="0" w:color="auto"/>
              <w:bottom w:val="single" w:sz="4" w:space="0" w:color="auto"/>
              <w:right w:val="single" w:sz="4" w:space="0" w:color="auto"/>
            </w:tcBorders>
          </w:tcPr>
          <w:p w14:paraId="25C32272" w14:textId="77777777" w:rsidR="003D024C" w:rsidRPr="00983436" w:rsidRDefault="003D024C" w:rsidP="00E007F5">
            <w:pPr>
              <w:tabs>
                <w:tab w:val="left" w:pos="1635"/>
              </w:tabs>
              <w:rPr>
                <w:iCs/>
                <w:sz w:val="17"/>
                <w:szCs w:val="17"/>
                <w:lang w:val="en-AU" w:eastAsia="en-AU"/>
              </w:rPr>
            </w:pPr>
            <w:r w:rsidRPr="00983436">
              <w:rPr>
                <w:sz w:val="17"/>
                <w:szCs w:val="17"/>
              </w:rPr>
              <w:t>no data - new activity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0D3552" w14:textId="77777777" w:rsidR="003D024C" w:rsidRPr="00983436" w:rsidRDefault="003D024C" w:rsidP="00E007F5">
            <w:pPr>
              <w:tabs>
                <w:tab w:val="left" w:pos="1635"/>
              </w:tabs>
              <w:rPr>
                <w:sz w:val="17"/>
                <w:szCs w:val="17"/>
                <w:lang w:eastAsia="en-AU"/>
              </w:rPr>
            </w:pPr>
            <w:r w:rsidRPr="00983436">
              <w:rPr>
                <w:sz w:val="17"/>
                <w:szCs w:val="17"/>
              </w:rPr>
              <w:t>No data - new activity</w:t>
            </w:r>
          </w:p>
        </w:tc>
        <w:tc>
          <w:tcPr>
            <w:tcW w:w="3119" w:type="dxa"/>
            <w:tcBorders>
              <w:top w:val="single" w:sz="4" w:space="0" w:color="auto"/>
              <w:left w:val="single" w:sz="4" w:space="0" w:color="auto"/>
              <w:bottom w:val="single" w:sz="4" w:space="0" w:color="auto"/>
              <w:right w:val="single" w:sz="4" w:space="0" w:color="auto"/>
            </w:tcBorders>
          </w:tcPr>
          <w:p w14:paraId="77C376AF" w14:textId="77777777" w:rsidR="003D024C" w:rsidRPr="00983436" w:rsidRDefault="003D024C" w:rsidP="00E007F5">
            <w:pPr>
              <w:tabs>
                <w:tab w:val="left" w:pos="1635"/>
              </w:tabs>
              <w:rPr>
                <w:sz w:val="17"/>
                <w:szCs w:val="17"/>
                <w:lang w:eastAsia="en-AU"/>
              </w:rPr>
            </w:pPr>
            <w:r w:rsidRPr="00983436">
              <w:rPr>
                <w:sz w:val="17"/>
                <w:szCs w:val="17"/>
              </w:rPr>
              <w:t>TA report endorsed by Steering Committee on the SDH package and scope of clinical services for Maternal and Newborn Health with associated referral pathways endorsed by the CSN O&amp;G and CSO Paediatrics piloted in five SDH.</w:t>
            </w:r>
          </w:p>
        </w:tc>
        <w:tc>
          <w:tcPr>
            <w:tcW w:w="2126" w:type="dxa"/>
            <w:tcBorders>
              <w:top w:val="single" w:sz="4" w:space="0" w:color="auto"/>
              <w:left w:val="single" w:sz="4" w:space="0" w:color="auto"/>
              <w:bottom w:val="single" w:sz="4" w:space="0" w:color="auto"/>
              <w:right w:val="single" w:sz="4" w:space="0" w:color="auto"/>
            </w:tcBorders>
          </w:tcPr>
          <w:p w14:paraId="20AD06FF" w14:textId="77777777" w:rsidR="003D024C" w:rsidRPr="00983436" w:rsidRDefault="003D024C" w:rsidP="00E007F5">
            <w:pPr>
              <w:rPr>
                <w:sz w:val="17"/>
                <w:szCs w:val="17"/>
                <w:lang w:eastAsia="en-AU"/>
              </w:rPr>
            </w:pPr>
            <w:r w:rsidRPr="00983436">
              <w:rPr>
                <w:sz w:val="17"/>
                <w:szCs w:val="17"/>
              </w:rPr>
              <w:t>Steering Committee minutes</w:t>
            </w:r>
          </w:p>
        </w:tc>
      </w:tr>
      <w:tr w:rsidR="009574B9" w:rsidRPr="00BF7C40" w14:paraId="49211761" w14:textId="77777777" w:rsidTr="00E007F5">
        <w:trPr>
          <w:trHeight w:val="1683"/>
        </w:trPr>
        <w:tc>
          <w:tcPr>
            <w:tcW w:w="1649" w:type="dxa"/>
            <w:tcBorders>
              <w:top w:val="single" w:sz="4" w:space="0" w:color="auto"/>
              <w:left w:val="single" w:sz="4" w:space="0" w:color="auto"/>
              <w:bottom w:val="single" w:sz="4" w:space="0" w:color="auto"/>
              <w:right w:val="single" w:sz="4" w:space="0" w:color="auto"/>
            </w:tcBorders>
          </w:tcPr>
          <w:p w14:paraId="6B295B7B" w14:textId="06AC943D" w:rsidR="009574B9" w:rsidRPr="00983436" w:rsidRDefault="009574B9" w:rsidP="009574B9">
            <w:pPr>
              <w:pBdr>
                <w:top w:val="nil"/>
                <w:left w:val="nil"/>
                <w:bottom w:val="nil"/>
                <w:right w:val="nil"/>
                <w:between w:val="nil"/>
                <w:bar w:val="nil"/>
              </w:pBdr>
              <w:tabs>
                <w:tab w:val="left" w:pos="1635"/>
              </w:tabs>
              <w:rPr>
                <w:b/>
                <w:sz w:val="17"/>
                <w:szCs w:val="17"/>
                <w:lang w:val="en-AU" w:eastAsia="en-AU"/>
              </w:rPr>
            </w:pPr>
            <w:r w:rsidRPr="00983436">
              <w:rPr>
                <w:b/>
                <w:bCs/>
                <w:sz w:val="17"/>
                <w:szCs w:val="17"/>
              </w:rPr>
              <w:t xml:space="preserve">Intermediate Outcome 2: </w:t>
            </w:r>
            <w:r w:rsidRPr="00983436">
              <w:rPr>
                <w:b/>
                <w:sz w:val="17"/>
                <w:szCs w:val="17"/>
              </w:rPr>
              <w:t>Implementation of the NCD data collation of the  NCD through NCD National Screening</w:t>
            </w:r>
            <w:r w:rsidRPr="00983436">
              <w:rPr>
                <w:b/>
                <w:bCs/>
                <w:color w:val="FF0000"/>
                <w:sz w:val="17"/>
                <w:szCs w:val="17"/>
              </w:rPr>
              <w:t xml:space="preserve"> </w:t>
            </w:r>
          </w:p>
        </w:tc>
        <w:tc>
          <w:tcPr>
            <w:tcW w:w="1328" w:type="dxa"/>
            <w:tcBorders>
              <w:top w:val="single" w:sz="4" w:space="0" w:color="auto"/>
              <w:left w:val="single" w:sz="4" w:space="0" w:color="auto"/>
              <w:bottom w:val="single" w:sz="4" w:space="0" w:color="auto"/>
              <w:right w:val="single" w:sz="4" w:space="0" w:color="auto"/>
            </w:tcBorders>
          </w:tcPr>
          <w:p w14:paraId="1A1C6A3D" w14:textId="77777777" w:rsidR="009574B9" w:rsidRPr="00983436" w:rsidRDefault="009574B9" w:rsidP="009574B9">
            <w:pPr>
              <w:rPr>
                <w:i/>
                <w:iCs/>
                <w:sz w:val="17"/>
                <w:szCs w:val="17"/>
              </w:rPr>
            </w:pPr>
            <w:r w:rsidRPr="00983436">
              <w:rPr>
                <w:i/>
                <w:iCs/>
                <w:sz w:val="17"/>
                <w:szCs w:val="17"/>
              </w:rPr>
              <w:t>2.1 Increased screening, monitoring and case detection of cardiovascular disease and female cancers at divisional and sub-divisional hospitals</w:t>
            </w:r>
          </w:p>
          <w:p w14:paraId="2D25A6C9" w14:textId="77777777" w:rsidR="009574B9" w:rsidRPr="00983436" w:rsidRDefault="009574B9" w:rsidP="009574B9">
            <w:pPr>
              <w:tabs>
                <w:tab w:val="left" w:pos="1635"/>
              </w:tabs>
              <w:rPr>
                <w:i/>
                <w:sz w:val="17"/>
                <w:szCs w:val="17"/>
                <w:lang w:eastAsia="en-AU"/>
              </w:rPr>
            </w:pPr>
          </w:p>
        </w:tc>
        <w:tc>
          <w:tcPr>
            <w:tcW w:w="1418" w:type="dxa"/>
            <w:tcBorders>
              <w:top w:val="single" w:sz="4" w:space="0" w:color="auto"/>
              <w:left w:val="single" w:sz="4" w:space="0" w:color="auto"/>
              <w:bottom w:val="single" w:sz="4" w:space="0" w:color="auto"/>
              <w:right w:val="single" w:sz="4" w:space="0" w:color="auto"/>
            </w:tcBorders>
          </w:tcPr>
          <w:p w14:paraId="187C486F" w14:textId="063E8E2D" w:rsidR="009574B9" w:rsidRPr="00983436" w:rsidDel="007F0BE3" w:rsidRDefault="009574B9" w:rsidP="009574B9">
            <w:pPr>
              <w:tabs>
                <w:tab w:val="left" w:pos="1635"/>
              </w:tabs>
              <w:rPr>
                <w:sz w:val="17"/>
                <w:szCs w:val="17"/>
                <w:lang w:eastAsia="en-AU"/>
              </w:rPr>
            </w:pPr>
            <w:r w:rsidRPr="00983436">
              <w:rPr>
                <w:sz w:val="17"/>
                <w:szCs w:val="17"/>
              </w:rPr>
              <w:t>Existing screening data from SOPD clinics going to epi database (wellness unit) 0% (2014) CVDs; cervical cancer 15.8% (2013)</w:t>
            </w:r>
          </w:p>
        </w:tc>
        <w:tc>
          <w:tcPr>
            <w:tcW w:w="1701" w:type="dxa"/>
            <w:tcBorders>
              <w:top w:val="single" w:sz="4" w:space="0" w:color="auto"/>
              <w:left w:val="single" w:sz="4" w:space="0" w:color="auto"/>
              <w:bottom w:val="single" w:sz="4" w:space="0" w:color="auto"/>
              <w:right w:val="single" w:sz="4" w:space="0" w:color="auto"/>
            </w:tcBorders>
          </w:tcPr>
          <w:p w14:paraId="72F394E0" w14:textId="2832CD7E" w:rsidR="009574B9" w:rsidRPr="00983436" w:rsidRDefault="009574B9" w:rsidP="009574B9">
            <w:pPr>
              <w:tabs>
                <w:tab w:val="left" w:pos="1635"/>
              </w:tabs>
              <w:rPr>
                <w:sz w:val="17"/>
                <w:szCs w:val="17"/>
              </w:rPr>
            </w:pPr>
            <w:r w:rsidRPr="00983436">
              <w:rPr>
                <w:sz w:val="17"/>
                <w:szCs w:val="17"/>
              </w:rPr>
              <w:t>NCD National Screening data not available yet</w:t>
            </w:r>
          </w:p>
        </w:tc>
        <w:tc>
          <w:tcPr>
            <w:tcW w:w="1984" w:type="dxa"/>
            <w:tcBorders>
              <w:top w:val="single" w:sz="4" w:space="0" w:color="auto"/>
              <w:left w:val="single" w:sz="4" w:space="0" w:color="auto"/>
              <w:bottom w:val="single" w:sz="4" w:space="0" w:color="auto"/>
              <w:right w:val="single" w:sz="4" w:space="0" w:color="auto"/>
            </w:tcBorders>
          </w:tcPr>
          <w:p w14:paraId="05A34B51" w14:textId="7F9B089A" w:rsidR="009574B9" w:rsidRPr="00983436" w:rsidRDefault="009574B9" w:rsidP="009574B9">
            <w:pPr>
              <w:tabs>
                <w:tab w:val="left" w:pos="1635"/>
              </w:tabs>
              <w:rPr>
                <w:iCs/>
                <w:sz w:val="17"/>
                <w:szCs w:val="17"/>
                <w:lang w:val="en-AU" w:eastAsia="en-AU"/>
              </w:rPr>
            </w:pPr>
            <w:r w:rsidRPr="00983436">
              <w:rPr>
                <w:sz w:val="17"/>
                <w:szCs w:val="17"/>
              </w:rPr>
              <w:t>Target for MHMS: CVDs = 80% (2020) screening and behaviour change counselling; Cervical cancer = 50%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D124E" w14:textId="71A71A07" w:rsidR="009574B9" w:rsidRPr="00983436" w:rsidRDefault="009574B9" w:rsidP="009574B9">
            <w:pPr>
              <w:tabs>
                <w:tab w:val="left" w:pos="1635"/>
              </w:tabs>
              <w:rPr>
                <w:sz w:val="17"/>
                <w:szCs w:val="17"/>
                <w:lang w:eastAsia="en-AU"/>
              </w:rPr>
            </w:pPr>
            <w:r w:rsidRPr="00983436">
              <w:rPr>
                <w:sz w:val="17"/>
                <w:szCs w:val="17"/>
              </w:rPr>
              <w:t>No data - new activity</w:t>
            </w:r>
          </w:p>
        </w:tc>
        <w:tc>
          <w:tcPr>
            <w:tcW w:w="3119" w:type="dxa"/>
            <w:tcBorders>
              <w:top w:val="single" w:sz="4" w:space="0" w:color="auto"/>
              <w:left w:val="single" w:sz="4" w:space="0" w:color="auto"/>
              <w:bottom w:val="single" w:sz="4" w:space="0" w:color="auto"/>
              <w:right w:val="single" w:sz="4" w:space="0" w:color="auto"/>
            </w:tcBorders>
          </w:tcPr>
          <w:p w14:paraId="130416CD" w14:textId="16E8A624" w:rsidR="009574B9" w:rsidRPr="00983436" w:rsidRDefault="009574B9" w:rsidP="009574B9">
            <w:pPr>
              <w:tabs>
                <w:tab w:val="left" w:pos="1635"/>
              </w:tabs>
              <w:rPr>
                <w:sz w:val="17"/>
                <w:szCs w:val="17"/>
                <w:lang w:eastAsia="en-AU"/>
              </w:rPr>
            </w:pPr>
            <w:r w:rsidRPr="00983436">
              <w:rPr>
                <w:sz w:val="17"/>
                <w:szCs w:val="17"/>
              </w:rPr>
              <w:t xml:space="preserve">Data will be collected by MHMS with possible support from institutions like FNU (as has been past practice). The National Health Strategic Plan (2016-2020) includes specific targets on premature mortality linked to NCDs. </w:t>
            </w:r>
          </w:p>
        </w:tc>
        <w:tc>
          <w:tcPr>
            <w:tcW w:w="2126" w:type="dxa"/>
            <w:tcBorders>
              <w:top w:val="single" w:sz="4" w:space="0" w:color="auto"/>
              <w:left w:val="single" w:sz="4" w:space="0" w:color="auto"/>
              <w:bottom w:val="single" w:sz="4" w:space="0" w:color="auto"/>
              <w:right w:val="single" w:sz="4" w:space="0" w:color="auto"/>
            </w:tcBorders>
          </w:tcPr>
          <w:p w14:paraId="1EEB6F7F" w14:textId="763A778F" w:rsidR="009574B9" w:rsidRPr="00983436" w:rsidRDefault="009574B9" w:rsidP="009574B9">
            <w:pPr>
              <w:rPr>
                <w:sz w:val="17"/>
                <w:szCs w:val="17"/>
                <w:lang w:eastAsia="en-AU"/>
              </w:rPr>
            </w:pPr>
            <w:r w:rsidRPr="00983436">
              <w:rPr>
                <w:sz w:val="17"/>
                <w:szCs w:val="17"/>
              </w:rPr>
              <w:t xml:space="preserve">Hospital records and national surveys. </w:t>
            </w:r>
          </w:p>
        </w:tc>
      </w:tr>
      <w:tr w:rsidR="003D024C" w:rsidRPr="00BF7C40" w14:paraId="55541AF1" w14:textId="77777777" w:rsidTr="00E007F5">
        <w:trPr>
          <w:trHeight w:val="68"/>
        </w:trPr>
        <w:tc>
          <w:tcPr>
            <w:tcW w:w="1649" w:type="dxa"/>
            <w:tcBorders>
              <w:top w:val="single" w:sz="4" w:space="0" w:color="auto"/>
              <w:left w:val="single" w:sz="4" w:space="0" w:color="auto"/>
              <w:bottom w:val="single" w:sz="4" w:space="0" w:color="auto"/>
              <w:right w:val="single" w:sz="4" w:space="0" w:color="auto"/>
            </w:tcBorders>
          </w:tcPr>
          <w:p w14:paraId="158ABF94" w14:textId="3C09A9E7" w:rsidR="003D024C" w:rsidRPr="00983436"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983436">
              <w:rPr>
                <w:b/>
                <w:sz w:val="17"/>
                <w:szCs w:val="17"/>
              </w:rPr>
              <w:t>Intermediate Outcome 3: Strengthened relationships between CSOs and MHMS to improve service delivery</w:t>
            </w:r>
          </w:p>
        </w:tc>
        <w:tc>
          <w:tcPr>
            <w:tcW w:w="1328" w:type="dxa"/>
            <w:tcBorders>
              <w:top w:val="single" w:sz="4" w:space="0" w:color="auto"/>
              <w:left w:val="single" w:sz="4" w:space="0" w:color="auto"/>
              <w:bottom w:val="single" w:sz="4" w:space="0" w:color="auto"/>
              <w:right w:val="single" w:sz="4" w:space="0" w:color="auto"/>
            </w:tcBorders>
          </w:tcPr>
          <w:p w14:paraId="06E4545B" w14:textId="59C7CD9F" w:rsidR="003D024C" w:rsidRPr="00983436" w:rsidRDefault="003D024C" w:rsidP="00E007F5">
            <w:pPr>
              <w:tabs>
                <w:tab w:val="left" w:pos="1635"/>
              </w:tabs>
              <w:rPr>
                <w:i/>
                <w:sz w:val="17"/>
                <w:szCs w:val="17"/>
              </w:rPr>
            </w:pPr>
            <w:r w:rsidRPr="00983436">
              <w:rPr>
                <w:i/>
                <w:sz w:val="17"/>
                <w:szCs w:val="17"/>
              </w:rPr>
              <w:t>3.1 # of CSOs contracted to  provide services in line with MHMS priorities</w:t>
            </w:r>
          </w:p>
          <w:p w14:paraId="0084D465" w14:textId="77777777" w:rsidR="003D024C" w:rsidRPr="00983436" w:rsidRDefault="003D024C" w:rsidP="00E007F5">
            <w:pPr>
              <w:tabs>
                <w:tab w:val="left" w:pos="1635"/>
              </w:tabs>
              <w:rPr>
                <w:i/>
                <w:iCs/>
                <w:sz w:val="17"/>
                <w:szCs w:val="17"/>
                <w:lang w:val="en-AU" w:eastAsia="en-AU"/>
              </w:rPr>
            </w:pPr>
          </w:p>
        </w:tc>
        <w:tc>
          <w:tcPr>
            <w:tcW w:w="1418" w:type="dxa"/>
            <w:tcBorders>
              <w:top w:val="single" w:sz="4" w:space="0" w:color="auto"/>
              <w:left w:val="single" w:sz="4" w:space="0" w:color="auto"/>
              <w:bottom w:val="single" w:sz="4" w:space="0" w:color="auto"/>
              <w:right w:val="single" w:sz="4" w:space="0" w:color="auto"/>
            </w:tcBorders>
          </w:tcPr>
          <w:p w14:paraId="02D4D60D" w14:textId="5CEA8D47" w:rsidR="003D024C" w:rsidRPr="00983436" w:rsidDel="00776901" w:rsidRDefault="003D024C" w:rsidP="00CF17A2">
            <w:pPr>
              <w:tabs>
                <w:tab w:val="left" w:pos="1635"/>
              </w:tabs>
              <w:rPr>
                <w:sz w:val="17"/>
                <w:szCs w:val="17"/>
                <w:lang w:eastAsia="en-AU"/>
              </w:rPr>
            </w:pPr>
            <w:r w:rsidRPr="00983436">
              <w:rPr>
                <w:sz w:val="17"/>
                <w:szCs w:val="17"/>
              </w:rPr>
              <w:t>MHMS had several MOUs with CSOs and 1 contract.</w:t>
            </w:r>
          </w:p>
        </w:tc>
        <w:tc>
          <w:tcPr>
            <w:tcW w:w="1701" w:type="dxa"/>
            <w:tcBorders>
              <w:top w:val="single" w:sz="4" w:space="0" w:color="auto"/>
              <w:left w:val="single" w:sz="4" w:space="0" w:color="auto"/>
              <w:bottom w:val="single" w:sz="4" w:space="0" w:color="auto"/>
              <w:right w:val="single" w:sz="4" w:space="0" w:color="auto"/>
            </w:tcBorders>
          </w:tcPr>
          <w:p w14:paraId="3A245C68" w14:textId="77777777" w:rsidR="003D024C" w:rsidRPr="00983436" w:rsidRDefault="003D024C" w:rsidP="00E007F5">
            <w:pPr>
              <w:tabs>
                <w:tab w:val="left" w:pos="1635"/>
              </w:tabs>
              <w:rPr>
                <w:sz w:val="17"/>
                <w:szCs w:val="17"/>
                <w:lang w:eastAsia="en-AU"/>
              </w:rPr>
            </w:pPr>
            <w:r w:rsidRPr="00983436">
              <w:rPr>
                <w:sz w:val="17"/>
                <w:szCs w:val="17"/>
              </w:rPr>
              <w:t>No data - new program</w:t>
            </w:r>
          </w:p>
        </w:tc>
        <w:tc>
          <w:tcPr>
            <w:tcW w:w="1984" w:type="dxa"/>
            <w:tcBorders>
              <w:top w:val="single" w:sz="4" w:space="0" w:color="auto"/>
              <w:left w:val="single" w:sz="4" w:space="0" w:color="auto"/>
              <w:bottom w:val="single" w:sz="4" w:space="0" w:color="auto"/>
              <w:right w:val="single" w:sz="4" w:space="0" w:color="auto"/>
            </w:tcBorders>
          </w:tcPr>
          <w:p w14:paraId="1FF9E327" w14:textId="77777777" w:rsidR="003D024C" w:rsidRPr="00983436" w:rsidRDefault="003D024C" w:rsidP="00E007F5">
            <w:pPr>
              <w:tabs>
                <w:tab w:val="left" w:pos="1635"/>
              </w:tabs>
              <w:rPr>
                <w:iCs/>
                <w:sz w:val="17"/>
                <w:szCs w:val="17"/>
                <w:lang w:val="en-AU" w:eastAsia="en-AU"/>
              </w:rPr>
            </w:pPr>
            <w:r w:rsidRPr="00983436">
              <w:rPr>
                <w:sz w:val="17"/>
                <w:szCs w:val="17"/>
              </w:rPr>
              <w:t>First Targeted Call for CSO Support completed. Facility CSO Grant framework and Strategy completed. Ministry CSO program management support strengthened. Target to be set for 2018-19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C0078" w14:textId="77777777" w:rsidR="003D024C" w:rsidRPr="00983436" w:rsidRDefault="003D024C" w:rsidP="00E007F5">
            <w:pPr>
              <w:rPr>
                <w:sz w:val="17"/>
                <w:szCs w:val="17"/>
                <w:lang w:eastAsia="en-AU"/>
              </w:rPr>
            </w:pPr>
            <w:r w:rsidRPr="00983436">
              <w:rPr>
                <w:sz w:val="17"/>
                <w:szCs w:val="17"/>
              </w:rPr>
              <w:t>5 CSOs contracted to provide services: NCDs, Adolescent Health, Reproductive, Maternal, Neonatal and Child Health, CDs)</w:t>
            </w:r>
          </w:p>
        </w:tc>
        <w:tc>
          <w:tcPr>
            <w:tcW w:w="3119" w:type="dxa"/>
            <w:tcBorders>
              <w:top w:val="single" w:sz="4" w:space="0" w:color="auto"/>
              <w:left w:val="single" w:sz="4" w:space="0" w:color="auto"/>
              <w:bottom w:val="single" w:sz="4" w:space="0" w:color="auto"/>
              <w:right w:val="single" w:sz="4" w:space="0" w:color="auto"/>
            </w:tcBorders>
          </w:tcPr>
          <w:p w14:paraId="25FAE95E" w14:textId="77777777" w:rsidR="003D024C" w:rsidRPr="00983436" w:rsidRDefault="003D024C" w:rsidP="00E007F5">
            <w:pPr>
              <w:tabs>
                <w:tab w:val="left" w:pos="1635"/>
              </w:tabs>
              <w:rPr>
                <w:sz w:val="17"/>
                <w:szCs w:val="17"/>
                <w:lang w:eastAsia="en-AU"/>
              </w:rPr>
            </w:pPr>
            <w:r w:rsidRPr="006108F4">
              <w:rPr>
                <w:sz w:val="17"/>
                <w:szCs w:val="17"/>
              </w:rPr>
              <w:t>Each CSO provided approx</w:t>
            </w:r>
            <w:r w:rsidR="009B0514" w:rsidRPr="006108F4">
              <w:rPr>
                <w:sz w:val="17"/>
                <w:szCs w:val="17"/>
              </w:rPr>
              <w:t>imately</w:t>
            </w:r>
            <w:r w:rsidRPr="006108F4">
              <w:rPr>
                <w:sz w:val="17"/>
                <w:szCs w:val="17"/>
              </w:rPr>
              <w:t xml:space="preserve"> FJD 350k over 18-24 months</w:t>
            </w:r>
          </w:p>
        </w:tc>
        <w:tc>
          <w:tcPr>
            <w:tcW w:w="2126" w:type="dxa"/>
            <w:tcBorders>
              <w:top w:val="single" w:sz="4" w:space="0" w:color="auto"/>
              <w:left w:val="single" w:sz="4" w:space="0" w:color="auto"/>
              <w:bottom w:val="single" w:sz="4" w:space="0" w:color="auto"/>
              <w:right w:val="single" w:sz="4" w:space="0" w:color="auto"/>
            </w:tcBorders>
          </w:tcPr>
          <w:p w14:paraId="25D77299" w14:textId="2D3AD26F" w:rsidR="003D024C" w:rsidRPr="00983436" w:rsidRDefault="003D024C" w:rsidP="00E007F5">
            <w:pPr>
              <w:tabs>
                <w:tab w:val="left" w:pos="1635"/>
              </w:tabs>
              <w:rPr>
                <w:sz w:val="17"/>
                <w:szCs w:val="17"/>
                <w:lang w:eastAsia="en-AU"/>
              </w:rPr>
            </w:pPr>
            <w:r w:rsidRPr="00983436">
              <w:rPr>
                <w:sz w:val="17"/>
                <w:szCs w:val="17"/>
              </w:rPr>
              <w:t>DFAT/MHMS Program Coordination Committee Minutes</w:t>
            </w:r>
          </w:p>
        </w:tc>
      </w:tr>
      <w:tr w:rsidR="003D024C" w:rsidRPr="00BF7C40" w14:paraId="0CA2F7CA" w14:textId="77777777" w:rsidTr="00E007F5">
        <w:trPr>
          <w:trHeight w:val="68"/>
        </w:trPr>
        <w:tc>
          <w:tcPr>
            <w:tcW w:w="1649" w:type="dxa"/>
            <w:tcBorders>
              <w:top w:val="single" w:sz="4" w:space="0" w:color="auto"/>
              <w:left w:val="single" w:sz="4" w:space="0" w:color="auto"/>
              <w:bottom w:val="single" w:sz="4" w:space="0" w:color="auto"/>
              <w:right w:val="single" w:sz="4" w:space="0" w:color="auto"/>
            </w:tcBorders>
          </w:tcPr>
          <w:p w14:paraId="169A74B5" w14:textId="77777777" w:rsidR="003D024C" w:rsidRPr="00983436"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983436">
              <w:rPr>
                <w:b/>
                <w:sz w:val="17"/>
                <w:szCs w:val="17"/>
              </w:rPr>
              <w:lastRenderedPageBreak/>
              <w:t xml:space="preserve">Intermediate Outcome 4: Established Primary Care/Public Health information system capable of providing accurate data for patient detection, management, and tracking. </w:t>
            </w:r>
          </w:p>
        </w:tc>
        <w:tc>
          <w:tcPr>
            <w:tcW w:w="1328" w:type="dxa"/>
            <w:tcBorders>
              <w:top w:val="single" w:sz="4" w:space="0" w:color="auto"/>
              <w:left w:val="single" w:sz="4" w:space="0" w:color="auto"/>
              <w:bottom w:val="single" w:sz="4" w:space="0" w:color="auto"/>
              <w:right w:val="single" w:sz="4" w:space="0" w:color="auto"/>
            </w:tcBorders>
          </w:tcPr>
          <w:p w14:paraId="3E7BFF79" w14:textId="44A7A68B" w:rsidR="003D024C" w:rsidRPr="00983436" w:rsidRDefault="003D024C" w:rsidP="00675DCC">
            <w:pPr>
              <w:tabs>
                <w:tab w:val="left" w:pos="1635"/>
              </w:tabs>
              <w:rPr>
                <w:i/>
                <w:iCs/>
                <w:sz w:val="17"/>
                <w:szCs w:val="17"/>
                <w:lang w:val="en-AU" w:eastAsia="en-AU"/>
              </w:rPr>
            </w:pPr>
            <w:r w:rsidRPr="00983436">
              <w:rPr>
                <w:i/>
                <w:sz w:val="17"/>
                <w:szCs w:val="17"/>
              </w:rPr>
              <w:t>4.1 # of MHMS programs that report data disaggregated by gender, geographical location, hospital, program and disease</w:t>
            </w:r>
          </w:p>
        </w:tc>
        <w:tc>
          <w:tcPr>
            <w:tcW w:w="1418" w:type="dxa"/>
            <w:tcBorders>
              <w:top w:val="single" w:sz="4" w:space="0" w:color="auto"/>
              <w:left w:val="single" w:sz="4" w:space="0" w:color="auto"/>
              <w:bottom w:val="single" w:sz="4" w:space="0" w:color="auto"/>
              <w:right w:val="single" w:sz="4" w:space="0" w:color="auto"/>
            </w:tcBorders>
          </w:tcPr>
          <w:p w14:paraId="360495E1" w14:textId="77777777" w:rsidR="003D024C" w:rsidRPr="00983436" w:rsidDel="00776901" w:rsidRDefault="003D024C" w:rsidP="00E007F5">
            <w:pPr>
              <w:tabs>
                <w:tab w:val="left" w:pos="1635"/>
              </w:tabs>
              <w:rPr>
                <w:sz w:val="17"/>
                <w:szCs w:val="17"/>
                <w:lang w:eastAsia="en-AU"/>
              </w:rPr>
            </w:pPr>
            <w:r w:rsidRPr="00983436">
              <w:rPr>
                <w:sz w:val="17"/>
                <w:szCs w:val="17"/>
              </w:rPr>
              <w:t>no baseline</w:t>
            </w:r>
          </w:p>
        </w:tc>
        <w:tc>
          <w:tcPr>
            <w:tcW w:w="1701" w:type="dxa"/>
            <w:tcBorders>
              <w:top w:val="single" w:sz="4" w:space="0" w:color="auto"/>
              <w:left w:val="single" w:sz="4" w:space="0" w:color="auto"/>
              <w:bottom w:val="single" w:sz="4" w:space="0" w:color="auto"/>
              <w:right w:val="single" w:sz="4" w:space="0" w:color="auto"/>
            </w:tcBorders>
          </w:tcPr>
          <w:p w14:paraId="68F6B92B" w14:textId="77777777" w:rsidR="003D024C" w:rsidRPr="00983436" w:rsidRDefault="003D024C" w:rsidP="00E007F5">
            <w:pPr>
              <w:tabs>
                <w:tab w:val="left" w:pos="1635"/>
              </w:tabs>
              <w:rPr>
                <w:sz w:val="17"/>
                <w:szCs w:val="17"/>
                <w:lang w:eastAsia="en-AU"/>
              </w:rPr>
            </w:pPr>
            <w:r w:rsidRPr="00983436">
              <w:rPr>
                <w:sz w:val="17"/>
                <w:szCs w:val="17"/>
              </w:rPr>
              <w:t xml:space="preserve">no data </w:t>
            </w:r>
          </w:p>
        </w:tc>
        <w:tc>
          <w:tcPr>
            <w:tcW w:w="1984" w:type="dxa"/>
            <w:tcBorders>
              <w:top w:val="single" w:sz="4" w:space="0" w:color="auto"/>
              <w:left w:val="single" w:sz="4" w:space="0" w:color="auto"/>
              <w:bottom w:val="single" w:sz="4" w:space="0" w:color="auto"/>
              <w:right w:val="single" w:sz="4" w:space="0" w:color="auto"/>
            </w:tcBorders>
          </w:tcPr>
          <w:p w14:paraId="5C2A9E0E" w14:textId="77777777" w:rsidR="003D024C" w:rsidRPr="00983436" w:rsidRDefault="003D024C" w:rsidP="00E007F5">
            <w:pPr>
              <w:tabs>
                <w:tab w:val="left" w:pos="1635"/>
              </w:tabs>
              <w:rPr>
                <w:iCs/>
                <w:sz w:val="17"/>
                <w:szCs w:val="17"/>
                <w:lang w:val="en-AU" w:eastAsia="en-AU"/>
              </w:rPr>
            </w:pPr>
            <w:r w:rsidRPr="00983436">
              <w:rPr>
                <w:sz w:val="17"/>
                <w:szCs w:val="17"/>
              </w:rPr>
              <w:t>no data - new activity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FE6D74" w14:textId="77777777" w:rsidR="003D024C" w:rsidRPr="00983436" w:rsidRDefault="003D024C" w:rsidP="00E007F5">
            <w:pPr>
              <w:rPr>
                <w:sz w:val="17"/>
                <w:szCs w:val="17"/>
                <w:lang w:eastAsia="en-AU"/>
              </w:rPr>
            </w:pPr>
            <w:r w:rsidRPr="00983436">
              <w:rPr>
                <w:sz w:val="17"/>
                <w:szCs w:val="17"/>
              </w:rPr>
              <w:t>no data - new activity</w:t>
            </w:r>
          </w:p>
        </w:tc>
        <w:tc>
          <w:tcPr>
            <w:tcW w:w="3119" w:type="dxa"/>
            <w:tcBorders>
              <w:top w:val="single" w:sz="4" w:space="0" w:color="auto"/>
              <w:left w:val="single" w:sz="4" w:space="0" w:color="auto"/>
              <w:bottom w:val="single" w:sz="4" w:space="0" w:color="auto"/>
              <w:right w:val="single" w:sz="4" w:space="0" w:color="auto"/>
            </w:tcBorders>
          </w:tcPr>
          <w:p w14:paraId="60B9EA55" w14:textId="77777777" w:rsidR="003D024C" w:rsidRPr="00983436"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575FADFF" w14:textId="77777777" w:rsidR="003D024C" w:rsidRPr="00983436" w:rsidRDefault="003D024C" w:rsidP="00E007F5">
            <w:pPr>
              <w:tabs>
                <w:tab w:val="left" w:pos="1635"/>
              </w:tabs>
              <w:rPr>
                <w:sz w:val="17"/>
                <w:szCs w:val="17"/>
                <w:lang w:eastAsia="en-AU"/>
              </w:rPr>
            </w:pPr>
          </w:p>
        </w:tc>
      </w:tr>
      <w:tr w:rsidR="003D024C" w:rsidRPr="00BF7C40" w14:paraId="62ABF0C7" w14:textId="77777777" w:rsidTr="00E007F5">
        <w:trPr>
          <w:trHeight w:val="68"/>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308C64A" w14:textId="77777777" w:rsidR="003D024C" w:rsidRPr="00983436" w:rsidRDefault="003D024C" w:rsidP="00E007F5">
            <w:pPr>
              <w:tabs>
                <w:tab w:val="left" w:pos="1635"/>
              </w:tabs>
              <w:rPr>
                <w:b/>
                <w:sz w:val="18"/>
                <w:szCs w:val="18"/>
                <w:lang w:eastAsia="en-AU"/>
              </w:rPr>
            </w:pPr>
            <w:r w:rsidRPr="00983436">
              <w:rPr>
                <w:b/>
                <w:sz w:val="18"/>
                <w:szCs w:val="18"/>
                <w:lang w:eastAsia="en-AU"/>
              </w:rPr>
              <w:t>Sub-objective: Increased gender equality and inclusive growth</w:t>
            </w:r>
            <w:r w:rsidRPr="00983436">
              <w:rPr>
                <w:b/>
                <w:sz w:val="18"/>
                <w:szCs w:val="18"/>
                <w:lang w:eastAsia="en-AU"/>
              </w:rPr>
              <w:tab/>
            </w:r>
            <w:r w:rsidRPr="00983436">
              <w:rPr>
                <w:b/>
                <w:sz w:val="18"/>
                <w:szCs w:val="18"/>
                <w:lang w:eastAsia="en-AU"/>
              </w:rPr>
              <w:tab/>
            </w:r>
            <w:r w:rsidRPr="00983436">
              <w:rPr>
                <w:b/>
                <w:sz w:val="18"/>
                <w:szCs w:val="18"/>
                <w:lang w:eastAsia="en-AU"/>
              </w:rPr>
              <w:tab/>
            </w:r>
            <w:r w:rsidRPr="00983436">
              <w:rPr>
                <w:b/>
                <w:sz w:val="18"/>
                <w:szCs w:val="18"/>
                <w:lang w:eastAsia="en-AU"/>
              </w:rPr>
              <w:tab/>
            </w:r>
            <w:r w:rsidRPr="00983436">
              <w:rPr>
                <w:b/>
                <w:sz w:val="18"/>
                <w:szCs w:val="18"/>
                <w:lang w:eastAsia="en-AU"/>
              </w:rPr>
              <w:tab/>
            </w:r>
            <w:r w:rsidRPr="00983436">
              <w:rPr>
                <w:b/>
                <w:sz w:val="18"/>
                <w:szCs w:val="18"/>
                <w:lang w:eastAsia="en-AU"/>
              </w:rPr>
              <w:tab/>
            </w:r>
            <w:r w:rsidRPr="00983436">
              <w:rPr>
                <w:b/>
                <w:sz w:val="18"/>
                <w:szCs w:val="18"/>
                <w:lang w:eastAsia="en-AU"/>
              </w:rPr>
              <w:tab/>
            </w:r>
          </w:p>
        </w:tc>
      </w:tr>
      <w:tr w:rsidR="003D024C" w:rsidRPr="00BF7C40" w14:paraId="6E12CBC2" w14:textId="77777777" w:rsidTr="00E007F5">
        <w:trPr>
          <w:trHeight w:val="783"/>
        </w:trPr>
        <w:tc>
          <w:tcPr>
            <w:tcW w:w="1649" w:type="dxa"/>
            <w:vMerge w:val="restart"/>
            <w:tcBorders>
              <w:top w:val="single" w:sz="4" w:space="0" w:color="auto"/>
              <w:left w:val="single" w:sz="4" w:space="0" w:color="auto"/>
              <w:bottom w:val="single" w:sz="4" w:space="0" w:color="auto"/>
              <w:right w:val="single" w:sz="4" w:space="0" w:color="auto"/>
            </w:tcBorders>
          </w:tcPr>
          <w:p w14:paraId="7940F1B5" w14:textId="77777777" w:rsidR="003D024C" w:rsidRPr="00983436"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983436">
              <w:rPr>
                <w:b/>
                <w:iCs/>
                <w:sz w:val="17"/>
                <w:szCs w:val="17"/>
                <w:lang w:val="en-AU" w:eastAsia="en-AU"/>
              </w:rPr>
              <w:t>Outcome 1: Women (including survivors of violence) and communities in Fiji have access to responsive support services and justice to reduce violence against women.</w:t>
            </w:r>
          </w:p>
        </w:tc>
        <w:tc>
          <w:tcPr>
            <w:tcW w:w="1328" w:type="dxa"/>
            <w:tcBorders>
              <w:top w:val="single" w:sz="4" w:space="0" w:color="auto"/>
              <w:left w:val="single" w:sz="4" w:space="0" w:color="auto"/>
              <w:bottom w:val="single" w:sz="4" w:space="0" w:color="auto"/>
              <w:right w:val="single" w:sz="4" w:space="0" w:color="auto"/>
            </w:tcBorders>
          </w:tcPr>
          <w:p w14:paraId="4B85B0C7" w14:textId="77777777" w:rsidR="003D024C" w:rsidRPr="00983436" w:rsidRDefault="003D024C" w:rsidP="00E007F5">
            <w:pPr>
              <w:tabs>
                <w:tab w:val="left" w:pos="1635"/>
              </w:tabs>
              <w:rPr>
                <w:i/>
                <w:iCs/>
                <w:sz w:val="17"/>
                <w:szCs w:val="17"/>
                <w:lang w:val="en-AU" w:eastAsia="en-AU"/>
              </w:rPr>
            </w:pPr>
            <w:r w:rsidRPr="00983436">
              <w:rPr>
                <w:i/>
                <w:sz w:val="17"/>
                <w:szCs w:val="17"/>
              </w:rPr>
              <w:t>1.1 Number of women survivors of violence receiving support services (counselling, financial, legal and medical services)</w:t>
            </w:r>
          </w:p>
        </w:tc>
        <w:tc>
          <w:tcPr>
            <w:tcW w:w="1418" w:type="dxa"/>
            <w:tcBorders>
              <w:top w:val="single" w:sz="4" w:space="0" w:color="auto"/>
              <w:left w:val="single" w:sz="4" w:space="0" w:color="auto"/>
              <w:bottom w:val="single" w:sz="4" w:space="0" w:color="auto"/>
              <w:right w:val="single" w:sz="4" w:space="0" w:color="auto"/>
            </w:tcBorders>
          </w:tcPr>
          <w:p w14:paraId="62DB9E3A" w14:textId="77777777" w:rsidR="003D024C" w:rsidRPr="00983436" w:rsidDel="00776901" w:rsidRDefault="003D024C" w:rsidP="00E007F5">
            <w:pPr>
              <w:tabs>
                <w:tab w:val="left" w:pos="1635"/>
              </w:tabs>
              <w:rPr>
                <w:sz w:val="17"/>
                <w:szCs w:val="17"/>
                <w:lang w:eastAsia="en-AU"/>
              </w:rPr>
            </w:pPr>
            <w:r w:rsidRPr="00983436">
              <w:rPr>
                <w:sz w:val="17"/>
                <w:szCs w:val="17"/>
              </w:rPr>
              <w:t>2,761 survivors of violence (including 33 with disabilities) received counselling, financial, legal and medical services (2016)</w:t>
            </w:r>
          </w:p>
        </w:tc>
        <w:tc>
          <w:tcPr>
            <w:tcW w:w="1701" w:type="dxa"/>
            <w:tcBorders>
              <w:top w:val="single" w:sz="4" w:space="0" w:color="auto"/>
              <w:left w:val="single" w:sz="4" w:space="0" w:color="auto"/>
              <w:bottom w:val="single" w:sz="4" w:space="0" w:color="auto"/>
              <w:right w:val="single" w:sz="4" w:space="0" w:color="auto"/>
            </w:tcBorders>
          </w:tcPr>
          <w:p w14:paraId="1E521268" w14:textId="77777777" w:rsidR="003D024C" w:rsidRPr="00983436" w:rsidRDefault="003D024C" w:rsidP="00E007F5">
            <w:pPr>
              <w:tabs>
                <w:tab w:val="left" w:pos="1635"/>
              </w:tabs>
              <w:rPr>
                <w:sz w:val="17"/>
                <w:szCs w:val="17"/>
                <w:lang w:eastAsia="en-AU"/>
              </w:rPr>
            </w:pPr>
            <w:r w:rsidRPr="00983436">
              <w:rPr>
                <w:sz w:val="17"/>
                <w:szCs w:val="17"/>
              </w:rPr>
              <w:t>2,761</w:t>
            </w:r>
          </w:p>
        </w:tc>
        <w:tc>
          <w:tcPr>
            <w:tcW w:w="1984" w:type="dxa"/>
            <w:tcBorders>
              <w:top w:val="single" w:sz="4" w:space="0" w:color="auto"/>
              <w:left w:val="single" w:sz="4" w:space="0" w:color="auto"/>
              <w:bottom w:val="single" w:sz="4" w:space="0" w:color="auto"/>
              <w:right w:val="single" w:sz="4" w:space="0" w:color="auto"/>
            </w:tcBorders>
          </w:tcPr>
          <w:p w14:paraId="4D98D282" w14:textId="77777777" w:rsidR="003D024C" w:rsidRPr="00983436" w:rsidRDefault="003D024C" w:rsidP="00E007F5">
            <w:pPr>
              <w:tabs>
                <w:tab w:val="left" w:pos="1635"/>
              </w:tabs>
              <w:rPr>
                <w:iCs/>
                <w:sz w:val="17"/>
                <w:szCs w:val="17"/>
                <w:lang w:val="en-AU" w:eastAsia="en-AU"/>
              </w:rPr>
            </w:pPr>
            <w:r w:rsidRPr="00983436">
              <w:rPr>
                <w:sz w:val="17"/>
                <w:szCs w:val="17"/>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09DF0" w14:textId="77777777" w:rsidR="003D024C" w:rsidRPr="00983436" w:rsidRDefault="003D024C" w:rsidP="00E007F5">
            <w:pPr>
              <w:rPr>
                <w:sz w:val="17"/>
                <w:szCs w:val="17"/>
                <w:lang w:eastAsia="en-AU"/>
              </w:rPr>
            </w:pPr>
            <w:r w:rsidRPr="00983436">
              <w:rPr>
                <w:sz w:val="17"/>
                <w:szCs w:val="17"/>
              </w:rPr>
              <w:t xml:space="preserve">3,306 (including 29 with disabilities) </w:t>
            </w:r>
          </w:p>
        </w:tc>
        <w:tc>
          <w:tcPr>
            <w:tcW w:w="3119" w:type="dxa"/>
            <w:tcBorders>
              <w:top w:val="single" w:sz="4" w:space="0" w:color="auto"/>
              <w:left w:val="single" w:sz="4" w:space="0" w:color="auto"/>
              <w:bottom w:val="single" w:sz="4" w:space="0" w:color="auto"/>
              <w:right w:val="single" w:sz="4" w:space="0" w:color="auto"/>
            </w:tcBorders>
          </w:tcPr>
          <w:p w14:paraId="304802CA" w14:textId="77777777" w:rsidR="003D024C" w:rsidRPr="00983436"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559FC9EF" w14:textId="77777777" w:rsidR="003D024C" w:rsidRPr="00983436" w:rsidRDefault="003D024C" w:rsidP="00E007F5">
            <w:pPr>
              <w:tabs>
                <w:tab w:val="left" w:pos="1635"/>
              </w:tabs>
              <w:rPr>
                <w:sz w:val="17"/>
                <w:szCs w:val="17"/>
                <w:lang w:eastAsia="en-AU"/>
              </w:rPr>
            </w:pPr>
            <w:r w:rsidRPr="00983436">
              <w:rPr>
                <w:sz w:val="17"/>
                <w:szCs w:val="17"/>
              </w:rPr>
              <w:t xml:space="preserve">FWCC and MSP progress reports </w:t>
            </w:r>
          </w:p>
        </w:tc>
      </w:tr>
      <w:tr w:rsidR="003D024C" w:rsidRPr="00BF7C40" w14:paraId="7D613DF5" w14:textId="77777777" w:rsidTr="00E007F5">
        <w:trPr>
          <w:trHeight w:val="782"/>
        </w:trPr>
        <w:tc>
          <w:tcPr>
            <w:tcW w:w="1649" w:type="dxa"/>
            <w:vMerge/>
            <w:tcBorders>
              <w:top w:val="single" w:sz="4" w:space="0" w:color="auto"/>
              <w:left w:val="single" w:sz="4" w:space="0" w:color="auto"/>
              <w:bottom w:val="single" w:sz="4" w:space="0" w:color="auto"/>
              <w:right w:val="single" w:sz="4" w:space="0" w:color="auto"/>
            </w:tcBorders>
          </w:tcPr>
          <w:p w14:paraId="621FCDEE" w14:textId="77777777" w:rsidR="003D024C" w:rsidRPr="00983436"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p>
        </w:tc>
        <w:tc>
          <w:tcPr>
            <w:tcW w:w="1328" w:type="dxa"/>
            <w:tcBorders>
              <w:top w:val="single" w:sz="4" w:space="0" w:color="auto"/>
              <w:left w:val="single" w:sz="4" w:space="0" w:color="auto"/>
              <w:bottom w:val="single" w:sz="4" w:space="0" w:color="auto"/>
              <w:right w:val="single" w:sz="4" w:space="0" w:color="auto"/>
            </w:tcBorders>
          </w:tcPr>
          <w:p w14:paraId="792C186C" w14:textId="77777777" w:rsidR="003D024C" w:rsidRPr="00983436" w:rsidRDefault="003D024C" w:rsidP="00EE5A71">
            <w:pPr>
              <w:tabs>
                <w:tab w:val="left" w:pos="1635"/>
              </w:tabs>
              <w:rPr>
                <w:i/>
                <w:iCs/>
                <w:sz w:val="17"/>
                <w:szCs w:val="17"/>
                <w:lang w:val="en-AU" w:eastAsia="en-AU"/>
              </w:rPr>
            </w:pPr>
            <w:r w:rsidRPr="00983436">
              <w:rPr>
                <w:i/>
                <w:sz w:val="17"/>
                <w:szCs w:val="17"/>
              </w:rPr>
              <w:t xml:space="preserve">1.2 Number of police and law and justice officials trained (women and men) </w:t>
            </w:r>
          </w:p>
        </w:tc>
        <w:tc>
          <w:tcPr>
            <w:tcW w:w="1418" w:type="dxa"/>
            <w:tcBorders>
              <w:top w:val="single" w:sz="4" w:space="0" w:color="auto"/>
              <w:left w:val="single" w:sz="4" w:space="0" w:color="auto"/>
              <w:bottom w:val="single" w:sz="4" w:space="0" w:color="auto"/>
              <w:right w:val="single" w:sz="4" w:space="0" w:color="auto"/>
            </w:tcBorders>
          </w:tcPr>
          <w:p w14:paraId="2BB1D5D5" w14:textId="77777777" w:rsidR="003D024C" w:rsidRPr="00983436" w:rsidDel="00776901" w:rsidRDefault="003D024C" w:rsidP="00E007F5">
            <w:pPr>
              <w:tabs>
                <w:tab w:val="left" w:pos="1635"/>
              </w:tabs>
              <w:rPr>
                <w:sz w:val="17"/>
                <w:szCs w:val="17"/>
                <w:lang w:eastAsia="en-AU"/>
              </w:rPr>
            </w:pPr>
            <w:r w:rsidRPr="00983436">
              <w:rPr>
                <w:sz w:val="17"/>
                <w:szCs w:val="17"/>
              </w:rPr>
              <w:t>389 (208 men and 181 women) in 2016-17</w:t>
            </w:r>
          </w:p>
        </w:tc>
        <w:tc>
          <w:tcPr>
            <w:tcW w:w="1701" w:type="dxa"/>
            <w:tcBorders>
              <w:top w:val="single" w:sz="4" w:space="0" w:color="auto"/>
              <w:left w:val="single" w:sz="4" w:space="0" w:color="auto"/>
              <w:bottom w:val="single" w:sz="4" w:space="0" w:color="auto"/>
              <w:right w:val="single" w:sz="4" w:space="0" w:color="auto"/>
            </w:tcBorders>
          </w:tcPr>
          <w:p w14:paraId="606503C0" w14:textId="77777777" w:rsidR="003D024C" w:rsidRPr="00983436" w:rsidRDefault="003D024C" w:rsidP="00E007F5">
            <w:pPr>
              <w:tabs>
                <w:tab w:val="left" w:pos="1635"/>
              </w:tabs>
              <w:rPr>
                <w:sz w:val="17"/>
                <w:szCs w:val="17"/>
                <w:lang w:eastAsia="en-AU"/>
              </w:rPr>
            </w:pPr>
            <w:r w:rsidRPr="00983436">
              <w:rPr>
                <w:sz w:val="17"/>
                <w:szCs w:val="17"/>
              </w:rPr>
              <w:t>389</w:t>
            </w:r>
          </w:p>
        </w:tc>
        <w:tc>
          <w:tcPr>
            <w:tcW w:w="1984" w:type="dxa"/>
            <w:tcBorders>
              <w:top w:val="single" w:sz="4" w:space="0" w:color="auto"/>
              <w:left w:val="single" w:sz="4" w:space="0" w:color="auto"/>
              <w:bottom w:val="single" w:sz="4" w:space="0" w:color="auto"/>
              <w:right w:val="single" w:sz="4" w:space="0" w:color="auto"/>
            </w:tcBorders>
          </w:tcPr>
          <w:p w14:paraId="1E4DBF82" w14:textId="77777777" w:rsidR="003D024C" w:rsidRPr="00983436" w:rsidRDefault="003D024C" w:rsidP="00E007F5">
            <w:pPr>
              <w:tabs>
                <w:tab w:val="left" w:pos="1635"/>
              </w:tabs>
              <w:rPr>
                <w:iCs/>
                <w:sz w:val="17"/>
                <w:szCs w:val="17"/>
                <w:lang w:val="en-AU" w:eastAsia="en-AU"/>
              </w:rPr>
            </w:pPr>
            <w:r w:rsidRPr="00983436">
              <w:rPr>
                <w:sz w:val="17"/>
                <w:szCs w:val="17"/>
              </w:rPr>
              <w:t>390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B8A124" w14:textId="77777777" w:rsidR="003D024C" w:rsidRPr="00983436" w:rsidRDefault="003D024C" w:rsidP="00E007F5">
            <w:pPr>
              <w:rPr>
                <w:sz w:val="17"/>
                <w:szCs w:val="17"/>
                <w:lang w:eastAsia="en-AU"/>
              </w:rPr>
            </w:pPr>
            <w:r w:rsidRPr="00983436">
              <w:rPr>
                <w:sz w:val="17"/>
                <w:szCs w:val="17"/>
              </w:rPr>
              <w:t>112</w:t>
            </w:r>
          </w:p>
        </w:tc>
        <w:tc>
          <w:tcPr>
            <w:tcW w:w="3119" w:type="dxa"/>
            <w:tcBorders>
              <w:top w:val="single" w:sz="4" w:space="0" w:color="auto"/>
              <w:left w:val="single" w:sz="4" w:space="0" w:color="auto"/>
              <w:bottom w:val="single" w:sz="4" w:space="0" w:color="auto"/>
              <w:right w:val="single" w:sz="4" w:space="0" w:color="auto"/>
            </w:tcBorders>
          </w:tcPr>
          <w:p w14:paraId="710A9D6B" w14:textId="77777777" w:rsidR="003D024C" w:rsidRPr="00983436" w:rsidRDefault="003D024C" w:rsidP="00E007F5">
            <w:pPr>
              <w:tabs>
                <w:tab w:val="left" w:pos="1635"/>
              </w:tabs>
              <w:rPr>
                <w:sz w:val="17"/>
                <w:szCs w:val="17"/>
                <w:lang w:eastAsia="en-AU"/>
              </w:rPr>
            </w:pPr>
            <w:r w:rsidRPr="00983436">
              <w:rPr>
                <w:sz w:val="17"/>
                <w:szCs w:val="17"/>
              </w:rPr>
              <w:t xml:space="preserve">The decrease may be due to higher number of regional vs Fiji national based trainings conducted during the period. </w:t>
            </w:r>
          </w:p>
        </w:tc>
        <w:tc>
          <w:tcPr>
            <w:tcW w:w="2126" w:type="dxa"/>
            <w:tcBorders>
              <w:top w:val="single" w:sz="4" w:space="0" w:color="auto"/>
              <w:left w:val="single" w:sz="4" w:space="0" w:color="auto"/>
              <w:bottom w:val="single" w:sz="4" w:space="0" w:color="auto"/>
              <w:right w:val="single" w:sz="4" w:space="0" w:color="auto"/>
            </w:tcBorders>
          </w:tcPr>
          <w:p w14:paraId="3F460CAE" w14:textId="77777777" w:rsidR="003D024C" w:rsidRPr="00983436" w:rsidRDefault="003D024C" w:rsidP="00E007F5">
            <w:pPr>
              <w:tabs>
                <w:tab w:val="left" w:pos="1635"/>
              </w:tabs>
              <w:rPr>
                <w:sz w:val="17"/>
                <w:szCs w:val="17"/>
                <w:lang w:eastAsia="en-AU"/>
              </w:rPr>
            </w:pPr>
            <w:r w:rsidRPr="00983436">
              <w:rPr>
                <w:sz w:val="17"/>
                <w:szCs w:val="17"/>
              </w:rPr>
              <w:t>FWCC progress report</w:t>
            </w:r>
          </w:p>
        </w:tc>
      </w:tr>
      <w:tr w:rsidR="003D024C" w:rsidRPr="00BF7C40" w14:paraId="591417C5" w14:textId="77777777" w:rsidTr="00E007F5">
        <w:trPr>
          <w:trHeight w:val="68"/>
        </w:trPr>
        <w:tc>
          <w:tcPr>
            <w:tcW w:w="1649" w:type="dxa"/>
            <w:tcBorders>
              <w:top w:val="single" w:sz="4" w:space="0" w:color="auto"/>
              <w:left w:val="single" w:sz="4" w:space="0" w:color="auto"/>
              <w:bottom w:val="single" w:sz="4" w:space="0" w:color="auto"/>
              <w:right w:val="single" w:sz="4" w:space="0" w:color="auto"/>
            </w:tcBorders>
          </w:tcPr>
          <w:p w14:paraId="1692DC8A" w14:textId="77777777" w:rsidR="003D024C" w:rsidRPr="00983436"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983436">
              <w:rPr>
                <w:b/>
                <w:iCs/>
                <w:sz w:val="17"/>
                <w:szCs w:val="17"/>
                <w:lang w:val="en-AU" w:eastAsia="en-AU"/>
              </w:rPr>
              <w:t>Outcome 2: Women in Fiji have increased capacity to access to income generating, business and employment opportunities</w:t>
            </w:r>
          </w:p>
        </w:tc>
        <w:tc>
          <w:tcPr>
            <w:tcW w:w="1328" w:type="dxa"/>
            <w:tcBorders>
              <w:top w:val="single" w:sz="4" w:space="0" w:color="auto"/>
              <w:left w:val="single" w:sz="4" w:space="0" w:color="auto"/>
              <w:bottom w:val="single" w:sz="4" w:space="0" w:color="auto"/>
              <w:right w:val="single" w:sz="4" w:space="0" w:color="auto"/>
            </w:tcBorders>
          </w:tcPr>
          <w:p w14:paraId="1B23496A" w14:textId="77777777" w:rsidR="003D024C" w:rsidRPr="00983436" w:rsidRDefault="003D024C" w:rsidP="00E007F5">
            <w:pPr>
              <w:tabs>
                <w:tab w:val="left" w:pos="1635"/>
              </w:tabs>
              <w:rPr>
                <w:i/>
                <w:iCs/>
                <w:sz w:val="17"/>
                <w:szCs w:val="17"/>
                <w:lang w:val="en-AU" w:eastAsia="en-AU"/>
              </w:rPr>
            </w:pPr>
            <w:r w:rsidRPr="00983436">
              <w:rPr>
                <w:i/>
                <w:sz w:val="17"/>
                <w:szCs w:val="17"/>
              </w:rPr>
              <w:t>2.1 Number of poor women accessing financial literacy training and business services</w:t>
            </w:r>
          </w:p>
        </w:tc>
        <w:tc>
          <w:tcPr>
            <w:tcW w:w="1418" w:type="dxa"/>
            <w:tcBorders>
              <w:top w:val="single" w:sz="4" w:space="0" w:color="auto"/>
              <w:left w:val="single" w:sz="4" w:space="0" w:color="auto"/>
              <w:bottom w:val="single" w:sz="4" w:space="0" w:color="auto"/>
              <w:right w:val="single" w:sz="4" w:space="0" w:color="auto"/>
            </w:tcBorders>
          </w:tcPr>
          <w:p w14:paraId="33C43296" w14:textId="77777777" w:rsidR="003D024C" w:rsidRPr="00983436" w:rsidDel="00776901" w:rsidRDefault="003D024C" w:rsidP="00E007F5">
            <w:pPr>
              <w:tabs>
                <w:tab w:val="left" w:pos="1635"/>
              </w:tabs>
              <w:rPr>
                <w:sz w:val="17"/>
                <w:szCs w:val="17"/>
                <w:lang w:eastAsia="en-AU"/>
              </w:rPr>
            </w:pPr>
            <w:r w:rsidRPr="00983436">
              <w:rPr>
                <w:sz w:val="17"/>
                <w:szCs w:val="17"/>
              </w:rPr>
              <w:t>93 women market vendors receiving financial literacy and business management training</w:t>
            </w:r>
          </w:p>
        </w:tc>
        <w:tc>
          <w:tcPr>
            <w:tcW w:w="1701" w:type="dxa"/>
            <w:tcBorders>
              <w:top w:val="single" w:sz="4" w:space="0" w:color="auto"/>
              <w:left w:val="single" w:sz="4" w:space="0" w:color="auto"/>
              <w:bottom w:val="single" w:sz="4" w:space="0" w:color="auto"/>
              <w:right w:val="single" w:sz="4" w:space="0" w:color="auto"/>
            </w:tcBorders>
          </w:tcPr>
          <w:p w14:paraId="08D57E7C" w14:textId="77777777" w:rsidR="003D024C" w:rsidRPr="00983436" w:rsidRDefault="003D024C" w:rsidP="00E007F5">
            <w:pPr>
              <w:tabs>
                <w:tab w:val="left" w:pos="1635"/>
              </w:tabs>
              <w:rPr>
                <w:sz w:val="17"/>
                <w:szCs w:val="17"/>
                <w:lang w:eastAsia="en-AU"/>
              </w:rPr>
            </w:pPr>
            <w:r w:rsidRPr="00983436">
              <w:rPr>
                <w:sz w:val="17"/>
                <w:szCs w:val="17"/>
              </w:rPr>
              <w:t>93</w:t>
            </w:r>
          </w:p>
        </w:tc>
        <w:tc>
          <w:tcPr>
            <w:tcW w:w="1984" w:type="dxa"/>
            <w:tcBorders>
              <w:top w:val="single" w:sz="4" w:space="0" w:color="auto"/>
              <w:left w:val="single" w:sz="4" w:space="0" w:color="auto"/>
              <w:bottom w:val="single" w:sz="4" w:space="0" w:color="auto"/>
              <w:right w:val="single" w:sz="4" w:space="0" w:color="auto"/>
            </w:tcBorders>
          </w:tcPr>
          <w:p w14:paraId="0162144C" w14:textId="77777777" w:rsidR="003D024C" w:rsidRPr="00983436" w:rsidRDefault="003D024C" w:rsidP="00E007F5">
            <w:pPr>
              <w:tabs>
                <w:tab w:val="left" w:pos="1635"/>
              </w:tabs>
              <w:rPr>
                <w:iCs/>
                <w:sz w:val="17"/>
                <w:szCs w:val="17"/>
                <w:lang w:val="en-AU" w:eastAsia="en-AU"/>
              </w:rPr>
            </w:pPr>
            <w:r w:rsidRPr="00983436">
              <w:rPr>
                <w:sz w:val="17"/>
                <w:szCs w:val="17"/>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B15265" w14:textId="77777777" w:rsidR="003D024C" w:rsidRPr="00983436" w:rsidRDefault="003D024C" w:rsidP="00E007F5">
            <w:pPr>
              <w:rPr>
                <w:sz w:val="17"/>
                <w:szCs w:val="17"/>
                <w:lang w:eastAsia="en-AU"/>
              </w:rPr>
            </w:pPr>
            <w:r w:rsidRPr="00983436">
              <w:rPr>
                <w:sz w:val="17"/>
                <w:szCs w:val="17"/>
              </w:rPr>
              <w:t>381</w:t>
            </w:r>
          </w:p>
        </w:tc>
        <w:tc>
          <w:tcPr>
            <w:tcW w:w="3119" w:type="dxa"/>
            <w:tcBorders>
              <w:top w:val="single" w:sz="4" w:space="0" w:color="auto"/>
              <w:left w:val="single" w:sz="4" w:space="0" w:color="auto"/>
              <w:bottom w:val="single" w:sz="4" w:space="0" w:color="auto"/>
              <w:right w:val="single" w:sz="4" w:space="0" w:color="auto"/>
            </w:tcBorders>
          </w:tcPr>
          <w:p w14:paraId="6FB2BBAA" w14:textId="77777777" w:rsidR="003D024C" w:rsidRPr="00983436"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36D65F55" w14:textId="77777777" w:rsidR="003D024C" w:rsidRPr="00983436" w:rsidRDefault="003D024C" w:rsidP="00E007F5">
            <w:pPr>
              <w:tabs>
                <w:tab w:val="left" w:pos="1635"/>
              </w:tabs>
              <w:rPr>
                <w:sz w:val="17"/>
                <w:szCs w:val="17"/>
                <w:lang w:eastAsia="en-AU"/>
              </w:rPr>
            </w:pPr>
            <w:r w:rsidRPr="00983436">
              <w:rPr>
                <w:sz w:val="17"/>
                <w:szCs w:val="17"/>
              </w:rPr>
              <w:t xml:space="preserve">UNWomen Markets for Change monitoring data reports, MDF Results Management System </w:t>
            </w:r>
          </w:p>
        </w:tc>
      </w:tr>
      <w:tr w:rsidR="003D024C" w:rsidRPr="00874E6D" w14:paraId="17642225" w14:textId="77777777" w:rsidTr="00E007F5">
        <w:trPr>
          <w:trHeight w:val="432"/>
        </w:trPr>
        <w:tc>
          <w:tcPr>
            <w:tcW w:w="1649" w:type="dxa"/>
            <w:vMerge w:val="restart"/>
            <w:tcBorders>
              <w:top w:val="single" w:sz="4" w:space="0" w:color="auto"/>
              <w:left w:val="single" w:sz="4" w:space="0" w:color="auto"/>
              <w:bottom w:val="single" w:sz="4" w:space="0" w:color="auto"/>
              <w:right w:val="single" w:sz="4" w:space="0" w:color="auto"/>
            </w:tcBorders>
          </w:tcPr>
          <w:p w14:paraId="72E0BCE0" w14:textId="77777777" w:rsidR="003D024C" w:rsidRPr="00983436"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983436">
              <w:rPr>
                <w:b/>
                <w:iCs/>
                <w:sz w:val="17"/>
                <w:szCs w:val="17"/>
                <w:lang w:val="en-AU" w:eastAsia="en-AU"/>
              </w:rPr>
              <w:t>Outcome 3: Women in Fiji undertake leadership and decision making roles.</w:t>
            </w:r>
          </w:p>
        </w:tc>
        <w:tc>
          <w:tcPr>
            <w:tcW w:w="1328" w:type="dxa"/>
            <w:tcBorders>
              <w:top w:val="single" w:sz="4" w:space="0" w:color="auto"/>
              <w:left w:val="single" w:sz="4" w:space="0" w:color="auto"/>
              <w:bottom w:val="single" w:sz="4" w:space="0" w:color="auto"/>
              <w:right w:val="single" w:sz="4" w:space="0" w:color="auto"/>
            </w:tcBorders>
          </w:tcPr>
          <w:p w14:paraId="32BAD530" w14:textId="77777777" w:rsidR="003D024C" w:rsidRPr="00983436" w:rsidRDefault="003D024C" w:rsidP="00E007F5">
            <w:pPr>
              <w:tabs>
                <w:tab w:val="left" w:pos="1635"/>
              </w:tabs>
              <w:rPr>
                <w:i/>
                <w:iCs/>
                <w:sz w:val="17"/>
                <w:szCs w:val="17"/>
                <w:lang w:val="en-AU" w:eastAsia="en-AU"/>
              </w:rPr>
            </w:pPr>
            <w:r w:rsidRPr="00983436">
              <w:rPr>
                <w:i/>
                <w:iCs/>
                <w:sz w:val="17"/>
                <w:szCs w:val="17"/>
                <w:lang w:val="en-AU" w:eastAsia="en-AU"/>
              </w:rPr>
              <w:t xml:space="preserve">3.1 a. Number of management committees in which women </w:t>
            </w:r>
            <w:r w:rsidRPr="00983436">
              <w:rPr>
                <w:i/>
                <w:iCs/>
                <w:sz w:val="17"/>
                <w:szCs w:val="17"/>
                <w:lang w:val="en-AU" w:eastAsia="en-AU"/>
              </w:rPr>
              <w:lastRenderedPageBreak/>
              <w:t>are equally represented</w:t>
            </w:r>
          </w:p>
        </w:tc>
        <w:tc>
          <w:tcPr>
            <w:tcW w:w="1418" w:type="dxa"/>
            <w:vMerge w:val="restart"/>
            <w:tcBorders>
              <w:top w:val="single" w:sz="4" w:space="0" w:color="auto"/>
              <w:left w:val="single" w:sz="4" w:space="0" w:color="auto"/>
              <w:bottom w:val="single" w:sz="4" w:space="0" w:color="auto"/>
              <w:right w:val="single" w:sz="4" w:space="0" w:color="auto"/>
            </w:tcBorders>
          </w:tcPr>
          <w:p w14:paraId="449156FF" w14:textId="77777777" w:rsidR="003D024C" w:rsidRPr="00983436" w:rsidRDefault="003D024C" w:rsidP="00E007F5">
            <w:pPr>
              <w:rPr>
                <w:sz w:val="17"/>
                <w:szCs w:val="17"/>
                <w:lang w:eastAsia="en-AU"/>
              </w:rPr>
            </w:pPr>
            <w:r w:rsidRPr="00983436">
              <w:rPr>
                <w:sz w:val="17"/>
                <w:szCs w:val="17"/>
                <w:lang w:eastAsia="en-AU"/>
              </w:rPr>
              <w:lastRenderedPageBreak/>
              <w:t xml:space="preserve">Women are under-represented in decision-making </w:t>
            </w:r>
            <w:r w:rsidRPr="00983436">
              <w:rPr>
                <w:sz w:val="17"/>
                <w:szCs w:val="17"/>
                <w:lang w:eastAsia="en-AU"/>
              </w:rPr>
              <w:lastRenderedPageBreak/>
              <w:t xml:space="preserve">and leadership processes. At the school management level, at schools considered the most disadvantaged in rural and remote areas, women occupy only 10% of positions on school committees. 16% (8 out of 50 members) of Fiji's National Parliament are women. </w:t>
            </w:r>
          </w:p>
          <w:p w14:paraId="16C35632" w14:textId="77777777" w:rsidR="003D024C" w:rsidRPr="00983436" w:rsidDel="00776901" w:rsidRDefault="003D024C" w:rsidP="00E007F5">
            <w:pPr>
              <w:tabs>
                <w:tab w:val="left" w:pos="1635"/>
              </w:tabs>
              <w:rPr>
                <w:sz w:val="17"/>
                <w:szCs w:val="17"/>
                <w:lang w:eastAsia="en-AU"/>
              </w:rPr>
            </w:pPr>
          </w:p>
        </w:tc>
        <w:tc>
          <w:tcPr>
            <w:tcW w:w="1701" w:type="dxa"/>
            <w:tcBorders>
              <w:top w:val="single" w:sz="4" w:space="0" w:color="auto"/>
              <w:left w:val="single" w:sz="4" w:space="0" w:color="auto"/>
              <w:bottom w:val="single" w:sz="4" w:space="0" w:color="auto"/>
              <w:right w:val="single" w:sz="4" w:space="0" w:color="auto"/>
            </w:tcBorders>
          </w:tcPr>
          <w:p w14:paraId="5ECE82AC" w14:textId="77777777" w:rsidR="003D024C" w:rsidRPr="00983436" w:rsidRDefault="003D024C" w:rsidP="00E007F5">
            <w:pPr>
              <w:tabs>
                <w:tab w:val="left" w:pos="1635"/>
              </w:tabs>
              <w:rPr>
                <w:sz w:val="17"/>
                <w:szCs w:val="17"/>
                <w:lang w:eastAsia="en-AU"/>
              </w:rPr>
            </w:pPr>
            <w:r w:rsidRPr="00983436">
              <w:rPr>
                <w:sz w:val="17"/>
                <w:szCs w:val="17"/>
              </w:rPr>
              <w:lastRenderedPageBreak/>
              <w:t xml:space="preserve">7 out of 12 marketplaces with a market vendor executive committee </w:t>
            </w:r>
            <w:r w:rsidRPr="00983436">
              <w:rPr>
                <w:sz w:val="17"/>
                <w:szCs w:val="17"/>
              </w:rPr>
              <w:lastRenderedPageBreak/>
              <w:t xml:space="preserve">has at least 50% women in leadership roles </w:t>
            </w:r>
          </w:p>
        </w:tc>
        <w:tc>
          <w:tcPr>
            <w:tcW w:w="1984" w:type="dxa"/>
            <w:tcBorders>
              <w:top w:val="single" w:sz="4" w:space="0" w:color="auto"/>
              <w:left w:val="single" w:sz="4" w:space="0" w:color="auto"/>
              <w:bottom w:val="single" w:sz="4" w:space="0" w:color="auto"/>
              <w:right w:val="single" w:sz="4" w:space="0" w:color="auto"/>
            </w:tcBorders>
          </w:tcPr>
          <w:p w14:paraId="3377D767" w14:textId="77777777" w:rsidR="003D024C" w:rsidRPr="00983436" w:rsidRDefault="003D024C" w:rsidP="00E007F5">
            <w:pPr>
              <w:tabs>
                <w:tab w:val="left" w:pos="1635"/>
              </w:tabs>
              <w:rPr>
                <w:iCs/>
                <w:sz w:val="17"/>
                <w:szCs w:val="17"/>
                <w:lang w:val="en-AU" w:eastAsia="en-AU"/>
              </w:rPr>
            </w:pPr>
            <w:r w:rsidRPr="00983436">
              <w:rPr>
                <w:sz w:val="17"/>
                <w:szCs w:val="17"/>
              </w:rPr>
              <w:lastRenderedPageBreak/>
              <w:t xml:space="preserve">9 out of 12 marketplaces with a market vendor executive committee has </w:t>
            </w:r>
            <w:r w:rsidRPr="00983436">
              <w:rPr>
                <w:sz w:val="17"/>
                <w:szCs w:val="17"/>
              </w:rPr>
              <w:lastRenderedPageBreak/>
              <w:t xml:space="preserve">at least 50% women in leadership roles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8F58DF" w14:textId="77777777" w:rsidR="003D024C" w:rsidRPr="00983436" w:rsidRDefault="003D024C" w:rsidP="00E007F5">
            <w:pPr>
              <w:rPr>
                <w:sz w:val="17"/>
                <w:szCs w:val="17"/>
                <w:lang w:eastAsia="en-AU"/>
              </w:rPr>
            </w:pPr>
            <w:r w:rsidRPr="00983436">
              <w:rPr>
                <w:sz w:val="17"/>
                <w:szCs w:val="17"/>
              </w:rPr>
              <w:lastRenderedPageBreak/>
              <w:t xml:space="preserve">7 out of 12 marketplaces with a market vendor executive </w:t>
            </w:r>
            <w:r w:rsidRPr="00983436">
              <w:rPr>
                <w:sz w:val="17"/>
                <w:szCs w:val="17"/>
              </w:rPr>
              <w:lastRenderedPageBreak/>
              <w:t>committee has at least 50% women in leadership roles.</w:t>
            </w:r>
          </w:p>
        </w:tc>
        <w:tc>
          <w:tcPr>
            <w:tcW w:w="3119" w:type="dxa"/>
            <w:tcBorders>
              <w:top w:val="single" w:sz="4" w:space="0" w:color="auto"/>
              <w:left w:val="single" w:sz="4" w:space="0" w:color="auto"/>
              <w:bottom w:val="single" w:sz="4" w:space="0" w:color="auto"/>
              <w:right w:val="single" w:sz="4" w:space="0" w:color="auto"/>
            </w:tcBorders>
          </w:tcPr>
          <w:p w14:paraId="71511D4E" w14:textId="77777777" w:rsidR="003D024C" w:rsidRPr="00983436" w:rsidRDefault="003D024C" w:rsidP="00E007F5">
            <w:pPr>
              <w:tabs>
                <w:tab w:val="left" w:pos="1635"/>
              </w:tabs>
              <w:rPr>
                <w:sz w:val="17"/>
                <w:szCs w:val="17"/>
                <w:lang w:eastAsia="en-AU"/>
              </w:rPr>
            </w:pPr>
            <w:r w:rsidRPr="00983436">
              <w:rPr>
                <w:sz w:val="17"/>
                <w:szCs w:val="17"/>
              </w:rPr>
              <w:lastRenderedPageBreak/>
              <w:t xml:space="preserve">No change from previous reporting period, due to no vendor association elections being held in the year; tenure of leadership roles. </w:t>
            </w:r>
          </w:p>
        </w:tc>
        <w:tc>
          <w:tcPr>
            <w:tcW w:w="2126" w:type="dxa"/>
            <w:tcBorders>
              <w:top w:val="single" w:sz="4" w:space="0" w:color="auto"/>
              <w:left w:val="single" w:sz="4" w:space="0" w:color="auto"/>
              <w:bottom w:val="single" w:sz="4" w:space="0" w:color="auto"/>
              <w:right w:val="single" w:sz="4" w:space="0" w:color="auto"/>
            </w:tcBorders>
          </w:tcPr>
          <w:p w14:paraId="4FDE1F50" w14:textId="77777777" w:rsidR="003D024C" w:rsidRPr="00983436" w:rsidRDefault="003D024C" w:rsidP="00E007F5">
            <w:pPr>
              <w:tabs>
                <w:tab w:val="left" w:pos="1635"/>
              </w:tabs>
              <w:rPr>
                <w:sz w:val="17"/>
                <w:szCs w:val="17"/>
                <w:lang w:eastAsia="en-AU"/>
              </w:rPr>
            </w:pPr>
            <w:r w:rsidRPr="00983436">
              <w:rPr>
                <w:sz w:val="17"/>
                <w:szCs w:val="17"/>
              </w:rPr>
              <w:t xml:space="preserve">UNWomen markets for Change </w:t>
            </w:r>
          </w:p>
        </w:tc>
      </w:tr>
      <w:tr w:rsidR="003D024C" w:rsidRPr="00874E6D" w14:paraId="6613BEEB" w14:textId="77777777" w:rsidTr="00E007F5">
        <w:trPr>
          <w:trHeight w:val="432"/>
        </w:trPr>
        <w:tc>
          <w:tcPr>
            <w:tcW w:w="1649" w:type="dxa"/>
            <w:vMerge/>
            <w:tcBorders>
              <w:top w:val="single" w:sz="4" w:space="0" w:color="auto"/>
              <w:left w:val="single" w:sz="4" w:space="0" w:color="auto"/>
              <w:bottom w:val="single" w:sz="4" w:space="0" w:color="auto"/>
              <w:right w:val="single" w:sz="4" w:space="0" w:color="auto"/>
            </w:tcBorders>
          </w:tcPr>
          <w:p w14:paraId="777EB65C" w14:textId="77777777" w:rsidR="003D024C" w:rsidRPr="00983436"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p>
        </w:tc>
        <w:tc>
          <w:tcPr>
            <w:tcW w:w="1328" w:type="dxa"/>
            <w:tcBorders>
              <w:top w:val="single" w:sz="4" w:space="0" w:color="auto"/>
              <w:left w:val="single" w:sz="4" w:space="0" w:color="auto"/>
              <w:bottom w:val="single" w:sz="4" w:space="0" w:color="auto"/>
              <w:right w:val="single" w:sz="4" w:space="0" w:color="auto"/>
            </w:tcBorders>
          </w:tcPr>
          <w:p w14:paraId="5326EE38" w14:textId="77777777" w:rsidR="003D024C" w:rsidRPr="00983436" w:rsidRDefault="003D024C" w:rsidP="00E007F5">
            <w:pPr>
              <w:tabs>
                <w:tab w:val="left" w:pos="1635"/>
              </w:tabs>
              <w:rPr>
                <w:i/>
                <w:iCs/>
                <w:sz w:val="17"/>
                <w:szCs w:val="17"/>
                <w:lang w:val="en-AU" w:eastAsia="en-AU"/>
              </w:rPr>
            </w:pPr>
            <w:r w:rsidRPr="00983436">
              <w:rPr>
                <w:i/>
                <w:iCs/>
                <w:sz w:val="17"/>
                <w:szCs w:val="17"/>
                <w:lang w:val="en-AU" w:eastAsia="en-AU"/>
              </w:rPr>
              <w:t>3.1.b. Increased number of women taking up a leadership/decision making role at a local, sub-national or national level</w:t>
            </w:r>
          </w:p>
        </w:tc>
        <w:tc>
          <w:tcPr>
            <w:tcW w:w="1418" w:type="dxa"/>
            <w:vMerge/>
            <w:tcBorders>
              <w:top w:val="single" w:sz="4" w:space="0" w:color="auto"/>
              <w:left w:val="single" w:sz="4" w:space="0" w:color="auto"/>
              <w:bottom w:val="single" w:sz="4" w:space="0" w:color="auto"/>
              <w:right w:val="single" w:sz="4" w:space="0" w:color="auto"/>
            </w:tcBorders>
          </w:tcPr>
          <w:p w14:paraId="178DAB7E" w14:textId="77777777" w:rsidR="003D024C" w:rsidRPr="00983436" w:rsidDel="00776901" w:rsidRDefault="003D024C" w:rsidP="00E007F5">
            <w:pPr>
              <w:tabs>
                <w:tab w:val="left" w:pos="1635"/>
              </w:tabs>
              <w:rPr>
                <w:sz w:val="17"/>
                <w:szCs w:val="17"/>
                <w:lang w:eastAsia="en-AU"/>
              </w:rPr>
            </w:pPr>
          </w:p>
        </w:tc>
        <w:tc>
          <w:tcPr>
            <w:tcW w:w="1701" w:type="dxa"/>
            <w:tcBorders>
              <w:top w:val="single" w:sz="4" w:space="0" w:color="auto"/>
              <w:left w:val="single" w:sz="4" w:space="0" w:color="auto"/>
              <w:bottom w:val="single" w:sz="4" w:space="0" w:color="auto"/>
              <w:right w:val="single" w:sz="4" w:space="0" w:color="auto"/>
            </w:tcBorders>
          </w:tcPr>
          <w:p w14:paraId="30F8CFC0" w14:textId="77777777" w:rsidR="003D024C" w:rsidRPr="00983436" w:rsidRDefault="003D024C" w:rsidP="00E007F5">
            <w:pPr>
              <w:tabs>
                <w:tab w:val="left" w:pos="1635"/>
              </w:tabs>
              <w:rPr>
                <w:sz w:val="17"/>
                <w:szCs w:val="17"/>
                <w:lang w:eastAsia="en-AU"/>
              </w:rPr>
            </w:pPr>
          </w:p>
        </w:tc>
        <w:tc>
          <w:tcPr>
            <w:tcW w:w="1984" w:type="dxa"/>
            <w:tcBorders>
              <w:top w:val="single" w:sz="4" w:space="0" w:color="auto"/>
              <w:left w:val="single" w:sz="4" w:space="0" w:color="auto"/>
              <w:bottom w:val="single" w:sz="4" w:space="0" w:color="auto"/>
              <w:right w:val="single" w:sz="4" w:space="0" w:color="auto"/>
            </w:tcBorders>
          </w:tcPr>
          <w:p w14:paraId="5446BD75" w14:textId="77777777" w:rsidR="003D024C" w:rsidRPr="00983436" w:rsidRDefault="003D024C" w:rsidP="00E007F5">
            <w:pPr>
              <w:tabs>
                <w:tab w:val="left" w:pos="1635"/>
              </w:tabs>
              <w:rPr>
                <w:iCs/>
                <w:sz w:val="17"/>
                <w:szCs w:val="17"/>
                <w:lang w:val="en-AU" w:eastAsia="en-AU"/>
              </w:rPr>
            </w:pPr>
            <w:r w:rsidRPr="00983436">
              <w:rPr>
                <w:sz w:val="17"/>
                <w:szCs w:val="17"/>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DF20FF" w14:textId="77777777" w:rsidR="003D024C" w:rsidRPr="00983436" w:rsidRDefault="003D024C" w:rsidP="00E007F5">
            <w:pPr>
              <w:rPr>
                <w:sz w:val="17"/>
                <w:szCs w:val="17"/>
                <w:lang w:eastAsia="en-AU"/>
              </w:rPr>
            </w:pPr>
            <w:r w:rsidRPr="00983436">
              <w:rPr>
                <w:sz w:val="17"/>
                <w:szCs w:val="17"/>
              </w:rPr>
              <w:t xml:space="preserve">6 more women moved into a leadership position under the Markets for Change program </w:t>
            </w:r>
          </w:p>
        </w:tc>
        <w:tc>
          <w:tcPr>
            <w:tcW w:w="3119" w:type="dxa"/>
            <w:tcBorders>
              <w:top w:val="single" w:sz="4" w:space="0" w:color="auto"/>
              <w:left w:val="single" w:sz="4" w:space="0" w:color="auto"/>
              <w:bottom w:val="single" w:sz="4" w:space="0" w:color="auto"/>
              <w:right w:val="single" w:sz="4" w:space="0" w:color="auto"/>
            </w:tcBorders>
          </w:tcPr>
          <w:p w14:paraId="6301BB43" w14:textId="77777777" w:rsidR="003D024C" w:rsidRPr="00983436"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5479F75E" w14:textId="77777777" w:rsidR="003D024C" w:rsidRPr="00983436" w:rsidRDefault="003D024C" w:rsidP="00E007F5">
            <w:pPr>
              <w:tabs>
                <w:tab w:val="left" w:pos="1635"/>
              </w:tabs>
              <w:rPr>
                <w:sz w:val="17"/>
                <w:szCs w:val="17"/>
                <w:lang w:eastAsia="en-AU"/>
              </w:rPr>
            </w:pPr>
            <w:r w:rsidRPr="00983436">
              <w:rPr>
                <w:sz w:val="17"/>
                <w:szCs w:val="17"/>
              </w:rPr>
              <w:t xml:space="preserve">UNWomen markets for Change </w:t>
            </w:r>
          </w:p>
        </w:tc>
      </w:tr>
      <w:tr w:rsidR="003D024C" w:rsidRPr="00BF7C40" w14:paraId="4F89CA6E" w14:textId="77777777" w:rsidTr="00E007F5">
        <w:trPr>
          <w:trHeight w:val="68"/>
        </w:trPr>
        <w:tc>
          <w:tcPr>
            <w:tcW w:w="1649" w:type="dxa"/>
            <w:tcBorders>
              <w:top w:val="single" w:sz="4" w:space="0" w:color="auto"/>
              <w:left w:val="single" w:sz="4" w:space="0" w:color="auto"/>
              <w:bottom w:val="single" w:sz="4" w:space="0" w:color="auto"/>
              <w:right w:val="single" w:sz="4" w:space="0" w:color="auto"/>
            </w:tcBorders>
          </w:tcPr>
          <w:p w14:paraId="1E901B2F" w14:textId="77777777" w:rsidR="003D024C" w:rsidRPr="00612FF5"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612FF5">
              <w:rPr>
                <w:b/>
                <w:sz w:val="17"/>
                <w:szCs w:val="17"/>
              </w:rPr>
              <w:t>Outcome 4: Gender is effectively addressed in all Australian bilateral aid investments (DFAT performance benchmark)</w:t>
            </w:r>
          </w:p>
        </w:tc>
        <w:tc>
          <w:tcPr>
            <w:tcW w:w="1328" w:type="dxa"/>
            <w:tcBorders>
              <w:top w:val="single" w:sz="4" w:space="0" w:color="auto"/>
              <w:left w:val="single" w:sz="4" w:space="0" w:color="auto"/>
              <w:bottom w:val="single" w:sz="4" w:space="0" w:color="auto"/>
              <w:right w:val="single" w:sz="4" w:space="0" w:color="auto"/>
            </w:tcBorders>
          </w:tcPr>
          <w:p w14:paraId="196F9D70" w14:textId="77777777" w:rsidR="003D024C" w:rsidRPr="00874E6D" w:rsidRDefault="003D024C" w:rsidP="00E007F5">
            <w:pPr>
              <w:tabs>
                <w:tab w:val="left" w:pos="1635"/>
              </w:tabs>
              <w:rPr>
                <w:i/>
                <w:iCs/>
                <w:sz w:val="17"/>
                <w:szCs w:val="17"/>
                <w:lang w:val="en-AU" w:eastAsia="en-AU"/>
              </w:rPr>
            </w:pPr>
            <w:r w:rsidRPr="00874E6D">
              <w:rPr>
                <w:i/>
                <w:sz w:val="17"/>
                <w:szCs w:val="17"/>
              </w:rPr>
              <w:t>4.1 At least 80 per cent of investments effectively address gender issues in their implementation (score 4 or higher in AQCs)</w:t>
            </w:r>
          </w:p>
        </w:tc>
        <w:tc>
          <w:tcPr>
            <w:tcW w:w="1418" w:type="dxa"/>
            <w:tcBorders>
              <w:top w:val="single" w:sz="4" w:space="0" w:color="auto"/>
              <w:left w:val="single" w:sz="4" w:space="0" w:color="auto"/>
              <w:bottom w:val="single" w:sz="4" w:space="0" w:color="auto"/>
              <w:right w:val="single" w:sz="4" w:space="0" w:color="auto"/>
            </w:tcBorders>
          </w:tcPr>
          <w:p w14:paraId="69F7907A" w14:textId="77777777" w:rsidR="003D024C" w:rsidRPr="00874E6D" w:rsidDel="00776901" w:rsidRDefault="003D024C" w:rsidP="00E007F5">
            <w:pPr>
              <w:tabs>
                <w:tab w:val="left" w:pos="1635"/>
              </w:tabs>
              <w:rPr>
                <w:sz w:val="17"/>
                <w:szCs w:val="17"/>
                <w:lang w:eastAsia="en-AU"/>
              </w:rPr>
            </w:pPr>
            <w:r w:rsidRPr="00874E6D">
              <w:rPr>
                <w:sz w:val="17"/>
                <w:szCs w:val="17"/>
              </w:rPr>
              <w:t>In 2015-2016, the Fiji program scored 83% (5 out of the 6 investments scored 4 or higher)</w:t>
            </w:r>
          </w:p>
        </w:tc>
        <w:tc>
          <w:tcPr>
            <w:tcW w:w="1701" w:type="dxa"/>
            <w:tcBorders>
              <w:top w:val="single" w:sz="4" w:space="0" w:color="auto"/>
              <w:left w:val="single" w:sz="4" w:space="0" w:color="auto"/>
              <w:bottom w:val="single" w:sz="4" w:space="0" w:color="auto"/>
              <w:right w:val="single" w:sz="4" w:space="0" w:color="auto"/>
            </w:tcBorders>
          </w:tcPr>
          <w:p w14:paraId="596E7A66" w14:textId="77777777" w:rsidR="003D024C" w:rsidRPr="00874E6D" w:rsidRDefault="003D024C" w:rsidP="00E007F5">
            <w:pPr>
              <w:tabs>
                <w:tab w:val="left" w:pos="1635"/>
              </w:tabs>
              <w:rPr>
                <w:sz w:val="17"/>
                <w:szCs w:val="17"/>
                <w:lang w:eastAsia="en-AU"/>
              </w:rPr>
            </w:pPr>
            <w:r w:rsidRPr="00874E6D">
              <w:rPr>
                <w:sz w:val="17"/>
                <w:szCs w:val="17"/>
              </w:rPr>
              <w:t>75%</w:t>
            </w:r>
          </w:p>
        </w:tc>
        <w:tc>
          <w:tcPr>
            <w:tcW w:w="1984" w:type="dxa"/>
            <w:tcBorders>
              <w:top w:val="single" w:sz="4" w:space="0" w:color="auto"/>
              <w:left w:val="single" w:sz="4" w:space="0" w:color="auto"/>
              <w:bottom w:val="single" w:sz="4" w:space="0" w:color="auto"/>
              <w:right w:val="single" w:sz="4" w:space="0" w:color="auto"/>
            </w:tcBorders>
          </w:tcPr>
          <w:p w14:paraId="7E5A9256" w14:textId="77777777" w:rsidR="003D024C" w:rsidRPr="00874E6D" w:rsidRDefault="003D024C" w:rsidP="00E007F5">
            <w:pPr>
              <w:tabs>
                <w:tab w:val="left" w:pos="1635"/>
              </w:tabs>
              <w:rPr>
                <w:iCs/>
                <w:sz w:val="17"/>
                <w:szCs w:val="17"/>
                <w:lang w:val="en-AU" w:eastAsia="en-AU"/>
              </w:rPr>
            </w:pPr>
            <w:r w:rsidRPr="00874E6D">
              <w:rPr>
                <w:sz w:val="17"/>
                <w:szCs w:val="17"/>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ACF409" w14:textId="77777777" w:rsidR="003D024C" w:rsidRPr="00874E6D" w:rsidRDefault="003D024C" w:rsidP="00E007F5">
            <w:pPr>
              <w:rPr>
                <w:sz w:val="17"/>
                <w:szCs w:val="17"/>
                <w:lang w:eastAsia="en-AU"/>
              </w:rPr>
            </w:pPr>
            <w:r w:rsidRPr="00874E6D">
              <w:rPr>
                <w:sz w:val="17"/>
                <w:szCs w:val="17"/>
              </w:rPr>
              <w:t>63%</w:t>
            </w:r>
          </w:p>
        </w:tc>
        <w:tc>
          <w:tcPr>
            <w:tcW w:w="3119" w:type="dxa"/>
            <w:tcBorders>
              <w:top w:val="single" w:sz="4" w:space="0" w:color="auto"/>
              <w:left w:val="single" w:sz="4" w:space="0" w:color="auto"/>
              <w:bottom w:val="single" w:sz="4" w:space="0" w:color="auto"/>
              <w:right w:val="single" w:sz="4" w:space="0" w:color="auto"/>
            </w:tcBorders>
          </w:tcPr>
          <w:p w14:paraId="4D1AF4C8" w14:textId="77777777" w:rsidR="003D024C" w:rsidRPr="00874E6D" w:rsidRDefault="003D024C" w:rsidP="00E007F5">
            <w:pPr>
              <w:tabs>
                <w:tab w:val="left" w:pos="1635"/>
              </w:tabs>
              <w:rPr>
                <w:sz w:val="17"/>
                <w:szCs w:val="17"/>
                <w:lang w:eastAsia="en-AU"/>
              </w:rPr>
            </w:pPr>
            <w:r w:rsidRPr="00874E6D">
              <w:rPr>
                <w:sz w:val="17"/>
                <w:szCs w:val="17"/>
              </w:rPr>
              <w:t xml:space="preserve">4 of 6 investments scored 4 and higher in AQC reporting. Established programs such as Pacific Women Fiji Country Plan maintained effective ratings. In year 1, Fiji Program Support Facility has framework to guide GESI integration across programs, but has yet to report on outcomes. Governance AQCs requires improvement. End of program evaluation will provide recommendations.  </w:t>
            </w:r>
          </w:p>
        </w:tc>
        <w:tc>
          <w:tcPr>
            <w:tcW w:w="2126" w:type="dxa"/>
            <w:tcBorders>
              <w:top w:val="single" w:sz="4" w:space="0" w:color="auto"/>
              <w:left w:val="single" w:sz="4" w:space="0" w:color="auto"/>
              <w:bottom w:val="single" w:sz="4" w:space="0" w:color="auto"/>
              <w:right w:val="single" w:sz="4" w:space="0" w:color="auto"/>
            </w:tcBorders>
          </w:tcPr>
          <w:p w14:paraId="1E2D6BB5" w14:textId="77777777" w:rsidR="003D024C" w:rsidRPr="00874E6D" w:rsidRDefault="003D024C" w:rsidP="00E007F5">
            <w:pPr>
              <w:tabs>
                <w:tab w:val="left" w:pos="1635"/>
              </w:tabs>
              <w:rPr>
                <w:sz w:val="17"/>
                <w:szCs w:val="17"/>
                <w:lang w:eastAsia="en-AU"/>
              </w:rPr>
            </w:pPr>
            <w:r w:rsidRPr="00874E6D">
              <w:rPr>
                <w:sz w:val="17"/>
                <w:szCs w:val="17"/>
              </w:rPr>
              <w:t xml:space="preserve">AQC reports (informed by contractor and partner (CSO/NGOs) progress reports; ongoing monitoring by DFAT bilateral gender focal point </w:t>
            </w:r>
          </w:p>
        </w:tc>
      </w:tr>
      <w:tr w:rsidR="003D024C" w:rsidRPr="00BF7C40" w14:paraId="261CB319" w14:textId="77777777" w:rsidTr="00E007F5">
        <w:trPr>
          <w:trHeight w:val="68"/>
        </w:trPr>
        <w:tc>
          <w:tcPr>
            <w:tcW w:w="1649" w:type="dxa"/>
            <w:tcBorders>
              <w:top w:val="single" w:sz="4" w:space="0" w:color="auto"/>
              <w:left w:val="single" w:sz="4" w:space="0" w:color="auto"/>
              <w:bottom w:val="single" w:sz="4" w:space="0" w:color="auto"/>
              <w:right w:val="single" w:sz="4" w:space="0" w:color="auto"/>
            </w:tcBorders>
          </w:tcPr>
          <w:p w14:paraId="7427C955" w14:textId="77777777" w:rsidR="003D024C" w:rsidRPr="00612FF5"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612FF5">
              <w:rPr>
                <w:b/>
                <w:sz w:val="17"/>
                <w:szCs w:val="17"/>
              </w:rPr>
              <w:t>Outcome 5: Enhance the participation of people with disabilities as contributors, leaders and decision makers in their communities</w:t>
            </w:r>
          </w:p>
        </w:tc>
        <w:tc>
          <w:tcPr>
            <w:tcW w:w="1328" w:type="dxa"/>
            <w:tcBorders>
              <w:top w:val="single" w:sz="4" w:space="0" w:color="auto"/>
              <w:left w:val="single" w:sz="4" w:space="0" w:color="auto"/>
              <w:bottom w:val="single" w:sz="4" w:space="0" w:color="auto"/>
              <w:right w:val="single" w:sz="4" w:space="0" w:color="auto"/>
            </w:tcBorders>
          </w:tcPr>
          <w:p w14:paraId="3563A6E2" w14:textId="77777777" w:rsidR="003D024C" w:rsidRPr="00874E6D" w:rsidRDefault="003D024C" w:rsidP="00E007F5">
            <w:pPr>
              <w:tabs>
                <w:tab w:val="left" w:pos="1635"/>
              </w:tabs>
              <w:rPr>
                <w:i/>
                <w:iCs/>
                <w:sz w:val="17"/>
                <w:szCs w:val="17"/>
                <w:lang w:val="en-AU" w:eastAsia="en-AU"/>
              </w:rPr>
            </w:pPr>
            <w:r w:rsidRPr="00874E6D">
              <w:rPr>
                <w:i/>
                <w:sz w:val="17"/>
                <w:szCs w:val="17"/>
              </w:rPr>
              <w:t xml:space="preserve">5.1 Percentage of investments that actively involve people with disabilities and/or Disabled People’s Organisations in planning, implementation </w:t>
            </w:r>
            <w:r w:rsidRPr="00874E6D">
              <w:rPr>
                <w:i/>
                <w:sz w:val="17"/>
                <w:szCs w:val="17"/>
              </w:rPr>
              <w:lastRenderedPageBreak/>
              <w:t>and monitoring and evaluation.</w:t>
            </w:r>
          </w:p>
        </w:tc>
        <w:tc>
          <w:tcPr>
            <w:tcW w:w="1418" w:type="dxa"/>
            <w:tcBorders>
              <w:top w:val="single" w:sz="4" w:space="0" w:color="auto"/>
              <w:left w:val="single" w:sz="4" w:space="0" w:color="auto"/>
              <w:bottom w:val="single" w:sz="4" w:space="0" w:color="auto"/>
              <w:right w:val="single" w:sz="4" w:space="0" w:color="auto"/>
            </w:tcBorders>
          </w:tcPr>
          <w:p w14:paraId="4B06003F" w14:textId="77777777" w:rsidR="003D024C" w:rsidRPr="00874E6D" w:rsidDel="00776901" w:rsidRDefault="003D024C" w:rsidP="00E007F5">
            <w:pPr>
              <w:tabs>
                <w:tab w:val="left" w:pos="1635"/>
              </w:tabs>
              <w:rPr>
                <w:sz w:val="17"/>
                <w:szCs w:val="17"/>
                <w:lang w:eastAsia="en-AU"/>
              </w:rPr>
            </w:pPr>
            <w:r w:rsidRPr="00874E6D">
              <w:rPr>
                <w:sz w:val="17"/>
                <w:szCs w:val="17"/>
              </w:rPr>
              <w:lastRenderedPageBreak/>
              <w:t>100% (2015-16)</w:t>
            </w:r>
          </w:p>
        </w:tc>
        <w:tc>
          <w:tcPr>
            <w:tcW w:w="1701" w:type="dxa"/>
            <w:tcBorders>
              <w:top w:val="single" w:sz="4" w:space="0" w:color="auto"/>
              <w:left w:val="single" w:sz="4" w:space="0" w:color="auto"/>
              <w:bottom w:val="single" w:sz="4" w:space="0" w:color="auto"/>
              <w:right w:val="single" w:sz="4" w:space="0" w:color="auto"/>
            </w:tcBorders>
          </w:tcPr>
          <w:p w14:paraId="40444A0D" w14:textId="77777777" w:rsidR="003D024C" w:rsidRPr="00874E6D" w:rsidRDefault="003D024C" w:rsidP="00E007F5">
            <w:pPr>
              <w:tabs>
                <w:tab w:val="left" w:pos="1635"/>
              </w:tabs>
              <w:rPr>
                <w:sz w:val="17"/>
                <w:szCs w:val="17"/>
                <w:lang w:eastAsia="en-AU"/>
              </w:rPr>
            </w:pPr>
            <w:r w:rsidRPr="00874E6D">
              <w:rPr>
                <w:sz w:val="17"/>
                <w:szCs w:val="17"/>
              </w:rPr>
              <w:t>80%</w:t>
            </w:r>
          </w:p>
        </w:tc>
        <w:tc>
          <w:tcPr>
            <w:tcW w:w="1984" w:type="dxa"/>
            <w:tcBorders>
              <w:top w:val="single" w:sz="4" w:space="0" w:color="auto"/>
              <w:left w:val="single" w:sz="4" w:space="0" w:color="auto"/>
              <w:bottom w:val="single" w:sz="4" w:space="0" w:color="auto"/>
              <w:right w:val="single" w:sz="4" w:space="0" w:color="auto"/>
            </w:tcBorders>
          </w:tcPr>
          <w:p w14:paraId="16D9B469" w14:textId="77777777" w:rsidR="003D024C" w:rsidRPr="00874E6D" w:rsidRDefault="003D024C" w:rsidP="00E007F5">
            <w:pPr>
              <w:tabs>
                <w:tab w:val="left" w:pos="1635"/>
              </w:tabs>
              <w:rPr>
                <w:iCs/>
                <w:sz w:val="17"/>
                <w:szCs w:val="17"/>
                <w:lang w:val="en-AU" w:eastAsia="en-AU"/>
              </w:rPr>
            </w:pPr>
            <w:r w:rsidRPr="00874E6D">
              <w:rPr>
                <w:sz w:val="17"/>
                <w:szCs w:val="17"/>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EAD1E6" w14:textId="77777777" w:rsidR="003D024C" w:rsidRPr="00874E6D" w:rsidRDefault="003D024C" w:rsidP="00E007F5">
            <w:pPr>
              <w:rPr>
                <w:sz w:val="17"/>
                <w:szCs w:val="17"/>
                <w:lang w:eastAsia="en-AU"/>
              </w:rPr>
            </w:pPr>
            <w:r w:rsidRPr="00874E6D">
              <w:rPr>
                <w:sz w:val="17"/>
                <w:szCs w:val="17"/>
              </w:rPr>
              <w:t>50%</w:t>
            </w:r>
          </w:p>
        </w:tc>
        <w:tc>
          <w:tcPr>
            <w:tcW w:w="3119" w:type="dxa"/>
            <w:vMerge w:val="restart"/>
            <w:tcBorders>
              <w:top w:val="single" w:sz="4" w:space="0" w:color="auto"/>
              <w:left w:val="single" w:sz="4" w:space="0" w:color="auto"/>
              <w:bottom w:val="single" w:sz="4" w:space="0" w:color="auto"/>
              <w:right w:val="single" w:sz="4" w:space="0" w:color="auto"/>
            </w:tcBorders>
          </w:tcPr>
          <w:p w14:paraId="23832F69" w14:textId="77777777" w:rsidR="003D024C" w:rsidRPr="00612FF5" w:rsidRDefault="003D024C" w:rsidP="00E007F5">
            <w:pPr>
              <w:rPr>
                <w:sz w:val="17"/>
                <w:szCs w:val="17"/>
                <w:lang w:eastAsia="en-AU"/>
              </w:rPr>
            </w:pPr>
            <w:r w:rsidRPr="00612FF5">
              <w:rPr>
                <w:sz w:val="17"/>
                <w:szCs w:val="17"/>
                <w:lang w:eastAsia="en-AU"/>
              </w:rPr>
              <w:t>3 of 6 investments scored 4 and higher in AQC reporting. AQEP reported strong outcomes. Pacific Women improved its performance. Fiji Women's Fund agreed to allocate 10% of annual grant funding budget to support disability focused groups. The Facility GESI framework is inclusive of disability. Governance/private sector deve</w:t>
            </w:r>
            <w:r>
              <w:rPr>
                <w:sz w:val="17"/>
                <w:szCs w:val="17"/>
                <w:lang w:eastAsia="en-AU"/>
              </w:rPr>
              <w:t>l</w:t>
            </w:r>
            <w:r w:rsidRPr="00612FF5">
              <w:rPr>
                <w:sz w:val="17"/>
                <w:szCs w:val="17"/>
                <w:lang w:eastAsia="en-AU"/>
              </w:rPr>
              <w:t xml:space="preserve">opment programs require improvement. MDF will develop a </w:t>
            </w:r>
            <w:r w:rsidRPr="00612FF5">
              <w:rPr>
                <w:sz w:val="17"/>
                <w:szCs w:val="17"/>
                <w:lang w:eastAsia="en-AU"/>
              </w:rPr>
              <w:lastRenderedPageBreak/>
              <w:t xml:space="preserve">guidance note; IFC will seek opportunities to promote disability outcomes and Governance end of program evaluation will provide recommendations for program improvement. </w:t>
            </w:r>
          </w:p>
          <w:p w14:paraId="7ABE943A" w14:textId="77777777" w:rsidR="003D024C" w:rsidRPr="00BF7C40"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7C49610A" w14:textId="77777777" w:rsidR="003D024C" w:rsidRPr="00BF7C40" w:rsidRDefault="003D024C" w:rsidP="00E007F5">
            <w:pPr>
              <w:tabs>
                <w:tab w:val="left" w:pos="1635"/>
              </w:tabs>
              <w:rPr>
                <w:sz w:val="17"/>
                <w:szCs w:val="17"/>
                <w:lang w:eastAsia="en-AU"/>
              </w:rPr>
            </w:pPr>
            <w:r w:rsidRPr="00612FF5">
              <w:rPr>
                <w:sz w:val="17"/>
                <w:szCs w:val="17"/>
                <w:lang w:eastAsia="en-AU"/>
              </w:rPr>
              <w:lastRenderedPageBreak/>
              <w:t>AQC reports (informed by contractor and partner (CSO/NGOs) progress reports; ongoing monitoring by DFAT bilateral gender focal point</w:t>
            </w:r>
          </w:p>
        </w:tc>
      </w:tr>
      <w:tr w:rsidR="003D024C" w:rsidRPr="00BF7C40" w14:paraId="2B51001A" w14:textId="77777777" w:rsidTr="00E007F5">
        <w:trPr>
          <w:trHeight w:val="68"/>
        </w:trPr>
        <w:tc>
          <w:tcPr>
            <w:tcW w:w="1649" w:type="dxa"/>
            <w:tcBorders>
              <w:top w:val="single" w:sz="4" w:space="0" w:color="auto"/>
              <w:left w:val="single" w:sz="4" w:space="0" w:color="auto"/>
              <w:bottom w:val="single" w:sz="4" w:space="0" w:color="auto"/>
              <w:right w:val="single" w:sz="4" w:space="0" w:color="auto"/>
            </w:tcBorders>
          </w:tcPr>
          <w:p w14:paraId="360F804D" w14:textId="77777777" w:rsidR="003D024C" w:rsidRPr="00612FF5"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r w:rsidRPr="00612FF5">
              <w:rPr>
                <w:b/>
                <w:sz w:val="17"/>
                <w:szCs w:val="17"/>
              </w:rPr>
              <w:t>Outcome 6: Improve equity of access of people with disabilities to benefit from Australian bilateral aid investments.</w:t>
            </w:r>
          </w:p>
        </w:tc>
        <w:tc>
          <w:tcPr>
            <w:tcW w:w="1328" w:type="dxa"/>
            <w:tcBorders>
              <w:top w:val="single" w:sz="4" w:space="0" w:color="auto"/>
              <w:left w:val="single" w:sz="4" w:space="0" w:color="auto"/>
              <w:bottom w:val="single" w:sz="4" w:space="0" w:color="auto"/>
              <w:right w:val="single" w:sz="4" w:space="0" w:color="auto"/>
            </w:tcBorders>
          </w:tcPr>
          <w:p w14:paraId="0BB9E8FC" w14:textId="77777777" w:rsidR="003D024C" w:rsidRPr="00874E6D" w:rsidRDefault="003D024C" w:rsidP="00E007F5">
            <w:pPr>
              <w:tabs>
                <w:tab w:val="left" w:pos="1635"/>
              </w:tabs>
              <w:rPr>
                <w:i/>
                <w:iCs/>
                <w:sz w:val="17"/>
                <w:szCs w:val="17"/>
                <w:lang w:val="en-AU" w:eastAsia="en-AU"/>
              </w:rPr>
            </w:pPr>
            <w:r w:rsidRPr="00874E6D">
              <w:rPr>
                <w:i/>
                <w:sz w:val="17"/>
                <w:szCs w:val="17"/>
              </w:rPr>
              <w:t xml:space="preserve">6.1 Percentage of investments that identify and address barriers to inclusion for people with disabilities to enable them to benefit equally from the aid investment. </w:t>
            </w:r>
          </w:p>
        </w:tc>
        <w:tc>
          <w:tcPr>
            <w:tcW w:w="1418" w:type="dxa"/>
            <w:tcBorders>
              <w:top w:val="single" w:sz="4" w:space="0" w:color="auto"/>
              <w:left w:val="single" w:sz="4" w:space="0" w:color="auto"/>
              <w:bottom w:val="single" w:sz="4" w:space="0" w:color="auto"/>
              <w:right w:val="single" w:sz="4" w:space="0" w:color="auto"/>
            </w:tcBorders>
          </w:tcPr>
          <w:p w14:paraId="762BCB4F" w14:textId="77777777" w:rsidR="003D024C" w:rsidRPr="00874E6D" w:rsidDel="00776901" w:rsidRDefault="003D024C" w:rsidP="00E007F5">
            <w:pPr>
              <w:tabs>
                <w:tab w:val="left" w:pos="1635"/>
              </w:tabs>
              <w:rPr>
                <w:sz w:val="17"/>
                <w:szCs w:val="17"/>
                <w:lang w:eastAsia="en-AU"/>
              </w:rPr>
            </w:pPr>
            <w:r w:rsidRPr="00874E6D">
              <w:rPr>
                <w:sz w:val="17"/>
                <w:szCs w:val="17"/>
              </w:rPr>
              <w:t>100% (2015-16)</w:t>
            </w:r>
          </w:p>
        </w:tc>
        <w:tc>
          <w:tcPr>
            <w:tcW w:w="1701" w:type="dxa"/>
            <w:tcBorders>
              <w:top w:val="single" w:sz="4" w:space="0" w:color="auto"/>
              <w:left w:val="single" w:sz="4" w:space="0" w:color="auto"/>
              <w:bottom w:val="single" w:sz="4" w:space="0" w:color="auto"/>
              <w:right w:val="single" w:sz="4" w:space="0" w:color="auto"/>
            </w:tcBorders>
          </w:tcPr>
          <w:p w14:paraId="092385A5" w14:textId="77777777" w:rsidR="003D024C" w:rsidRPr="00874E6D" w:rsidRDefault="003D024C" w:rsidP="00E007F5">
            <w:pPr>
              <w:tabs>
                <w:tab w:val="left" w:pos="1635"/>
              </w:tabs>
              <w:rPr>
                <w:sz w:val="17"/>
                <w:szCs w:val="17"/>
                <w:lang w:eastAsia="en-AU"/>
              </w:rPr>
            </w:pPr>
            <w:r w:rsidRPr="00874E6D">
              <w:rPr>
                <w:sz w:val="17"/>
                <w:szCs w:val="17"/>
              </w:rPr>
              <w:t>80%</w:t>
            </w:r>
          </w:p>
        </w:tc>
        <w:tc>
          <w:tcPr>
            <w:tcW w:w="1984" w:type="dxa"/>
            <w:tcBorders>
              <w:top w:val="single" w:sz="4" w:space="0" w:color="auto"/>
              <w:left w:val="single" w:sz="4" w:space="0" w:color="auto"/>
              <w:bottom w:val="single" w:sz="4" w:space="0" w:color="auto"/>
              <w:right w:val="single" w:sz="4" w:space="0" w:color="auto"/>
            </w:tcBorders>
          </w:tcPr>
          <w:p w14:paraId="32CACCCE" w14:textId="77777777" w:rsidR="003D024C" w:rsidRPr="00874E6D" w:rsidRDefault="003D024C" w:rsidP="00E007F5">
            <w:pPr>
              <w:tabs>
                <w:tab w:val="left" w:pos="1635"/>
              </w:tabs>
              <w:rPr>
                <w:iCs/>
                <w:sz w:val="17"/>
                <w:szCs w:val="17"/>
                <w:lang w:val="en-AU" w:eastAsia="en-AU"/>
              </w:rPr>
            </w:pPr>
            <w:r w:rsidRPr="00874E6D">
              <w:rPr>
                <w:sz w:val="17"/>
                <w:szCs w:val="17"/>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FC7B7" w14:textId="77777777" w:rsidR="003D024C" w:rsidRPr="00874E6D" w:rsidRDefault="003D024C" w:rsidP="00E007F5">
            <w:pPr>
              <w:rPr>
                <w:sz w:val="17"/>
                <w:szCs w:val="17"/>
                <w:lang w:eastAsia="en-AU"/>
              </w:rPr>
            </w:pPr>
            <w:r w:rsidRPr="00874E6D">
              <w:rPr>
                <w:sz w:val="17"/>
                <w:szCs w:val="17"/>
              </w:rPr>
              <w:t>50%</w:t>
            </w:r>
          </w:p>
        </w:tc>
        <w:tc>
          <w:tcPr>
            <w:tcW w:w="3119" w:type="dxa"/>
            <w:vMerge/>
            <w:tcBorders>
              <w:top w:val="single" w:sz="4" w:space="0" w:color="auto"/>
              <w:left w:val="single" w:sz="4" w:space="0" w:color="auto"/>
              <w:bottom w:val="single" w:sz="4" w:space="0" w:color="auto"/>
              <w:right w:val="single" w:sz="4" w:space="0" w:color="auto"/>
            </w:tcBorders>
          </w:tcPr>
          <w:p w14:paraId="433D78E5" w14:textId="77777777" w:rsidR="003D024C" w:rsidRPr="00BF7C40" w:rsidRDefault="003D024C" w:rsidP="00E007F5">
            <w:pPr>
              <w:tabs>
                <w:tab w:val="left" w:pos="1635"/>
              </w:tabs>
              <w:rPr>
                <w:sz w:val="17"/>
                <w:szCs w:val="17"/>
                <w:lang w:eastAsia="en-AU"/>
              </w:rPr>
            </w:pPr>
          </w:p>
        </w:tc>
        <w:tc>
          <w:tcPr>
            <w:tcW w:w="2126" w:type="dxa"/>
            <w:tcBorders>
              <w:top w:val="single" w:sz="4" w:space="0" w:color="auto"/>
              <w:left w:val="single" w:sz="4" w:space="0" w:color="auto"/>
              <w:bottom w:val="single" w:sz="4" w:space="0" w:color="auto"/>
              <w:right w:val="single" w:sz="4" w:space="0" w:color="auto"/>
            </w:tcBorders>
          </w:tcPr>
          <w:p w14:paraId="2853B29F" w14:textId="77777777" w:rsidR="003D024C" w:rsidRPr="00612FF5" w:rsidRDefault="003D024C" w:rsidP="00E007F5">
            <w:pPr>
              <w:rPr>
                <w:sz w:val="17"/>
                <w:szCs w:val="17"/>
                <w:lang w:eastAsia="en-AU"/>
              </w:rPr>
            </w:pPr>
            <w:r w:rsidRPr="00612FF5">
              <w:rPr>
                <w:sz w:val="17"/>
                <w:szCs w:val="17"/>
                <w:lang w:eastAsia="en-AU"/>
              </w:rPr>
              <w:t xml:space="preserve">AQC reports (informed by contractor and partner (CSO/NGO) progress reports); ongoing monitoring by DFAT bilateral disability focal point </w:t>
            </w:r>
          </w:p>
          <w:p w14:paraId="2DF857E7" w14:textId="77777777" w:rsidR="003D024C" w:rsidRPr="00BF7C40" w:rsidRDefault="003D024C" w:rsidP="00E007F5">
            <w:pPr>
              <w:tabs>
                <w:tab w:val="left" w:pos="1635"/>
              </w:tabs>
              <w:rPr>
                <w:sz w:val="17"/>
                <w:szCs w:val="17"/>
                <w:lang w:eastAsia="en-AU"/>
              </w:rPr>
            </w:pPr>
          </w:p>
        </w:tc>
      </w:tr>
      <w:tr w:rsidR="003D024C" w:rsidRPr="00BF7C40" w14:paraId="3996826B" w14:textId="77777777" w:rsidTr="00E007F5">
        <w:trPr>
          <w:trHeight w:val="68"/>
        </w:trPr>
        <w:tc>
          <w:tcPr>
            <w:tcW w:w="148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D7DAE59" w14:textId="77777777" w:rsidR="003D024C" w:rsidRPr="00612FF5" w:rsidRDefault="003D024C" w:rsidP="00E007F5">
            <w:pPr>
              <w:tabs>
                <w:tab w:val="left" w:pos="1635"/>
              </w:tabs>
              <w:rPr>
                <w:b/>
                <w:sz w:val="18"/>
                <w:szCs w:val="18"/>
                <w:lang w:eastAsia="en-AU"/>
              </w:rPr>
            </w:pPr>
            <w:r w:rsidRPr="00612FF5">
              <w:rPr>
                <w:b/>
                <w:sz w:val="18"/>
                <w:szCs w:val="18"/>
                <w:lang w:eastAsia="en-AU"/>
              </w:rPr>
              <w:t>Sub-objective: Increased climate resilience and disaster preparedness and response</w:t>
            </w:r>
            <w:r w:rsidRPr="00612FF5">
              <w:rPr>
                <w:b/>
                <w:sz w:val="18"/>
                <w:szCs w:val="18"/>
                <w:lang w:eastAsia="en-AU"/>
              </w:rPr>
              <w:tab/>
            </w:r>
            <w:r w:rsidRPr="00612FF5">
              <w:rPr>
                <w:b/>
                <w:sz w:val="18"/>
                <w:szCs w:val="18"/>
                <w:lang w:eastAsia="en-AU"/>
              </w:rPr>
              <w:tab/>
            </w:r>
            <w:r w:rsidRPr="00612FF5">
              <w:rPr>
                <w:b/>
                <w:sz w:val="18"/>
                <w:szCs w:val="18"/>
                <w:lang w:eastAsia="en-AU"/>
              </w:rPr>
              <w:tab/>
            </w:r>
            <w:r w:rsidRPr="00612FF5">
              <w:rPr>
                <w:b/>
                <w:sz w:val="18"/>
                <w:szCs w:val="18"/>
                <w:lang w:eastAsia="en-AU"/>
              </w:rPr>
              <w:tab/>
            </w:r>
            <w:r w:rsidRPr="00612FF5">
              <w:rPr>
                <w:b/>
                <w:sz w:val="18"/>
                <w:szCs w:val="18"/>
                <w:lang w:eastAsia="en-AU"/>
              </w:rPr>
              <w:tab/>
            </w:r>
            <w:r w:rsidRPr="00612FF5">
              <w:rPr>
                <w:b/>
                <w:sz w:val="18"/>
                <w:szCs w:val="18"/>
                <w:lang w:eastAsia="en-AU"/>
              </w:rPr>
              <w:tab/>
            </w:r>
            <w:r w:rsidRPr="00612FF5">
              <w:rPr>
                <w:b/>
                <w:sz w:val="18"/>
                <w:szCs w:val="18"/>
                <w:lang w:eastAsia="en-AU"/>
              </w:rPr>
              <w:tab/>
            </w:r>
          </w:p>
        </w:tc>
      </w:tr>
      <w:tr w:rsidR="003D024C" w:rsidRPr="00BF7C40" w14:paraId="38CC7764" w14:textId="77777777" w:rsidTr="00E007F5">
        <w:trPr>
          <w:trHeight w:val="68"/>
        </w:trPr>
        <w:tc>
          <w:tcPr>
            <w:tcW w:w="1649" w:type="dxa"/>
            <w:vMerge w:val="restart"/>
            <w:tcBorders>
              <w:top w:val="single" w:sz="4" w:space="0" w:color="auto"/>
              <w:left w:val="single" w:sz="4" w:space="0" w:color="auto"/>
              <w:bottom w:val="single" w:sz="4" w:space="0" w:color="auto"/>
              <w:right w:val="single" w:sz="4" w:space="0" w:color="auto"/>
            </w:tcBorders>
          </w:tcPr>
          <w:p w14:paraId="5E1626E6" w14:textId="77777777" w:rsidR="003D024C" w:rsidRPr="00BF7C40" w:rsidDel="001B798D" w:rsidRDefault="003D024C" w:rsidP="00E007F5">
            <w:pPr>
              <w:pBdr>
                <w:top w:val="nil"/>
                <w:left w:val="single" w:sz="4" w:space="1" w:color="auto"/>
                <w:bottom w:val="nil"/>
                <w:right w:val="nil"/>
                <w:between w:val="nil"/>
                <w:bar w:val="nil"/>
              </w:pBdr>
              <w:tabs>
                <w:tab w:val="left" w:pos="1635"/>
              </w:tabs>
              <w:suppressAutoHyphens w:val="0"/>
              <w:spacing w:before="0" w:after="0" w:line="240" w:lineRule="auto"/>
              <w:rPr>
                <w:b/>
                <w:iCs/>
                <w:sz w:val="17"/>
                <w:szCs w:val="17"/>
                <w:lang w:val="en-AU" w:eastAsia="en-AU"/>
              </w:rPr>
            </w:pPr>
            <w:r w:rsidRPr="00AD12E0">
              <w:rPr>
                <w:b/>
                <w:sz w:val="17"/>
                <w:szCs w:val="17"/>
              </w:rPr>
              <w:t>Outcome: Increased focus on climate change and disaster resilience in Australian bilateral aid investments.</w:t>
            </w:r>
            <w:r>
              <w:rPr>
                <w:b/>
                <w:iCs/>
                <w:sz w:val="17"/>
                <w:szCs w:val="17"/>
                <w:lang w:val="en-AU" w:eastAsia="en-AU"/>
              </w:rPr>
              <w:t xml:space="preserve"> </w:t>
            </w:r>
          </w:p>
        </w:tc>
        <w:tc>
          <w:tcPr>
            <w:tcW w:w="1328" w:type="dxa"/>
            <w:tcBorders>
              <w:top w:val="single" w:sz="4" w:space="0" w:color="auto"/>
              <w:left w:val="single" w:sz="4" w:space="0" w:color="auto"/>
              <w:bottom w:val="single" w:sz="4" w:space="0" w:color="auto"/>
              <w:right w:val="single" w:sz="4" w:space="0" w:color="auto"/>
            </w:tcBorders>
          </w:tcPr>
          <w:p w14:paraId="12DF3234" w14:textId="77777777" w:rsidR="003D024C" w:rsidRPr="00612FF5" w:rsidRDefault="003D024C" w:rsidP="00E007F5">
            <w:pPr>
              <w:tabs>
                <w:tab w:val="left" w:pos="1635"/>
              </w:tabs>
              <w:rPr>
                <w:i/>
                <w:iCs/>
                <w:sz w:val="17"/>
                <w:szCs w:val="17"/>
                <w:lang w:val="en-AU" w:eastAsia="en-AU"/>
              </w:rPr>
            </w:pPr>
            <w:r w:rsidRPr="00612FF5">
              <w:rPr>
                <w:i/>
                <w:sz w:val="17"/>
                <w:szCs w:val="17"/>
              </w:rPr>
              <w:t>1.1 Percentage of investments that are actively managing risks &amp; action on climate change and disaster resilience.</w:t>
            </w:r>
          </w:p>
        </w:tc>
        <w:tc>
          <w:tcPr>
            <w:tcW w:w="1418" w:type="dxa"/>
            <w:tcBorders>
              <w:top w:val="single" w:sz="4" w:space="0" w:color="auto"/>
              <w:left w:val="single" w:sz="4" w:space="0" w:color="auto"/>
              <w:bottom w:val="single" w:sz="4" w:space="0" w:color="auto"/>
              <w:right w:val="single" w:sz="4" w:space="0" w:color="auto"/>
            </w:tcBorders>
          </w:tcPr>
          <w:p w14:paraId="1795B6E8" w14:textId="77777777" w:rsidR="003D024C" w:rsidRPr="00612FF5" w:rsidDel="00776901" w:rsidRDefault="003D024C" w:rsidP="00E007F5">
            <w:pPr>
              <w:tabs>
                <w:tab w:val="left" w:pos="1635"/>
              </w:tabs>
              <w:rPr>
                <w:sz w:val="17"/>
                <w:szCs w:val="17"/>
                <w:lang w:eastAsia="en-AU"/>
              </w:rPr>
            </w:pPr>
            <w:r w:rsidRPr="00612FF5">
              <w:rPr>
                <w:sz w:val="17"/>
                <w:szCs w:val="17"/>
              </w:rPr>
              <w:t>75%</w:t>
            </w:r>
          </w:p>
        </w:tc>
        <w:tc>
          <w:tcPr>
            <w:tcW w:w="1701" w:type="dxa"/>
            <w:tcBorders>
              <w:top w:val="single" w:sz="4" w:space="0" w:color="auto"/>
              <w:left w:val="single" w:sz="4" w:space="0" w:color="auto"/>
              <w:bottom w:val="single" w:sz="4" w:space="0" w:color="auto"/>
              <w:right w:val="single" w:sz="4" w:space="0" w:color="auto"/>
            </w:tcBorders>
          </w:tcPr>
          <w:p w14:paraId="659696BB" w14:textId="77777777" w:rsidR="003D024C" w:rsidRPr="00612FF5" w:rsidRDefault="003D024C" w:rsidP="00E007F5">
            <w:pPr>
              <w:tabs>
                <w:tab w:val="left" w:pos="1635"/>
              </w:tabs>
              <w:rPr>
                <w:sz w:val="17"/>
                <w:szCs w:val="17"/>
                <w:lang w:eastAsia="en-AU"/>
              </w:rPr>
            </w:pPr>
            <w:r w:rsidRPr="00612FF5">
              <w:rPr>
                <w:sz w:val="17"/>
                <w:szCs w:val="17"/>
              </w:rPr>
              <w:t>80%</w:t>
            </w:r>
          </w:p>
        </w:tc>
        <w:tc>
          <w:tcPr>
            <w:tcW w:w="1984" w:type="dxa"/>
            <w:tcBorders>
              <w:top w:val="single" w:sz="4" w:space="0" w:color="auto"/>
              <w:left w:val="single" w:sz="4" w:space="0" w:color="auto"/>
              <w:bottom w:val="single" w:sz="4" w:space="0" w:color="auto"/>
              <w:right w:val="single" w:sz="4" w:space="0" w:color="auto"/>
            </w:tcBorders>
          </w:tcPr>
          <w:p w14:paraId="5D216377" w14:textId="77777777" w:rsidR="003D024C" w:rsidRPr="00612FF5" w:rsidRDefault="003D024C" w:rsidP="00E007F5">
            <w:pPr>
              <w:tabs>
                <w:tab w:val="left" w:pos="1635"/>
              </w:tabs>
              <w:rPr>
                <w:iCs/>
                <w:sz w:val="17"/>
                <w:szCs w:val="17"/>
                <w:lang w:val="en-AU" w:eastAsia="en-AU"/>
              </w:rPr>
            </w:pPr>
            <w:r w:rsidRPr="00612FF5">
              <w:rPr>
                <w:sz w:val="17"/>
                <w:szCs w:val="17"/>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1BCC5" w14:textId="77777777" w:rsidR="003D024C" w:rsidRPr="00612FF5" w:rsidRDefault="003D024C" w:rsidP="00E007F5">
            <w:pPr>
              <w:rPr>
                <w:sz w:val="17"/>
                <w:szCs w:val="17"/>
                <w:lang w:eastAsia="en-AU"/>
              </w:rPr>
            </w:pPr>
            <w:r w:rsidRPr="00612FF5">
              <w:rPr>
                <w:sz w:val="17"/>
                <w:szCs w:val="17"/>
              </w:rPr>
              <w:t>83%</w:t>
            </w:r>
          </w:p>
        </w:tc>
        <w:tc>
          <w:tcPr>
            <w:tcW w:w="3119" w:type="dxa"/>
            <w:tcBorders>
              <w:top w:val="single" w:sz="4" w:space="0" w:color="auto"/>
              <w:left w:val="single" w:sz="4" w:space="0" w:color="auto"/>
              <w:bottom w:val="single" w:sz="4" w:space="0" w:color="auto"/>
              <w:right w:val="single" w:sz="4" w:space="0" w:color="auto"/>
            </w:tcBorders>
          </w:tcPr>
          <w:p w14:paraId="28E3CB07" w14:textId="77777777" w:rsidR="003D024C" w:rsidRPr="00612FF5" w:rsidRDefault="003D024C" w:rsidP="00E007F5">
            <w:pPr>
              <w:tabs>
                <w:tab w:val="left" w:pos="1635"/>
              </w:tabs>
              <w:rPr>
                <w:sz w:val="17"/>
                <w:szCs w:val="17"/>
                <w:lang w:eastAsia="en-AU"/>
              </w:rPr>
            </w:pPr>
            <w:r w:rsidRPr="00612FF5">
              <w:rPr>
                <w:sz w:val="17"/>
                <w:szCs w:val="17"/>
              </w:rPr>
              <w:t xml:space="preserve">All programs are actively managing risks and action on climate change and disaster resilience except for the governance program. However, the governance section are currently writing their new design and will incorporate climate change and disaster resilience. </w:t>
            </w:r>
          </w:p>
        </w:tc>
        <w:tc>
          <w:tcPr>
            <w:tcW w:w="2126" w:type="dxa"/>
            <w:tcBorders>
              <w:top w:val="single" w:sz="4" w:space="0" w:color="auto"/>
              <w:left w:val="single" w:sz="4" w:space="0" w:color="auto"/>
              <w:bottom w:val="single" w:sz="4" w:space="0" w:color="auto"/>
              <w:right w:val="single" w:sz="4" w:space="0" w:color="auto"/>
            </w:tcBorders>
          </w:tcPr>
          <w:p w14:paraId="45F08FE1" w14:textId="77777777" w:rsidR="003D024C" w:rsidRPr="00612FF5" w:rsidRDefault="003D024C" w:rsidP="00E007F5">
            <w:pPr>
              <w:tabs>
                <w:tab w:val="left" w:pos="1635"/>
              </w:tabs>
              <w:rPr>
                <w:sz w:val="17"/>
                <w:szCs w:val="17"/>
                <w:lang w:eastAsia="en-AU"/>
              </w:rPr>
            </w:pPr>
            <w:r w:rsidRPr="00612FF5">
              <w:rPr>
                <w:sz w:val="17"/>
                <w:szCs w:val="17"/>
              </w:rPr>
              <w:t>AQC, Service Order 6,  Australia-Fiji Civil Society Engagement Strategy 2016-2019, Preparedness and Response Annual work plan, Health Annual work plan 2017-2018, Australia</w:t>
            </w:r>
            <w:r>
              <w:rPr>
                <w:sz w:val="17"/>
                <w:szCs w:val="17"/>
              </w:rPr>
              <w:t xml:space="preserve"> Awards Country Profile Fiji, Tropi</w:t>
            </w:r>
            <w:r w:rsidRPr="00612FF5">
              <w:rPr>
                <w:sz w:val="17"/>
                <w:szCs w:val="17"/>
              </w:rPr>
              <w:t xml:space="preserve">cal Cyclone Winston Education Response, Green Bond Initiative </w:t>
            </w:r>
          </w:p>
        </w:tc>
      </w:tr>
      <w:tr w:rsidR="003D024C" w:rsidRPr="00BF7C40" w14:paraId="4D8AFDAD" w14:textId="77777777" w:rsidTr="00E007F5">
        <w:trPr>
          <w:trHeight w:val="68"/>
        </w:trPr>
        <w:tc>
          <w:tcPr>
            <w:tcW w:w="1649" w:type="dxa"/>
            <w:vMerge/>
            <w:tcBorders>
              <w:top w:val="single" w:sz="4" w:space="0" w:color="auto"/>
              <w:left w:val="single" w:sz="4" w:space="0" w:color="auto"/>
              <w:bottom w:val="single" w:sz="4" w:space="0" w:color="auto"/>
              <w:right w:val="single" w:sz="4" w:space="0" w:color="auto"/>
            </w:tcBorders>
          </w:tcPr>
          <w:p w14:paraId="170D0A34" w14:textId="77777777" w:rsidR="003D024C" w:rsidRPr="00BF7C40"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p>
        </w:tc>
        <w:tc>
          <w:tcPr>
            <w:tcW w:w="1328" w:type="dxa"/>
            <w:tcBorders>
              <w:top w:val="single" w:sz="4" w:space="0" w:color="auto"/>
              <w:left w:val="single" w:sz="4" w:space="0" w:color="auto"/>
              <w:bottom w:val="single" w:sz="4" w:space="0" w:color="auto"/>
              <w:right w:val="single" w:sz="4" w:space="0" w:color="auto"/>
            </w:tcBorders>
          </w:tcPr>
          <w:p w14:paraId="6A4D1C51" w14:textId="77777777" w:rsidR="003D024C" w:rsidRPr="00612FF5" w:rsidRDefault="003D024C" w:rsidP="00E007F5">
            <w:pPr>
              <w:tabs>
                <w:tab w:val="left" w:pos="1635"/>
              </w:tabs>
              <w:rPr>
                <w:i/>
                <w:iCs/>
                <w:sz w:val="17"/>
                <w:szCs w:val="17"/>
                <w:lang w:val="en-AU" w:eastAsia="en-AU"/>
              </w:rPr>
            </w:pPr>
            <w:r w:rsidRPr="00612FF5">
              <w:rPr>
                <w:i/>
                <w:sz w:val="17"/>
                <w:szCs w:val="17"/>
              </w:rPr>
              <w:t>1.2 Percentage of investments that align with Fiji's climate &amp; disaster resilience priorities.</w:t>
            </w:r>
          </w:p>
        </w:tc>
        <w:tc>
          <w:tcPr>
            <w:tcW w:w="1418" w:type="dxa"/>
            <w:tcBorders>
              <w:top w:val="single" w:sz="4" w:space="0" w:color="auto"/>
              <w:left w:val="single" w:sz="4" w:space="0" w:color="auto"/>
              <w:bottom w:val="single" w:sz="4" w:space="0" w:color="auto"/>
              <w:right w:val="single" w:sz="4" w:space="0" w:color="auto"/>
            </w:tcBorders>
          </w:tcPr>
          <w:p w14:paraId="2B444ECE" w14:textId="77777777" w:rsidR="003D024C" w:rsidRPr="00612FF5" w:rsidDel="00776901" w:rsidRDefault="003D024C" w:rsidP="00E007F5">
            <w:pPr>
              <w:tabs>
                <w:tab w:val="left" w:pos="1635"/>
              </w:tabs>
              <w:rPr>
                <w:sz w:val="17"/>
                <w:szCs w:val="17"/>
                <w:lang w:eastAsia="en-AU"/>
              </w:rPr>
            </w:pPr>
            <w:r w:rsidRPr="00612FF5">
              <w:rPr>
                <w:sz w:val="17"/>
                <w:szCs w:val="17"/>
              </w:rPr>
              <w:t>75%</w:t>
            </w:r>
          </w:p>
        </w:tc>
        <w:tc>
          <w:tcPr>
            <w:tcW w:w="1701" w:type="dxa"/>
            <w:tcBorders>
              <w:top w:val="single" w:sz="4" w:space="0" w:color="auto"/>
              <w:left w:val="single" w:sz="4" w:space="0" w:color="auto"/>
              <w:bottom w:val="single" w:sz="4" w:space="0" w:color="auto"/>
              <w:right w:val="single" w:sz="4" w:space="0" w:color="auto"/>
            </w:tcBorders>
          </w:tcPr>
          <w:p w14:paraId="76900694" w14:textId="77777777" w:rsidR="003D024C" w:rsidRPr="00612FF5" w:rsidRDefault="003D024C" w:rsidP="00E007F5">
            <w:pPr>
              <w:tabs>
                <w:tab w:val="left" w:pos="1635"/>
              </w:tabs>
              <w:rPr>
                <w:sz w:val="17"/>
                <w:szCs w:val="17"/>
                <w:lang w:eastAsia="en-AU"/>
              </w:rPr>
            </w:pPr>
            <w:r w:rsidRPr="00612FF5">
              <w:rPr>
                <w:sz w:val="17"/>
                <w:szCs w:val="17"/>
              </w:rPr>
              <w:t>80%</w:t>
            </w:r>
          </w:p>
        </w:tc>
        <w:tc>
          <w:tcPr>
            <w:tcW w:w="1984" w:type="dxa"/>
            <w:tcBorders>
              <w:top w:val="single" w:sz="4" w:space="0" w:color="auto"/>
              <w:left w:val="single" w:sz="4" w:space="0" w:color="auto"/>
              <w:bottom w:val="single" w:sz="4" w:space="0" w:color="auto"/>
              <w:right w:val="single" w:sz="4" w:space="0" w:color="auto"/>
            </w:tcBorders>
          </w:tcPr>
          <w:p w14:paraId="0E59627D" w14:textId="77777777" w:rsidR="003D024C" w:rsidRPr="00612FF5" w:rsidRDefault="003D024C" w:rsidP="00E007F5">
            <w:pPr>
              <w:tabs>
                <w:tab w:val="left" w:pos="1635"/>
              </w:tabs>
              <w:rPr>
                <w:iCs/>
                <w:sz w:val="17"/>
                <w:szCs w:val="17"/>
                <w:lang w:val="en-AU" w:eastAsia="en-AU"/>
              </w:rPr>
            </w:pPr>
            <w:r w:rsidRPr="00612FF5">
              <w:rPr>
                <w:sz w:val="17"/>
                <w:szCs w:val="17"/>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241FAB" w14:textId="77777777" w:rsidR="003D024C" w:rsidRPr="00612FF5" w:rsidRDefault="003D024C" w:rsidP="00E007F5">
            <w:pPr>
              <w:rPr>
                <w:sz w:val="17"/>
                <w:szCs w:val="17"/>
                <w:lang w:eastAsia="en-AU"/>
              </w:rPr>
            </w:pPr>
            <w:r w:rsidRPr="00612FF5">
              <w:rPr>
                <w:sz w:val="17"/>
                <w:szCs w:val="17"/>
              </w:rPr>
              <w:t>83%</w:t>
            </w:r>
          </w:p>
        </w:tc>
        <w:tc>
          <w:tcPr>
            <w:tcW w:w="3119" w:type="dxa"/>
            <w:tcBorders>
              <w:top w:val="single" w:sz="4" w:space="0" w:color="auto"/>
              <w:left w:val="single" w:sz="4" w:space="0" w:color="auto"/>
              <w:bottom w:val="single" w:sz="4" w:space="0" w:color="auto"/>
              <w:right w:val="single" w:sz="4" w:space="0" w:color="auto"/>
            </w:tcBorders>
          </w:tcPr>
          <w:p w14:paraId="02DF96D3" w14:textId="77777777" w:rsidR="003D024C" w:rsidRPr="00612FF5" w:rsidRDefault="003D024C" w:rsidP="00E007F5">
            <w:pPr>
              <w:tabs>
                <w:tab w:val="left" w:pos="1635"/>
              </w:tabs>
              <w:rPr>
                <w:sz w:val="17"/>
                <w:szCs w:val="17"/>
                <w:lang w:eastAsia="en-AU"/>
              </w:rPr>
            </w:pPr>
            <w:r>
              <w:rPr>
                <w:sz w:val="17"/>
                <w:szCs w:val="17"/>
              </w:rPr>
              <w:t>P</w:t>
            </w:r>
            <w:r w:rsidRPr="00612FF5">
              <w:rPr>
                <w:sz w:val="17"/>
                <w:szCs w:val="17"/>
              </w:rPr>
              <w:t xml:space="preserve">rograms (except for the Governance program) are aligned to Fiji's climate &amp; disaster resilience priorities through the National Development Plan. </w:t>
            </w:r>
          </w:p>
        </w:tc>
        <w:tc>
          <w:tcPr>
            <w:tcW w:w="2126" w:type="dxa"/>
            <w:tcBorders>
              <w:top w:val="single" w:sz="4" w:space="0" w:color="auto"/>
              <w:left w:val="single" w:sz="4" w:space="0" w:color="auto"/>
              <w:bottom w:val="single" w:sz="4" w:space="0" w:color="auto"/>
              <w:right w:val="single" w:sz="4" w:space="0" w:color="auto"/>
            </w:tcBorders>
          </w:tcPr>
          <w:p w14:paraId="56A9DCDD" w14:textId="77777777" w:rsidR="003D024C" w:rsidRPr="00612FF5" w:rsidRDefault="003D024C" w:rsidP="00E007F5">
            <w:pPr>
              <w:tabs>
                <w:tab w:val="left" w:pos="1635"/>
              </w:tabs>
              <w:rPr>
                <w:sz w:val="17"/>
                <w:szCs w:val="17"/>
                <w:lang w:eastAsia="en-AU"/>
              </w:rPr>
            </w:pPr>
            <w:r w:rsidRPr="00612FF5">
              <w:rPr>
                <w:sz w:val="17"/>
                <w:szCs w:val="17"/>
              </w:rPr>
              <w:t xml:space="preserve">AQC &amp; 5 year &amp; 20 year National Development Plan, Government Partner Emergency Assistance Request report template, Government Partner preparedness proposal form, Fiji Insurance, BioTech- Resilience program through MDF. </w:t>
            </w:r>
          </w:p>
        </w:tc>
      </w:tr>
      <w:tr w:rsidR="003D024C" w:rsidRPr="00BF7C40" w14:paraId="02F1AA5A" w14:textId="77777777" w:rsidTr="00E007F5">
        <w:trPr>
          <w:trHeight w:val="68"/>
        </w:trPr>
        <w:tc>
          <w:tcPr>
            <w:tcW w:w="1649" w:type="dxa"/>
            <w:vMerge/>
            <w:tcBorders>
              <w:top w:val="single" w:sz="4" w:space="0" w:color="auto"/>
              <w:left w:val="single" w:sz="4" w:space="0" w:color="auto"/>
              <w:bottom w:val="single" w:sz="4" w:space="0" w:color="auto"/>
              <w:right w:val="single" w:sz="4" w:space="0" w:color="auto"/>
            </w:tcBorders>
          </w:tcPr>
          <w:p w14:paraId="6832BC33" w14:textId="77777777" w:rsidR="003D024C" w:rsidRPr="00BF7C40" w:rsidDel="001B798D" w:rsidRDefault="003D024C" w:rsidP="00E007F5">
            <w:p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p>
        </w:tc>
        <w:tc>
          <w:tcPr>
            <w:tcW w:w="1328" w:type="dxa"/>
            <w:tcBorders>
              <w:top w:val="single" w:sz="4" w:space="0" w:color="auto"/>
              <w:left w:val="single" w:sz="4" w:space="0" w:color="auto"/>
              <w:bottom w:val="single" w:sz="4" w:space="0" w:color="auto"/>
              <w:right w:val="single" w:sz="4" w:space="0" w:color="auto"/>
            </w:tcBorders>
          </w:tcPr>
          <w:p w14:paraId="7D6ACF02" w14:textId="77777777" w:rsidR="003D024C" w:rsidRPr="00612FF5" w:rsidRDefault="003D024C" w:rsidP="00E007F5">
            <w:pPr>
              <w:tabs>
                <w:tab w:val="left" w:pos="1635"/>
              </w:tabs>
              <w:rPr>
                <w:i/>
                <w:iCs/>
                <w:sz w:val="17"/>
                <w:szCs w:val="17"/>
                <w:lang w:val="en-AU" w:eastAsia="en-AU"/>
              </w:rPr>
            </w:pPr>
            <w:r w:rsidRPr="00612FF5">
              <w:rPr>
                <w:i/>
                <w:sz w:val="17"/>
                <w:szCs w:val="17"/>
              </w:rPr>
              <w:t xml:space="preserve">1.3 Annual contingency fund of at least </w:t>
            </w:r>
            <w:r w:rsidRPr="00612FF5">
              <w:rPr>
                <w:i/>
                <w:sz w:val="17"/>
                <w:szCs w:val="17"/>
              </w:rPr>
              <w:lastRenderedPageBreak/>
              <w:t xml:space="preserve">2 per cent of the bilateral aid program in Fiji is programmed to prepare for and respond to disasters. </w:t>
            </w:r>
          </w:p>
        </w:tc>
        <w:tc>
          <w:tcPr>
            <w:tcW w:w="1418" w:type="dxa"/>
            <w:tcBorders>
              <w:top w:val="single" w:sz="4" w:space="0" w:color="auto"/>
              <w:left w:val="single" w:sz="4" w:space="0" w:color="auto"/>
              <w:bottom w:val="single" w:sz="4" w:space="0" w:color="auto"/>
              <w:right w:val="single" w:sz="4" w:space="0" w:color="auto"/>
            </w:tcBorders>
          </w:tcPr>
          <w:p w14:paraId="059481CE" w14:textId="77777777" w:rsidR="003D024C" w:rsidRPr="00612FF5" w:rsidDel="00776901" w:rsidRDefault="003D024C" w:rsidP="00E007F5">
            <w:pPr>
              <w:tabs>
                <w:tab w:val="left" w:pos="1635"/>
              </w:tabs>
              <w:rPr>
                <w:sz w:val="17"/>
                <w:szCs w:val="17"/>
                <w:lang w:eastAsia="en-AU"/>
              </w:rPr>
            </w:pPr>
            <w:r w:rsidRPr="00612FF5">
              <w:rPr>
                <w:sz w:val="17"/>
                <w:szCs w:val="17"/>
              </w:rPr>
              <w:lastRenderedPageBreak/>
              <w:t xml:space="preserve">Contingency set aside in previous years but only for </w:t>
            </w:r>
            <w:r w:rsidRPr="00612FF5">
              <w:rPr>
                <w:sz w:val="17"/>
                <w:szCs w:val="17"/>
              </w:rPr>
              <w:lastRenderedPageBreak/>
              <w:t>emergency response.</w:t>
            </w:r>
          </w:p>
        </w:tc>
        <w:tc>
          <w:tcPr>
            <w:tcW w:w="1701" w:type="dxa"/>
            <w:tcBorders>
              <w:top w:val="single" w:sz="4" w:space="0" w:color="auto"/>
              <w:left w:val="single" w:sz="4" w:space="0" w:color="auto"/>
              <w:bottom w:val="single" w:sz="4" w:space="0" w:color="auto"/>
              <w:right w:val="single" w:sz="4" w:space="0" w:color="auto"/>
            </w:tcBorders>
          </w:tcPr>
          <w:p w14:paraId="2D447BE7" w14:textId="77777777" w:rsidR="003D024C" w:rsidRPr="00612FF5" w:rsidRDefault="003D024C" w:rsidP="00E007F5">
            <w:pPr>
              <w:tabs>
                <w:tab w:val="left" w:pos="1635"/>
              </w:tabs>
              <w:rPr>
                <w:sz w:val="17"/>
                <w:szCs w:val="17"/>
                <w:lang w:eastAsia="en-AU"/>
              </w:rPr>
            </w:pPr>
            <w:r w:rsidRPr="00612FF5">
              <w:rPr>
                <w:sz w:val="17"/>
                <w:szCs w:val="17"/>
              </w:rPr>
              <w:lastRenderedPageBreak/>
              <w:t>N</w:t>
            </w:r>
            <w:r>
              <w:rPr>
                <w:sz w:val="17"/>
                <w:szCs w:val="17"/>
              </w:rPr>
              <w:t>/</w:t>
            </w:r>
            <w:r w:rsidRPr="00612FF5">
              <w:rPr>
                <w:sz w:val="17"/>
                <w:szCs w:val="17"/>
              </w:rPr>
              <w:t>A</w:t>
            </w:r>
          </w:p>
        </w:tc>
        <w:tc>
          <w:tcPr>
            <w:tcW w:w="1984" w:type="dxa"/>
            <w:tcBorders>
              <w:top w:val="single" w:sz="4" w:space="0" w:color="auto"/>
              <w:left w:val="single" w:sz="4" w:space="0" w:color="auto"/>
              <w:bottom w:val="single" w:sz="4" w:space="0" w:color="auto"/>
              <w:right w:val="single" w:sz="4" w:space="0" w:color="auto"/>
            </w:tcBorders>
          </w:tcPr>
          <w:p w14:paraId="37520C02" w14:textId="77777777" w:rsidR="003D024C" w:rsidRPr="00612FF5" w:rsidRDefault="003D024C" w:rsidP="00E007F5">
            <w:pPr>
              <w:tabs>
                <w:tab w:val="left" w:pos="1635"/>
              </w:tabs>
              <w:rPr>
                <w:iCs/>
                <w:sz w:val="17"/>
                <w:szCs w:val="17"/>
                <w:lang w:val="en-AU" w:eastAsia="en-AU"/>
              </w:rPr>
            </w:pPr>
            <w:r w:rsidRPr="00612FF5">
              <w:rPr>
                <w:sz w:val="17"/>
                <w:szCs w:val="17"/>
              </w:rPr>
              <w:t>2 per cent of bilateral funding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A38051" w14:textId="77777777" w:rsidR="003D024C" w:rsidRPr="00612FF5" w:rsidRDefault="003D024C" w:rsidP="00E007F5">
            <w:pPr>
              <w:rPr>
                <w:sz w:val="17"/>
                <w:szCs w:val="17"/>
                <w:lang w:eastAsia="en-AU"/>
              </w:rPr>
            </w:pPr>
            <w:r w:rsidRPr="00612FF5">
              <w:rPr>
                <w:sz w:val="17"/>
                <w:szCs w:val="17"/>
              </w:rPr>
              <w:t>90% spend</w:t>
            </w:r>
          </w:p>
        </w:tc>
        <w:tc>
          <w:tcPr>
            <w:tcW w:w="3119" w:type="dxa"/>
            <w:tcBorders>
              <w:top w:val="single" w:sz="4" w:space="0" w:color="auto"/>
              <w:left w:val="single" w:sz="4" w:space="0" w:color="auto"/>
              <w:bottom w:val="single" w:sz="4" w:space="0" w:color="auto"/>
              <w:right w:val="single" w:sz="4" w:space="0" w:color="auto"/>
            </w:tcBorders>
          </w:tcPr>
          <w:p w14:paraId="587E8A3A" w14:textId="77777777" w:rsidR="003D024C" w:rsidRPr="00612FF5" w:rsidRDefault="003D024C" w:rsidP="00E007F5">
            <w:pPr>
              <w:tabs>
                <w:tab w:val="left" w:pos="1635"/>
              </w:tabs>
              <w:rPr>
                <w:sz w:val="17"/>
                <w:szCs w:val="17"/>
                <w:lang w:eastAsia="en-AU"/>
              </w:rPr>
            </w:pPr>
            <w:r w:rsidRPr="00612FF5">
              <w:rPr>
                <w:sz w:val="17"/>
                <w:szCs w:val="17"/>
              </w:rPr>
              <w:t xml:space="preserve">The PRF was disbursed during the 3 cyclones (TC Gita, Josie and Keni). 11 CSO responders pool were awarded </w:t>
            </w:r>
            <w:r w:rsidRPr="00612FF5">
              <w:rPr>
                <w:sz w:val="17"/>
                <w:szCs w:val="17"/>
              </w:rPr>
              <w:lastRenderedPageBreak/>
              <w:t xml:space="preserve">preparedness grants after the cyclone season. Their preparedness proposals were for prepositioned supplies in preparation for the </w:t>
            </w:r>
            <w:r>
              <w:rPr>
                <w:sz w:val="17"/>
                <w:szCs w:val="17"/>
              </w:rPr>
              <w:t xml:space="preserve">next </w:t>
            </w:r>
            <w:r w:rsidRPr="00612FF5">
              <w:rPr>
                <w:sz w:val="17"/>
                <w:szCs w:val="17"/>
              </w:rPr>
              <w:t xml:space="preserve">cyclone season. </w:t>
            </w:r>
          </w:p>
        </w:tc>
        <w:tc>
          <w:tcPr>
            <w:tcW w:w="2126" w:type="dxa"/>
            <w:tcBorders>
              <w:top w:val="single" w:sz="4" w:space="0" w:color="auto"/>
              <w:left w:val="single" w:sz="4" w:space="0" w:color="auto"/>
              <w:bottom w:val="single" w:sz="4" w:space="0" w:color="auto"/>
              <w:right w:val="single" w:sz="4" w:space="0" w:color="auto"/>
            </w:tcBorders>
          </w:tcPr>
          <w:p w14:paraId="0989B501" w14:textId="77777777" w:rsidR="003D024C" w:rsidRPr="00612FF5" w:rsidRDefault="003D024C" w:rsidP="00E007F5">
            <w:pPr>
              <w:tabs>
                <w:tab w:val="left" w:pos="1635"/>
              </w:tabs>
              <w:rPr>
                <w:sz w:val="17"/>
                <w:szCs w:val="17"/>
                <w:lang w:eastAsia="en-AU"/>
              </w:rPr>
            </w:pPr>
            <w:r w:rsidRPr="00612FF5">
              <w:rPr>
                <w:sz w:val="17"/>
                <w:szCs w:val="17"/>
              </w:rPr>
              <w:lastRenderedPageBreak/>
              <w:t xml:space="preserve">Service Order 6, PRF Annual work plan, </w:t>
            </w:r>
          </w:p>
        </w:tc>
      </w:tr>
    </w:tbl>
    <w:tbl>
      <w:tblPr>
        <w:tblpPr w:leftFromText="180" w:rightFromText="180" w:vertAnchor="text" w:horzAnchor="page" w:tblpX="514" w:tblpY="-166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1701"/>
        <w:gridCol w:w="1984"/>
        <w:gridCol w:w="1418"/>
        <w:gridCol w:w="3260"/>
        <w:gridCol w:w="2126"/>
      </w:tblGrid>
      <w:tr w:rsidR="003D024C" w:rsidRPr="00BF7C40" w14:paraId="03C72AC5" w14:textId="77777777" w:rsidTr="00E007F5">
        <w:trPr>
          <w:trHeight w:val="560"/>
        </w:trPr>
        <w:tc>
          <w:tcPr>
            <w:tcW w:w="1696" w:type="dxa"/>
            <w:tcBorders>
              <w:top w:val="nil"/>
              <w:left w:val="nil"/>
              <w:bottom w:val="nil"/>
              <w:right w:val="nil"/>
            </w:tcBorders>
            <w:shd w:val="clear" w:color="auto" w:fill="auto"/>
          </w:tcPr>
          <w:p w14:paraId="0C210103" w14:textId="77777777" w:rsidR="003D024C" w:rsidRPr="00BF7C40" w:rsidRDefault="003D024C" w:rsidP="00E007F5">
            <w:pPr>
              <w:tabs>
                <w:tab w:val="left" w:pos="1635"/>
              </w:tabs>
              <w:rPr>
                <w:b/>
                <w:iCs/>
                <w:sz w:val="17"/>
                <w:szCs w:val="17"/>
                <w:lang w:val="en-AU" w:eastAsia="en-AU"/>
              </w:rPr>
            </w:pPr>
          </w:p>
        </w:tc>
        <w:tc>
          <w:tcPr>
            <w:tcW w:w="13183" w:type="dxa"/>
            <w:gridSpan w:val="7"/>
            <w:tcBorders>
              <w:top w:val="nil"/>
              <w:left w:val="nil"/>
              <w:bottom w:val="nil"/>
              <w:right w:val="nil"/>
            </w:tcBorders>
            <w:shd w:val="clear" w:color="auto" w:fill="auto"/>
          </w:tcPr>
          <w:p w14:paraId="69307A0D" w14:textId="77777777" w:rsidR="003D024C" w:rsidRPr="00BF7C40" w:rsidRDefault="003D024C" w:rsidP="00E007F5">
            <w:pPr>
              <w:tabs>
                <w:tab w:val="left" w:pos="1635"/>
              </w:tabs>
              <w:rPr>
                <w:b/>
                <w:i/>
                <w:iCs/>
                <w:sz w:val="17"/>
                <w:szCs w:val="17"/>
                <w:lang w:val="en-AU" w:eastAsia="en-AU"/>
              </w:rPr>
            </w:pPr>
          </w:p>
        </w:tc>
      </w:tr>
      <w:tr w:rsidR="003D024C" w:rsidRPr="00BF7C40" w14:paraId="153766EE" w14:textId="77777777" w:rsidTr="00E007F5">
        <w:trPr>
          <w:trHeight w:val="412"/>
        </w:trPr>
        <w:tc>
          <w:tcPr>
            <w:tcW w:w="14879" w:type="dxa"/>
            <w:gridSpan w:val="8"/>
            <w:tcBorders>
              <w:top w:val="nil"/>
              <w:left w:val="nil"/>
              <w:bottom w:val="single" w:sz="4" w:space="0" w:color="auto"/>
              <w:right w:val="nil"/>
            </w:tcBorders>
            <w:shd w:val="clear" w:color="auto" w:fill="auto"/>
          </w:tcPr>
          <w:p w14:paraId="0AC07AE5" w14:textId="77777777" w:rsidR="003D024C" w:rsidRPr="008C28E8" w:rsidRDefault="003D024C" w:rsidP="00E007F5">
            <w:pPr>
              <w:tabs>
                <w:tab w:val="left" w:pos="1635"/>
              </w:tabs>
              <w:rPr>
                <w:b/>
                <w:iCs/>
                <w:sz w:val="18"/>
                <w:szCs w:val="18"/>
                <w:lang w:val="en-AU" w:eastAsia="en-AU"/>
              </w:rPr>
            </w:pPr>
          </w:p>
        </w:tc>
      </w:tr>
      <w:tr w:rsidR="003D024C" w:rsidRPr="00BF7C40" w14:paraId="53889A69" w14:textId="77777777" w:rsidTr="00E007F5">
        <w:trPr>
          <w:trHeight w:val="412"/>
        </w:trPr>
        <w:tc>
          <w:tcPr>
            <w:tcW w:w="14879" w:type="dxa"/>
            <w:gridSpan w:val="8"/>
            <w:tcBorders>
              <w:top w:val="single" w:sz="4" w:space="0" w:color="auto"/>
            </w:tcBorders>
            <w:shd w:val="clear" w:color="auto" w:fill="D5EEE0" w:themeFill="accent6" w:themeFillTint="33"/>
          </w:tcPr>
          <w:p w14:paraId="097473BC" w14:textId="77777777" w:rsidR="003D024C" w:rsidRPr="008C28E8" w:rsidRDefault="003D024C" w:rsidP="00E007F5">
            <w:pPr>
              <w:tabs>
                <w:tab w:val="left" w:pos="1635"/>
              </w:tabs>
              <w:rPr>
                <w:b/>
                <w:iCs/>
                <w:sz w:val="18"/>
                <w:szCs w:val="18"/>
                <w:lang w:val="en-AU" w:eastAsia="en-AU"/>
              </w:rPr>
            </w:pPr>
            <w:r w:rsidRPr="008C28E8">
              <w:rPr>
                <w:b/>
                <w:iCs/>
                <w:sz w:val="18"/>
                <w:szCs w:val="18"/>
                <w:lang w:val="en-AU" w:eastAsia="en-AU"/>
              </w:rPr>
              <w:t>Australia’s aid objective three: Tropical Cyclone Winston Recovery</w:t>
            </w:r>
          </w:p>
        </w:tc>
      </w:tr>
      <w:tr w:rsidR="003D024C" w:rsidRPr="00BF7C40" w14:paraId="0FBBAFEE" w14:textId="77777777" w:rsidTr="00E007F5">
        <w:trPr>
          <w:trHeight w:val="559"/>
        </w:trPr>
        <w:tc>
          <w:tcPr>
            <w:tcW w:w="1696" w:type="dxa"/>
            <w:shd w:val="clear" w:color="auto" w:fill="D8DCDB" w:themeFill="background2"/>
          </w:tcPr>
          <w:p w14:paraId="3A9880F1" w14:textId="77777777" w:rsidR="003D024C" w:rsidRPr="00727744" w:rsidRDefault="003D024C" w:rsidP="00E007F5">
            <w:pPr>
              <w:tabs>
                <w:tab w:val="left" w:pos="1635"/>
              </w:tabs>
              <w:rPr>
                <w:b/>
                <w:iCs/>
                <w:sz w:val="17"/>
                <w:szCs w:val="17"/>
                <w:lang w:val="en-AU" w:eastAsia="en-AU"/>
              </w:rPr>
            </w:pPr>
            <w:r w:rsidRPr="00727744">
              <w:rPr>
                <w:b/>
                <w:iCs/>
                <w:sz w:val="17"/>
                <w:szCs w:val="17"/>
                <w:lang w:val="en-AU" w:eastAsia="en-AU"/>
              </w:rPr>
              <w:t>Outcome</w:t>
            </w:r>
          </w:p>
        </w:tc>
        <w:tc>
          <w:tcPr>
            <w:tcW w:w="1276" w:type="dxa"/>
            <w:shd w:val="clear" w:color="auto" w:fill="D8DCDB" w:themeFill="background2"/>
          </w:tcPr>
          <w:p w14:paraId="07976C61" w14:textId="77777777" w:rsidR="003D024C" w:rsidRPr="00BF7C40" w:rsidRDefault="003D024C" w:rsidP="00E007F5">
            <w:pPr>
              <w:tabs>
                <w:tab w:val="left" w:pos="1635"/>
              </w:tabs>
              <w:rPr>
                <w:b/>
                <w:i/>
                <w:iCs/>
                <w:sz w:val="17"/>
                <w:szCs w:val="17"/>
                <w:lang w:val="en-AU" w:eastAsia="en-AU"/>
              </w:rPr>
            </w:pPr>
            <w:r>
              <w:rPr>
                <w:b/>
                <w:iCs/>
                <w:sz w:val="17"/>
                <w:szCs w:val="17"/>
                <w:lang w:val="en-AU" w:eastAsia="en-AU"/>
              </w:rPr>
              <w:t>I</w:t>
            </w:r>
            <w:r w:rsidRPr="00BF7C40">
              <w:rPr>
                <w:b/>
                <w:iCs/>
                <w:sz w:val="17"/>
                <w:szCs w:val="17"/>
                <w:lang w:val="en-AU" w:eastAsia="en-AU"/>
              </w:rPr>
              <w:t>ndicator</w:t>
            </w:r>
          </w:p>
          <w:p w14:paraId="57257C03" w14:textId="77777777" w:rsidR="003D024C" w:rsidRPr="00BF7C40" w:rsidRDefault="003D024C" w:rsidP="00E007F5">
            <w:pPr>
              <w:tabs>
                <w:tab w:val="left" w:pos="1635"/>
              </w:tabs>
              <w:rPr>
                <w:b/>
                <w:iCs/>
                <w:sz w:val="17"/>
                <w:szCs w:val="17"/>
                <w:lang w:val="en-AU" w:eastAsia="en-AU"/>
              </w:rPr>
            </w:pPr>
          </w:p>
        </w:tc>
        <w:tc>
          <w:tcPr>
            <w:tcW w:w="1418" w:type="dxa"/>
            <w:shd w:val="clear" w:color="auto" w:fill="D8DCDB" w:themeFill="background2"/>
          </w:tcPr>
          <w:p w14:paraId="54135076" w14:textId="77777777" w:rsidR="003D024C" w:rsidRPr="00BF7C40" w:rsidRDefault="003D024C" w:rsidP="00E007F5">
            <w:pPr>
              <w:tabs>
                <w:tab w:val="left" w:pos="1635"/>
              </w:tabs>
              <w:rPr>
                <w:b/>
                <w:iCs/>
                <w:sz w:val="17"/>
                <w:szCs w:val="17"/>
                <w:lang w:val="en-AU" w:eastAsia="en-AU"/>
              </w:rPr>
            </w:pPr>
            <w:r>
              <w:rPr>
                <w:b/>
                <w:iCs/>
                <w:sz w:val="17"/>
                <w:szCs w:val="17"/>
                <w:lang w:val="en-AU" w:eastAsia="en-AU"/>
              </w:rPr>
              <w:t>Baseline</w:t>
            </w:r>
          </w:p>
        </w:tc>
        <w:tc>
          <w:tcPr>
            <w:tcW w:w="1701" w:type="dxa"/>
            <w:shd w:val="clear" w:color="auto" w:fill="D8DCDB" w:themeFill="background2"/>
          </w:tcPr>
          <w:p w14:paraId="0402A2C0" w14:textId="77777777" w:rsidR="003D024C" w:rsidRPr="00BF7C40" w:rsidRDefault="003D024C" w:rsidP="00E007F5">
            <w:pPr>
              <w:tabs>
                <w:tab w:val="left" w:pos="1635"/>
              </w:tabs>
              <w:rPr>
                <w:b/>
                <w:iCs/>
                <w:sz w:val="17"/>
                <w:szCs w:val="17"/>
                <w:lang w:val="en-AU" w:eastAsia="en-AU"/>
              </w:rPr>
            </w:pPr>
            <w:r>
              <w:rPr>
                <w:b/>
                <w:iCs/>
                <w:sz w:val="17"/>
                <w:szCs w:val="17"/>
                <w:lang w:val="en-AU" w:eastAsia="en-AU"/>
              </w:rPr>
              <w:t>2016-17 Actual</w:t>
            </w:r>
          </w:p>
        </w:tc>
        <w:tc>
          <w:tcPr>
            <w:tcW w:w="1984" w:type="dxa"/>
            <w:shd w:val="clear" w:color="auto" w:fill="D8DCDB" w:themeFill="background2"/>
          </w:tcPr>
          <w:p w14:paraId="742A5818" w14:textId="77777777" w:rsidR="003D024C" w:rsidRPr="00BF7C40" w:rsidRDefault="003D024C" w:rsidP="00E007F5">
            <w:pPr>
              <w:tabs>
                <w:tab w:val="left" w:pos="1635"/>
              </w:tabs>
              <w:rPr>
                <w:b/>
                <w:iCs/>
                <w:sz w:val="17"/>
                <w:szCs w:val="17"/>
                <w:lang w:val="en-AU" w:eastAsia="en-AU"/>
              </w:rPr>
            </w:pPr>
            <w:r>
              <w:rPr>
                <w:b/>
                <w:iCs/>
                <w:sz w:val="17"/>
                <w:szCs w:val="17"/>
                <w:lang w:val="en-AU" w:eastAsia="en-AU"/>
              </w:rPr>
              <w:t>2017-18 Project Target</w:t>
            </w:r>
          </w:p>
        </w:tc>
        <w:tc>
          <w:tcPr>
            <w:tcW w:w="1418" w:type="dxa"/>
            <w:shd w:val="clear" w:color="auto" w:fill="D8DCDB" w:themeFill="background2"/>
          </w:tcPr>
          <w:p w14:paraId="17828157" w14:textId="77777777" w:rsidR="003D024C" w:rsidRPr="00BF7C40" w:rsidRDefault="003D024C" w:rsidP="00E007F5">
            <w:pPr>
              <w:tabs>
                <w:tab w:val="left" w:pos="1635"/>
              </w:tabs>
              <w:rPr>
                <w:b/>
                <w:i/>
                <w:iCs/>
                <w:sz w:val="17"/>
                <w:szCs w:val="17"/>
                <w:lang w:val="en-AU" w:eastAsia="en-AU"/>
              </w:rPr>
            </w:pPr>
            <w:r>
              <w:rPr>
                <w:b/>
                <w:iCs/>
                <w:sz w:val="17"/>
                <w:szCs w:val="17"/>
                <w:lang w:val="en-AU" w:eastAsia="en-AU"/>
              </w:rPr>
              <w:t>2017-18 Actual</w:t>
            </w:r>
          </w:p>
        </w:tc>
        <w:tc>
          <w:tcPr>
            <w:tcW w:w="3260" w:type="dxa"/>
            <w:shd w:val="clear" w:color="auto" w:fill="D8DCDB" w:themeFill="background2"/>
          </w:tcPr>
          <w:p w14:paraId="04A89A63" w14:textId="77777777" w:rsidR="003D024C" w:rsidRPr="00BF7C40" w:rsidRDefault="003D024C" w:rsidP="00E007F5">
            <w:pPr>
              <w:tabs>
                <w:tab w:val="left" w:pos="1635"/>
              </w:tabs>
              <w:rPr>
                <w:b/>
                <w:i/>
                <w:iCs/>
                <w:sz w:val="17"/>
                <w:szCs w:val="17"/>
                <w:lang w:val="en-AU" w:eastAsia="en-AU"/>
              </w:rPr>
            </w:pPr>
            <w:r w:rsidRPr="00BF7C40">
              <w:rPr>
                <w:b/>
                <w:iCs/>
                <w:sz w:val="17"/>
                <w:szCs w:val="17"/>
                <w:lang w:val="en-AU" w:eastAsia="en-AU"/>
              </w:rPr>
              <w:t>2017-18</w:t>
            </w:r>
            <w:r>
              <w:rPr>
                <w:b/>
                <w:iCs/>
                <w:sz w:val="17"/>
                <w:szCs w:val="17"/>
                <w:lang w:val="en-AU" w:eastAsia="en-AU"/>
              </w:rPr>
              <w:t xml:space="preserve"> Qualitative comments or explanatory notes</w:t>
            </w:r>
          </w:p>
        </w:tc>
        <w:tc>
          <w:tcPr>
            <w:tcW w:w="2126" w:type="dxa"/>
            <w:shd w:val="clear" w:color="auto" w:fill="D8DCDB" w:themeFill="background2"/>
          </w:tcPr>
          <w:p w14:paraId="533768C8" w14:textId="77777777" w:rsidR="003D024C" w:rsidRPr="00BF7C40" w:rsidRDefault="003D024C" w:rsidP="00E007F5">
            <w:pPr>
              <w:tabs>
                <w:tab w:val="left" w:pos="1635"/>
              </w:tabs>
              <w:rPr>
                <w:b/>
                <w:i/>
                <w:iCs/>
                <w:sz w:val="17"/>
                <w:szCs w:val="17"/>
                <w:lang w:val="en-AU" w:eastAsia="en-AU"/>
              </w:rPr>
            </w:pPr>
            <w:r>
              <w:rPr>
                <w:b/>
                <w:iCs/>
                <w:sz w:val="17"/>
                <w:szCs w:val="17"/>
                <w:lang w:val="en-AU" w:eastAsia="en-AU"/>
              </w:rPr>
              <w:t>Data source / reference documents</w:t>
            </w:r>
          </w:p>
        </w:tc>
      </w:tr>
      <w:tr w:rsidR="003D024C" w:rsidRPr="00BF7C40" w14:paraId="19B79CBC" w14:textId="77777777" w:rsidTr="00E007F5">
        <w:trPr>
          <w:trHeight w:val="823"/>
        </w:trPr>
        <w:tc>
          <w:tcPr>
            <w:tcW w:w="1696" w:type="dxa"/>
          </w:tcPr>
          <w:p w14:paraId="2E58E6D3"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r w:rsidRPr="00BD427A">
              <w:rPr>
                <w:b/>
                <w:sz w:val="17"/>
                <w:szCs w:val="17"/>
                <w:lang w:val="en-AU" w:eastAsia="en-AU"/>
              </w:rPr>
              <w:t>Outcome 1: Timely and efficient implementation of TC Winston $20m recovery package</w:t>
            </w:r>
          </w:p>
        </w:tc>
        <w:tc>
          <w:tcPr>
            <w:tcW w:w="1276" w:type="dxa"/>
          </w:tcPr>
          <w:p w14:paraId="239BEA52" w14:textId="77777777" w:rsidR="003D024C" w:rsidRPr="00BD427A" w:rsidRDefault="003D024C" w:rsidP="00E007F5">
            <w:pPr>
              <w:tabs>
                <w:tab w:val="left" w:pos="1635"/>
              </w:tabs>
              <w:rPr>
                <w:i/>
                <w:sz w:val="17"/>
                <w:szCs w:val="17"/>
                <w:lang w:eastAsia="en-AU"/>
              </w:rPr>
            </w:pPr>
            <w:r w:rsidRPr="00BD427A">
              <w:rPr>
                <w:i/>
                <w:sz w:val="17"/>
                <w:szCs w:val="17"/>
              </w:rPr>
              <w:t>1.1 Percentage of recovery funds ($20m) programmed and spent.</w:t>
            </w:r>
          </w:p>
        </w:tc>
        <w:tc>
          <w:tcPr>
            <w:tcW w:w="1418" w:type="dxa"/>
          </w:tcPr>
          <w:p w14:paraId="2F791213" w14:textId="77777777" w:rsidR="003D024C" w:rsidRPr="00BD427A" w:rsidRDefault="003D024C" w:rsidP="00E007F5">
            <w:pPr>
              <w:tabs>
                <w:tab w:val="left" w:pos="1635"/>
              </w:tabs>
              <w:rPr>
                <w:sz w:val="17"/>
                <w:szCs w:val="17"/>
                <w:lang w:eastAsia="en-AU"/>
              </w:rPr>
            </w:pPr>
            <w:r w:rsidRPr="00BD427A">
              <w:rPr>
                <w:sz w:val="17"/>
                <w:szCs w:val="17"/>
              </w:rPr>
              <w:t>20% spent &amp; programmed (as of 1 July 2016)</w:t>
            </w:r>
          </w:p>
        </w:tc>
        <w:tc>
          <w:tcPr>
            <w:tcW w:w="1701" w:type="dxa"/>
          </w:tcPr>
          <w:p w14:paraId="52B724EA" w14:textId="77777777" w:rsidR="003D024C" w:rsidRPr="00BD427A" w:rsidRDefault="003D024C" w:rsidP="00E007F5">
            <w:pPr>
              <w:tabs>
                <w:tab w:val="left" w:pos="1635"/>
              </w:tabs>
              <w:rPr>
                <w:sz w:val="17"/>
                <w:szCs w:val="17"/>
                <w:lang w:eastAsia="en-AU"/>
              </w:rPr>
            </w:pPr>
            <w:r w:rsidRPr="00BD427A">
              <w:rPr>
                <w:sz w:val="17"/>
                <w:szCs w:val="17"/>
              </w:rPr>
              <w:t>52% spent; 100% programmed</w:t>
            </w:r>
          </w:p>
        </w:tc>
        <w:tc>
          <w:tcPr>
            <w:tcW w:w="1984" w:type="dxa"/>
          </w:tcPr>
          <w:p w14:paraId="570FFFD2" w14:textId="77777777" w:rsidR="003D024C" w:rsidRPr="00BD427A" w:rsidRDefault="003D024C" w:rsidP="00E007F5">
            <w:pPr>
              <w:tabs>
                <w:tab w:val="left" w:pos="1635"/>
              </w:tabs>
              <w:rPr>
                <w:sz w:val="17"/>
                <w:szCs w:val="17"/>
                <w:lang w:eastAsia="en-AU"/>
              </w:rPr>
            </w:pPr>
            <w:r w:rsidRPr="00BD427A">
              <w:rPr>
                <w:sz w:val="17"/>
                <w:szCs w:val="17"/>
              </w:rPr>
              <w:t>100% spent by June 2018</w:t>
            </w:r>
          </w:p>
        </w:tc>
        <w:tc>
          <w:tcPr>
            <w:tcW w:w="1418" w:type="dxa"/>
            <w:shd w:val="clear" w:color="auto" w:fill="auto"/>
          </w:tcPr>
          <w:p w14:paraId="1BD5FAD3" w14:textId="77777777" w:rsidR="003D024C" w:rsidRPr="00BD427A" w:rsidRDefault="003D024C" w:rsidP="00E007F5">
            <w:pPr>
              <w:tabs>
                <w:tab w:val="left" w:pos="1635"/>
              </w:tabs>
              <w:rPr>
                <w:sz w:val="17"/>
                <w:szCs w:val="17"/>
                <w:lang w:eastAsia="en-AU"/>
              </w:rPr>
            </w:pPr>
            <w:r w:rsidRPr="00BD427A">
              <w:rPr>
                <w:sz w:val="17"/>
                <w:szCs w:val="17"/>
              </w:rPr>
              <w:t>100% of the $20m in recovery funds have been spent</w:t>
            </w:r>
          </w:p>
        </w:tc>
        <w:tc>
          <w:tcPr>
            <w:tcW w:w="3260" w:type="dxa"/>
          </w:tcPr>
          <w:p w14:paraId="7B043AD4" w14:textId="77777777" w:rsidR="003D024C" w:rsidRPr="00BD427A" w:rsidRDefault="003D024C" w:rsidP="00E007F5">
            <w:pPr>
              <w:tabs>
                <w:tab w:val="left" w:pos="1635"/>
              </w:tabs>
              <w:rPr>
                <w:sz w:val="17"/>
                <w:szCs w:val="17"/>
                <w:lang w:eastAsia="en-AU"/>
              </w:rPr>
            </w:pPr>
            <w:r w:rsidRPr="00BD427A">
              <w:rPr>
                <w:sz w:val="17"/>
                <w:szCs w:val="17"/>
              </w:rPr>
              <w:t>additional funds from the bilateral program supports contract variations and defects liability period</w:t>
            </w:r>
          </w:p>
        </w:tc>
        <w:tc>
          <w:tcPr>
            <w:tcW w:w="2126" w:type="dxa"/>
            <w:vMerge w:val="restart"/>
          </w:tcPr>
          <w:p w14:paraId="6C51D079" w14:textId="77777777" w:rsidR="003D024C" w:rsidRPr="00BF7C40" w:rsidRDefault="003D024C" w:rsidP="00E007F5">
            <w:pPr>
              <w:tabs>
                <w:tab w:val="left" w:pos="1635"/>
              </w:tabs>
              <w:rPr>
                <w:sz w:val="17"/>
                <w:szCs w:val="17"/>
                <w:lang w:eastAsia="en-AU"/>
              </w:rPr>
            </w:pPr>
            <w:r w:rsidRPr="00BD427A">
              <w:rPr>
                <w:sz w:val="17"/>
                <w:szCs w:val="17"/>
                <w:lang w:eastAsia="en-AU"/>
              </w:rPr>
              <w:t>AQEP/UN Women progress reports, ACC report, DFAT/GoF site visits/Steering Committee minutes</w:t>
            </w:r>
          </w:p>
        </w:tc>
      </w:tr>
      <w:tr w:rsidR="003D024C" w:rsidRPr="00BF7C40" w14:paraId="7066F485" w14:textId="77777777" w:rsidTr="00E007F5">
        <w:trPr>
          <w:trHeight w:val="173"/>
        </w:trPr>
        <w:tc>
          <w:tcPr>
            <w:tcW w:w="1696" w:type="dxa"/>
            <w:vMerge w:val="restart"/>
          </w:tcPr>
          <w:p w14:paraId="340485A1" w14:textId="77777777" w:rsidR="003D024C" w:rsidRPr="00BD427A" w:rsidRDefault="003D024C" w:rsidP="00E007F5">
            <w:pPr>
              <w:pBdr>
                <w:top w:val="nil"/>
                <w:left w:val="nil"/>
                <w:bottom w:val="nil"/>
                <w:right w:val="nil"/>
                <w:between w:val="nil"/>
                <w:bar w:val="nil"/>
              </w:pBdr>
              <w:tabs>
                <w:tab w:val="left" w:pos="1635"/>
              </w:tabs>
              <w:rPr>
                <w:b/>
                <w:sz w:val="17"/>
                <w:szCs w:val="17"/>
                <w:lang w:val="en-AU" w:eastAsia="en-AU"/>
              </w:rPr>
            </w:pPr>
            <w:r w:rsidRPr="00BD427A">
              <w:rPr>
                <w:b/>
                <w:sz w:val="17"/>
                <w:szCs w:val="17"/>
                <w:lang w:val="en-AU" w:eastAsia="en-AU"/>
              </w:rPr>
              <w:t>Outcome 2: Improved health and education facilities through repaired/rebuilt buildings in select communities Ra and Koro</w:t>
            </w:r>
          </w:p>
          <w:p w14:paraId="2C874735" w14:textId="77777777" w:rsidR="003D024C" w:rsidRPr="00BD427A" w:rsidRDefault="003D024C" w:rsidP="00E007F5">
            <w:pPr>
              <w:pBdr>
                <w:top w:val="nil"/>
                <w:left w:val="nil"/>
                <w:bottom w:val="nil"/>
                <w:right w:val="nil"/>
                <w:between w:val="nil"/>
                <w:bar w:val="nil"/>
              </w:pBdr>
              <w:tabs>
                <w:tab w:val="left" w:pos="1635"/>
              </w:tabs>
              <w:rPr>
                <w:b/>
                <w:sz w:val="17"/>
                <w:szCs w:val="17"/>
                <w:lang w:val="en-AU" w:eastAsia="en-AU"/>
              </w:rPr>
            </w:pPr>
          </w:p>
          <w:p w14:paraId="5CC38E4D" w14:textId="77777777" w:rsidR="003D024C" w:rsidRPr="00BD427A" w:rsidRDefault="003D024C" w:rsidP="00E007F5">
            <w:pPr>
              <w:pBdr>
                <w:top w:val="nil"/>
                <w:left w:val="nil"/>
                <w:bottom w:val="nil"/>
                <w:right w:val="nil"/>
                <w:between w:val="nil"/>
                <w:bar w:val="nil"/>
              </w:pBdr>
              <w:tabs>
                <w:tab w:val="left" w:pos="1635"/>
              </w:tabs>
              <w:rPr>
                <w:b/>
                <w:sz w:val="17"/>
                <w:szCs w:val="17"/>
                <w:lang w:val="en-AU" w:eastAsia="en-AU"/>
              </w:rPr>
            </w:pPr>
          </w:p>
          <w:p w14:paraId="5536F5D7"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p>
        </w:tc>
        <w:tc>
          <w:tcPr>
            <w:tcW w:w="1276" w:type="dxa"/>
          </w:tcPr>
          <w:p w14:paraId="38821917" w14:textId="77777777" w:rsidR="003D024C" w:rsidRPr="00BD427A" w:rsidRDefault="003D024C" w:rsidP="00E007F5">
            <w:pPr>
              <w:tabs>
                <w:tab w:val="left" w:pos="1635"/>
              </w:tabs>
              <w:rPr>
                <w:i/>
                <w:sz w:val="17"/>
                <w:szCs w:val="17"/>
                <w:lang w:eastAsia="en-AU"/>
              </w:rPr>
            </w:pPr>
            <w:r w:rsidRPr="00BD427A">
              <w:rPr>
                <w:i/>
                <w:sz w:val="17"/>
                <w:szCs w:val="17"/>
              </w:rPr>
              <w:t>2.1 Percentage of rebuilt schools and health centres that receive certification as complying with Fiji's National Building Code or higher certified by an engineer</w:t>
            </w:r>
          </w:p>
        </w:tc>
        <w:tc>
          <w:tcPr>
            <w:tcW w:w="1418" w:type="dxa"/>
          </w:tcPr>
          <w:p w14:paraId="720954FA" w14:textId="77777777" w:rsidR="003D024C" w:rsidRPr="00BD427A" w:rsidRDefault="003D024C" w:rsidP="00E007F5">
            <w:pPr>
              <w:tabs>
                <w:tab w:val="left" w:pos="1635"/>
              </w:tabs>
              <w:rPr>
                <w:sz w:val="17"/>
                <w:szCs w:val="17"/>
                <w:lang w:eastAsia="en-AU"/>
              </w:rPr>
            </w:pPr>
            <w:r w:rsidRPr="00BD427A">
              <w:rPr>
                <w:sz w:val="17"/>
                <w:szCs w:val="17"/>
              </w:rPr>
              <w:t>0 (as at 1 July 2016)</w:t>
            </w:r>
          </w:p>
        </w:tc>
        <w:tc>
          <w:tcPr>
            <w:tcW w:w="1701" w:type="dxa"/>
          </w:tcPr>
          <w:p w14:paraId="6B0E01EA" w14:textId="77777777" w:rsidR="003D024C" w:rsidRPr="00BD427A" w:rsidRDefault="003D024C" w:rsidP="00E007F5">
            <w:pPr>
              <w:tabs>
                <w:tab w:val="left" w:pos="1635"/>
              </w:tabs>
              <w:rPr>
                <w:sz w:val="17"/>
                <w:szCs w:val="17"/>
                <w:lang w:eastAsia="en-AU"/>
              </w:rPr>
            </w:pPr>
            <w:r w:rsidRPr="00BD427A">
              <w:rPr>
                <w:sz w:val="17"/>
                <w:szCs w:val="17"/>
              </w:rPr>
              <w:t>Health centre 5% complete; schools 39% complete</w:t>
            </w:r>
          </w:p>
        </w:tc>
        <w:tc>
          <w:tcPr>
            <w:tcW w:w="1984" w:type="dxa"/>
          </w:tcPr>
          <w:p w14:paraId="136C5B08" w14:textId="77777777" w:rsidR="003D024C" w:rsidRPr="00BD427A" w:rsidRDefault="003D024C" w:rsidP="00E007F5">
            <w:pPr>
              <w:tabs>
                <w:tab w:val="left" w:pos="1635"/>
              </w:tabs>
              <w:rPr>
                <w:sz w:val="17"/>
                <w:szCs w:val="17"/>
                <w:lang w:eastAsia="en-AU"/>
              </w:rPr>
            </w:pPr>
            <w:r w:rsidRPr="00BD427A">
              <w:rPr>
                <w:sz w:val="17"/>
                <w:szCs w:val="17"/>
              </w:rPr>
              <w:t>100% by December 2017</w:t>
            </w:r>
          </w:p>
        </w:tc>
        <w:tc>
          <w:tcPr>
            <w:tcW w:w="1418" w:type="dxa"/>
            <w:shd w:val="clear" w:color="auto" w:fill="auto"/>
          </w:tcPr>
          <w:p w14:paraId="3EED0079" w14:textId="1D16B4EE" w:rsidR="003D024C" w:rsidRPr="00BD427A" w:rsidRDefault="003D024C" w:rsidP="00675DCC">
            <w:pPr>
              <w:tabs>
                <w:tab w:val="left" w:pos="1635"/>
              </w:tabs>
              <w:rPr>
                <w:sz w:val="17"/>
                <w:szCs w:val="17"/>
                <w:lang w:eastAsia="en-AU"/>
              </w:rPr>
            </w:pPr>
            <w:r w:rsidRPr="00BD427A">
              <w:rPr>
                <w:sz w:val="17"/>
                <w:szCs w:val="17"/>
              </w:rPr>
              <w:t xml:space="preserve">Health centres: Waimaro 100%; </w:t>
            </w:r>
            <w:r w:rsidR="00675DCC">
              <w:rPr>
                <w:sz w:val="17"/>
                <w:szCs w:val="17"/>
              </w:rPr>
              <w:t>Koro</w:t>
            </w:r>
            <w:r w:rsidR="00675DCC" w:rsidRPr="00BD427A">
              <w:rPr>
                <w:sz w:val="17"/>
                <w:szCs w:val="17"/>
              </w:rPr>
              <w:t xml:space="preserve"> </w:t>
            </w:r>
            <w:r w:rsidRPr="00BD427A">
              <w:rPr>
                <w:sz w:val="17"/>
                <w:szCs w:val="17"/>
              </w:rPr>
              <w:t>97%; 13 schools in Ra and Koro 100%; 5 in Koro 85%</w:t>
            </w:r>
          </w:p>
        </w:tc>
        <w:tc>
          <w:tcPr>
            <w:tcW w:w="3260" w:type="dxa"/>
          </w:tcPr>
          <w:p w14:paraId="2537EF23" w14:textId="77777777" w:rsidR="003D024C" w:rsidRPr="00BD427A" w:rsidRDefault="003D024C" w:rsidP="00E007F5">
            <w:pPr>
              <w:tabs>
                <w:tab w:val="left" w:pos="1635"/>
              </w:tabs>
              <w:rPr>
                <w:sz w:val="17"/>
                <w:szCs w:val="17"/>
                <w:lang w:eastAsia="en-AU"/>
              </w:rPr>
            </w:pPr>
            <w:r w:rsidRPr="00BD427A">
              <w:rPr>
                <w:sz w:val="17"/>
                <w:szCs w:val="17"/>
              </w:rPr>
              <w:t>Significant delays with 5 Koro schools due to adverse weather, materials shortage, sub-contractor capacity</w:t>
            </w:r>
          </w:p>
        </w:tc>
        <w:tc>
          <w:tcPr>
            <w:tcW w:w="2126" w:type="dxa"/>
            <w:vMerge/>
          </w:tcPr>
          <w:p w14:paraId="6DDDC8A3" w14:textId="77777777" w:rsidR="003D024C" w:rsidRPr="00BF7C40" w:rsidRDefault="003D024C" w:rsidP="00E007F5">
            <w:pPr>
              <w:tabs>
                <w:tab w:val="left" w:pos="1635"/>
              </w:tabs>
              <w:rPr>
                <w:sz w:val="17"/>
                <w:szCs w:val="17"/>
                <w:lang w:eastAsia="en-AU"/>
              </w:rPr>
            </w:pPr>
          </w:p>
        </w:tc>
      </w:tr>
      <w:tr w:rsidR="003D024C" w:rsidRPr="00BF7C40" w14:paraId="61285A23" w14:textId="77777777" w:rsidTr="00E007F5">
        <w:trPr>
          <w:trHeight w:val="172"/>
        </w:trPr>
        <w:tc>
          <w:tcPr>
            <w:tcW w:w="1696" w:type="dxa"/>
            <w:vMerge/>
          </w:tcPr>
          <w:p w14:paraId="38BF9451"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p>
        </w:tc>
        <w:tc>
          <w:tcPr>
            <w:tcW w:w="1276" w:type="dxa"/>
          </w:tcPr>
          <w:p w14:paraId="28A9C6F6" w14:textId="77777777" w:rsidR="003D024C" w:rsidRPr="00BD427A" w:rsidRDefault="003D024C" w:rsidP="00E007F5">
            <w:pPr>
              <w:tabs>
                <w:tab w:val="left" w:pos="1635"/>
              </w:tabs>
              <w:rPr>
                <w:i/>
                <w:sz w:val="17"/>
                <w:szCs w:val="17"/>
                <w:lang w:eastAsia="en-AU"/>
              </w:rPr>
            </w:pPr>
            <w:r w:rsidRPr="00BD427A">
              <w:rPr>
                <w:i/>
                <w:sz w:val="17"/>
                <w:szCs w:val="17"/>
              </w:rPr>
              <w:t>2.2 Number of TC-Winston schools with rebuilt facilities (including early childhood centres)</w:t>
            </w:r>
          </w:p>
        </w:tc>
        <w:tc>
          <w:tcPr>
            <w:tcW w:w="1418" w:type="dxa"/>
          </w:tcPr>
          <w:p w14:paraId="1442958D" w14:textId="77777777" w:rsidR="003D024C" w:rsidRPr="00BD427A" w:rsidRDefault="003D024C" w:rsidP="00E007F5">
            <w:pPr>
              <w:tabs>
                <w:tab w:val="left" w:pos="1635"/>
              </w:tabs>
              <w:rPr>
                <w:sz w:val="17"/>
                <w:szCs w:val="17"/>
                <w:lang w:eastAsia="en-AU"/>
              </w:rPr>
            </w:pPr>
            <w:r w:rsidRPr="00BD427A">
              <w:rPr>
                <w:sz w:val="17"/>
                <w:szCs w:val="17"/>
              </w:rPr>
              <w:t xml:space="preserve">0 of 18 (as at 1 July 2016) </w:t>
            </w:r>
          </w:p>
        </w:tc>
        <w:tc>
          <w:tcPr>
            <w:tcW w:w="1701" w:type="dxa"/>
          </w:tcPr>
          <w:p w14:paraId="596FEEF4" w14:textId="77777777" w:rsidR="003D024C" w:rsidRPr="00BD427A" w:rsidRDefault="003D024C" w:rsidP="00E007F5">
            <w:pPr>
              <w:tabs>
                <w:tab w:val="left" w:pos="1635"/>
              </w:tabs>
              <w:rPr>
                <w:sz w:val="17"/>
                <w:szCs w:val="17"/>
                <w:lang w:eastAsia="en-AU"/>
              </w:rPr>
            </w:pPr>
            <w:r w:rsidRPr="00BD427A">
              <w:rPr>
                <w:sz w:val="17"/>
                <w:szCs w:val="17"/>
              </w:rPr>
              <w:t>Average of 39% of work completed across 18 schools</w:t>
            </w:r>
          </w:p>
        </w:tc>
        <w:tc>
          <w:tcPr>
            <w:tcW w:w="1984" w:type="dxa"/>
          </w:tcPr>
          <w:p w14:paraId="362EF157" w14:textId="77777777" w:rsidR="003D024C" w:rsidRPr="00BD427A" w:rsidRDefault="003D024C" w:rsidP="00E007F5">
            <w:pPr>
              <w:tabs>
                <w:tab w:val="left" w:pos="1635"/>
              </w:tabs>
              <w:rPr>
                <w:sz w:val="17"/>
                <w:szCs w:val="17"/>
                <w:lang w:eastAsia="en-AU"/>
              </w:rPr>
            </w:pPr>
            <w:r w:rsidRPr="00BD427A">
              <w:rPr>
                <w:sz w:val="17"/>
                <w:szCs w:val="17"/>
              </w:rPr>
              <w:t>18 schools (12 Ra &amp; 6 Koro) complete by December 2017</w:t>
            </w:r>
          </w:p>
        </w:tc>
        <w:tc>
          <w:tcPr>
            <w:tcW w:w="1418" w:type="dxa"/>
            <w:shd w:val="clear" w:color="auto" w:fill="auto"/>
          </w:tcPr>
          <w:p w14:paraId="41ED6342" w14:textId="77777777" w:rsidR="003D024C" w:rsidRPr="00BD427A" w:rsidRDefault="003D024C" w:rsidP="00E007F5">
            <w:pPr>
              <w:tabs>
                <w:tab w:val="left" w:pos="1635"/>
              </w:tabs>
              <w:rPr>
                <w:sz w:val="17"/>
                <w:szCs w:val="17"/>
                <w:lang w:eastAsia="en-AU"/>
              </w:rPr>
            </w:pPr>
            <w:r w:rsidRPr="00BD427A">
              <w:rPr>
                <w:sz w:val="17"/>
                <w:szCs w:val="17"/>
              </w:rPr>
              <w:t>12 schools in Ra, 1 in Koro completed in March 2018; 5 schools in Koro yet to complete</w:t>
            </w:r>
          </w:p>
        </w:tc>
        <w:tc>
          <w:tcPr>
            <w:tcW w:w="3260" w:type="dxa"/>
          </w:tcPr>
          <w:p w14:paraId="4B05ADD9" w14:textId="77777777" w:rsidR="003D024C" w:rsidRPr="00BD427A" w:rsidRDefault="003D024C" w:rsidP="00E007F5">
            <w:pPr>
              <w:tabs>
                <w:tab w:val="left" w:pos="1635"/>
              </w:tabs>
              <w:rPr>
                <w:sz w:val="17"/>
                <w:szCs w:val="17"/>
                <w:lang w:eastAsia="en-AU"/>
              </w:rPr>
            </w:pPr>
            <w:r w:rsidRPr="00BD427A">
              <w:rPr>
                <w:sz w:val="17"/>
                <w:szCs w:val="17"/>
              </w:rPr>
              <w:t>Significant delays with 5 Koro schools due to adverse weather, materials shortage, sub-contractor capacity</w:t>
            </w:r>
          </w:p>
        </w:tc>
        <w:tc>
          <w:tcPr>
            <w:tcW w:w="2126" w:type="dxa"/>
            <w:vMerge/>
          </w:tcPr>
          <w:p w14:paraId="33EB33A0" w14:textId="77777777" w:rsidR="003D024C" w:rsidRPr="00BF7C40" w:rsidRDefault="003D024C" w:rsidP="00E007F5">
            <w:pPr>
              <w:tabs>
                <w:tab w:val="left" w:pos="1635"/>
              </w:tabs>
              <w:rPr>
                <w:sz w:val="17"/>
                <w:szCs w:val="17"/>
                <w:lang w:eastAsia="en-AU"/>
              </w:rPr>
            </w:pPr>
          </w:p>
        </w:tc>
      </w:tr>
      <w:tr w:rsidR="003D024C" w:rsidRPr="00BF7C40" w14:paraId="2B409E0E" w14:textId="77777777" w:rsidTr="00E007F5">
        <w:trPr>
          <w:trHeight w:val="172"/>
        </w:trPr>
        <w:tc>
          <w:tcPr>
            <w:tcW w:w="1696" w:type="dxa"/>
            <w:vMerge/>
          </w:tcPr>
          <w:p w14:paraId="6416E8D3"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p>
        </w:tc>
        <w:tc>
          <w:tcPr>
            <w:tcW w:w="1276" w:type="dxa"/>
          </w:tcPr>
          <w:p w14:paraId="5DEEC702" w14:textId="77777777" w:rsidR="003D024C" w:rsidRPr="00BD427A" w:rsidRDefault="003D024C" w:rsidP="00E007F5">
            <w:pPr>
              <w:tabs>
                <w:tab w:val="left" w:pos="1635"/>
              </w:tabs>
              <w:rPr>
                <w:i/>
                <w:sz w:val="17"/>
                <w:szCs w:val="17"/>
                <w:lang w:eastAsia="en-AU"/>
              </w:rPr>
            </w:pPr>
            <w:r w:rsidRPr="00BD427A">
              <w:rPr>
                <w:i/>
                <w:sz w:val="17"/>
                <w:szCs w:val="17"/>
              </w:rPr>
              <w:t>2.3 Number of health facilities with improved facilities (including new or replaced solar systems, medical equipment)</w:t>
            </w:r>
          </w:p>
        </w:tc>
        <w:tc>
          <w:tcPr>
            <w:tcW w:w="1418" w:type="dxa"/>
          </w:tcPr>
          <w:p w14:paraId="2C558832" w14:textId="77777777" w:rsidR="003D024C" w:rsidRPr="00BD427A" w:rsidRDefault="003D024C" w:rsidP="00E007F5">
            <w:pPr>
              <w:tabs>
                <w:tab w:val="left" w:pos="1635"/>
              </w:tabs>
              <w:rPr>
                <w:sz w:val="17"/>
                <w:szCs w:val="17"/>
                <w:lang w:eastAsia="en-AU"/>
              </w:rPr>
            </w:pPr>
            <w:r w:rsidRPr="00BD427A">
              <w:rPr>
                <w:sz w:val="17"/>
                <w:szCs w:val="17"/>
              </w:rPr>
              <w:t xml:space="preserve">0 of 2 (as at 1 July 2016) </w:t>
            </w:r>
          </w:p>
        </w:tc>
        <w:tc>
          <w:tcPr>
            <w:tcW w:w="1701" w:type="dxa"/>
          </w:tcPr>
          <w:p w14:paraId="6856B24A" w14:textId="77777777" w:rsidR="003D024C" w:rsidRPr="00BD427A" w:rsidRDefault="003D024C" w:rsidP="00E007F5">
            <w:pPr>
              <w:tabs>
                <w:tab w:val="left" w:pos="1635"/>
              </w:tabs>
              <w:rPr>
                <w:sz w:val="17"/>
                <w:szCs w:val="17"/>
                <w:lang w:eastAsia="en-AU"/>
              </w:rPr>
            </w:pPr>
            <w:r w:rsidRPr="00BD427A">
              <w:rPr>
                <w:sz w:val="17"/>
                <w:szCs w:val="17"/>
              </w:rPr>
              <w:t>Waimaro Health Centre rebuilding 5% complete; equipment procured</w:t>
            </w:r>
          </w:p>
        </w:tc>
        <w:tc>
          <w:tcPr>
            <w:tcW w:w="1984" w:type="dxa"/>
          </w:tcPr>
          <w:p w14:paraId="6102AFB3" w14:textId="12784122" w:rsidR="003D024C" w:rsidRPr="00BD427A" w:rsidRDefault="003D024C" w:rsidP="00675DCC">
            <w:pPr>
              <w:tabs>
                <w:tab w:val="left" w:pos="1635"/>
              </w:tabs>
              <w:rPr>
                <w:sz w:val="17"/>
                <w:szCs w:val="17"/>
                <w:lang w:eastAsia="en-AU"/>
              </w:rPr>
            </w:pPr>
            <w:r w:rsidRPr="00BD427A">
              <w:rPr>
                <w:sz w:val="17"/>
                <w:szCs w:val="17"/>
              </w:rPr>
              <w:t xml:space="preserve">Waimaro Health Centre complete by December 2017; </w:t>
            </w:r>
            <w:r w:rsidR="00675DCC">
              <w:rPr>
                <w:sz w:val="17"/>
                <w:szCs w:val="17"/>
              </w:rPr>
              <w:t>Koro</w:t>
            </w:r>
            <w:r w:rsidR="00675DCC" w:rsidRPr="00BD427A">
              <w:rPr>
                <w:sz w:val="17"/>
                <w:szCs w:val="17"/>
              </w:rPr>
              <w:t xml:space="preserve"> </w:t>
            </w:r>
            <w:r w:rsidRPr="00BD427A">
              <w:rPr>
                <w:sz w:val="17"/>
                <w:szCs w:val="17"/>
              </w:rPr>
              <w:t>Health Centre has improved facilities/equipment by June 2018</w:t>
            </w:r>
          </w:p>
        </w:tc>
        <w:tc>
          <w:tcPr>
            <w:tcW w:w="1418" w:type="dxa"/>
            <w:shd w:val="clear" w:color="auto" w:fill="auto"/>
          </w:tcPr>
          <w:p w14:paraId="3F1B58AB" w14:textId="5EF07EDF" w:rsidR="003D024C" w:rsidRPr="00BD427A" w:rsidRDefault="003D024C" w:rsidP="00675DCC">
            <w:pPr>
              <w:tabs>
                <w:tab w:val="left" w:pos="1635"/>
              </w:tabs>
              <w:rPr>
                <w:sz w:val="17"/>
                <w:szCs w:val="17"/>
                <w:lang w:eastAsia="en-AU"/>
              </w:rPr>
            </w:pPr>
            <w:r w:rsidRPr="00BD427A">
              <w:rPr>
                <w:sz w:val="17"/>
                <w:szCs w:val="17"/>
              </w:rPr>
              <w:t xml:space="preserve">Waimaro completed in March 2018; </w:t>
            </w:r>
            <w:r w:rsidR="00675DCC">
              <w:rPr>
                <w:sz w:val="17"/>
                <w:szCs w:val="17"/>
              </w:rPr>
              <w:t>Koro</w:t>
            </w:r>
            <w:r w:rsidR="00675DCC" w:rsidRPr="00BD427A">
              <w:rPr>
                <w:sz w:val="17"/>
                <w:szCs w:val="17"/>
              </w:rPr>
              <w:t xml:space="preserve"> </w:t>
            </w:r>
            <w:r w:rsidRPr="00BD427A">
              <w:rPr>
                <w:sz w:val="17"/>
                <w:szCs w:val="17"/>
              </w:rPr>
              <w:t>to complete in August 2018</w:t>
            </w:r>
          </w:p>
        </w:tc>
        <w:tc>
          <w:tcPr>
            <w:tcW w:w="3260" w:type="dxa"/>
          </w:tcPr>
          <w:p w14:paraId="17256E84" w14:textId="77777777" w:rsidR="003D024C" w:rsidRPr="00BD427A" w:rsidRDefault="003D024C" w:rsidP="00E007F5">
            <w:pPr>
              <w:tabs>
                <w:tab w:val="left" w:pos="1635"/>
              </w:tabs>
              <w:rPr>
                <w:sz w:val="17"/>
                <w:szCs w:val="17"/>
                <w:lang w:eastAsia="en-AU"/>
              </w:rPr>
            </w:pPr>
            <w:r w:rsidRPr="00BD427A">
              <w:rPr>
                <w:sz w:val="17"/>
                <w:szCs w:val="17"/>
              </w:rPr>
              <w:t>Minor delays due to weather, materials/labour shortages</w:t>
            </w:r>
          </w:p>
        </w:tc>
        <w:tc>
          <w:tcPr>
            <w:tcW w:w="2126" w:type="dxa"/>
            <w:vMerge/>
          </w:tcPr>
          <w:p w14:paraId="120D81FE" w14:textId="77777777" w:rsidR="003D024C" w:rsidRPr="00BF7C40" w:rsidRDefault="003D024C" w:rsidP="00E007F5">
            <w:pPr>
              <w:tabs>
                <w:tab w:val="left" w:pos="1635"/>
              </w:tabs>
              <w:rPr>
                <w:sz w:val="17"/>
                <w:szCs w:val="17"/>
                <w:lang w:eastAsia="en-AU"/>
              </w:rPr>
            </w:pPr>
          </w:p>
        </w:tc>
      </w:tr>
      <w:tr w:rsidR="003D024C" w:rsidRPr="00BF7C40" w14:paraId="600EB1B7" w14:textId="77777777" w:rsidTr="00E007F5">
        <w:trPr>
          <w:trHeight w:val="172"/>
        </w:trPr>
        <w:tc>
          <w:tcPr>
            <w:tcW w:w="1696" w:type="dxa"/>
            <w:vMerge/>
          </w:tcPr>
          <w:p w14:paraId="68FC3C13" w14:textId="77777777" w:rsidR="003D024C" w:rsidRPr="00BF7C40" w:rsidRDefault="003D024C" w:rsidP="00E007F5">
            <w:pPr>
              <w:pBdr>
                <w:top w:val="nil"/>
                <w:left w:val="nil"/>
                <w:bottom w:val="nil"/>
                <w:right w:val="nil"/>
                <w:between w:val="nil"/>
                <w:bar w:val="nil"/>
              </w:pBdr>
              <w:tabs>
                <w:tab w:val="left" w:pos="1635"/>
              </w:tabs>
              <w:rPr>
                <w:b/>
                <w:sz w:val="17"/>
                <w:szCs w:val="17"/>
                <w:lang w:val="en-AU" w:eastAsia="en-AU"/>
              </w:rPr>
            </w:pPr>
          </w:p>
        </w:tc>
        <w:tc>
          <w:tcPr>
            <w:tcW w:w="1276" w:type="dxa"/>
          </w:tcPr>
          <w:p w14:paraId="2F999F90" w14:textId="77777777" w:rsidR="003D024C" w:rsidRPr="00BD427A" w:rsidRDefault="003D024C" w:rsidP="00E007F5">
            <w:pPr>
              <w:tabs>
                <w:tab w:val="left" w:pos="1635"/>
              </w:tabs>
              <w:rPr>
                <w:i/>
                <w:sz w:val="17"/>
                <w:szCs w:val="17"/>
                <w:lang w:eastAsia="en-AU"/>
              </w:rPr>
            </w:pPr>
            <w:r w:rsidRPr="00BD427A">
              <w:rPr>
                <w:i/>
                <w:sz w:val="17"/>
                <w:szCs w:val="17"/>
              </w:rPr>
              <w:t>2.4 Percentage of reconstructed buildings that meet universal access standards (note: not applicable to repaired buildings).</w:t>
            </w:r>
          </w:p>
        </w:tc>
        <w:tc>
          <w:tcPr>
            <w:tcW w:w="1418" w:type="dxa"/>
          </w:tcPr>
          <w:p w14:paraId="338B180D" w14:textId="77777777" w:rsidR="003D024C" w:rsidRPr="00BD427A" w:rsidRDefault="003D024C" w:rsidP="00E007F5">
            <w:pPr>
              <w:tabs>
                <w:tab w:val="left" w:pos="1635"/>
              </w:tabs>
              <w:rPr>
                <w:sz w:val="17"/>
                <w:szCs w:val="17"/>
                <w:lang w:eastAsia="en-AU"/>
              </w:rPr>
            </w:pPr>
            <w:r w:rsidRPr="00BD427A">
              <w:rPr>
                <w:sz w:val="17"/>
                <w:szCs w:val="17"/>
              </w:rPr>
              <w:t>0 (as at 1 July 2016)</w:t>
            </w:r>
          </w:p>
        </w:tc>
        <w:tc>
          <w:tcPr>
            <w:tcW w:w="1701" w:type="dxa"/>
          </w:tcPr>
          <w:p w14:paraId="7A268229" w14:textId="77777777" w:rsidR="003D024C" w:rsidRPr="00BD427A" w:rsidRDefault="003D024C" w:rsidP="00E007F5">
            <w:pPr>
              <w:tabs>
                <w:tab w:val="left" w:pos="1635"/>
              </w:tabs>
              <w:rPr>
                <w:sz w:val="17"/>
                <w:szCs w:val="17"/>
                <w:lang w:eastAsia="en-AU"/>
              </w:rPr>
            </w:pPr>
            <w:r w:rsidRPr="00BD427A">
              <w:rPr>
                <w:sz w:val="17"/>
                <w:szCs w:val="17"/>
              </w:rPr>
              <w:t>Health centre 5% complete; schools 39% complete</w:t>
            </w:r>
          </w:p>
        </w:tc>
        <w:tc>
          <w:tcPr>
            <w:tcW w:w="1984" w:type="dxa"/>
          </w:tcPr>
          <w:p w14:paraId="325C5E20" w14:textId="77777777" w:rsidR="003D024C" w:rsidRPr="00BD427A" w:rsidRDefault="003D024C" w:rsidP="00E007F5">
            <w:pPr>
              <w:tabs>
                <w:tab w:val="left" w:pos="1635"/>
              </w:tabs>
              <w:rPr>
                <w:sz w:val="17"/>
                <w:szCs w:val="17"/>
                <w:lang w:eastAsia="en-AU"/>
              </w:rPr>
            </w:pPr>
            <w:r w:rsidRPr="00BD427A">
              <w:rPr>
                <w:sz w:val="17"/>
                <w:szCs w:val="17"/>
              </w:rPr>
              <w:t>100%</w:t>
            </w:r>
          </w:p>
        </w:tc>
        <w:tc>
          <w:tcPr>
            <w:tcW w:w="1418" w:type="dxa"/>
            <w:shd w:val="clear" w:color="auto" w:fill="auto"/>
          </w:tcPr>
          <w:p w14:paraId="1C93B596" w14:textId="7628F99E" w:rsidR="003D024C" w:rsidRPr="00BD427A" w:rsidRDefault="003D024C" w:rsidP="00675DCC">
            <w:pPr>
              <w:tabs>
                <w:tab w:val="left" w:pos="1635"/>
              </w:tabs>
              <w:rPr>
                <w:sz w:val="17"/>
                <w:szCs w:val="17"/>
                <w:lang w:eastAsia="en-AU"/>
              </w:rPr>
            </w:pPr>
            <w:r w:rsidRPr="00BD427A">
              <w:rPr>
                <w:sz w:val="17"/>
                <w:szCs w:val="17"/>
              </w:rPr>
              <w:t xml:space="preserve">Health centres: Waimaro 100%; </w:t>
            </w:r>
            <w:r w:rsidR="00675DCC">
              <w:rPr>
                <w:sz w:val="17"/>
                <w:szCs w:val="17"/>
              </w:rPr>
              <w:t>Koro</w:t>
            </w:r>
            <w:r w:rsidR="00675DCC" w:rsidRPr="00BD427A">
              <w:rPr>
                <w:sz w:val="17"/>
                <w:szCs w:val="17"/>
              </w:rPr>
              <w:t xml:space="preserve"> </w:t>
            </w:r>
            <w:r w:rsidRPr="00BD427A">
              <w:rPr>
                <w:sz w:val="17"/>
                <w:szCs w:val="17"/>
              </w:rPr>
              <w:t>97%; 13 schools in Ra and Koro 100%; 5 in Koro 85%</w:t>
            </w:r>
          </w:p>
        </w:tc>
        <w:tc>
          <w:tcPr>
            <w:tcW w:w="3260" w:type="dxa"/>
          </w:tcPr>
          <w:p w14:paraId="69AA0BAA" w14:textId="77777777" w:rsidR="003D024C" w:rsidRPr="00BD427A" w:rsidRDefault="003D024C" w:rsidP="00E007F5">
            <w:pPr>
              <w:tabs>
                <w:tab w:val="left" w:pos="1635"/>
              </w:tabs>
              <w:rPr>
                <w:sz w:val="17"/>
                <w:szCs w:val="17"/>
                <w:lang w:eastAsia="en-AU"/>
              </w:rPr>
            </w:pPr>
            <w:r w:rsidRPr="00BD427A">
              <w:rPr>
                <w:sz w:val="17"/>
                <w:szCs w:val="17"/>
              </w:rPr>
              <w:t>Significant delays with 5 Koro schools due to adverse weather, materials shortage, sub-contractor capacity</w:t>
            </w:r>
          </w:p>
        </w:tc>
        <w:tc>
          <w:tcPr>
            <w:tcW w:w="2126" w:type="dxa"/>
            <w:vMerge/>
          </w:tcPr>
          <w:p w14:paraId="3B8E603C" w14:textId="77777777" w:rsidR="003D024C" w:rsidRPr="00BF7C40" w:rsidRDefault="003D024C" w:rsidP="00E007F5">
            <w:pPr>
              <w:tabs>
                <w:tab w:val="left" w:pos="1635"/>
              </w:tabs>
              <w:rPr>
                <w:sz w:val="17"/>
                <w:szCs w:val="17"/>
                <w:lang w:eastAsia="en-AU"/>
              </w:rPr>
            </w:pPr>
          </w:p>
        </w:tc>
      </w:tr>
      <w:tr w:rsidR="003D024C" w:rsidRPr="00BF7C40" w14:paraId="1C5667CE" w14:textId="77777777" w:rsidTr="00E007F5">
        <w:trPr>
          <w:trHeight w:val="513"/>
        </w:trPr>
        <w:tc>
          <w:tcPr>
            <w:tcW w:w="1696" w:type="dxa"/>
          </w:tcPr>
          <w:p w14:paraId="2EC4A41B" w14:textId="77777777" w:rsidR="003D024C" w:rsidRPr="00BF7C40" w:rsidRDefault="003D024C" w:rsidP="00E007F5">
            <w:pPr>
              <w:pBdr>
                <w:top w:val="nil"/>
                <w:left w:val="nil"/>
                <w:bottom w:val="nil"/>
                <w:right w:val="nil"/>
                <w:between w:val="nil"/>
                <w:bar w:val="nil"/>
              </w:pBdr>
              <w:tabs>
                <w:tab w:val="left" w:pos="1635"/>
              </w:tabs>
              <w:suppressAutoHyphens w:val="0"/>
              <w:spacing w:before="0" w:after="0" w:line="240" w:lineRule="auto"/>
              <w:rPr>
                <w:b/>
                <w:sz w:val="17"/>
                <w:szCs w:val="17"/>
                <w:lang w:val="en-AU" w:eastAsia="en-AU"/>
              </w:rPr>
            </w:pPr>
            <w:r w:rsidRPr="00BD427A">
              <w:rPr>
                <w:b/>
                <w:sz w:val="17"/>
                <w:szCs w:val="17"/>
                <w:lang w:val="en-AU" w:eastAsia="en-AU"/>
              </w:rPr>
              <w:t>Outcome 3: Increased livelihood opportunities for those affected, particularly women, in Rakiraki</w:t>
            </w:r>
          </w:p>
        </w:tc>
        <w:tc>
          <w:tcPr>
            <w:tcW w:w="1276" w:type="dxa"/>
          </w:tcPr>
          <w:p w14:paraId="48D8657E" w14:textId="77777777" w:rsidR="003D024C" w:rsidRPr="00BD427A" w:rsidRDefault="003D024C" w:rsidP="00E007F5">
            <w:pPr>
              <w:tabs>
                <w:tab w:val="left" w:pos="1635"/>
              </w:tabs>
              <w:rPr>
                <w:i/>
                <w:sz w:val="17"/>
                <w:szCs w:val="17"/>
                <w:lang w:eastAsia="en-AU"/>
              </w:rPr>
            </w:pPr>
            <w:r w:rsidRPr="00BD427A">
              <w:rPr>
                <w:i/>
                <w:sz w:val="17"/>
                <w:szCs w:val="17"/>
              </w:rPr>
              <w:t>3.1 TC Winston-affected marketplace with improved gender-responsive infrastructure that better meets the health, safety, universal access, and convenience needs of women market vendors.</w:t>
            </w:r>
          </w:p>
        </w:tc>
        <w:tc>
          <w:tcPr>
            <w:tcW w:w="1418" w:type="dxa"/>
          </w:tcPr>
          <w:p w14:paraId="30BA69C4" w14:textId="77777777" w:rsidR="003D024C" w:rsidRPr="00BD427A" w:rsidRDefault="003D024C" w:rsidP="00E007F5">
            <w:pPr>
              <w:tabs>
                <w:tab w:val="left" w:pos="1635"/>
              </w:tabs>
              <w:rPr>
                <w:sz w:val="17"/>
                <w:szCs w:val="17"/>
                <w:lang w:eastAsia="en-AU"/>
              </w:rPr>
            </w:pPr>
            <w:r w:rsidRPr="00BD427A">
              <w:rPr>
                <w:sz w:val="17"/>
                <w:szCs w:val="17"/>
              </w:rPr>
              <w:t xml:space="preserve">0 (as at 1 July 2016) </w:t>
            </w:r>
          </w:p>
        </w:tc>
        <w:tc>
          <w:tcPr>
            <w:tcW w:w="1701" w:type="dxa"/>
          </w:tcPr>
          <w:p w14:paraId="7A78599E" w14:textId="77777777" w:rsidR="003D024C" w:rsidRPr="00BD427A" w:rsidRDefault="003D024C" w:rsidP="00E007F5">
            <w:pPr>
              <w:tabs>
                <w:tab w:val="left" w:pos="1635"/>
              </w:tabs>
              <w:rPr>
                <w:sz w:val="17"/>
                <w:szCs w:val="17"/>
                <w:lang w:eastAsia="en-AU"/>
              </w:rPr>
            </w:pPr>
            <w:r w:rsidRPr="00BD427A">
              <w:rPr>
                <w:sz w:val="17"/>
                <w:szCs w:val="17"/>
              </w:rPr>
              <w:t>Work commenced on Rakiraki Municipal Market</w:t>
            </w:r>
          </w:p>
        </w:tc>
        <w:tc>
          <w:tcPr>
            <w:tcW w:w="1984" w:type="dxa"/>
          </w:tcPr>
          <w:p w14:paraId="7613054C" w14:textId="77777777" w:rsidR="003D024C" w:rsidRPr="00BD427A" w:rsidRDefault="003D024C" w:rsidP="00E007F5">
            <w:pPr>
              <w:tabs>
                <w:tab w:val="left" w:pos="1635"/>
              </w:tabs>
              <w:rPr>
                <w:sz w:val="17"/>
                <w:szCs w:val="17"/>
                <w:lang w:eastAsia="en-AU"/>
              </w:rPr>
            </w:pPr>
            <w:r w:rsidRPr="00BD427A">
              <w:rPr>
                <w:sz w:val="17"/>
                <w:szCs w:val="17"/>
              </w:rPr>
              <w:t>Rakiraki market upgrade complete by June 2018, including accommodation centres</w:t>
            </w:r>
          </w:p>
        </w:tc>
        <w:tc>
          <w:tcPr>
            <w:tcW w:w="1418" w:type="dxa"/>
            <w:shd w:val="clear" w:color="auto" w:fill="auto"/>
          </w:tcPr>
          <w:p w14:paraId="52BF1B09" w14:textId="77777777" w:rsidR="003D024C" w:rsidRPr="00BD427A" w:rsidRDefault="003D024C" w:rsidP="00E007F5">
            <w:pPr>
              <w:tabs>
                <w:tab w:val="left" w:pos="1635"/>
              </w:tabs>
              <w:rPr>
                <w:iCs/>
                <w:sz w:val="17"/>
                <w:szCs w:val="17"/>
                <w:lang w:val="en-AU" w:eastAsia="en-AU"/>
              </w:rPr>
            </w:pPr>
            <w:r w:rsidRPr="00BD427A">
              <w:rPr>
                <w:sz w:val="17"/>
                <w:szCs w:val="17"/>
              </w:rPr>
              <w:t>Rakiraki market is scheduled to complete late 2018</w:t>
            </w:r>
          </w:p>
        </w:tc>
        <w:tc>
          <w:tcPr>
            <w:tcW w:w="3260" w:type="dxa"/>
          </w:tcPr>
          <w:p w14:paraId="087D0DCD" w14:textId="77777777" w:rsidR="003D024C" w:rsidRPr="00BD427A" w:rsidRDefault="003D024C" w:rsidP="00E007F5">
            <w:pPr>
              <w:tabs>
                <w:tab w:val="left" w:pos="1635"/>
              </w:tabs>
              <w:rPr>
                <w:iCs/>
                <w:sz w:val="17"/>
                <w:szCs w:val="17"/>
                <w:lang w:val="en-AU" w:eastAsia="en-AU"/>
              </w:rPr>
            </w:pPr>
            <w:r w:rsidRPr="00BD427A">
              <w:rPr>
                <w:sz w:val="17"/>
                <w:szCs w:val="17"/>
              </w:rPr>
              <w:t xml:space="preserve">Delays are due to adverse weather conditions (3 tropical cyclones in 2018 and tropical depressions resulting in flooding; lack of supply of construction materials and Government procurement processes) </w:t>
            </w:r>
          </w:p>
        </w:tc>
        <w:tc>
          <w:tcPr>
            <w:tcW w:w="2126" w:type="dxa"/>
          </w:tcPr>
          <w:p w14:paraId="408729AB" w14:textId="77777777" w:rsidR="003D024C" w:rsidRPr="00BD427A" w:rsidRDefault="003D024C" w:rsidP="00E007F5">
            <w:pPr>
              <w:tabs>
                <w:tab w:val="left" w:pos="1635"/>
              </w:tabs>
              <w:rPr>
                <w:iCs/>
                <w:sz w:val="17"/>
                <w:szCs w:val="17"/>
                <w:lang w:val="en-AU" w:eastAsia="en-AU"/>
              </w:rPr>
            </w:pPr>
            <w:r w:rsidRPr="00BD427A">
              <w:rPr>
                <w:sz w:val="17"/>
                <w:szCs w:val="17"/>
              </w:rPr>
              <w:t xml:space="preserve">UNWomen progress reports; DFAT site visit monitoring trips </w:t>
            </w:r>
          </w:p>
        </w:tc>
      </w:tr>
      <w:tr w:rsidR="003D024C" w:rsidRPr="00BF7C40" w14:paraId="670F02E4" w14:textId="77777777" w:rsidTr="00E007F5">
        <w:trPr>
          <w:trHeight w:val="173"/>
        </w:trPr>
        <w:tc>
          <w:tcPr>
            <w:tcW w:w="1696" w:type="dxa"/>
            <w:vMerge w:val="restart"/>
          </w:tcPr>
          <w:p w14:paraId="39D905C7" w14:textId="77777777" w:rsidR="003D024C" w:rsidRPr="00BD427A" w:rsidRDefault="003D024C" w:rsidP="00E007F5">
            <w:pPr>
              <w:tabs>
                <w:tab w:val="left" w:pos="1635"/>
              </w:tabs>
              <w:rPr>
                <w:b/>
                <w:sz w:val="17"/>
                <w:szCs w:val="17"/>
                <w:lang w:eastAsia="en-AU"/>
              </w:rPr>
            </w:pPr>
            <w:r w:rsidRPr="00BD427A">
              <w:rPr>
                <w:b/>
                <w:sz w:val="17"/>
                <w:szCs w:val="17"/>
                <w:lang w:eastAsia="en-AU"/>
              </w:rPr>
              <w:t>Outcome 4: Restored access to water and sanitation facilities and services for th</w:t>
            </w:r>
            <w:r>
              <w:rPr>
                <w:b/>
                <w:sz w:val="17"/>
                <w:szCs w:val="17"/>
                <w:lang w:eastAsia="en-AU"/>
              </w:rPr>
              <w:t>ose affected in target areas</w:t>
            </w:r>
          </w:p>
        </w:tc>
        <w:tc>
          <w:tcPr>
            <w:tcW w:w="1276" w:type="dxa"/>
          </w:tcPr>
          <w:p w14:paraId="55BF891F" w14:textId="77777777" w:rsidR="003D024C" w:rsidRPr="00466C8A" w:rsidRDefault="003D024C" w:rsidP="00E007F5">
            <w:pPr>
              <w:tabs>
                <w:tab w:val="left" w:pos="1635"/>
              </w:tabs>
              <w:rPr>
                <w:i/>
                <w:sz w:val="17"/>
                <w:szCs w:val="17"/>
                <w:lang w:eastAsia="en-AU"/>
              </w:rPr>
            </w:pPr>
            <w:r w:rsidRPr="00466C8A">
              <w:rPr>
                <w:i/>
                <w:sz w:val="17"/>
                <w:szCs w:val="17"/>
              </w:rPr>
              <w:t>4.1 Number of water systems repaired</w:t>
            </w:r>
          </w:p>
        </w:tc>
        <w:tc>
          <w:tcPr>
            <w:tcW w:w="1418" w:type="dxa"/>
          </w:tcPr>
          <w:p w14:paraId="2FFC3E55" w14:textId="77777777" w:rsidR="003D024C" w:rsidRPr="00466C8A" w:rsidRDefault="003D024C" w:rsidP="00E007F5">
            <w:pPr>
              <w:tabs>
                <w:tab w:val="left" w:pos="1635"/>
              </w:tabs>
              <w:rPr>
                <w:sz w:val="17"/>
                <w:szCs w:val="17"/>
                <w:lang w:eastAsia="en-AU"/>
              </w:rPr>
            </w:pPr>
            <w:r w:rsidRPr="00466C8A">
              <w:rPr>
                <w:sz w:val="17"/>
                <w:szCs w:val="17"/>
              </w:rPr>
              <w:t>0 of 127 (as at 1 July 2016)</w:t>
            </w:r>
          </w:p>
        </w:tc>
        <w:tc>
          <w:tcPr>
            <w:tcW w:w="1701" w:type="dxa"/>
          </w:tcPr>
          <w:p w14:paraId="7AF01512" w14:textId="77777777" w:rsidR="003D024C" w:rsidRPr="00466C8A" w:rsidRDefault="003D024C" w:rsidP="00E007F5">
            <w:pPr>
              <w:tabs>
                <w:tab w:val="left" w:pos="1635"/>
              </w:tabs>
              <w:rPr>
                <w:sz w:val="17"/>
                <w:szCs w:val="17"/>
                <w:lang w:eastAsia="en-AU"/>
              </w:rPr>
            </w:pPr>
            <w:r w:rsidRPr="00466C8A">
              <w:rPr>
                <w:sz w:val="17"/>
                <w:szCs w:val="17"/>
              </w:rPr>
              <w:t>127</w:t>
            </w:r>
          </w:p>
        </w:tc>
        <w:tc>
          <w:tcPr>
            <w:tcW w:w="1984" w:type="dxa"/>
          </w:tcPr>
          <w:p w14:paraId="67655DB4" w14:textId="77777777" w:rsidR="003D024C" w:rsidRPr="00466C8A" w:rsidRDefault="003D024C" w:rsidP="00E007F5">
            <w:pPr>
              <w:tabs>
                <w:tab w:val="left" w:pos="1635"/>
              </w:tabs>
              <w:rPr>
                <w:sz w:val="17"/>
                <w:szCs w:val="17"/>
                <w:lang w:eastAsia="en-AU"/>
              </w:rPr>
            </w:pPr>
            <w:r w:rsidRPr="00466C8A">
              <w:rPr>
                <w:sz w:val="17"/>
                <w:szCs w:val="17"/>
              </w:rPr>
              <w:t>NA (complete)</w:t>
            </w:r>
          </w:p>
        </w:tc>
        <w:tc>
          <w:tcPr>
            <w:tcW w:w="1418" w:type="dxa"/>
            <w:shd w:val="clear" w:color="auto" w:fill="auto"/>
          </w:tcPr>
          <w:p w14:paraId="36C8C07F" w14:textId="77777777" w:rsidR="003D024C" w:rsidRPr="00BF7C40" w:rsidRDefault="003D024C" w:rsidP="00E007F5">
            <w:pPr>
              <w:tabs>
                <w:tab w:val="left" w:pos="1635"/>
              </w:tabs>
              <w:rPr>
                <w:iCs/>
                <w:sz w:val="17"/>
                <w:szCs w:val="17"/>
                <w:lang w:val="en-AU" w:eastAsia="en-AU"/>
              </w:rPr>
            </w:pPr>
          </w:p>
        </w:tc>
        <w:tc>
          <w:tcPr>
            <w:tcW w:w="3260" w:type="dxa"/>
          </w:tcPr>
          <w:p w14:paraId="4E8D9683" w14:textId="77777777" w:rsidR="003D024C" w:rsidRPr="00BF7C40" w:rsidRDefault="003D024C" w:rsidP="00E007F5">
            <w:pPr>
              <w:tabs>
                <w:tab w:val="left" w:pos="1635"/>
              </w:tabs>
              <w:rPr>
                <w:iCs/>
                <w:sz w:val="17"/>
                <w:szCs w:val="17"/>
                <w:lang w:val="en-AU" w:eastAsia="en-AU"/>
              </w:rPr>
            </w:pPr>
          </w:p>
        </w:tc>
        <w:tc>
          <w:tcPr>
            <w:tcW w:w="2126" w:type="dxa"/>
            <w:vMerge w:val="restart"/>
          </w:tcPr>
          <w:p w14:paraId="28D3F948" w14:textId="77777777" w:rsidR="003D024C" w:rsidRPr="00BF7C40" w:rsidRDefault="003D024C" w:rsidP="00E007F5">
            <w:pPr>
              <w:tabs>
                <w:tab w:val="left" w:pos="1635"/>
              </w:tabs>
              <w:rPr>
                <w:iCs/>
                <w:sz w:val="17"/>
                <w:szCs w:val="17"/>
                <w:lang w:val="en-AU" w:eastAsia="en-AU"/>
              </w:rPr>
            </w:pPr>
          </w:p>
        </w:tc>
      </w:tr>
      <w:tr w:rsidR="003D024C" w:rsidRPr="00BF7C40" w14:paraId="06A793DA" w14:textId="77777777" w:rsidTr="00E007F5">
        <w:trPr>
          <w:trHeight w:val="172"/>
        </w:trPr>
        <w:tc>
          <w:tcPr>
            <w:tcW w:w="1696" w:type="dxa"/>
            <w:vMerge/>
          </w:tcPr>
          <w:p w14:paraId="45EEC676" w14:textId="77777777" w:rsidR="003D024C" w:rsidRPr="00BF7C40" w:rsidRDefault="003D024C" w:rsidP="00E007F5">
            <w:pPr>
              <w:tabs>
                <w:tab w:val="left" w:pos="1635"/>
              </w:tabs>
              <w:rPr>
                <w:sz w:val="17"/>
                <w:szCs w:val="17"/>
                <w:lang w:eastAsia="en-AU"/>
              </w:rPr>
            </w:pPr>
          </w:p>
        </w:tc>
        <w:tc>
          <w:tcPr>
            <w:tcW w:w="1276" w:type="dxa"/>
          </w:tcPr>
          <w:p w14:paraId="74406A57" w14:textId="77777777" w:rsidR="003D024C" w:rsidRPr="00466C8A" w:rsidRDefault="003D024C" w:rsidP="00E007F5">
            <w:pPr>
              <w:tabs>
                <w:tab w:val="left" w:pos="1635"/>
              </w:tabs>
              <w:rPr>
                <w:i/>
                <w:sz w:val="17"/>
                <w:szCs w:val="17"/>
                <w:lang w:eastAsia="en-AU"/>
              </w:rPr>
            </w:pPr>
            <w:r w:rsidRPr="00466C8A">
              <w:rPr>
                <w:i/>
                <w:sz w:val="17"/>
                <w:szCs w:val="17"/>
              </w:rPr>
              <w:t>4.2 Number of sanitation facilities repaired or constructed</w:t>
            </w:r>
          </w:p>
        </w:tc>
        <w:tc>
          <w:tcPr>
            <w:tcW w:w="1418" w:type="dxa"/>
          </w:tcPr>
          <w:p w14:paraId="663C84C3" w14:textId="77777777" w:rsidR="003D024C" w:rsidRPr="00466C8A" w:rsidRDefault="003D024C" w:rsidP="00E007F5">
            <w:pPr>
              <w:tabs>
                <w:tab w:val="left" w:pos="1635"/>
              </w:tabs>
              <w:rPr>
                <w:sz w:val="17"/>
                <w:szCs w:val="17"/>
                <w:lang w:eastAsia="en-AU"/>
              </w:rPr>
            </w:pPr>
            <w:r w:rsidRPr="00466C8A">
              <w:rPr>
                <w:sz w:val="17"/>
                <w:szCs w:val="17"/>
              </w:rPr>
              <w:t>0 of 574 (as at 1 July 2016)</w:t>
            </w:r>
          </w:p>
        </w:tc>
        <w:tc>
          <w:tcPr>
            <w:tcW w:w="1701" w:type="dxa"/>
          </w:tcPr>
          <w:p w14:paraId="3ABE221A" w14:textId="77777777" w:rsidR="003D024C" w:rsidRPr="00466C8A" w:rsidRDefault="003D024C" w:rsidP="00E007F5">
            <w:pPr>
              <w:tabs>
                <w:tab w:val="left" w:pos="1635"/>
              </w:tabs>
              <w:rPr>
                <w:sz w:val="17"/>
                <w:szCs w:val="17"/>
                <w:lang w:eastAsia="en-AU"/>
              </w:rPr>
            </w:pPr>
            <w:r w:rsidRPr="00466C8A">
              <w:rPr>
                <w:sz w:val="17"/>
                <w:szCs w:val="17"/>
              </w:rPr>
              <w:t>574 repaired; 271 constructed</w:t>
            </w:r>
          </w:p>
        </w:tc>
        <w:tc>
          <w:tcPr>
            <w:tcW w:w="1984" w:type="dxa"/>
          </w:tcPr>
          <w:p w14:paraId="2B2F238D" w14:textId="77777777" w:rsidR="003D024C" w:rsidRPr="00466C8A" w:rsidRDefault="003D024C" w:rsidP="00E007F5">
            <w:pPr>
              <w:tabs>
                <w:tab w:val="left" w:pos="1635"/>
              </w:tabs>
              <w:rPr>
                <w:sz w:val="17"/>
                <w:szCs w:val="17"/>
                <w:lang w:eastAsia="en-AU"/>
              </w:rPr>
            </w:pPr>
            <w:r w:rsidRPr="00466C8A">
              <w:rPr>
                <w:sz w:val="17"/>
                <w:szCs w:val="17"/>
              </w:rPr>
              <w:t>NA (complete)</w:t>
            </w:r>
          </w:p>
        </w:tc>
        <w:tc>
          <w:tcPr>
            <w:tcW w:w="1418" w:type="dxa"/>
            <w:shd w:val="clear" w:color="auto" w:fill="auto"/>
          </w:tcPr>
          <w:p w14:paraId="4A73A579" w14:textId="77777777" w:rsidR="003D024C" w:rsidRPr="00BF7C40" w:rsidRDefault="003D024C" w:rsidP="00E007F5">
            <w:pPr>
              <w:tabs>
                <w:tab w:val="left" w:pos="1635"/>
              </w:tabs>
              <w:rPr>
                <w:iCs/>
                <w:sz w:val="17"/>
                <w:szCs w:val="17"/>
                <w:lang w:val="en-AU" w:eastAsia="en-AU"/>
              </w:rPr>
            </w:pPr>
          </w:p>
        </w:tc>
        <w:tc>
          <w:tcPr>
            <w:tcW w:w="3260" w:type="dxa"/>
          </w:tcPr>
          <w:p w14:paraId="519FF736" w14:textId="77777777" w:rsidR="003D024C" w:rsidRPr="00BF7C40" w:rsidRDefault="003D024C" w:rsidP="00E007F5">
            <w:pPr>
              <w:tabs>
                <w:tab w:val="left" w:pos="1635"/>
              </w:tabs>
              <w:rPr>
                <w:iCs/>
                <w:sz w:val="17"/>
                <w:szCs w:val="17"/>
                <w:lang w:val="en-AU" w:eastAsia="en-AU"/>
              </w:rPr>
            </w:pPr>
          </w:p>
        </w:tc>
        <w:tc>
          <w:tcPr>
            <w:tcW w:w="2126" w:type="dxa"/>
            <w:vMerge/>
          </w:tcPr>
          <w:p w14:paraId="00DBADCF" w14:textId="77777777" w:rsidR="003D024C" w:rsidRPr="00BF7C40" w:rsidRDefault="003D024C" w:rsidP="00E007F5">
            <w:pPr>
              <w:tabs>
                <w:tab w:val="left" w:pos="1635"/>
              </w:tabs>
              <w:rPr>
                <w:iCs/>
                <w:sz w:val="17"/>
                <w:szCs w:val="17"/>
                <w:lang w:val="en-AU" w:eastAsia="en-AU"/>
              </w:rPr>
            </w:pPr>
          </w:p>
        </w:tc>
      </w:tr>
      <w:tr w:rsidR="003D024C" w:rsidRPr="00BF7C40" w14:paraId="5E71B79C" w14:textId="77777777" w:rsidTr="00E007F5">
        <w:trPr>
          <w:trHeight w:val="172"/>
        </w:trPr>
        <w:tc>
          <w:tcPr>
            <w:tcW w:w="1696" w:type="dxa"/>
            <w:vMerge/>
          </w:tcPr>
          <w:p w14:paraId="65DFC7C5" w14:textId="77777777" w:rsidR="003D024C" w:rsidRPr="00BF7C40" w:rsidRDefault="003D024C" w:rsidP="00E007F5">
            <w:pPr>
              <w:tabs>
                <w:tab w:val="left" w:pos="1635"/>
              </w:tabs>
              <w:rPr>
                <w:sz w:val="17"/>
                <w:szCs w:val="17"/>
                <w:lang w:eastAsia="en-AU"/>
              </w:rPr>
            </w:pPr>
          </w:p>
        </w:tc>
        <w:tc>
          <w:tcPr>
            <w:tcW w:w="1276" w:type="dxa"/>
          </w:tcPr>
          <w:p w14:paraId="54FFB108" w14:textId="77777777" w:rsidR="003D024C" w:rsidRPr="00466C8A" w:rsidRDefault="003D024C" w:rsidP="00E007F5">
            <w:pPr>
              <w:tabs>
                <w:tab w:val="left" w:pos="1635"/>
              </w:tabs>
              <w:rPr>
                <w:i/>
                <w:sz w:val="17"/>
                <w:szCs w:val="17"/>
                <w:lang w:eastAsia="en-AU"/>
              </w:rPr>
            </w:pPr>
            <w:r w:rsidRPr="00466C8A">
              <w:rPr>
                <w:i/>
                <w:sz w:val="17"/>
                <w:szCs w:val="17"/>
              </w:rPr>
              <w:t xml:space="preserve">4.3 Number of villages with WASH Action </w:t>
            </w:r>
            <w:r w:rsidRPr="00466C8A">
              <w:rPr>
                <w:i/>
                <w:sz w:val="17"/>
                <w:szCs w:val="17"/>
              </w:rPr>
              <w:lastRenderedPageBreak/>
              <w:t>Plans developed</w:t>
            </w:r>
          </w:p>
        </w:tc>
        <w:tc>
          <w:tcPr>
            <w:tcW w:w="1418" w:type="dxa"/>
          </w:tcPr>
          <w:p w14:paraId="70376009" w14:textId="77777777" w:rsidR="003D024C" w:rsidRPr="00466C8A" w:rsidRDefault="003D024C" w:rsidP="00E007F5">
            <w:pPr>
              <w:tabs>
                <w:tab w:val="left" w:pos="1635"/>
              </w:tabs>
              <w:rPr>
                <w:sz w:val="17"/>
                <w:szCs w:val="17"/>
                <w:lang w:eastAsia="en-AU"/>
              </w:rPr>
            </w:pPr>
            <w:r w:rsidRPr="00466C8A">
              <w:rPr>
                <w:sz w:val="17"/>
                <w:szCs w:val="17"/>
              </w:rPr>
              <w:lastRenderedPageBreak/>
              <w:t>0 of 43 (as at 1 July 2016)</w:t>
            </w:r>
          </w:p>
        </w:tc>
        <w:tc>
          <w:tcPr>
            <w:tcW w:w="1701" w:type="dxa"/>
          </w:tcPr>
          <w:p w14:paraId="176C3B33" w14:textId="77777777" w:rsidR="003D024C" w:rsidRPr="00466C8A" w:rsidRDefault="003D024C" w:rsidP="00E007F5">
            <w:pPr>
              <w:tabs>
                <w:tab w:val="left" w:pos="1635"/>
              </w:tabs>
              <w:rPr>
                <w:sz w:val="17"/>
                <w:szCs w:val="17"/>
                <w:lang w:eastAsia="en-AU"/>
              </w:rPr>
            </w:pPr>
            <w:r w:rsidRPr="00466C8A">
              <w:rPr>
                <w:sz w:val="17"/>
                <w:szCs w:val="17"/>
              </w:rPr>
              <w:t>43</w:t>
            </w:r>
          </w:p>
        </w:tc>
        <w:tc>
          <w:tcPr>
            <w:tcW w:w="1984" w:type="dxa"/>
          </w:tcPr>
          <w:p w14:paraId="2E27C5CE" w14:textId="77777777" w:rsidR="003D024C" w:rsidRPr="00466C8A" w:rsidRDefault="003D024C" w:rsidP="00E007F5">
            <w:pPr>
              <w:tabs>
                <w:tab w:val="left" w:pos="1635"/>
              </w:tabs>
              <w:rPr>
                <w:sz w:val="17"/>
                <w:szCs w:val="17"/>
                <w:lang w:eastAsia="en-AU"/>
              </w:rPr>
            </w:pPr>
            <w:r w:rsidRPr="00466C8A">
              <w:rPr>
                <w:sz w:val="17"/>
                <w:szCs w:val="17"/>
              </w:rPr>
              <w:t>NA (complete)</w:t>
            </w:r>
          </w:p>
        </w:tc>
        <w:tc>
          <w:tcPr>
            <w:tcW w:w="1418" w:type="dxa"/>
            <w:shd w:val="clear" w:color="auto" w:fill="auto"/>
          </w:tcPr>
          <w:p w14:paraId="46DC451B" w14:textId="77777777" w:rsidR="003D024C" w:rsidRPr="00BF7C40" w:rsidRDefault="003D024C" w:rsidP="00E007F5">
            <w:pPr>
              <w:tabs>
                <w:tab w:val="left" w:pos="1635"/>
              </w:tabs>
              <w:rPr>
                <w:iCs/>
                <w:sz w:val="17"/>
                <w:szCs w:val="17"/>
                <w:lang w:val="en-AU" w:eastAsia="en-AU"/>
              </w:rPr>
            </w:pPr>
          </w:p>
        </w:tc>
        <w:tc>
          <w:tcPr>
            <w:tcW w:w="3260" w:type="dxa"/>
          </w:tcPr>
          <w:p w14:paraId="0B53EB69" w14:textId="77777777" w:rsidR="003D024C" w:rsidRPr="00BF7C40" w:rsidRDefault="003D024C" w:rsidP="00E007F5">
            <w:pPr>
              <w:tabs>
                <w:tab w:val="left" w:pos="1635"/>
              </w:tabs>
              <w:rPr>
                <w:iCs/>
                <w:sz w:val="17"/>
                <w:szCs w:val="17"/>
                <w:lang w:val="en-AU" w:eastAsia="en-AU"/>
              </w:rPr>
            </w:pPr>
          </w:p>
        </w:tc>
        <w:tc>
          <w:tcPr>
            <w:tcW w:w="2126" w:type="dxa"/>
            <w:vMerge/>
          </w:tcPr>
          <w:p w14:paraId="2D7AE360" w14:textId="77777777" w:rsidR="003D024C" w:rsidRPr="00BF7C40" w:rsidRDefault="003D024C" w:rsidP="00E007F5">
            <w:pPr>
              <w:tabs>
                <w:tab w:val="left" w:pos="1635"/>
              </w:tabs>
              <w:rPr>
                <w:iCs/>
                <w:sz w:val="17"/>
                <w:szCs w:val="17"/>
                <w:lang w:val="en-AU" w:eastAsia="en-AU"/>
              </w:rPr>
            </w:pPr>
          </w:p>
        </w:tc>
      </w:tr>
      <w:tr w:rsidR="003D024C" w:rsidRPr="00BF7C40" w14:paraId="581A45C0" w14:textId="77777777" w:rsidTr="00E007F5">
        <w:trPr>
          <w:trHeight w:val="172"/>
        </w:trPr>
        <w:tc>
          <w:tcPr>
            <w:tcW w:w="1696" w:type="dxa"/>
            <w:vMerge/>
          </w:tcPr>
          <w:p w14:paraId="4B9DBE6D" w14:textId="77777777" w:rsidR="003D024C" w:rsidRPr="00BF7C40" w:rsidRDefault="003D024C" w:rsidP="00E007F5">
            <w:pPr>
              <w:tabs>
                <w:tab w:val="left" w:pos="1635"/>
              </w:tabs>
              <w:rPr>
                <w:sz w:val="17"/>
                <w:szCs w:val="17"/>
                <w:lang w:eastAsia="en-AU"/>
              </w:rPr>
            </w:pPr>
          </w:p>
        </w:tc>
        <w:tc>
          <w:tcPr>
            <w:tcW w:w="1276" w:type="dxa"/>
          </w:tcPr>
          <w:p w14:paraId="7D9F44DE" w14:textId="77777777" w:rsidR="003D024C" w:rsidRPr="00BF7C40" w:rsidRDefault="003D024C" w:rsidP="00E007F5">
            <w:pPr>
              <w:tabs>
                <w:tab w:val="left" w:pos="1635"/>
              </w:tabs>
              <w:rPr>
                <w:i/>
                <w:sz w:val="17"/>
                <w:szCs w:val="17"/>
                <w:lang w:eastAsia="en-AU"/>
              </w:rPr>
            </w:pPr>
            <w:r w:rsidRPr="00466C8A">
              <w:rPr>
                <w:i/>
                <w:sz w:val="17"/>
                <w:szCs w:val="17"/>
                <w:lang w:eastAsia="en-AU"/>
              </w:rPr>
              <w:t>4.4 Number of beneficiaries (male, female and PWD) with improved access to water and/or sanitation facilities in TC Winston affected areas</w:t>
            </w:r>
          </w:p>
        </w:tc>
        <w:tc>
          <w:tcPr>
            <w:tcW w:w="1418" w:type="dxa"/>
          </w:tcPr>
          <w:p w14:paraId="622200B7" w14:textId="77777777" w:rsidR="003D024C" w:rsidRPr="00466C8A" w:rsidRDefault="003D024C" w:rsidP="00E007F5">
            <w:pPr>
              <w:tabs>
                <w:tab w:val="left" w:pos="1635"/>
              </w:tabs>
              <w:rPr>
                <w:sz w:val="17"/>
                <w:szCs w:val="17"/>
                <w:lang w:eastAsia="en-AU"/>
              </w:rPr>
            </w:pPr>
            <w:r w:rsidRPr="00466C8A">
              <w:rPr>
                <w:sz w:val="17"/>
                <w:szCs w:val="17"/>
              </w:rPr>
              <w:t>0 of 11,747 (as at 1 July 2016)</w:t>
            </w:r>
          </w:p>
        </w:tc>
        <w:tc>
          <w:tcPr>
            <w:tcW w:w="1701" w:type="dxa"/>
          </w:tcPr>
          <w:p w14:paraId="4D82674A" w14:textId="77777777" w:rsidR="003D024C" w:rsidRPr="00466C8A" w:rsidRDefault="003D024C" w:rsidP="00E007F5">
            <w:pPr>
              <w:tabs>
                <w:tab w:val="left" w:pos="1635"/>
              </w:tabs>
              <w:rPr>
                <w:sz w:val="17"/>
                <w:szCs w:val="17"/>
                <w:lang w:eastAsia="en-AU"/>
              </w:rPr>
            </w:pPr>
            <w:r w:rsidRPr="00466C8A">
              <w:rPr>
                <w:sz w:val="17"/>
                <w:szCs w:val="17"/>
              </w:rPr>
              <w:t>11,747 beneficiaries</w:t>
            </w:r>
          </w:p>
        </w:tc>
        <w:tc>
          <w:tcPr>
            <w:tcW w:w="1984" w:type="dxa"/>
          </w:tcPr>
          <w:p w14:paraId="1EC1508F" w14:textId="77777777" w:rsidR="003D024C" w:rsidRPr="00466C8A" w:rsidRDefault="003D024C" w:rsidP="00E007F5">
            <w:pPr>
              <w:tabs>
                <w:tab w:val="left" w:pos="1635"/>
              </w:tabs>
              <w:rPr>
                <w:sz w:val="17"/>
                <w:szCs w:val="17"/>
                <w:lang w:eastAsia="en-AU"/>
              </w:rPr>
            </w:pPr>
            <w:r w:rsidRPr="00466C8A">
              <w:rPr>
                <w:sz w:val="17"/>
                <w:szCs w:val="17"/>
              </w:rPr>
              <w:t>NA (complete)</w:t>
            </w:r>
          </w:p>
        </w:tc>
        <w:tc>
          <w:tcPr>
            <w:tcW w:w="1418" w:type="dxa"/>
            <w:shd w:val="clear" w:color="auto" w:fill="auto"/>
          </w:tcPr>
          <w:p w14:paraId="793C4D25" w14:textId="77777777" w:rsidR="003D024C" w:rsidRPr="00BF7C40" w:rsidRDefault="003D024C" w:rsidP="00E007F5">
            <w:pPr>
              <w:tabs>
                <w:tab w:val="left" w:pos="1635"/>
              </w:tabs>
              <w:rPr>
                <w:iCs/>
                <w:sz w:val="17"/>
                <w:szCs w:val="17"/>
                <w:lang w:val="en-AU" w:eastAsia="en-AU"/>
              </w:rPr>
            </w:pPr>
          </w:p>
        </w:tc>
        <w:tc>
          <w:tcPr>
            <w:tcW w:w="3260" w:type="dxa"/>
          </w:tcPr>
          <w:p w14:paraId="1968846C" w14:textId="77777777" w:rsidR="003D024C" w:rsidRPr="00BF7C40" w:rsidRDefault="003D024C" w:rsidP="00E007F5">
            <w:pPr>
              <w:tabs>
                <w:tab w:val="left" w:pos="1635"/>
              </w:tabs>
              <w:rPr>
                <w:iCs/>
                <w:sz w:val="17"/>
                <w:szCs w:val="17"/>
                <w:lang w:val="en-AU" w:eastAsia="en-AU"/>
              </w:rPr>
            </w:pPr>
          </w:p>
        </w:tc>
        <w:tc>
          <w:tcPr>
            <w:tcW w:w="2126" w:type="dxa"/>
            <w:vMerge/>
          </w:tcPr>
          <w:p w14:paraId="59ACE000" w14:textId="77777777" w:rsidR="003D024C" w:rsidRPr="00BF7C40" w:rsidRDefault="003D024C" w:rsidP="00E007F5">
            <w:pPr>
              <w:tabs>
                <w:tab w:val="left" w:pos="1635"/>
              </w:tabs>
              <w:rPr>
                <w:iCs/>
                <w:sz w:val="17"/>
                <w:szCs w:val="17"/>
                <w:lang w:val="en-AU" w:eastAsia="en-AU"/>
              </w:rPr>
            </w:pPr>
          </w:p>
        </w:tc>
      </w:tr>
    </w:tbl>
    <w:p w14:paraId="02F2CA38" w14:textId="77777777" w:rsidR="00ED285D" w:rsidRPr="00BF7C40" w:rsidRDefault="00ED285D" w:rsidP="00ED285D"/>
    <w:p w14:paraId="3744764C" w14:textId="77777777" w:rsidR="00ED285D" w:rsidRPr="00BF7C40" w:rsidRDefault="00ED285D" w:rsidP="00ED285D"/>
    <w:p w14:paraId="587B250A" w14:textId="77777777" w:rsidR="00ED285D" w:rsidRPr="00BF7C40" w:rsidRDefault="00ED285D" w:rsidP="00ED285D"/>
    <w:p w14:paraId="0748E2E7" w14:textId="77777777" w:rsidR="00ED285D" w:rsidRPr="00BF7C40" w:rsidRDefault="00ED285D" w:rsidP="00ED285D"/>
    <w:p w14:paraId="12356B79" w14:textId="77777777" w:rsidR="001D49F0" w:rsidRDefault="001D49F0" w:rsidP="001D49F0"/>
    <w:p w14:paraId="2668B33C" w14:textId="77777777" w:rsidR="001D49F0" w:rsidRDefault="001D49F0" w:rsidP="001D49F0"/>
    <w:p w14:paraId="19B0DA11" w14:textId="77777777" w:rsidR="001D49F0" w:rsidRDefault="001D49F0" w:rsidP="001D49F0"/>
    <w:p w14:paraId="30AA8CC7" w14:textId="77777777" w:rsidR="001D49F0" w:rsidRDefault="001D49F0" w:rsidP="001D49F0"/>
    <w:p w14:paraId="19E77687" w14:textId="77777777" w:rsidR="001D49F0" w:rsidRDefault="001D49F0" w:rsidP="001D49F0"/>
    <w:p w14:paraId="5FBAD06A" w14:textId="77777777" w:rsidR="001D49F0" w:rsidRDefault="001D49F0" w:rsidP="001D49F0"/>
    <w:p w14:paraId="1CDA5544" w14:textId="77777777" w:rsidR="001D49F0" w:rsidRDefault="001D49F0" w:rsidP="001D49F0"/>
    <w:p w14:paraId="7F05D49C" w14:textId="77777777" w:rsidR="001D49F0" w:rsidRDefault="001D49F0" w:rsidP="001D49F0"/>
    <w:p w14:paraId="1DBA6CBE" w14:textId="77777777" w:rsidR="001D49F0" w:rsidRDefault="001D49F0" w:rsidP="001D49F0"/>
    <w:p w14:paraId="13EA8978" w14:textId="77777777" w:rsidR="001F1798" w:rsidRDefault="001F1798" w:rsidP="001D49F0">
      <w:pPr>
        <w:sectPr w:rsidR="001F1798" w:rsidSect="00E23B65">
          <w:headerReference w:type="default" r:id="rId32"/>
          <w:pgSz w:w="16838" w:h="11906" w:orient="landscape" w:code="9"/>
          <w:pgMar w:top="568" w:right="1527" w:bottom="1134" w:left="851" w:header="566" w:footer="267" w:gutter="0"/>
          <w:cols w:space="397"/>
          <w:docGrid w:linePitch="360"/>
        </w:sectPr>
      </w:pPr>
    </w:p>
    <w:p w14:paraId="27A88F45" w14:textId="77777777" w:rsidR="000D65A9" w:rsidRPr="000D65A9" w:rsidRDefault="000D65A9" w:rsidP="000D65A9">
      <w:pPr>
        <w:rPr>
          <w:rFonts w:eastAsiaTheme="majorEastAsia" w:cstheme="majorBidi"/>
          <w:bCs/>
          <w:iCs/>
          <w:caps/>
          <w:spacing w:val="-10"/>
          <w:kern w:val="28"/>
          <w:sz w:val="38"/>
          <w:szCs w:val="24"/>
        </w:rPr>
      </w:pPr>
      <w:r w:rsidRPr="000D65A9">
        <w:rPr>
          <w:rFonts w:eastAsiaTheme="majorEastAsia" w:cstheme="majorBidi"/>
          <w:bCs/>
          <w:iCs/>
          <w:caps/>
          <w:spacing w:val="-10"/>
          <w:kern w:val="28"/>
          <w:sz w:val="38"/>
          <w:szCs w:val="24"/>
        </w:rPr>
        <w:lastRenderedPageBreak/>
        <w:t>Appendix 1: 2030 AGENDA FOR SUSTAINABLE DEVELOPMENT INFOGRAPHICS</w:t>
      </w:r>
    </w:p>
    <w:tbl>
      <w:tblPr>
        <w:tblStyle w:val="TableGrid1"/>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0D65A9" w:rsidRPr="000D65A9" w14:paraId="155B7613" w14:textId="77777777" w:rsidTr="009D510C">
        <w:trPr>
          <w:trHeight w:val="1156"/>
        </w:trPr>
        <w:tc>
          <w:tcPr>
            <w:tcW w:w="1271" w:type="dxa"/>
            <w:shd w:val="clear" w:color="auto" w:fill="D7DEE2" w:themeFill="text2" w:themeFillTint="33"/>
          </w:tcPr>
          <w:p w14:paraId="088D1945" w14:textId="77777777" w:rsidR="000D65A9" w:rsidRPr="000D65A9" w:rsidRDefault="000D65A9" w:rsidP="000D65A9">
            <w:pPr>
              <w:spacing w:before="80" w:after="80"/>
            </w:pPr>
            <w:r w:rsidRPr="000D65A9">
              <w:rPr>
                <w:noProof/>
                <w:lang w:val="en-AU" w:eastAsia="en-AU"/>
              </w:rPr>
              <w:drawing>
                <wp:inline distT="0" distB="0" distL="0" distR="0" wp14:anchorId="739E45C5" wp14:editId="19E789F5">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280F1F52" w14:textId="77777777" w:rsidR="000D65A9" w:rsidRPr="000D65A9" w:rsidRDefault="000D65A9" w:rsidP="000D65A9">
            <w:pPr>
              <w:spacing w:before="80" w:after="80"/>
              <w:rPr>
                <w:sz w:val="16"/>
              </w:rPr>
            </w:pPr>
            <w:r w:rsidRPr="000D65A9">
              <w:rPr>
                <w:sz w:val="16"/>
              </w:rPr>
              <w:t>End poverty in all its forms everywhere</w:t>
            </w:r>
          </w:p>
        </w:tc>
        <w:tc>
          <w:tcPr>
            <w:tcW w:w="283" w:type="dxa"/>
            <w:shd w:val="clear" w:color="auto" w:fill="D7DEE2" w:themeFill="text2" w:themeFillTint="33"/>
          </w:tcPr>
          <w:p w14:paraId="6731498E" w14:textId="77777777" w:rsidR="000D65A9" w:rsidRPr="000D65A9" w:rsidRDefault="000D65A9" w:rsidP="000D65A9"/>
        </w:tc>
        <w:tc>
          <w:tcPr>
            <w:tcW w:w="1276" w:type="dxa"/>
            <w:shd w:val="clear" w:color="auto" w:fill="D7DEE2" w:themeFill="text2" w:themeFillTint="33"/>
          </w:tcPr>
          <w:p w14:paraId="68DFB256" w14:textId="77777777" w:rsidR="000D65A9" w:rsidRPr="000D65A9" w:rsidRDefault="000D65A9" w:rsidP="000D65A9">
            <w:pPr>
              <w:spacing w:before="80" w:after="80"/>
            </w:pPr>
            <w:r w:rsidRPr="000D65A9">
              <w:rPr>
                <w:noProof/>
                <w:lang w:val="en-AU" w:eastAsia="en-AU"/>
              </w:rPr>
              <w:drawing>
                <wp:inline distT="0" distB="0" distL="0" distR="0" wp14:anchorId="62A44B5A" wp14:editId="53EBA33F">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8C980B4" w14:textId="77777777" w:rsidR="000D65A9" w:rsidRPr="000D65A9" w:rsidRDefault="000D65A9" w:rsidP="000D65A9">
            <w:pPr>
              <w:spacing w:before="80" w:after="80"/>
              <w:rPr>
                <w:sz w:val="16"/>
              </w:rPr>
            </w:pPr>
            <w:r w:rsidRPr="000D65A9">
              <w:rPr>
                <w:sz w:val="16"/>
              </w:rPr>
              <w:t>Reduce inequality within and among countries</w:t>
            </w:r>
          </w:p>
        </w:tc>
      </w:tr>
      <w:tr w:rsidR="000D65A9" w:rsidRPr="000D65A9" w14:paraId="4E5480FA" w14:textId="77777777" w:rsidTr="009D510C">
        <w:tc>
          <w:tcPr>
            <w:tcW w:w="1271" w:type="dxa"/>
            <w:shd w:val="clear" w:color="auto" w:fill="D7DEE2" w:themeFill="text2" w:themeFillTint="33"/>
          </w:tcPr>
          <w:p w14:paraId="70CD73F7" w14:textId="77777777" w:rsidR="000D65A9" w:rsidRPr="000D65A9" w:rsidRDefault="000D65A9" w:rsidP="000D65A9">
            <w:pPr>
              <w:spacing w:before="80" w:after="80"/>
            </w:pPr>
            <w:r w:rsidRPr="000D65A9">
              <w:rPr>
                <w:noProof/>
                <w:lang w:val="en-AU" w:eastAsia="en-AU"/>
              </w:rPr>
              <w:drawing>
                <wp:inline distT="0" distB="0" distL="0" distR="0" wp14:anchorId="11E282C7" wp14:editId="39BFCC6F">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4E6CC5C" w14:textId="77777777" w:rsidR="000D65A9" w:rsidRPr="000D65A9" w:rsidRDefault="000D65A9" w:rsidP="000D65A9">
            <w:pPr>
              <w:spacing w:before="80" w:after="80"/>
              <w:rPr>
                <w:sz w:val="16"/>
              </w:rPr>
            </w:pPr>
            <w:r w:rsidRPr="000D65A9">
              <w:rPr>
                <w:sz w:val="16"/>
              </w:rPr>
              <w:t>End hunger, achieve food security and improved nutrition and promote sustainable agriculture</w:t>
            </w:r>
          </w:p>
        </w:tc>
        <w:tc>
          <w:tcPr>
            <w:tcW w:w="283" w:type="dxa"/>
            <w:shd w:val="clear" w:color="auto" w:fill="D7DEE2" w:themeFill="text2" w:themeFillTint="33"/>
          </w:tcPr>
          <w:p w14:paraId="753AA230" w14:textId="77777777" w:rsidR="000D65A9" w:rsidRPr="000D65A9" w:rsidRDefault="000D65A9" w:rsidP="000D65A9"/>
        </w:tc>
        <w:tc>
          <w:tcPr>
            <w:tcW w:w="1276" w:type="dxa"/>
            <w:shd w:val="clear" w:color="auto" w:fill="D7DEE2" w:themeFill="text2" w:themeFillTint="33"/>
          </w:tcPr>
          <w:p w14:paraId="656CF130" w14:textId="77777777" w:rsidR="000D65A9" w:rsidRPr="000D65A9" w:rsidRDefault="000D65A9" w:rsidP="000D65A9">
            <w:pPr>
              <w:spacing w:before="80" w:after="80"/>
            </w:pPr>
            <w:r w:rsidRPr="000D65A9">
              <w:rPr>
                <w:noProof/>
                <w:lang w:val="en-AU" w:eastAsia="en-AU"/>
              </w:rPr>
              <w:drawing>
                <wp:inline distT="0" distB="0" distL="0" distR="0" wp14:anchorId="0E128463" wp14:editId="776D7712">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F6DB20E" w14:textId="77777777" w:rsidR="000D65A9" w:rsidRPr="000D65A9" w:rsidRDefault="000D65A9" w:rsidP="000D65A9">
            <w:pPr>
              <w:spacing w:before="80" w:after="80"/>
              <w:rPr>
                <w:sz w:val="16"/>
              </w:rPr>
            </w:pPr>
            <w:r w:rsidRPr="000D65A9">
              <w:rPr>
                <w:sz w:val="16"/>
              </w:rPr>
              <w:t>Make cities and human settlements inclusive, safe, resilient and sustainable</w:t>
            </w:r>
          </w:p>
        </w:tc>
      </w:tr>
      <w:tr w:rsidR="000D65A9" w:rsidRPr="000D65A9" w14:paraId="1F7BF1C8" w14:textId="77777777" w:rsidTr="009D510C">
        <w:tc>
          <w:tcPr>
            <w:tcW w:w="1271" w:type="dxa"/>
            <w:shd w:val="clear" w:color="auto" w:fill="D7DEE2" w:themeFill="text2" w:themeFillTint="33"/>
          </w:tcPr>
          <w:p w14:paraId="1AE4D203" w14:textId="77777777" w:rsidR="000D65A9" w:rsidRPr="000D65A9" w:rsidRDefault="000D65A9" w:rsidP="000D65A9">
            <w:pPr>
              <w:spacing w:before="80" w:after="80"/>
            </w:pPr>
            <w:r w:rsidRPr="000D65A9">
              <w:rPr>
                <w:noProof/>
                <w:lang w:val="en-AU" w:eastAsia="en-AU"/>
              </w:rPr>
              <w:drawing>
                <wp:inline distT="0" distB="0" distL="0" distR="0" wp14:anchorId="3D7DD4B7" wp14:editId="1F564EF8">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75972BD" w14:textId="77777777" w:rsidR="000D65A9" w:rsidRPr="000D65A9" w:rsidRDefault="000D65A9" w:rsidP="000D65A9">
            <w:pPr>
              <w:spacing w:before="80" w:after="80"/>
              <w:rPr>
                <w:sz w:val="16"/>
              </w:rPr>
            </w:pPr>
            <w:r w:rsidRPr="000D65A9">
              <w:rPr>
                <w:sz w:val="16"/>
              </w:rPr>
              <w:t>Ensure healthy lives and promote well-being at all ages</w:t>
            </w:r>
          </w:p>
        </w:tc>
        <w:tc>
          <w:tcPr>
            <w:tcW w:w="283" w:type="dxa"/>
            <w:shd w:val="clear" w:color="auto" w:fill="D7DEE2" w:themeFill="text2" w:themeFillTint="33"/>
          </w:tcPr>
          <w:p w14:paraId="1D939899" w14:textId="77777777" w:rsidR="000D65A9" w:rsidRPr="000D65A9" w:rsidRDefault="000D65A9" w:rsidP="000D65A9"/>
        </w:tc>
        <w:tc>
          <w:tcPr>
            <w:tcW w:w="1276" w:type="dxa"/>
            <w:shd w:val="clear" w:color="auto" w:fill="D7DEE2" w:themeFill="text2" w:themeFillTint="33"/>
          </w:tcPr>
          <w:p w14:paraId="4251FA8D" w14:textId="77777777" w:rsidR="000D65A9" w:rsidRPr="000D65A9" w:rsidRDefault="000D65A9" w:rsidP="000D65A9">
            <w:pPr>
              <w:spacing w:before="80" w:after="80"/>
            </w:pPr>
            <w:r w:rsidRPr="000D65A9">
              <w:rPr>
                <w:noProof/>
                <w:lang w:val="en-AU" w:eastAsia="en-AU"/>
              </w:rPr>
              <w:drawing>
                <wp:inline distT="0" distB="0" distL="0" distR="0" wp14:anchorId="4D203571" wp14:editId="67AF167A">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E05CC50" w14:textId="77777777" w:rsidR="000D65A9" w:rsidRPr="000D65A9" w:rsidRDefault="000D65A9" w:rsidP="000D65A9">
            <w:pPr>
              <w:spacing w:before="80" w:after="80"/>
              <w:rPr>
                <w:sz w:val="16"/>
              </w:rPr>
            </w:pPr>
            <w:r w:rsidRPr="000D65A9">
              <w:rPr>
                <w:sz w:val="16"/>
              </w:rPr>
              <w:t>Ensure sustainable consumption and production patterns</w:t>
            </w:r>
          </w:p>
        </w:tc>
      </w:tr>
      <w:tr w:rsidR="000D65A9" w:rsidRPr="000D65A9" w14:paraId="0AADCEE5" w14:textId="77777777" w:rsidTr="009D510C">
        <w:tc>
          <w:tcPr>
            <w:tcW w:w="1271" w:type="dxa"/>
            <w:shd w:val="clear" w:color="auto" w:fill="D7DEE2" w:themeFill="text2" w:themeFillTint="33"/>
          </w:tcPr>
          <w:p w14:paraId="70F73B87" w14:textId="77777777" w:rsidR="000D65A9" w:rsidRPr="000D65A9" w:rsidRDefault="000D65A9" w:rsidP="000D65A9">
            <w:pPr>
              <w:spacing w:before="80" w:after="80"/>
            </w:pPr>
            <w:r w:rsidRPr="000D65A9">
              <w:rPr>
                <w:noProof/>
                <w:lang w:val="en-AU" w:eastAsia="en-AU"/>
              </w:rPr>
              <w:drawing>
                <wp:inline distT="0" distB="0" distL="0" distR="0" wp14:anchorId="42FE2BC6" wp14:editId="2BE22286">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7B39AE2" w14:textId="77777777" w:rsidR="000D65A9" w:rsidRPr="000D65A9" w:rsidRDefault="000D65A9" w:rsidP="000D65A9">
            <w:pPr>
              <w:spacing w:before="80" w:after="80"/>
              <w:rPr>
                <w:sz w:val="16"/>
              </w:rPr>
            </w:pPr>
            <w:r w:rsidRPr="000D65A9">
              <w:rPr>
                <w:sz w:val="16"/>
              </w:rPr>
              <w:t>Ensure inclusive and equitable quality education and promote lifelong learning opportunities for all</w:t>
            </w:r>
          </w:p>
        </w:tc>
        <w:tc>
          <w:tcPr>
            <w:tcW w:w="283" w:type="dxa"/>
            <w:shd w:val="clear" w:color="auto" w:fill="D7DEE2" w:themeFill="text2" w:themeFillTint="33"/>
          </w:tcPr>
          <w:p w14:paraId="2049BF39" w14:textId="77777777" w:rsidR="000D65A9" w:rsidRPr="000D65A9" w:rsidRDefault="000D65A9" w:rsidP="000D65A9"/>
        </w:tc>
        <w:tc>
          <w:tcPr>
            <w:tcW w:w="1276" w:type="dxa"/>
            <w:shd w:val="clear" w:color="auto" w:fill="D7DEE2" w:themeFill="text2" w:themeFillTint="33"/>
          </w:tcPr>
          <w:p w14:paraId="4839AF7E" w14:textId="77777777" w:rsidR="000D65A9" w:rsidRPr="000D65A9" w:rsidRDefault="000D65A9" w:rsidP="000D65A9">
            <w:pPr>
              <w:spacing w:before="80" w:after="80"/>
            </w:pPr>
            <w:r w:rsidRPr="000D65A9">
              <w:rPr>
                <w:noProof/>
                <w:lang w:val="en-AU" w:eastAsia="en-AU"/>
              </w:rPr>
              <w:drawing>
                <wp:inline distT="0" distB="0" distL="0" distR="0" wp14:anchorId="1D532F1F" wp14:editId="1B4373D5">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80E610B" w14:textId="77777777" w:rsidR="000D65A9" w:rsidRPr="000D65A9" w:rsidRDefault="000D65A9" w:rsidP="000D65A9">
            <w:pPr>
              <w:spacing w:before="80" w:after="80"/>
              <w:rPr>
                <w:sz w:val="16"/>
              </w:rPr>
            </w:pPr>
            <w:r w:rsidRPr="000D65A9">
              <w:rPr>
                <w:sz w:val="16"/>
              </w:rPr>
              <w:t>Take urgent action to combat climate change and its impacts</w:t>
            </w:r>
          </w:p>
        </w:tc>
      </w:tr>
      <w:tr w:rsidR="000D65A9" w:rsidRPr="000D65A9" w14:paraId="61EF3E5E" w14:textId="77777777" w:rsidTr="009D510C">
        <w:tc>
          <w:tcPr>
            <w:tcW w:w="1271" w:type="dxa"/>
            <w:shd w:val="clear" w:color="auto" w:fill="D7DEE2" w:themeFill="text2" w:themeFillTint="33"/>
          </w:tcPr>
          <w:p w14:paraId="48E6F03F" w14:textId="77777777" w:rsidR="000D65A9" w:rsidRPr="000D65A9" w:rsidRDefault="000D65A9" w:rsidP="000D65A9">
            <w:pPr>
              <w:spacing w:before="80" w:after="80"/>
            </w:pPr>
            <w:r w:rsidRPr="000D65A9">
              <w:rPr>
                <w:noProof/>
                <w:lang w:val="en-AU" w:eastAsia="en-AU"/>
              </w:rPr>
              <w:drawing>
                <wp:inline distT="0" distB="0" distL="0" distR="0" wp14:anchorId="05BF755E" wp14:editId="1D065976">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E9B7E8C" w14:textId="77777777" w:rsidR="000D65A9" w:rsidRPr="000D65A9" w:rsidRDefault="000D65A9" w:rsidP="000D65A9">
            <w:pPr>
              <w:spacing w:before="80" w:after="80"/>
              <w:rPr>
                <w:sz w:val="16"/>
              </w:rPr>
            </w:pPr>
            <w:r w:rsidRPr="000D65A9">
              <w:rPr>
                <w:sz w:val="16"/>
              </w:rPr>
              <w:t>Achieve gender equality and empower all women and girls</w:t>
            </w:r>
          </w:p>
        </w:tc>
        <w:tc>
          <w:tcPr>
            <w:tcW w:w="283" w:type="dxa"/>
            <w:shd w:val="clear" w:color="auto" w:fill="D7DEE2" w:themeFill="text2" w:themeFillTint="33"/>
          </w:tcPr>
          <w:p w14:paraId="0E529CA6" w14:textId="77777777" w:rsidR="000D65A9" w:rsidRPr="000D65A9" w:rsidRDefault="000D65A9" w:rsidP="000D65A9"/>
        </w:tc>
        <w:tc>
          <w:tcPr>
            <w:tcW w:w="1276" w:type="dxa"/>
            <w:shd w:val="clear" w:color="auto" w:fill="D7DEE2" w:themeFill="text2" w:themeFillTint="33"/>
          </w:tcPr>
          <w:p w14:paraId="12505357" w14:textId="77777777" w:rsidR="000D65A9" w:rsidRPr="000D65A9" w:rsidRDefault="000D65A9" w:rsidP="000D65A9">
            <w:pPr>
              <w:spacing w:before="80" w:after="80"/>
            </w:pPr>
            <w:r w:rsidRPr="000D65A9">
              <w:rPr>
                <w:noProof/>
                <w:lang w:val="en-AU" w:eastAsia="en-AU"/>
              </w:rPr>
              <w:drawing>
                <wp:inline distT="0" distB="0" distL="0" distR="0" wp14:anchorId="17A2D431" wp14:editId="5CB32AD9">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E99EB93" w14:textId="77777777" w:rsidR="000D65A9" w:rsidRPr="000D65A9" w:rsidRDefault="000D65A9" w:rsidP="000D65A9">
            <w:pPr>
              <w:spacing w:before="80" w:after="80"/>
              <w:rPr>
                <w:sz w:val="16"/>
              </w:rPr>
            </w:pPr>
            <w:r w:rsidRPr="000D65A9">
              <w:rPr>
                <w:sz w:val="16"/>
              </w:rPr>
              <w:t>Conserve and sustainably use the oceans, seas and marine resources for sustainable development</w:t>
            </w:r>
          </w:p>
        </w:tc>
      </w:tr>
      <w:tr w:rsidR="000D65A9" w:rsidRPr="000D65A9" w14:paraId="6391EA70" w14:textId="77777777" w:rsidTr="009D510C">
        <w:tc>
          <w:tcPr>
            <w:tcW w:w="1271" w:type="dxa"/>
            <w:shd w:val="clear" w:color="auto" w:fill="D7DEE2" w:themeFill="text2" w:themeFillTint="33"/>
          </w:tcPr>
          <w:p w14:paraId="32387F6E" w14:textId="77777777" w:rsidR="000D65A9" w:rsidRPr="000D65A9" w:rsidRDefault="000D65A9" w:rsidP="000D65A9">
            <w:pPr>
              <w:spacing w:before="80" w:after="80"/>
            </w:pPr>
            <w:r w:rsidRPr="000D65A9">
              <w:rPr>
                <w:noProof/>
                <w:lang w:val="en-AU" w:eastAsia="en-AU"/>
              </w:rPr>
              <w:drawing>
                <wp:inline distT="0" distB="0" distL="0" distR="0" wp14:anchorId="607FB8DF" wp14:editId="1EE42E63">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C7D6C4A" w14:textId="77777777" w:rsidR="000D65A9" w:rsidRPr="000D65A9" w:rsidRDefault="000D65A9" w:rsidP="000D65A9">
            <w:pPr>
              <w:spacing w:before="80" w:after="80"/>
              <w:rPr>
                <w:sz w:val="16"/>
              </w:rPr>
            </w:pPr>
            <w:r w:rsidRPr="000D65A9">
              <w:rPr>
                <w:sz w:val="16"/>
              </w:rPr>
              <w:t>Ensure availability and sustainability management of water and sanitation for all</w:t>
            </w:r>
          </w:p>
        </w:tc>
        <w:tc>
          <w:tcPr>
            <w:tcW w:w="283" w:type="dxa"/>
            <w:shd w:val="clear" w:color="auto" w:fill="D7DEE2" w:themeFill="text2" w:themeFillTint="33"/>
          </w:tcPr>
          <w:p w14:paraId="32B017BE" w14:textId="77777777" w:rsidR="000D65A9" w:rsidRPr="000D65A9" w:rsidRDefault="000D65A9" w:rsidP="000D65A9"/>
        </w:tc>
        <w:tc>
          <w:tcPr>
            <w:tcW w:w="1276" w:type="dxa"/>
            <w:shd w:val="clear" w:color="auto" w:fill="D7DEE2" w:themeFill="text2" w:themeFillTint="33"/>
          </w:tcPr>
          <w:p w14:paraId="288BAB18" w14:textId="77777777" w:rsidR="000D65A9" w:rsidRPr="000D65A9" w:rsidRDefault="000D65A9" w:rsidP="000D65A9">
            <w:pPr>
              <w:spacing w:before="80" w:after="80"/>
            </w:pPr>
            <w:r w:rsidRPr="000D65A9">
              <w:rPr>
                <w:noProof/>
                <w:lang w:val="en-AU" w:eastAsia="en-AU"/>
              </w:rPr>
              <w:drawing>
                <wp:inline distT="0" distB="0" distL="0" distR="0" wp14:anchorId="32D44A9B" wp14:editId="153EF075">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12F6DBF" w14:textId="77777777" w:rsidR="000D65A9" w:rsidRPr="000D65A9" w:rsidRDefault="000D65A9" w:rsidP="000D65A9">
            <w:pPr>
              <w:spacing w:before="80" w:after="80"/>
              <w:rPr>
                <w:sz w:val="16"/>
              </w:rPr>
            </w:pPr>
            <w:r w:rsidRPr="000D65A9">
              <w:rPr>
                <w:sz w:val="16"/>
              </w:rPr>
              <w:t>Protect, restore and promote sustainable use of terrestrial ecosystems</w:t>
            </w:r>
          </w:p>
        </w:tc>
      </w:tr>
      <w:tr w:rsidR="000D65A9" w:rsidRPr="000D65A9" w14:paraId="7E95FE4C" w14:textId="77777777" w:rsidTr="009D510C">
        <w:tc>
          <w:tcPr>
            <w:tcW w:w="1271" w:type="dxa"/>
            <w:shd w:val="clear" w:color="auto" w:fill="D7DEE2" w:themeFill="text2" w:themeFillTint="33"/>
          </w:tcPr>
          <w:p w14:paraId="6FDBB169" w14:textId="77777777" w:rsidR="000D65A9" w:rsidRPr="000D65A9" w:rsidRDefault="000D65A9" w:rsidP="000D65A9">
            <w:pPr>
              <w:spacing w:before="80" w:after="80"/>
            </w:pPr>
            <w:r w:rsidRPr="000D65A9">
              <w:rPr>
                <w:noProof/>
                <w:lang w:val="en-AU" w:eastAsia="en-AU"/>
              </w:rPr>
              <w:drawing>
                <wp:inline distT="0" distB="0" distL="0" distR="0" wp14:anchorId="2A9B6B4F" wp14:editId="27706F05">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A320A78" w14:textId="77777777" w:rsidR="000D65A9" w:rsidRPr="000D65A9" w:rsidRDefault="000D65A9" w:rsidP="000D65A9">
            <w:pPr>
              <w:spacing w:before="80" w:after="80"/>
              <w:rPr>
                <w:sz w:val="16"/>
              </w:rPr>
            </w:pPr>
            <w:r w:rsidRPr="000D65A9">
              <w:rPr>
                <w:sz w:val="16"/>
              </w:rPr>
              <w:t>Ensure access to affordable, reliable sustainable and modern energy for all</w:t>
            </w:r>
          </w:p>
        </w:tc>
        <w:tc>
          <w:tcPr>
            <w:tcW w:w="283" w:type="dxa"/>
            <w:shd w:val="clear" w:color="auto" w:fill="D7DEE2" w:themeFill="text2" w:themeFillTint="33"/>
          </w:tcPr>
          <w:p w14:paraId="4CC88B37" w14:textId="77777777" w:rsidR="000D65A9" w:rsidRPr="000D65A9" w:rsidRDefault="000D65A9" w:rsidP="000D65A9"/>
        </w:tc>
        <w:tc>
          <w:tcPr>
            <w:tcW w:w="1276" w:type="dxa"/>
            <w:shd w:val="clear" w:color="auto" w:fill="D7DEE2" w:themeFill="text2" w:themeFillTint="33"/>
          </w:tcPr>
          <w:p w14:paraId="44918CDB" w14:textId="77777777" w:rsidR="000D65A9" w:rsidRPr="000D65A9" w:rsidRDefault="000D65A9" w:rsidP="000D65A9">
            <w:pPr>
              <w:spacing w:before="80" w:after="80"/>
            </w:pPr>
            <w:r w:rsidRPr="000D65A9">
              <w:rPr>
                <w:noProof/>
                <w:lang w:val="en-AU" w:eastAsia="en-AU"/>
              </w:rPr>
              <w:drawing>
                <wp:inline distT="0" distB="0" distL="0" distR="0" wp14:anchorId="1F5FEAEF" wp14:editId="3DC49DAE">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1ED5792A" w14:textId="77777777" w:rsidR="000D65A9" w:rsidRPr="000D65A9" w:rsidRDefault="000D65A9" w:rsidP="000D65A9">
            <w:pPr>
              <w:spacing w:before="80" w:after="80"/>
              <w:rPr>
                <w:sz w:val="16"/>
              </w:rPr>
            </w:pPr>
            <w:r w:rsidRPr="000D65A9">
              <w:rPr>
                <w:sz w:val="16"/>
              </w:rPr>
              <w:t>Promote peaceful and inclusive societies for sustainable development and provide access to justice for all</w:t>
            </w:r>
          </w:p>
        </w:tc>
      </w:tr>
      <w:tr w:rsidR="000D65A9" w:rsidRPr="000D65A9" w14:paraId="203E22A0" w14:textId="77777777" w:rsidTr="009D510C">
        <w:tc>
          <w:tcPr>
            <w:tcW w:w="1271" w:type="dxa"/>
            <w:shd w:val="clear" w:color="auto" w:fill="D7DEE2" w:themeFill="text2" w:themeFillTint="33"/>
          </w:tcPr>
          <w:p w14:paraId="5B4992BC" w14:textId="77777777" w:rsidR="000D65A9" w:rsidRPr="000D65A9" w:rsidRDefault="000D65A9" w:rsidP="000D65A9">
            <w:pPr>
              <w:spacing w:before="80" w:after="80"/>
            </w:pPr>
            <w:r w:rsidRPr="000D65A9">
              <w:rPr>
                <w:noProof/>
                <w:lang w:val="en-AU" w:eastAsia="en-AU"/>
              </w:rPr>
              <w:drawing>
                <wp:inline distT="0" distB="0" distL="0" distR="0" wp14:anchorId="3AE1E14C" wp14:editId="068CE639">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308F0A25" w14:textId="77777777" w:rsidR="000D65A9" w:rsidRPr="000D65A9" w:rsidRDefault="000D65A9" w:rsidP="000D65A9">
            <w:pPr>
              <w:spacing w:before="80" w:after="80"/>
              <w:rPr>
                <w:sz w:val="16"/>
              </w:rPr>
            </w:pPr>
            <w:r w:rsidRPr="000D65A9">
              <w:rPr>
                <w:sz w:val="16"/>
              </w:rPr>
              <w:t>Promote sustained, inclusive and sustainable economic growth, full and productive employment</w:t>
            </w:r>
          </w:p>
        </w:tc>
        <w:tc>
          <w:tcPr>
            <w:tcW w:w="283" w:type="dxa"/>
            <w:shd w:val="clear" w:color="auto" w:fill="D7DEE2" w:themeFill="text2" w:themeFillTint="33"/>
          </w:tcPr>
          <w:p w14:paraId="7A84EABB" w14:textId="77777777" w:rsidR="000D65A9" w:rsidRPr="000D65A9" w:rsidRDefault="000D65A9" w:rsidP="000D65A9"/>
        </w:tc>
        <w:tc>
          <w:tcPr>
            <w:tcW w:w="1276" w:type="dxa"/>
            <w:shd w:val="clear" w:color="auto" w:fill="D7DEE2" w:themeFill="text2" w:themeFillTint="33"/>
          </w:tcPr>
          <w:p w14:paraId="582DF81A" w14:textId="77777777" w:rsidR="000D65A9" w:rsidRPr="000D65A9" w:rsidRDefault="000D65A9" w:rsidP="000D65A9">
            <w:pPr>
              <w:spacing w:before="80" w:after="80"/>
            </w:pPr>
            <w:r w:rsidRPr="000D65A9">
              <w:rPr>
                <w:noProof/>
                <w:lang w:val="en-AU" w:eastAsia="en-AU"/>
              </w:rPr>
              <w:drawing>
                <wp:inline distT="0" distB="0" distL="0" distR="0" wp14:anchorId="6668C25D" wp14:editId="5BF569B0">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693D422" w14:textId="77777777" w:rsidR="000D65A9" w:rsidRPr="000D65A9" w:rsidRDefault="000D65A9" w:rsidP="000D65A9">
            <w:pPr>
              <w:spacing w:before="80" w:after="80"/>
              <w:rPr>
                <w:sz w:val="16"/>
              </w:rPr>
            </w:pPr>
            <w:r w:rsidRPr="000D65A9">
              <w:rPr>
                <w:sz w:val="16"/>
              </w:rPr>
              <w:t>Strengthen the means of implementation and revitalise the global partnership for sustainable development</w:t>
            </w:r>
          </w:p>
        </w:tc>
      </w:tr>
      <w:tr w:rsidR="000D65A9" w:rsidRPr="000D65A9" w14:paraId="26B46884" w14:textId="77777777" w:rsidTr="009D510C">
        <w:tc>
          <w:tcPr>
            <w:tcW w:w="1271" w:type="dxa"/>
            <w:shd w:val="clear" w:color="auto" w:fill="D7DEE2" w:themeFill="text2" w:themeFillTint="33"/>
          </w:tcPr>
          <w:p w14:paraId="0AC31AC9" w14:textId="77777777" w:rsidR="000D65A9" w:rsidRPr="000D65A9" w:rsidRDefault="000D65A9" w:rsidP="000D65A9">
            <w:pPr>
              <w:spacing w:before="80" w:after="80"/>
            </w:pPr>
            <w:r w:rsidRPr="000D65A9">
              <w:rPr>
                <w:noProof/>
                <w:lang w:val="en-AU" w:eastAsia="en-AU"/>
              </w:rPr>
              <w:drawing>
                <wp:inline distT="0" distB="0" distL="0" distR="0" wp14:anchorId="70E46119" wp14:editId="046DE5F6">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9E74F82" w14:textId="77777777" w:rsidR="000D65A9" w:rsidRPr="000D65A9" w:rsidRDefault="000D65A9" w:rsidP="000D65A9">
            <w:pPr>
              <w:spacing w:before="80" w:after="80"/>
              <w:rPr>
                <w:sz w:val="16"/>
              </w:rPr>
            </w:pPr>
            <w:r w:rsidRPr="000D65A9">
              <w:rPr>
                <w:sz w:val="16"/>
              </w:rPr>
              <w:t>Build resilient infrastructure, promote inclusive and sustainable Industrialisation and foster innovation</w:t>
            </w:r>
          </w:p>
        </w:tc>
        <w:tc>
          <w:tcPr>
            <w:tcW w:w="283" w:type="dxa"/>
            <w:shd w:val="clear" w:color="auto" w:fill="D7DEE2" w:themeFill="text2" w:themeFillTint="33"/>
          </w:tcPr>
          <w:p w14:paraId="39E21ACC" w14:textId="77777777" w:rsidR="000D65A9" w:rsidRPr="000D65A9" w:rsidRDefault="000D65A9" w:rsidP="000D65A9"/>
        </w:tc>
        <w:tc>
          <w:tcPr>
            <w:tcW w:w="1276" w:type="dxa"/>
            <w:shd w:val="clear" w:color="auto" w:fill="D7DEE2" w:themeFill="text2" w:themeFillTint="33"/>
          </w:tcPr>
          <w:p w14:paraId="322AE598" w14:textId="77777777" w:rsidR="000D65A9" w:rsidRPr="000D65A9" w:rsidRDefault="000D65A9" w:rsidP="000D65A9">
            <w:pPr>
              <w:spacing w:before="80" w:after="80"/>
              <w:rPr>
                <w:sz w:val="16"/>
              </w:rPr>
            </w:pPr>
          </w:p>
        </w:tc>
        <w:tc>
          <w:tcPr>
            <w:tcW w:w="3544" w:type="dxa"/>
            <w:shd w:val="clear" w:color="auto" w:fill="D7DEE2" w:themeFill="text2" w:themeFillTint="33"/>
          </w:tcPr>
          <w:p w14:paraId="32B6B7C2" w14:textId="77777777" w:rsidR="000D65A9" w:rsidRPr="000D65A9" w:rsidRDefault="000D65A9" w:rsidP="000D65A9">
            <w:pPr>
              <w:spacing w:before="80" w:after="80"/>
              <w:rPr>
                <w:sz w:val="16"/>
              </w:rPr>
            </w:pPr>
          </w:p>
        </w:tc>
      </w:tr>
    </w:tbl>
    <w:p w14:paraId="721A5E07" w14:textId="77777777" w:rsidR="000D65A9" w:rsidRPr="000D65A9" w:rsidRDefault="000D65A9" w:rsidP="000D65A9">
      <w:pPr>
        <w:rPr>
          <w:b/>
        </w:rPr>
      </w:pPr>
      <w:r w:rsidRPr="000D65A9">
        <w:t xml:space="preserve">In order to ascertain which of the Sustainable Development Goals (SDGs or ‘Global Goals’) your program objectives are addressing, please read through the list of targets against each goal, available on the DFAT website under </w:t>
      </w:r>
      <w:hyperlink r:id="rId48" w:history="1">
        <w:r w:rsidRPr="000D65A9">
          <w:rPr>
            <w:b/>
          </w:rPr>
          <w:t>Development Goals</w:t>
        </w:r>
      </w:hyperlink>
      <w:r w:rsidRPr="000D65A9">
        <w:rPr>
          <w:b/>
        </w:rPr>
        <w:t xml:space="preserve">.  </w:t>
      </w:r>
    </w:p>
    <w:p w14:paraId="789616B8" w14:textId="77777777" w:rsidR="000D65A9" w:rsidRPr="000D65A9" w:rsidRDefault="000D65A9" w:rsidP="000D65A9">
      <w:r w:rsidRPr="000D65A9">
        <w:t xml:space="preserve">Note: there are cross-cutting issues such as gender equality and disability which are included as targets across several goals. Consistent with Australia’s ‘Gender Equality and Women’s Empowerment Strategy’ the majority of programs should address </w:t>
      </w:r>
      <w:hyperlink r:id="rId49" w:anchor="five" w:history="1">
        <w:r w:rsidRPr="000D65A9">
          <w:rPr>
            <w:rFonts w:cs="MuseoSans-500"/>
            <w:b/>
            <w:color w:val="auto"/>
            <w:u w:val="single" w:color="0070C0"/>
          </w:rPr>
          <w:t>Goal 5</w:t>
        </w:r>
      </w:hyperlink>
      <w:r w:rsidRPr="000D65A9">
        <w:t>.</w:t>
      </w:r>
    </w:p>
    <w:p w14:paraId="30F28B81" w14:textId="77777777" w:rsidR="000D65A9" w:rsidRPr="000D65A9" w:rsidRDefault="000D65A9" w:rsidP="000D65A9"/>
    <w:p w14:paraId="63DE94AD" w14:textId="77777777" w:rsidR="001F1798" w:rsidRPr="004506C4" w:rsidRDefault="001F1798" w:rsidP="004506C4"/>
    <w:sectPr w:rsidR="001F1798" w:rsidRPr="004506C4" w:rsidSect="00CA7DD8">
      <w:headerReference w:type="default" r:id="rId50"/>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D4C1B" w14:textId="77777777" w:rsidR="00971E75" w:rsidRDefault="00971E75" w:rsidP="00EF4574">
      <w:pPr>
        <w:spacing w:before="0" w:after="0" w:line="240" w:lineRule="auto"/>
      </w:pPr>
      <w:r>
        <w:separator/>
      </w:r>
    </w:p>
  </w:endnote>
  <w:endnote w:type="continuationSeparator" w:id="0">
    <w:p w14:paraId="3DF4FDF6" w14:textId="77777777" w:rsidR="00971E75" w:rsidRDefault="00971E75"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3AC0" w14:textId="77777777" w:rsidR="007612C3" w:rsidRDefault="0076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442237"/>
      <w:docPartObj>
        <w:docPartGallery w:val="Page Numbers (Bottom of Page)"/>
        <w:docPartUnique/>
      </w:docPartObj>
    </w:sdtPr>
    <w:sdtEndPr>
      <w:rPr>
        <w:noProof/>
      </w:rPr>
    </w:sdtEndPr>
    <w:sdtContent>
      <w:p w14:paraId="652362AA" w14:textId="0185CA4E" w:rsidR="00AB795A" w:rsidRDefault="00AB795A">
        <w:pPr>
          <w:pStyle w:val="Footer"/>
        </w:pPr>
        <w:r>
          <w:fldChar w:fldCharType="begin"/>
        </w:r>
        <w:r>
          <w:instrText xml:space="preserve"> PAGE   \* MERGEFORMAT </w:instrText>
        </w:r>
        <w:r>
          <w:fldChar w:fldCharType="separate"/>
        </w:r>
        <w:r w:rsidR="007612C3">
          <w:rPr>
            <w:noProof/>
          </w:rPr>
          <w:t>4</w:t>
        </w:r>
        <w:r>
          <w:rPr>
            <w:noProof/>
          </w:rPr>
          <w:fldChar w:fldCharType="end"/>
        </w:r>
      </w:p>
    </w:sdtContent>
  </w:sdt>
  <w:p w14:paraId="198D01E8" w14:textId="77777777" w:rsidR="00AB795A" w:rsidRDefault="00AB7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08B0" w14:textId="77777777" w:rsidR="007612C3" w:rsidRDefault="007612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742C" w14:textId="77777777" w:rsidR="00AB795A" w:rsidRPr="00CD0E4B" w:rsidRDefault="00AB795A" w:rsidP="00784031">
    <w:pPr>
      <w:pStyle w:val="Footer"/>
    </w:pPr>
    <w:r w:rsidRPr="00CD0E4B">
      <w:rPr>
        <w:noProof/>
        <w:lang w:val="en-AU" w:eastAsia="en-AU"/>
      </w:rPr>
      <w:drawing>
        <wp:inline distT="0" distB="0" distL="0" distR="0" wp14:anchorId="710D6918" wp14:editId="2A85B947">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6F959346" w14:textId="77777777" w:rsidR="00AB795A" w:rsidRPr="00CD0E4B" w:rsidRDefault="00AB795A"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1058" w14:textId="77777777" w:rsidR="00971E75" w:rsidRPr="008C5A0E" w:rsidRDefault="00971E75" w:rsidP="001D663E">
      <w:pPr>
        <w:pStyle w:val="Footer"/>
        <w:pBdr>
          <w:top w:val="single" w:sz="4" w:space="1" w:color="495965" w:themeColor="text2"/>
        </w:pBdr>
      </w:pPr>
    </w:p>
  </w:footnote>
  <w:footnote w:type="continuationSeparator" w:id="0">
    <w:p w14:paraId="7FA3DB84" w14:textId="77777777" w:rsidR="00971E75" w:rsidRDefault="00971E75" w:rsidP="00EF4574">
      <w:pPr>
        <w:spacing w:before="0" w:after="0" w:line="240" w:lineRule="auto"/>
      </w:pPr>
      <w:r>
        <w:continuationSeparator/>
      </w:r>
    </w:p>
  </w:footnote>
  <w:footnote w:id="1">
    <w:p w14:paraId="2BCD74B0" w14:textId="77777777" w:rsidR="00AB795A" w:rsidRDefault="00AB795A" w:rsidP="00987FAA">
      <w:pPr>
        <w:pStyle w:val="FootnoteText"/>
        <w:rPr>
          <w:lang w:val="en-AU"/>
        </w:rPr>
      </w:pPr>
      <w:r>
        <w:rPr>
          <w:rStyle w:val="FootnoteReference"/>
        </w:rPr>
        <w:footnoteRef/>
      </w:r>
      <w:r>
        <w:t xml:space="preserve"> </w:t>
      </w:r>
      <w:r>
        <w:rPr>
          <w:lang w:val="en-AU"/>
        </w:rPr>
        <w:t xml:space="preserve">This is the </w:t>
      </w:r>
      <w:r>
        <w:rPr>
          <w:lang w:val="en-US"/>
        </w:rPr>
        <w:t xml:space="preserve">23rd annual Conference of the Parties to the 1992 United Nations Framework Convention on Climate Change. </w:t>
      </w:r>
    </w:p>
  </w:footnote>
  <w:footnote w:id="2">
    <w:p w14:paraId="04025B4F" w14:textId="632A7F7F" w:rsidR="00AB795A" w:rsidRPr="00467448" w:rsidRDefault="00AB795A" w:rsidP="00AC50CE">
      <w:pPr>
        <w:pStyle w:val="FootnoteText"/>
        <w:rPr>
          <w:lang w:val="en-AU"/>
        </w:rPr>
      </w:pPr>
      <w:r>
        <w:rPr>
          <w:rStyle w:val="FootnoteReference"/>
        </w:rPr>
        <w:footnoteRef/>
      </w:r>
      <w:r>
        <w:t xml:space="preserve"> </w:t>
      </w:r>
      <w:r>
        <w:rPr>
          <w:lang w:val="en-AU"/>
        </w:rPr>
        <w:t>The World Bank 2017 Systematic Cou</w:t>
      </w:r>
      <w:r w:rsidR="003475E0">
        <w:rPr>
          <w:lang w:val="en-AU"/>
        </w:rPr>
        <w:t xml:space="preserve">ntry Diagnostic, June 2017, at </w:t>
      </w:r>
      <w:r>
        <w:rPr>
          <w:lang w:val="en-AU"/>
        </w:rPr>
        <w:t xml:space="preserve">8.  </w:t>
      </w:r>
    </w:p>
  </w:footnote>
  <w:footnote w:id="3">
    <w:p w14:paraId="6975913B" w14:textId="77777777" w:rsidR="00AB795A" w:rsidRPr="00F520BA" w:rsidRDefault="00AB795A" w:rsidP="00662914">
      <w:pPr>
        <w:pStyle w:val="FootnoteText"/>
        <w:rPr>
          <w:lang w:val="en-AU"/>
        </w:rPr>
      </w:pPr>
      <w:r>
        <w:rPr>
          <w:rStyle w:val="FootnoteReference"/>
        </w:rPr>
        <w:footnoteRef/>
      </w:r>
      <w:r>
        <w:t xml:space="preserve"> </w:t>
      </w:r>
      <w:r>
        <w:rPr>
          <w:lang w:val="en-AU"/>
        </w:rPr>
        <w:t xml:space="preserve">Department of Foreign Affairs and Trade, </w:t>
      </w:r>
      <w:r>
        <w:rPr>
          <w:i/>
          <w:lang w:val="en-AU"/>
        </w:rPr>
        <w:t>2017 Foreign Policy White Paper</w:t>
      </w:r>
      <w:r>
        <w:rPr>
          <w:lang w:val="en-AU"/>
        </w:rPr>
        <w:t xml:space="preserve">, Canberra 2017, at 104.  </w:t>
      </w:r>
    </w:p>
  </w:footnote>
  <w:footnote w:id="4">
    <w:p w14:paraId="75AB31CB" w14:textId="77777777" w:rsidR="00AB795A" w:rsidRPr="00F520BA" w:rsidRDefault="00AB795A">
      <w:pPr>
        <w:pStyle w:val="FootnoteText"/>
        <w:rPr>
          <w:lang w:val="en-AU"/>
        </w:rPr>
      </w:pPr>
      <w:r>
        <w:rPr>
          <w:rStyle w:val="FootnoteReference"/>
        </w:rPr>
        <w:footnoteRef/>
      </w:r>
      <w:r>
        <w:t xml:space="preserve"> </w:t>
      </w:r>
      <w:r>
        <w:rPr>
          <w:i/>
          <w:lang w:val="en-AU"/>
        </w:rPr>
        <w:t>Foreign Policy White Paper</w:t>
      </w:r>
      <w:r>
        <w:rPr>
          <w:lang w:val="en-AU"/>
        </w:rPr>
        <w:t xml:space="preserve">, at 104. </w:t>
      </w:r>
    </w:p>
  </w:footnote>
  <w:footnote w:id="5">
    <w:p w14:paraId="43A22BFC" w14:textId="77777777" w:rsidR="00AB795A" w:rsidRPr="009D510C" w:rsidRDefault="00AB795A">
      <w:pPr>
        <w:pStyle w:val="FootnoteText"/>
        <w:rPr>
          <w:lang w:val="en-AU"/>
        </w:rPr>
      </w:pPr>
      <w:r>
        <w:rPr>
          <w:rStyle w:val="FootnoteReference"/>
        </w:rPr>
        <w:footnoteRef/>
      </w:r>
      <w:r>
        <w:t xml:space="preserve"> </w:t>
      </w:r>
      <w:r w:rsidRPr="000970A3">
        <w:t>MDF Fiji Advisory Grou</w:t>
      </w:r>
      <w:r>
        <w:t>p Mission 6th – 10th March 2018</w:t>
      </w:r>
    </w:p>
  </w:footnote>
  <w:footnote w:id="6">
    <w:p w14:paraId="3F7E4A79" w14:textId="77777777" w:rsidR="00AB795A" w:rsidRPr="00456ABB" w:rsidRDefault="00AB795A">
      <w:pPr>
        <w:pStyle w:val="FootnoteText"/>
        <w:rPr>
          <w:lang w:val="en-AU"/>
        </w:rPr>
      </w:pPr>
      <w:r>
        <w:rPr>
          <w:rStyle w:val="FootnoteReference"/>
        </w:rPr>
        <w:footnoteRef/>
      </w:r>
      <w:r>
        <w:t xml:space="preserve"> </w:t>
      </w:r>
      <w:r>
        <w:rPr>
          <w:lang w:val="en-AU"/>
        </w:rPr>
        <w:t xml:space="preserve">Palladium, Market Development Facility, Annual Aggregation of Results, 2017 (April 2018), at 41. </w:t>
      </w:r>
    </w:p>
  </w:footnote>
  <w:footnote w:id="7">
    <w:p w14:paraId="6AFBDB52" w14:textId="77777777" w:rsidR="00AB795A" w:rsidRPr="00071E22" w:rsidRDefault="00AB795A">
      <w:pPr>
        <w:pStyle w:val="FootnoteText"/>
        <w:rPr>
          <w:lang w:val="en-AU"/>
        </w:rPr>
      </w:pPr>
      <w:r>
        <w:rPr>
          <w:rStyle w:val="FootnoteReference"/>
        </w:rPr>
        <w:footnoteRef/>
      </w:r>
      <w:r>
        <w:t xml:space="preserve"> </w:t>
      </w:r>
      <w:r>
        <w:rPr>
          <w:lang w:val="en-AU"/>
        </w:rPr>
        <w:t xml:space="preserve">A tracer study is currently underway which will provide data on savings and remittances flowing from the SWP. </w:t>
      </w:r>
    </w:p>
  </w:footnote>
  <w:footnote w:id="8">
    <w:p w14:paraId="5B19D10C" w14:textId="77777777" w:rsidR="00AB795A" w:rsidRPr="00456ABB" w:rsidRDefault="00AB795A">
      <w:pPr>
        <w:pStyle w:val="FootnoteText"/>
        <w:rPr>
          <w:lang w:val="en-AU"/>
        </w:rPr>
      </w:pPr>
      <w:r>
        <w:rPr>
          <w:rStyle w:val="FootnoteReference"/>
        </w:rPr>
        <w:footnoteRef/>
      </w:r>
      <w:r>
        <w:t xml:space="preserve"> </w:t>
      </w:r>
      <w:r>
        <w:rPr>
          <w:lang w:val="en-AU"/>
        </w:rPr>
        <w:t>Palladium, Market Development Facility, Annual Aggregation of Results, 2017 (April 2018), at 41</w:t>
      </w:r>
    </w:p>
  </w:footnote>
  <w:footnote w:id="9">
    <w:p w14:paraId="0875A7BC" w14:textId="77777777" w:rsidR="00AB795A" w:rsidRPr="00E23B65" w:rsidRDefault="00AB795A">
      <w:pPr>
        <w:pStyle w:val="FootnoteText"/>
        <w:rPr>
          <w:lang w:val="en-AU"/>
        </w:rPr>
      </w:pPr>
      <w:r>
        <w:rPr>
          <w:rStyle w:val="FootnoteReference"/>
        </w:rPr>
        <w:footnoteRef/>
      </w:r>
      <w:r>
        <w:t xml:space="preserve"> </w:t>
      </w:r>
      <w:r>
        <w:rPr>
          <w:i/>
          <w:lang w:val="en-AU"/>
        </w:rPr>
        <w:t>Gender Statistics: The Pacific and Timor-Leste</w:t>
      </w:r>
      <w:r>
        <w:rPr>
          <w:lang w:val="en-AU"/>
        </w:rPr>
        <w:t>, ADB, 2016 at 13</w:t>
      </w:r>
    </w:p>
  </w:footnote>
  <w:footnote w:id="10">
    <w:p w14:paraId="24B079C4" w14:textId="77777777" w:rsidR="00AB795A" w:rsidRPr="00F46ACD" w:rsidRDefault="00AB795A" w:rsidP="0041314C">
      <w:pPr>
        <w:pStyle w:val="FootnoteText"/>
        <w:rPr>
          <w:lang w:val="en-AU"/>
        </w:rPr>
      </w:pPr>
      <w:r>
        <w:rPr>
          <w:rStyle w:val="FootnoteReference"/>
        </w:rPr>
        <w:footnoteRef/>
      </w:r>
      <w:r>
        <w:rPr>
          <w:lang w:val="en-AU"/>
        </w:rPr>
        <w:t>In 2013, 64 per cent of</w:t>
      </w:r>
      <w:r w:rsidRPr="00F46ACD">
        <w:rPr>
          <w:lang w:val="en-AU"/>
        </w:rPr>
        <w:t xml:space="preserve"> </w:t>
      </w:r>
      <w:r>
        <w:rPr>
          <w:lang w:val="en-AU"/>
        </w:rPr>
        <w:t xml:space="preserve">Fijian </w:t>
      </w:r>
      <w:r w:rsidRPr="00F46ACD">
        <w:rPr>
          <w:lang w:val="en-AU"/>
        </w:rPr>
        <w:t>women</w:t>
      </w:r>
      <w:r>
        <w:rPr>
          <w:lang w:val="en-AU"/>
        </w:rPr>
        <w:t xml:space="preserve"> </w:t>
      </w:r>
      <w:r w:rsidRPr="00F46ACD">
        <w:rPr>
          <w:lang w:val="en-AU"/>
        </w:rPr>
        <w:t>who have ever been in an intimate relationship have experienced physical and/or sexual violence by</w:t>
      </w:r>
      <w:r>
        <w:rPr>
          <w:lang w:val="en-AU"/>
        </w:rPr>
        <w:t xml:space="preserve"> </w:t>
      </w:r>
      <w:r w:rsidRPr="00F46ACD">
        <w:rPr>
          <w:lang w:val="en-AU"/>
        </w:rPr>
        <w:t xml:space="preserve">a husband or intimate partner in their lifetime, and 24 per cent </w:t>
      </w:r>
      <w:r>
        <w:rPr>
          <w:lang w:val="en-AU"/>
        </w:rPr>
        <w:t>were</w:t>
      </w:r>
      <w:r w:rsidRPr="00F46ACD">
        <w:rPr>
          <w:lang w:val="en-AU"/>
        </w:rPr>
        <w:t xml:space="preserve"> suffering from physical or sexual partner</w:t>
      </w:r>
      <w:r>
        <w:rPr>
          <w:lang w:val="en-AU"/>
        </w:rPr>
        <w:t xml:space="preserve"> </w:t>
      </w:r>
      <w:r w:rsidRPr="00F46ACD">
        <w:rPr>
          <w:lang w:val="en-AU"/>
        </w:rPr>
        <w:t xml:space="preserve">violence </w:t>
      </w:r>
      <w:r>
        <w:rPr>
          <w:lang w:val="en-AU"/>
        </w:rPr>
        <w:t>at the time</w:t>
      </w:r>
      <w:r w:rsidRPr="00F46ACD">
        <w:rPr>
          <w:lang w:val="en-AU"/>
        </w:rPr>
        <w:t xml:space="preserve">. </w:t>
      </w:r>
      <w:r w:rsidRPr="00F46ACD">
        <w:rPr>
          <w:i/>
          <w:lang w:val="en-AU"/>
        </w:rPr>
        <w:t>Somebody’s Life, Somebody’s Business</w:t>
      </w:r>
      <w:r w:rsidRPr="00F46ACD">
        <w:rPr>
          <w:lang w:val="en-AU"/>
        </w:rPr>
        <w:t>,</w:t>
      </w:r>
      <w:r>
        <w:t xml:space="preserve"> </w:t>
      </w:r>
      <w:r>
        <w:rPr>
          <w:lang w:val="en-AU"/>
        </w:rPr>
        <w:t xml:space="preserve">Fiji Women’s Crisis Centre, 2013, at 2.  </w:t>
      </w:r>
    </w:p>
  </w:footnote>
  <w:footnote w:id="11">
    <w:p w14:paraId="213C1CF6" w14:textId="77777777" w:rsidR="00AB795A" w:rsidRPr="008B5D2C" w:rsidRDefault="00AB795A" w:rsidP="00597043">
      <w:pPr>
        <w:pStyle w:val="FootnoteText"/>
        <w:rPr>
          <w:lang w:val="en-AU"/>
        </w:rPr>
      </w:pPr>
      <w:r>
        <w:rPr>
          <w:rStyle w:val="FootnoteReference"/>
        </w:rPr>
        <w:footnoteRef/>
      </w:r>
      <w:r>
        <w:t xml:space="preserve"> </w:t>
      </w:r>
      <w:r w:rsidRPr="000A30C7">
        <w:rPr>
          <w:lang w:val="en-AU"/>
        </w:rPr>
        <w:t>Cardno (2017) Fiji Country Review September 2017, Pacific Wo</w:t>
      </w:r>
      <w:r>
        <w:rPr>
          <w:lang w:val="en-AU"/>
        </w:rPr>
        <w:t xml:space="preserve">men Shaping Pacific Development, </w:t>
      </w:r>
      <w:r w:rsidRPr="000A30C7">
        <w:rPr>
          <w:lang w:val="en-AU"/>
        </w:rPr>
        <w:t>Cardno Emerging Markets</w:t>
      </w:r>
      <w:r>
        <w:rPr>
          <w:lang w:val="en-AU"/>
        </w:rPr>
        <w:t xml:space="preserve">. </w:t>
      </w:r>
    </w:p>
  </w:footnote>
  <w:footnote w:id="12">
    <w:p w14:paraId="1A2FCB28" w14:textId="77777777" w:rsidR="00AB795A" w:rsidRDefault="00AB795A">
      <w:pPr>
        <w:pStyle w:val="FootnoteText"/>
        <w:rPr>
          <w:lang w:val="en-AU"/>
        </w:rPr>
      </w:pPr>
      <w:r>
        <w:rPr>
          <w:rStyle w:val="FootnoteReference"/>
        </w:rPr>
        <w:footnoteRef/>
      </w:r>
      <w:r>
        <w:t xml:space="preserve"> </w:t>
      </w:r>
      <w:r>
        <w:rPr>
          <w:lang w:val="en-AU"/>
        </w:rPr>
        <w:t xml:space="preserve">The Fiji Program met the performance benchmark that all new activities addressed climate change risks and disaster resilience and </w:t>
      </w:r>
    </w:p>
    <w:p w14:paraId="36918371" w14:textId="77777777" w:rsidR="00AB795A" w:rsidRPr="001B7CB9" w:rsidRDefault="00AB795A">
      <w:pPr>
        <w:pStyle w:val="FootnoteText"/>
        <w:rPr>
          <w:lang w:val="en-AU"/>
        </w:rPr>
      </w:pPr>
      <w:r>
        <w:rPr>
          <w:lang w:val="en-AU"/>
        </w:rPr>
        <w:t xml:space="preserve">    aligned with Fiji’s priorities as set out in the NDP.  See Annex B. </w:t>
      </w:r>
    </w:p>
  </w:footnote>
  <w:footnote w:id="13">
    <w:p w14:paraId="076C4B97" w14:textId="77777777" w:rsidR="00AB795A" w:rsidRPr="000B55DA" w:rsidRDefault="00AB795A" w:rsidP="00592E04">
      <w:pPr>
        <w:pStyle w:val="FootnoteText"/>
        <w:rPr>
          <w:lang w:val="en-AU"/>
        </w:rPr>
      </w:pPr>
      <w:r>
        <w:rPr>
          <w:rStyle w:val="FootnoteReference"/>
        </w:rPr>
        <w:footnoteRef/>
      </w:r>
      <w:r>
        <w:t xml:space="preserve"> </w:t>
      </w:r>
      <w:r>
        <w:rPr>
          <w:lang w:val="en-AU"/>
        </w:rPr>
        <w:t xml:space="preserve">Management fees under the Facility have been reduced from 14.8% to 11.3% of the total program cost. </w:t>
      </w:r>
    </w:p>
  </w:footnote>
  <w:footnote w:id="14">
    <w:p w14:paraId="609C828C" w14:textId="77777777" w:rsidR="00AB795A" w:rsidRPr="00971FCC" w:rsidRDefault="00AB795A" w:rsidP="001D49F0">
      <w:pPr>
        <w:pStyle w:val="FootnoteText"/>
        <w:rPr>
          <w:lang w:val="en-AU"/>
        </w:rPr>
      </w:pPr>
      <w:r>
        <w:rPr>
          <w:rStyle w:val="FootnoteReference"/>
        </w:rPr>
        <w:footnoteRef/>
      </w:r>
      <w:r>
        <w:t xml:space="preserve"> </w:t>
      </w:r>
      <w:r>
        <w:rPr>
          <w:lang w:val="en-AU"/>
        </w:rPr>
        <w:t>Palladium, Market Development Facility, Annual Aggregation of Results, 2017 (April 2018), at 41</w:t>
      </w:r>
    </w:p>
  </w:footnote>
  <w:footnote w:id="15">
    <w:p w14:paraId="6F491284" w14:textId="77777777" w:rsidR="00AB795A" w:rsidRPr="001B7CB9" w:rsidRDefault="00AB795A">
      <w:pPr>
        <w:pStyle w:val="FootnoteText"/>
        <w:rPr>
          <w:lang w:val="en-AU"/>
        </w:rPr>
      </w:pPr>
      <w:r>
        <w:rPr>
          <w:rStyle w:val="FootnoteReference"/>
        </w:rPr>
        <w:footnoteRef/>
      </w:r>
      <w:r>
        <w:t xml:space="preserve"> </w:t>
      </w:r>
      <w:r>
        <w:rPr>
          <w:lang w:val="en-AU"/>
        </w:rPr>
        <w:t xml:space="preserve">The Bilateral Governance Program consists of three initiatives. </w:t>
      </w:r>
    </w:p>
  </w:footnote>
  <w:footnote w:id="16">
    <w:p w14:paraId="6158541A" w14:textId="77777777" w:rsidR="00AB795A" w:rsidRPr="00456ABB" w:rsidRDefault="00AB795A" w:rsidP="001D49F0">
      <w:pPr>
        <w:pStyle w:val="FootnoteText"/>
        <w:rPr>
          <w:lang w:val="en-AU"/>
        </w:rPr>
      </w:pPr>
      <w:r>
        <w:rPr>
          <w:rStyle w:val="FootnoteReference"/>
        </w:rPr>
        <w:footnoteRef/>
      </w:r>
      <w:r>
        <w:t xml:space="preserve"> </w:t>
      </w:r>
      <w:r>
        <w:rPr>
          <w:lang w:val="en-AU"/>
        </w:rPr>
        <w:t xml:space="preserve">This new program received an exemption from the AQC process in 2016-17 as there was insufficient information to </w:t>
      </w:r>
      <w:r w:rsidRPr="00F628D1">
        <w:rPr>
          <w:lang w:val="en-AU"/>
        </w:rPr>
        <w:t>report on.</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95D9" w14:textId="77777777" w:rsidR="007612C3" w:rsidRDefault="0076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AB3B" w14:textId="77777777" w:rsidR="00AB795A" w:rsidRPr="00333501" w:rsidRDefault="00AB795A" w:rsidP="008F56A8">
    <w:pPr>
      <w:pStyle w:val="Header"/>
      <w:jc w:val="left"/>
    </w:pPr>
    <w:r>
      <w:rPr>
        <w:noProof/>
        <w:lang w:val="en-AU" w:eastAsia="en-AU"/>
      </w:rPr>
      <w:drawing>
        <wp:anchor distT="0" distB="0" distL="114300" distR="114300" simplePos="0" relativeHeight="251655680" behindDoc="1" locked="1" layoutInCell="1" allowOverlap="1" wp14:anchorId="013D9C8B" wp14:editId="33AB352C">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1F02" w14:textId="77777777" w:rsidR="007612C3" w:rsidRDefault="00761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275F" w14:textId="77777777" w:rsidR="00AB795A" w:rsidRDefault="00AB79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4AF" w14:textId="77777777" w:rsidR="00AB795A" w:rsidRPr="00333501" w:rsidRDefault="00AB795A" w:rsidP="008F56A8">
    <w:pPr>
      <w:pStyle w:val="Header"/>
      <w:jc w:val="left"/>
    </w:pPr>
    <w:r>
      <w:rPr>
        <w:noProof/>
        <w:lang w:val="en-AU" w:eastAsia="en-AU"/>
      </w:rPr>
      <w:drawing>
        <wp:anchor distT="0" distB="0" distL="114300" distR="114300" simplePos="0" relativeHeight="251660800" behindDoc="1" locked="1" layoutInCell="1" allowOverlap="1" wp14:anchorId="4A23A70F" wp14:editId="54CCDA21">
          <wp:simplePos x="0" y="0"/>
          <wp:positionH relativeFrom="page">
            <wp:posOffset>160020</wp:posOffset>
          </wp:positionH>
          <wp:positionV relativeFrom="page">
            <wp:posOffset>160020</wp:posOffset>
          </wp:positionV>
          <wp:extent cx="10662285" cy="7545705"/>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3FCE" w14:textId="77777777" w:rsidR="00AB795A" w:rsidRPr="003D352D" w:rsidRDefault="00AB795A" w:rsidP="003D352D">
    <w:pPr>
      <w:pStyle w:val="Header"/>
      <w:jc w:val="left"/>
    </w:pPr>
    <w:r>
      <w:rPr>
        <w:noProof/>
        <w:lang w:val="en-AU" w:eastAsia="en-AU"/>
      </w:rPr>
      <w:drawing>
        <wp:anchor distT="0" distB="0" distL="114300" distR="114300" simplePos="0" relativeHeight="251659776" behindDoc="1" locked="1" layoutInCell="1" allowOverlap="1" wp14:anchorId="51D906E5" wp14:editId="0DEA500B">
          <wp:simplePos x="0" y="0"/>
          <wp:positionH relativeFrom="page">
            <wp:posOffset>7620</wp:posOffset>
          </wp:positionH>
          <wp:positionV relativeFrom="page">
            <wp:posOffset>7620</wp:posOffset>
          </wp:positionV>
          <wp:extent cx="10662285" cy="7545705"/>
          <wp:effectExtent l="0" t="0" r="5715"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E643" w14:textId="77777777" w:rsidR="00AB795A" w:rsidRPr="00333501" w:rsidRDefault="00AB795A" w:rsidP="008F56A8">
    <w:pPr>
      <w:pStyle w:val="Header"/>
      <w:jc w:val="left"/>
    </w:pPr>
    <w:r>
      <w:rPr>
        <w:noProof/>
        <w:lang w:val="en-AU" w:eastAsia="en-AU"/>
      </w:rPr>
      <w:drawing>
        <wp:anchor distT="0" distB="0" distL="114300" distR="114300" simplePos="0" relativeHeight="251664896" behindDoc="1" locked="1" layoutInCell="1" allowOverlap="1" wp14:anchorId="6721A07F" wp14:editId="101721D3">
          <wp:simplePos x="0" y="0"/>
          <wp:positionH relativeFrom="page">
            <wp:posOffset>7620</wp:posOffset>
          </wp:positionH>
          <wp:positionV relativeFrom="page">
            <wp:posOffset>-99060</wp:posOffset>
          </wp:positionV>
          <wp:extent cx="10799445" cy="7559675"/>
          <wp:effectExtent l="0" t="0" r="1905" b="317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99445" cy="7559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EA69" w14:textId="77777777" w:rsidR="00AB795A" w:rsidRPr="00333501" w:rsidRDefault="00AB795A" w:rsidP="008F56A8">
    <w:pPr>
      <w:pStyle w:val="Header"/>
      <w:jc w:val="left"/>
    </w:pPr>
    <w:r>
      <w:rPr>
        <w:noProof/>
        <w:lang w:val="en-AU" w:eastAsia="en-AU"/>
      </w:rPr>
      <w:drawing>
        <wp:anchor distT="0" distB="0" distL="114300" distR="114300" simplePos="0" relativeHeight="251656704" behindDoc="1" locked="1" layoutInCell="1" allowOverlap="1" wp14:anchorId="62794E87" wp14:editId="62C677B1">
          <wp:simplePos x="0" y="0"/>
          <wp:positionH relativeFrom="page">
            <wp:posOffset>7620</wp:posOffset>
          </wp:positionH>
          <wp:positionV relativeFrom="page">
            <wp:posOffset>57785</wp:posOffset>
          </wp:positionV>
          <wp:extent cx="10800000" cy="7560000"/>
          <wp:effectExtent l="0" t="0" r="1905" b="3175"/>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949A" w14:textId="77777777" w:rsidR="00AB795A" w:rsidRPr="00333501" w:rsidRDefault="00AB795A" w:rsidP="008F56A8">
    <w:pPr>
      <w:pStyle w:val="Header"/>
      <w:jc w:val="left"/>
    </w:pPr>
    <w:r>
      <w:rPr>
        <w:noProof/>
        <w:lang w:val="en-AU" w:eastAsia="en-AU"/>
      </w:rPr>
      <w:drawing>
        <wp:anchor distT="0" distB="0" distL="114300" distR="114300" simplePos="0" relativeHeight="251662848" behindDoc="1" locked="1" layoutInCell="1" allowOverlap="1" wp14:anchorId="72EABBA8" wp14:editId="322E0DA0">
          <wp:simplePos x="0" y="0"/>
          <wp:positionH relativeFrom="page">
            <wp:align>right</wp:align>
          </wp:positionH>
          <wp:positionV relativeFrom="page">
            <wp:align>top</wp:align>
          </wp:positionV>
          <wp:extent cx="7559040" cy="11025505"/>
          <wp:effectExtent l="0" t="0" r="3810" b="444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AB9"/>
    <w:multiLevelType w:val="hybridMultilevel"/>
    <w:tmpl w:val="72B29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140F9"/>
    <w:multiLevelType w:val="hybridMultilevel"/>
    <w:tmpl w:val="9ED6F460"/>
    <w:lvl w:ilvl="0" w:tplc="E06E9A3C">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5742A8"/>
    <w:multiLevelType w:val="hybridMultilevel"/>
    <w:tmpl w:val="63FC184E"/>
    <w:lvl w:ilvl="0" w:tplc="2932B146">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907031D"/>
    <w:multiLevelType w:val="hybridMultilevel"/>
    <w:tmpl w:val="17A6BF72"/>
    <w:lvl w:ilvl="0" w:tplc="2932B146">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580F62"/>
    <w:multiLevelType w:val="hybridMultilevel"/>
    <w:tmpl w:val="8782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91744"/>
    <w:multiLevelType w:val="hybridMultilevel"/>
    <w:tmpl w:val="6256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C24B93"/>
    <w:multiLevelType w:val="hybridMultilevel"/>
    <w:tmpl w:val="1378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3C1EA7"/>
    <w:multiLevelType w:val="multilevel"/>
    <w:tmpl w:val="43428892"/>
    <w:numStyleLink w:val="BulletsList"/>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2"/>
  </w:num>
  <w:num w:numId="3">
    <w:abstractNumId w:val="5"/>
  </w:num>
  <w:num w:numId="4">
    <w:abstractNumId w:val="11"/>
  </w:num>
  <w:num w:numId="5">
    <w:abstractNumId w:val="13"/>
  </w:num>
  <w:num w:numId="6">
    <w:abstractNumId w:val="5"/>
  </w:num>
  <w:num w:numId="7">
    <w:abstractNumId w:val="12"/>
  </w:num>
  <w:num w:numId="8">
    <w:abstractNumId w:val="2"/>
  </w:num>
  <w:num w:numId="9">
    <w:abstractNumId w:val="8"/>
  </w:num>
  <w:num w:numId="10">
    <w:abstractNumId w:val="4"/>
  </w:num>
  <w:num w:numId="11">
    <w:abstractNumId w:val="7"/>
  </w:num>
  <w:num w:numId="12">
    <w:abstractNumId w:val="9"/>
  </w:num>
  <w:num w:numId="13">
    <w:abstractNumId w:val="0"/>
  </w:num>
  <w:num w:numId="14">
    <w:abstractNumId w:val="3"/>
  </w:num>
  <w:num w:numId="15">
    <w:abstractNumId w:val="6"/>
  </w:num>
  <w:num w:numId="16">
    <w:abstractNumId w:val="10"/>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17BE3"/>
    <w:rsid w:val="0002080A"/>
    <w:rsid w:val="00022BBF"/>
    <w:rsid w:val="0002683C"/>
    <w:rsid w:val="0002782F"/>
    <w:rsid w:val="00027F29"/>
    <w:rsid w:val="00031512"/>
    <w:rsid w:val="000338E1"/>
    <w:rsid w:val="0003392D"/>
    <w:rsid w:val="00033AB7"/>
    <w:rsid w:val="00047E57"/>
    <w:rsid w:val="000536E4"/>
    <w:rsid w:val="00054A80"/>
    <w:rsid w:val="00054E4D"/>
    <w:rsid w:val="00055688"/>
    <w:rsid w:val="00057F2D"/>
    <w:rsid w:val="00057F6A"/>
    <w:rsid w:val="00060073"/>
    <w:rsid w:val="00060268"/>
    <w:rsid w:val="0006351C"/>
    <w:rsid w:val="00070488"/>
    <w:rsid w:val="00071E22"/>
    <w:rsid w:val="00071FD4"/>
    <w:rsid w:val="00073BAE"/>
    <w:rsid w:val="000762B4"/>
    <w:rsid w:val="000769A5"/>
    <w:rsid w:val="00077B8B"/>
    <w:rsid w:val="0008010F"/>
    <w:rsid w:val="00082B87"/>
    <w:rsid w:val="00084483"/>
    <w:rsid w:val="00086D42"/>
    <w:rsid w:val="0009075E"/>
    <w:rsid w:val="00090F08"/>
    <w:rsid w:val="00091B2B"/>
    <w:rsid w:val="000923E5"/>
    <w:rsid w:val="0009279C"/>
    <w:rsid w:val="000954A8"/>
    <w:rsid w:val="000957A8"/>
    <w:rsid w:val="00096872"/>
    <w:rsid w:val="000970A3"/>
    <w:rsid w:val="00097CF0"/>
    <w:rsid w:val="000A05A9"/>
    <w:rsid w:val="000A0A3A"/>
    <w:rsid w:val="000A30C7"/>
    <w:rsid w:val="000A481A"/>
    <w:rsid w:val="000A53A5"/>
    <w:rsid w:val="000A5F12"/>
    <w:rsid w:val="000B287D"/>
    <w:rsid w:val="000B4096"/>
    <w:rsid w:val="000B5B38"/>
    <w:rsid w:val="000B6A81"/>
    <w:rsid w:val="000B7DF4"/>
    <w:rsid w:val="000B7EC3"/>
    <w:rsid w:val="000C4A40"/>
    <w:rsid w:val="000C4E60"/>
    <w:rsid w:val="000C6682"/>
    <w:rsid w:val="000D65A9"/>
    <w:rsid w:val="000D66D6"/>
    <w:rsid w:val="000E314A"/>
    <w:rsid w:val="000E3EF1"/>
    <w:rsid w:val="000E4145"/>
    <w:rsid w:val="000E4E1D"/>
    <w:rsid w:val="000E6D29"/>
    <w:rsid w:val="000E7523"/>
    <w:rsid w:val="000F0788"/>
    <w:rsid w:val="000F190C"/>
    <w:rsid w:val="000F3173"/>
    <w:rsid w:val="000F35CB"/>
    <w:rsid w:val="000F5B98"/>
    <w:rsid w:val="000F6811"/>
    <w:rsid w:val="0010004F"/>
    <w:rsid w:val="0010020C"/>
    <w:rsid w:val="00100A6C"/>
    <w:rsid w:val="00103510"/>
    <w:rsid w:val="00103711"/>
    <w:rsid w:val="00104AF6"/>
    <w:rsid w:val="001103E6"/>
    <w:rsid w:val="00111EEB"/>
    <w:rsid w:val="001149C6"/>
    <w:rsid w:val="0011515B"/>
    <w:rsid w:val="00116A45"/>
    <w:rsid w:val="00124DB9"/>
    <w:rsid w:val="001321AE"/>
    <w:rsid w:val="001334EC"/>
    <w:rsid w:val="001379FD"/>
    <w:rsid w:val="001404E1"/>
    <w:rsid w:val="00141B65"/>
    <w:rsid w:val="00141DFB"/>
    <w:rsid w:val="001421C8"/>
    <w:rsid w:val="00143F7F"/>
    <w:rsid w:val="001440C2"/>
    <w:rsid w:val="00144CA5"/>
    <w:rsid w:val="001464FA"/>
    <w:rsid w:val="00152770"/>
    <w:rsid w:val="001541EA"/>
    <w:rsid w:val="00154F41"/>
    <w:rsid w:val="00155E7A"/>
    <w:rsid w:val="00160508"/>
    <w:rsid w:val="00162218"/>
    <w:rsid w:val="00166962"/>
    <w:rsid w:val="00170C85"/>
    <w:rsid w:val="00171325"/>
    <w:rsid w:val="0017176C"/>
    <w:rsid w:val="00174B8C"/>
    <w:rsid w:val="0017626E"/>
    <w:rsid w:val="0018146F"/>
    <w:rsid w:val="00184818"/>
    <w:rsid w:val="0018531B"/>
    <w:rsid w:val="00186EA3"/>
    <w:rsid w:val="00192751"/>
    <w:rsid w:val="001927CF"/>
    <w:rsid w:val="001933D2"/>
    <w:rsid w:val="00193747"/>
    <w:rsid w:val="001937CB"/>
    <w:rsid w:val="001968BB"/>
    <w:rsid w:val="00196F7F"/>
    <w:rsid w:val="001978D6"/>
    <w:rsid w:val="00197E5E"/>
    <w:rsid w:val="001A7D97"/>
    <w:rsid w:val="001B003A"/>
    <w:rsid w:val="001B16ED"/>
    <w:rsid w:val="001B3C09"/>
    <w:rsid w:val="001B4E56"/>
    <w:rsid w:val="001B5019"/>
    <w:rsid w:val="001B7A09"/>
    <w:rsid w:val="001B7CB9"/>
    <w:rsid w:val="001C253E"/>
    <w:rsid w:val="001C49C9"/>
    <w:rsid w:val="001C4BE6"/>
    <w:rsid w:val="001C5A0D"/>
    <w:rsid w:val="001D10F3"/>
    <w:rsid w:val="001D49F0"/>
    <w:rsid w:val="001D663E"/>
    <w:rsid w:val="001D75E1"/>
    <w:rsid w:val="001E1DC0"/>
    <w:rsid w:val="001E314F"/>
    <w:rsid w:val="001F00A3"/>
    <w:rsid w:val="001F1798"/>
    <w:rsid w:val="001F2073"/>
    <w:rsid w:val="001F4689"/>
    <w:rsid w:val="00200F81"/>
    <w:rsid w:val="0020363F"/>
    <w:rsid w:val="002112ED"/>
    <w:rsid w:val="00221563"/>
    <w:rsid w:val="00224C9E"/>
    <w:rsid w:val="0023089A"/>
    <w:rsid w:val="002309D8"/>
    <w:rsid w:val="00232988"/>
    <w:rsid w:val="0023300C"/>
    <w:rsid w:val="00236A53"/>
    <w:rsid w:val="00240A8A"/>
    <w:rsid w:val="00247629"/>
    <w:rsid w:val="00253159"/>
    <w:rsid w:val="0026747E"/>
    <w:rsid w:val="0027572A"/>
    <w:rsid w:val="00275DB7"/>
    <w:rsid w:val="0027602A"/>
    <w:rsid w:val="002769E5"/>
    <w:rsid w:val="00284397"/>
    <w:rsid w:val="00284957"/>
    <w:rsid w:val="00285E6E"/>
    <w:rsid w:val="00286006"/>
    <w:rsid w:val="0028602A"/>
    <w:rsid w:val="002A39CE"/>
    <w:rsid w:val="002A4E3A"/>
    <w:rsid w:val="002A50EB"/>
    <w:rsid w:val="002A51CA"/>
    <w:rsid w:val="002A6AC8"/>
    <w:rsid w:val="002B02CC"/>
    <w:rsid w:val="002B08CA"/>
    <w:rsid w:val="002B18F0"/>
    <w:rsid w:val="002B363F"/>
    <w:rsid w:val="002B3E95"/>
    <w:rsid w:val="002B504D"/>
    <w:rsid w:val="002B5856"/>
    <w:rsid w:val="002B5E10"/>
    <w:rsid w:val="002D2B16"/>
    <w:rsid w:val="002D2D24"/>
    <w:rsid w:val="002D37BC"/>
    <w:rsid w:val="002D5782"/>
    <w:rsid w:val="002E1328"/>
    <w:rsid w:val="002E2F9F"/>
    <w:rsid w:val="002E4948"/>
    <w:rsid w:val="002E49BC"/>
    <w:rsid w:val="002E741B"/>
    <w:rsid w:val="002F43F6"/>
    <w:rsid w:val="002F706F"/>
    <w:rsid w:val="002F75CC"/>
    <w:rsid w:val="003002C0"/>
    <w:rsid w:val="00301144"/>
    <w:rsid w:val="00304B33"/>
    <w:rsid w:val="003070E7"/>
    <w:rsid w:val="003074AE"/>
    <w:rsid w:val="0031143C"/>
    <w:rsid w:val="003148B7"/>
    <w:rsid w:val="0031552B"/>
    <w:rsid w:val="003158C3"/>
    <w:rsid w:val="00316215"/>
    <w:rsid w:val="00320251"/>
    <w:rsid w:val="00321129"/>
    <w:rsid w:val="00323137"/>
    <w:rsid w:val="00324651"/>
    <w:rsid w:val="003274CD"/>
    <w:rsid w:val="003316C2"/>
    <w:rsid w:val="00332EC9"/>
    <w:rsid w:val="00333501"/>
    <w:rsid w:val="00334089"/>
    <w:rsid w:val="00335284"/>
    <w:rsid w:val="00341FCC"/>
    <w:rsid w:val="003451A8"/>
    <w:rsid w:val="003457C4"/>
    <w:rsid w:val="00345F7E"/>
    <w:rsid w:val="003475E0"/>
    <w:rsid w:val="00347D2C"/>
    <w:rsid w:val="00347F92"/>
    <w:rsid w:val="0035119D"/>
    <w:rsid w:val="00351BF5"/>
    <w:rsid w:val="00354F49"/>
    <w:rsid w:val="00355DE7"/>
    <w:rsid w:val="00355F4F"/>
    <w:rsid w:val="00357E83"/>
    <w:rsid w:val="00360ECB"/>
    <w:rsid w:val="00363919"/>
    <w:rsid w:val="0036392E"/>
    <w:rsid w:val="00365008"/>
    <w:rsid w:val="003670E5"/>
    <w:rsid w:val="003748BE"/>
    <w:rsid w:val="00374A16"/>
    <w:rsid w:val="00374BF8"/>
    <w:rsid w:val="003762A5"/>
    <w:rsid w:val="00377748"/>
    <w:rsid w:val="0038169A"/>
    <w:rsid w:val="00384C4B"/>
    <w:rsid w:val="00385DFD"/>
    <w:rsid w:val="00390915"/>
    <w:rsid w:val="003913FB"/>
    <w:rsid w:val="00393BDD"/>
    <w:rsid w:val="00395B95"/>
    <w:rsid w:val="00397B7E"/>
    <w:rsid w:val="003A44F8"/>
    <w:rsid w:val="003A4851"/>
    <w:rsid w:val="003A4D34"/>
    <w:rsid w:val="003A7A4D"/>
    <w:rsid w:val="003B03FC"/>
    <w:rsid w:val="003B42E4"/>
    <w:rsid w:val="003B4E7E"/>
    <w:rsid w:val="003B4F12"/>
    <w:rsid w:val="003C47E7"/>
    <w:rsid w:val="003C4F6E"/>
    <w:rsid w:val="003C5A00"/>
    <w:rsid w:val="003D024C"/>
    <w:rsid w:val="003D0960"/>
    <w:rsid w:val="003D0D50"/>
    <w:rsid w:val="003D0F56"/>
    <w:rsid w:val="003D272D"/>
    <w:rsid w:val="003D2D0D"/>
    <w:rsid w:val="003D352D"/>
    <w:rsid w:val="003D48A3"/>
    <w:rsid w:val="003D49E1"/>
    <w:rsid w:val="003D51E6"/>
    <w:rsid w:val="003E41BD"/>
    <w:rsid w:val="003E5214"/>
    <w:rsid w:val="003E5764"/>
    <w:rsid w:val="003E59C1"/>
    <w:rsid w:val="003E5FD1"/>
    <w:rsid w:val="003E72BF"/>
    <w:rsid w:val="003E7378"/>
    <w:rsid w:val="003F3D05"/>
    <w:rsid w:val="003F71A2"/>
    <w:rsid w:val="003F73E2"/>
    <w:rsid w:val="00400B0F"/>
    <w:rsid w:val="00402ACC"/>
    <w:rsid w:val="00406E8E"/>
    <w:rsid w:val="00406FB3"/>
    <w:rsid w:val="00407123"/>
    <w:rsid w:val="00411EEA"/>
    <w:rsid w:val="004120EC"/>
    <w:rsid w:val="0041314C"/>
    <w:rsid w:val="00416131"/>
    <w:rsid w:val="00420435"/>
    <w:rsid w:val="00423130"/>
    <w:rsid w:val="00423F31"/>
    <w:rsid w:val="00431899"/>
    <w:rsid w:val="00431E2C"/>
    <w:rsid w:val="00434756"/>
    <w:rsid w:val="0043564E"/>
    <w:rsid w:val="0043748F"/>
    <w:rsid w:val="00445578"/>
    <w:rsid w:val="0044576B"/>
    <w:rsid w:val="0044588C"/>
    <w:rsid w:val="004474ED"/>
    <w:rsid w:val="004506C4"/>
    <w:rsid w:val="004522C2"/>
    <w:rsid w:val="00456ABB"/>
    <w:rsid w:val="00464F47"/>
    <w:rsid w:val="0046685A"/>
    <w:rsid w:val="00467566"/>
    <w:rsid w:val="00470614"/>
    <w:rsid w:val="0047090C"/>
    <w:rsid w:val="0047187B"/>
    <w:rsid w:val="0047232E"/>
    <w:rsid w:val="004755CE"/>
    <w:rsid w:val="004828B5"/>
    <w:rsid w:val="00483582"/>
    <w:rsid w:val="00483603"/>
    <w:rsid w:val="004853B0"/>
    <w:rsid w:val="00485D7E"/>
    <w:rsid w:val="00486804"/>
    <w:rsid w:val="00486E59"/>
    <w:rsid w:val="00487C02"/>
    <w:rsid w:val="004977A1"/>
    <w:rsid w:val="004A2236"/>
    <w:rsid w:val="004B055C"/>
    <w:rsid w:val="004B2506"/>
    <w:rsid w:val="004B3467"/>
    <w:rsid w:val="004B3775"/>
    <w:rsid w:val="004B6B1E"/>
    <w:rsid w:val="004B734E"/>
    <w:rsid w:val="004C3D4E"/>
    <w:rsid w:val="004D0BA0"/>
    <w:rsid w:val="004D17AE"/>
    <w:rsid w:val="004D24CB"/>
    <w:rsid w:val="004D43F3"/>
    <w:rsid w:val="004D47F1"/>
    <w:rsid w:val="004D72E4"/>
    <w:rsid w:val="004E0264"/>
    <w:rsid w:val="004E058F"/>
    <w:rsid w:val="004E27AE"/>
    <w:rsid w:val="004E3B87"/>
    <w:rsid w:val="004E4C52"/>
    <w:rsid w:val="004E7429"/>
    <w:rsid w:val="004F04B8"/>
    <w:rsid w:val="004F3D80"/>
    <w:rsid w:val="004F437F"/>
    <w:rsid w:val="00500BB4"/>
    <w:rsid w:val="00500CFE"/>
    <w:rsid w:val="00504384"/>
    <w:rsid w:val="00510921"/>
    <w:rsid w:val="00510AD3"/>
    <w:rsid w:val="00510FAB"/>
    <w:rsid w:val="00513348"/>
    <w:rsid w:val="00514F93"/>
    <w:rsid w:val="00524C6C"/>
    <w:rsid w:val="0052540C"/>
    <w:rsid w:val="00525F36"/>
    <w:rsid w:val="0053169E"/>
    <w:rsid w:val="00533B5D"/>
    <w:rsid w:val="00534E42"/>
    <w:rsid w:val="0053667F"/>
    <w:rsid w:val="00537044"/>
    <w:rsid w:val="0054057C"/>
    <w:rsid w:val="005416BD"/>
    <w:rsid w:val="005417F9"/>
    <w:rsid w:val="005421B4"/>
    <w:rsid w:val="00542C8F"/>
    <w:rsid w:val="005457C4"/>
    <w:rsid w:val="00546507"/>
    <w:rsid w:val="005511BF"/>
    <w:rsid w:val="005530C6"/>
    <w:rsid w:val="00561E1B"/>
    <w:rsid w:val="00563FA4"/>
    <w:rsid w:val="00565AF5"/>
    <w:rsid w:val="00566C01"/>
    <w:rsid w:val="005756DC"/>
    <w:rsid w:val="00580737"/>
    <w:rsid w:val="00581314"/>
    <w:rsid w:val="00582612"/>
    <w:rsid w:val="005830DC"/>
    <w:rsid w:val="00586ADE"/>
    <w:rsid w:val="005875C5"/>
    <w:rsid w:val="00587AA1"/>
    <w:rsid w:val="0059146A"/>
    <w:rsid w:val="0059150F"/>
    <w:rsid w:val="00591835"/>
    <w:rsid w:val="00592E04"/>
    <w:rsid w:val="00597043"/>
    <w:rsid w:val="005A45FC"/>
    <w:rsid w:val="005B2C1D"/>
    <w:rsid w:val="005B43BE"/>
    <w:rsid w:val="005B5769"/>
    <w:rsid w:val="005C0CAB"/>
    <w:rsid w:val="005C0DAC"/>
    <w:rsid w:val="005C1ECA"/>
    <w:rsid w:val="005C3C40"/>
    <w:rsid w:val="005C4B63"/>
    <w:rsid w:val="005C5BCA"/>
    <w:rsid w:val="005C71B9"/>
    <w:rsid w:val="005C7E39"/>
    <w:rsid w:val="005D0270"/>
    <w:rsid w:val="005D03A4"/>
    <w:rsid w:val="005D3655"/>
    <w:rsid w:val="005D3B4C"/>
    <w:rsid w:val="005D4AFB"/>
    <w:rsid w:val="005E1298"/>
    <w:rsid w:val="005E3D50"/>
    <w:rsid w:val="005E606B"/>
    <w:rsid w:val="005E73BE"/>
    <w:rsid w:val="005E74D6"/>
    <w:rsid w:val="005F1A98"/>
    <w:rsid w:val="005F667A"/>
    <w:rsid w:val="005F6852"/>
    <w:rsid w:val="005F6C24"/>
    <w:rsid w:val="005F7E9C"/>
    <w:rsid w:val="00600479"/>
    <w:rsid w:val="006004D1"/>
    <w:rsid w:val="006026D2"/>
    <w:rsid w:val="006104C3"/>
    <w:rsid w:val="006108F4"/>
    <w:rsid w:val="00612DD3"/>
    <w:rsid w:val="00613119"/>
    <w:rsid w:val="00615669"/>
    <w:rsid w:val="006156DC"/>
    <w:rsid w:val="006202AA"/>
    <w:rsid w:val="00623283"/>
    <w:rsid w:val="006234A1"/>
    <w:rsid w:val="00623784"/>
    <w:rsid w:val="00623BA1"/>
    <w:rsid w:val="00624286"/>
    <w:rsid w:val="00624CC6"/>
    <w:rsid w:val="0062795A"/>
    <w:rsid w:val="006342D6"/>
    <w:rsid w:val="006346BC"/>
    <w:rsid w:val="00635F02"/>
    <w:rsid w:val="00640A4A"/>
    <w:rsid w:val="0064117E"/>
    <w:rsid w:val="00641CA5"/>
    <w:rsid w:val="00641E22"/>
    <w:rsid w:val="0064389D"/>
    <w:rsid w:val="00650E1F"/>
    <w:rsid w:val="006549A8"/>
    <w:rsid w:val="00655FDF"/>
    <w:rsid w:val="006562DD"/>
    <w:rsid w:val="00656E32"/>
    <w:rsid w:val="00657AEE"/>
    <w:rsid w:val="006619AC"/>
    <w:rsid w:val="00662914"/>
    <w:rsid w:val="006661C7"/>
    <w:rsid w:val="0066652A"/>
    <w:rsid w:val="00666F07"/>
    <w:rsid w:val="00667F54"/>
    <w:rsid w:val="006722C4"/>
    <w:rsid w:val="00673214"/>
    <w:rsid w:val="00674E82"/>
    <w:rsid w:val="00675439"/>
    <w:rsid w:val="00675DCC"/>
    <w:rsid w:val="006802C0"/>
    <w:rsid w:val="00680522"/>
    <w:rsid w:val="00681F08"/>
    <w:rsid w:val="00682167"/>
    <w:rsid w:val="00682F6A"/>
    <w:rsid w:val="006854F7"/>
    <w:rsid w:val="00690EC9"/>
    <w:rsid w:val="00691BB0"/>
    <w:rsid w:val="006921E5"/>
    <w:rsid w:val="006926A1"/>
    <w:rsid w:val="00693FCC"/>
    <w:rsid w:val="00694EC7"/>
    <w:rsid w:val="00696C9D"/>
    <w:rsid w:val="00697D81"/>
    <w:rsid w:val="00697E16"/>
    <w:rsid w:val="00697E5E"/>
    <w:rsid w:val="006A31D8"/>
    <w:rsid w:val="006A5F02"/>
    <w:rsid w:val="006B1F03"/>
    <w:rsid w:val="006B5933"/>
    <w:rsid w:val="006B6EFD"/>
    <w:rsid w:val="006C1BA9"/>
    <w:rsid w:val="006C27E0"/>
    <w:rsid w:val="006C42AF"/>
    <w:rsid w:val="006C4F09"/>
    <w:rsid w:val="006D67CB"/>
    <w:rsid w:val="006E4A0E"/>
    <w:rsid w:val="006F081E"/>
    <w:rsid w:val="006F27B1"/>
    <w:rsid w:val="006F2FC8"/>
    <w:rsid w:val="006F5794"/>
    <w:rsid w:val="00700E29"/>
    <w:rsid w:val="00701D82"/>
    <w:rsid w:val="007031CC"/>
    <w:rsid w:val="007060F3"/>
    <w:rsid w:val="00706BCA"/>
    <w:rsid w:val="00706F0D"/>
    <w:rsid w:val="0070777B"/>
    <w:rsid w:val="00711D8E"/>
    <w:rsid w:val="00712672"/>
    <w:rsid w:val="00716979"/>
    <w:rsid w:val="007202EC"/>
    <w:rsid w:val="00723244"/>
    <w:rsid w:val="00727126"/>
    <w:rsid w:val="00733033"/>
    <w:rsid w:val="00734E3F"/>
    <w:rsid w:val="0073509D"/>
    <w:rsid w:val="00736985"/>
    <w:rsid w:val="00737400"/>
    <w:rsid w:val="00742D66"/>
    <w:rsid w:val="007430D4"/>
    <w:rsid w:val="0074500E"/>
    <w:rsid w:val="00745D29"/>
    <w:rsid w:val="00745DF5"/>
    <w:rsid w:val="00747871"/>
    <w:rsid w:val="00751926"/>
    <w:rsid w:val="0075253F"/>
    <w:rsid w:val="00753D7E"/>
    <w:rsid w:val="00754B27"/>
    <w:rsid w:val="00757E90"/>
    <w:rsid w:val="00760C59"/>
    <w:rsid w:val="007612C3"/>
    <w:rsid w:val="0076250F"/>
    <w:rsid w:val="00763164"/>
    <w:rsid w:val="00763267"/>
    <w:rsid w:val="007709F7"/>
    <w:rsid w:val="00771B53"/>
    <w:rsid w:val="00773F93"/>
    <w:rsid w:val="00780DC6"/>
    <w:rsid w:val="007821E0"/>
    <w:rsid w:val="00784031"/>
    <w:rsid w:val="0078631D"/>
    <w:rsid w:val="00786513"/>
    <w:rsid w:val="00786FD5"/>
    <w:rsid w:val="00790FB6"/>
    <w:rsid w:val="007928A4"/>
    <w:rsid w:val="007A4BC5"/>
    <w:rsid w:val="007A524C"/>
    <w:rsid w:val="007A6D3E"/>
    <w:rsid w:val="007B268A"/>
    <w:rsid w:val="007B2F3F"/>
    <w:rsid w:val="007B4865"/>
    <w:rsid w:val="007B5D62"/>
    <w:rsid w:val="007B6200"/>
    <w:rsid w:val="007C2540"/>
    <w:rsid w:val="007C5432"/>
    <w:rsid w:val="007C7418"/>
    <w:rsid w:val="007D0299"/>
    <w:rsid w:val="007D0A30"/>
    <w:rsid w:val="007D14CD"/>
    <w:rsid w:val="007D15A2"/>
    <w:rsid w:val="007D1694"/>
    <w:rsid w:val="007D2E25"/>
    <w:rsid w:val="007D30DE"/>
    <w:rsid w:val="007D6662"/>
    <w:rsid w:val="007E003C"/>
    <w:rsid w:val="007E24F3"/>
    <w:rsid w:val="007E3D74"/>
    <w:rsid w:val="007E4F99"/>
    <w:rsid w:val="007E7B1A"/>
    <w:rsid w:val="007F0BAC"/>
    <w:rsid w:val="007F3395"/>
    <w:rsid w:val="007F39B4"/>
    <w:rsid w:val="007F3C18"/>
    <w:rsid w:val="007F4A4A"/>
    <w:rsid w:val="007F712A"/>
    <w:rsid w:val="00801B9F"/>
    <w:rsid w:val="008057FD"/>
    <w:rsid w:val="00806476"/>
    <w:rsid w:val="0080660C"/>
    <w:rsid w:val="0081253A"/>
    <w:rsid w:val="008131BC"/>
    <w:rsid w:val="00816235"/>
    <w:rsid w:val="008172B4"/>
    <w:rsid w:val="00822559"/>
    <w:rsid w:val="0082547D"/>
    <w:rsid w:val="0083207D"/>
    <w:rsid w:val="0084001D"/>
    <w:rsid w:val="0084092C"/>
    <w:rsid w:val="00844AFB"/>
    <w:rsid w:val="008456EA"/>
    <w:rsid w:val="008475F0"/>
    <w:rsid w:val="008514DF"/>
    <w:rsid w:val="008518C3"/>
    <w:rsid w:val="00851AB5"/>
    <w:rsid w:val="00853259"/>
    <w:rsid w:val="00853B24"/>
    <w:rsid w:val="008544A9"/>
    <w:rsid w:val="00854D02"/>
    <w:rsid w:val="0085649F"/>
    <w:rsid w:val="00857579"/>
    <w:rsid w:val="00861327"/>
    <w:rsid w:val="00863B4F"/>
    <w:rsid w:val="00864210"/>
    <w:rsid w:val="008645D9"/>
    <w:rsid w:val="00865F2C"/>
    <w:rsid w:val="00866D4F"/>
    <w:rsid w:val="0087071F"/>
    <w:rsid w:val="00880004"/>
    <w:rsid w:val="008825FA"/>
    <w:rsid w:val="00882E71"/>
    <w:rsid w:val="00891631"/>
    <w:rsid w:val="008921D8"/>
    <w:rsid w:val="008923D7"/>
    <w:rsid w:val="0089358E"/>
    <w:rsid w:val="00893E21"/>
    <w:rsid w:val="0089652E"/>
    <w:rsid w:val="008A5AFE"/>
    <w:rsid w:val="008B2287"/>
    <w:rsid w:val="008B41B1"/>
    <w:rsid w:val="008B5D2C"/>
    <w:rsid w:val="008B65F4"/>
    <w:rsid w:val="008B68D7"/>
    <w:rsid w:val="008B7D42"/>
    <w:rsid w:val="008C01BD"/>
    <w:rsid w:val="008C0E1B"/>
    <w:rsid w:val="008C2377"/>
    <w:rsid w:val="008C2F58"/>
    <w:rsid w:val="008C5A0E"/>
    <w:rsid w:val="008C5F14"/>
    <w:rsid w:val="008D453B"/>
    <w:rsid w:val="008E2672"/>
    <w:rsid w:val="008E38F7"/>
    <w:rsid w:val="008E44E1"/>
    <w:rsid w:val="008F0C31"/>
    <w:rsid w:val="008F56A8"/>
    <w:rsid w:val="008F6581"/>
    <w:rsid w:val="00902A25"/>
    <w:rsid w:val="00905598"/>
    <w:rsid w:val="009101D3"/>
    <w:rsid w:val="00915F7D"/>
    <w:rsid w:val="009173C8"/>
    <w:rsid w:val="00920207"/>
    <w:rsid w:val="00920D4B"/>
    <w:rsid w:val="00925C97"/>
    <w:rsid w:val="00926B89"/>
    <w:rsid w:val="00927A8E"/>
    <w:rsid w:val="0093483D"/>
    <w:rsid w:val="00935721"/>
    <w:rsid w:val="00937B5C"/>
    <w:rsid w:val="00954CC4"/>
    <w:rsid w:val="0095673E"/>
    <w:rsid w:val="009574B9"/>
    <w:rsid w:val="00957925"/>
    <w:rsid w:val="00961427"/>
    <w:rsid w:val="00961E4F"/>
    <w:rsid w:val="00962615"/>
    <w:rsid w:val="00967A1A"/>
    <w:rsid w:val="00970924"/>
    <w:rsid w:val="00970B24"/>
    <w:rsid w:val="00971E75"/>
    <w:rsid w:val="009776C4"/>
    <w:rsid w:val="00982374"/>
    <w:rsid w:val="00982FDF"/>
    <w:rsid w:val="00983436"/>
    <w:rsid w:val="00983CDB"/>
    <w:rsid w:val="009859D6"/>
    <w:rsid w:val="00987FAA"/>
    <w:rsid w:val="009903F3"/>
    <w:rsid w:val="00992C76"/>
    <w:rsid w:val="00993626"/>
    <w:rsid w:val="00993C07"/>
    <w:rsid w:val="00995260"/>
    <w:rsid w:val="00995B81"/>
    <w:rsid w:val="00995C46"/>
    <w:rsid w:val="00996D28"/>
    <w:rsid w:val="00997B5A"/>
    <w:rsid w:val="009A3534"/>
    <w:rsid w:val="009A5410"/>
    <w:rsid w:val="009B0514"/>
    <w:rsid w:val="009B3CE2"/>
    <w:rsid w:val="009B4035"/>
    <w:rsid w:val="009B49B0"/>
    <w:rsid w:val="009B4D3B"/>
    <w:rsid w:val="009B5830"/>
    <w:rsid w:val="009B6268"/>
    <w:rsid w:val="009C39C6"/>
    <w:rsid w:val="009C5D55"/>
    <w:rsid w:val="009D1AA4"/>
    <w:rsid w:val="009D510C"/>
    <w:rsid w:val="009D5B4F"/>
    <w:rsid w:val="009D6A3A"/>
    <w:rsid w:val="009D7407"/>
    <w:rsid w:val="009E0866"/>
    <w:rsid w:val="009E3DDE"/>
    <w:rsid w:val="009E605C"/>
    <w:rsid w:val="009E65FA"/>
    <w:rsid w:val="009E7BB8"/>
    <w:rsid w:val="009F5488"/>
    <w:rsid w:val="009F6423"/>
    <w:rsid w:val="009F6943"/>
    <w:rsid w:val="009F6BF5"/>
    <w:rsid w:val="009F73B5"/>
    <w:rsid w:val="00A00AF9"/>
    <w:rsid w:val="00A00D72"/>
    <w:rsid w:val="00A04A21"/>
    <w:rsid w:val="00A05E5C"/>
    <w:rsid w:val="00A140F7"/>
    <w:rsid w:val="00A16A3F"/>
    <w:rsid w:val="00A20555"/>
    <w:rsid w:val="00A24A62"/>
    <w:rsid w:val="00A24CBA"/>
    <w:rsid w:val="00A24EF1"/>
    <w:rsid w:val="00A25793"/>
    <w:rsid w:val="00A269CA"/>
    <w:rsid w:val="00A26AD4"/>
    <w:rsid w:val="00A274FA"/>
    <w:rsid w:val="00A31742"/>
    <w:rsid w:val="00A31C9F"/>
    <w:rsid w:val="00A32594"/>
    <w:rsid w:val="00A32656"/>
    <w:rsid w:val="00A34DCB"/>
    <w:rsid w:val="00A4144F"/>
    <w:rsid w:val="00A43698"/>
    <w:rsid w:val="00A510B8"/>
    <w:rsid w:val="00A53D39"/>
    <w:rsid w:val="00A54034"/>
    <w:rsid w:val="00A55F57"/>
    <w:rsid w:val="00A56720"/>
    <w:rsid w:val="00A56F14"/>
    <w:rsid w:val="00A606C6"/>
    <w:rsid w:val="00A61451"/>
    <w:rsid w:val="00A63FB4"/>
    <w:rsid w:val="00A67F45"/>
    <w:rsid w:val="00A705ED"/>
    <w:rsid w:val="00A71209"/>
    <w:rsid w:val="00A72DBC"/>
    <w:rsid w:val="00A75327"/>
    <w:rsid w:val="00A80F95"/>
    <w:rsid w:val="00A81103"/>
    <w:rsid w:val="00A81173"/>
    <w:rsid w:val="00A8197B"/>
    <w:rsid w:val="00A81DE7"/>
    <w:rsid w:val="00A91F79"/>
    <w:rsid w:val="00A94F3D"/>
    <w:rsid w:val="00A95081"/>
    <w:rsid w:val="00A9628B"/>
    <w:rsid w:val="00AA00F3"/>
    <w:rsid w:val="00AA709F"/>
    <w:rsid w:val="00AA7BE3"/>
    <w:rsid w:val="00AB09D3"/>
    <w:rsid w:val="00AB49A8"/>
    <w:rsid w:val="00AB5678"/>
    <w:rsid w:val="00AB58DA"/>
    <w:rsid w:val="00AB5E7F"/>
    <w:rsid w:val="00AB795A"/>
    <w:rsid w:val="00AC164A"/>
    <w:rsid w:val="00AC1FE9"/>
    <w:rsid w:val="00AC302F"/>
    <w:rsid w:val="00AC356B"/>
    <w:rsid w:val="00AC50CE"/>
    <w:rsid w:val="00AD09A2"/>
    <w:rsid w:val="00AD0FE0"/>
    <w:rsid w:val="00AD1178"/>
    <w:rsid w:val="00AD2F99"/>
    <w:rsid w:val="00AD4009"/>
    <w:rsid w:val="00AD7E73"/>
    <w:rsid w:val="00AE069B"/>
    <w:rsid w:val="00AE1752"/>
    <w:rsid w:val="00AE1AFE"/>
    <w:rsid w:val="00AE502F"/>
    <w:rsid w:val="00AE5647"/>
    <w:rsid w:val="00AE796A"/>
    <w:rsid w:val="00AF15D3"/>
    <w:rsid w:val="00AF1B85"/>
    <w:rsid w:val="00AF2050"/>
    <w:rsid w:val="00AF42A3"/>
    <w:rsid w:val="00AF57AD"/>
    <w:rsid w:val="00AF5F29"/>
    <w:rsid w:val="00AF63D1"/>
    <w:rsid w:val="00B03CA8"/>
    <w:rsid w:val="00B07E3D"/>
    <w:rsid w:val="00B136E5"/>
    <w:rsid w:val="00B13D14"/>
    <w:rsid w:val="00B22FD5"/>
    <w:rsid w:val="00B25D9F"/>
    <w:rsid w:val="00B26268"/>
    <w:rsid w:val="00B26D08"/>
    <w:rsid w:val="00B331DC"/>
    <w:rsid w:val="00B36EFD"/>
    <w:rsid w:val="00B37534"/>
    <w:rsid w:val="00B37C19"/>
    <w:rsid w:val="00B42043"/>
    <w:rsid w:val="00B42BDB"/>
    <w:rsid w:val="00B438D3"/>
    <w:rsid w:val="00B442F5"/>
    <w:rsid w:val="00B46281"/>
    <w:rsid w:val="00B503D2"/>
    <w:rsid w:val="00B528FF"/>
    <w:rsid w:val="00B54179"/>
    <w:rsid w:val="00B55E19"/>
    <w:rsid w:val="00B623A2"/>
    <w:rsid w:val="00B70BB7"/>
    <w:rsid w:val="00B70BF1"/>
    <w:rsid w:val="00B7231E"/>
    <w:rsid w:val="00B739B9"/>
    <w:rsid w:val="00B73F52"/>
    <w:rsid w:val="00B74EB9"/>
    <w:rsid w:val="00B8051C"/>
    <w:rsid w:val="00B80F4D"/>
    <w:rsid w:val="00B844C5"/>
    <w:rsid w:val="00B85DE5"/>
    <w:rsid w:val="00B85E89"/>
    <w:rsid w:val="00B874F7"/>
    <w:rsid w:val="00B90AD8"/>
    <w:rsid w:val="00B91651"/>
    <w:rsid w:val="00B95FA0"/>
    <w:rsid w:val="00BA41FE"/>
    <w:rsid w:val="00BA4B6D"/>
    <w:rsid w:val="00BA65A2"/>
    <w:rsid w:val="00BA6DDE"/>
    <w:rsid w:val="00BB0263"/>
    <w:rsid w:val="00BB254C"/>
    <w:rsid w:val="00BB26C5"/>
    <w:rsid w:val="00BB3600"/>
    <w:rsid w:val="00BB57A6"/>
    <w:rsid w:val="00BC2815"/>
    <w:rsid w:val="00BC2F77"/>
    <w:rsid w:val="00BC337C"/>
    <w:rsid w:val="00BC46DE"/>
    <w:rsid w:val="00BC5375"/>
    <w:rsid w:val="00BC7F4C"/>
    <w:rsid w:val="00BD02FA"/>
    <w:rsid w:val="00BD4418"/>
    <w:rsid w:val="00BD4B61"/>
    <w:rsid w:val="00BD4BBE"/>
    <w:rsid w:val="00BD7204"/>
    <w:rsid w:val="00BD7481"/>
    <w:rsid w:val="00BE3571"/>
    <w:rsid w:val="00BE3A1B"/>
    <w:rsid w:val="00BE6C6D"/>
    <w:rsid w:val="00BE737D"/>
    <w:rsid w:val="00BF44EF"/>
    <w:rsid w:val="00BF4DE6"/>
    <w:rsid w:val="00BF5F0A"/>
    <w:rsid w:val="00C01260"/>
    <w:rsid w:val="00C02DC9"/>
    <w:rsid w:val="00C03081"/>
    <w:rsid w:val="00C05118"/>
    <w:rsid w:val="00C070D9"/>
    <w:rsid w:val="00C07872"/>
    <w:rsid w:val="00C07B4A"/>
    <w:rsid w:val="00C127DB"/>
    <w:rsid w:val="00C135C2"/>
    <w:rsid w:val="00C17694"/>
    <w:rsid w:val="00C2074B"/>
    <w:rsid w:val="00C20769"/>
    <w:rsid w:val="00C21E24"/>
    <w:rsid w:val="00C24BD3"/>
    <w:rsid w:val="00C27FDB"/>
    <w:rsid w:val="00C3019E"/>
    <w:rsid w:val="00C32CE0"/>
    <w:rsid w:val="00C36E65"/>
    <w:rsid w:val="00C37399"/>
    <w:rsid w:val="00C379DC"/>
    <w:rsid w:val="00C406F0"/>
    <w:rsid w:val="00C42CDE"/>
    <w:rsid w:val="00C4387A"/>
    <w:rsid w:val="00C4673E"/>
    <w:rsid w:val="00C46AE0"/>
    <w:rsid w:val="00C500D7"/>
    <w:rsid w:val="00C5182A"/>
    <w:rsid w:val="00C561A4"/>
    <w:rsid w:val="00C63EE9"/>
    <w:rsid w:val="00C6626C"/>
    <w:rsid w:val="00C70277"/>
    <w:rsid w:val="00C704C3"/>
    <w:rsid w:val="00C7297E"/>
    <w:rsid w:val="00C74607"/>
    <w:rsid w:val="00C74FD0"/>
    <w:rsid w:val="00C7681A"/>
    <w:rsid w:val="00C803E5"/>
    <w:rsid w:val="00C843B5"/>
    <w:rsid w:val="00C84874"/>
    <w:rsid w:val="00C85076"/>
    <w:rsid w:val="00C85CCD"/>
    <w:rsid w:val="00C90AA1"/>
    <w:rsid w:val="00C9149A"/>
    <w:rsid w:val="00C91C85"/>
    <w:rsid w:val="00C93BF6"/>
    <w:rsid w:val="00C94146"/>
    <w:rsid w:val="00CA37B1"/>
    <w:rsid w:val="00CA4B0A"/>
    <w:rsid w:val="00CA62FB"/>
    <w:rsid w:val="00CA74AB"/>
    <w:rsid w:val="00CA7C5D"/>
    <w:rsid w:val="00CA7DD8"/>
    <w:rsid w:val="00CB07C5"/>
    <w:rsid w:val="00CB18C8"/>
    <w:rsid w:val="00CB1959"/>
    <w:rsid w:val="00CB60A4"/>
    <w:rsid w:val="00CB638E"/>
    <w:rsid w:val="00CC0D39"/>
    <w:rsid w:val="00CC15A8"/>
    <w:rsid w:val="00CC1970"/>
    <w:rsid w:val="00CC7330"/>
    <w:rsid w:val="00CD0E4B"/>
    <w:rsid w:val="00CD33C6"/>
    <w:rsid w:val="00CD55C5"/>
    <w:rsid w:val="00CE0155"/>
    <w:rsid w:val="00CE038F"/>
    <w:rsid w:val="00CE137E"/>
    <w:rsid w:val="00CE5DF0"/>
    <w:rsid w:val="00CE7F15"/>
    <w:rsid w:val="00CF0C3E"/>
    <w:rsid w:val="00CF17A2"/>
    <w:rsid w:val="00CF4BD3"/>
    <w:rsid w:val="00D00802"/>
    <w:rsid w:val="00D02030"/>
    <w:rsid w:val="00D0296C"/>
    <w:rsid w:val="00D0647E"/>
    <w:rsid w:val="00D0764D"/>
    <w:rsid w:val="00D108AE"/>
    <w:rsid w:val="00D113B4"/>
    <w:rsid w:val="00D146A2"/>
    <w:rsid w:val="00D15A00"/>
    <w:rsid w:val="00D167F5"/>
    <w:rsid w:val="00D20C9C"/>
    <w:rsid w:val="00D23A79"/>
    <w:rsid w:val="00D25318"/>
    <w:rsid w:val="00D278CA"/>
    <w:rsid w:val="00D30C30"/>
    <w:rsid w:val="00D30CA8"/>
    <w:rsid w:val="00D31766"/>
    <w:rsid w:val="00D3315E"/>
    <w:rsid w:val="00D33BF8"/>
    <w:rsid w:val="00D34810"/>
    <w:rsid w:val="00D36E25"/>
    <w:rsid w:val="00D40AEB"/>
    <w:rsid w:val="00D4315B"/>
    <w:rsid w:val="00D43B85"/>
    <w:rsid w:val="00D460DC"/>
    <w:rsid w:val="00D4764D"/>
    <w:rsid w:val="00D53650"/>
    <w:rsid w:val="00D546BA"/>
    <w:rsid w:val="00D54E17"/>
    <w:rsid w:val="00D63432"/>
    <w:rsid w:val="00D64BD1"/>
    <w:rsid w:val="00D6657F"/>
    <w:rsid w:val="00D7036C"/>
    <w:rsid w:val="00D71118"/>
    <w:rsid w:val="00D71D62"/>
    <w:rsid w:val="00D72760"/>
    <w:rsid w:val="00D73EFE"/>
    <w:rsid w:val="00D74549"/>
    <w:rsid w:val="00D76D4A"/>
    <w:rsid w:val="00D77416"/>
    <w:rsid w:val="00D8220E"/>
    <w:rsid w:val="00D868AC"/>
    <w:rsid w:val="00D86954"/>
    <w:rsid w:val="00DA040F"/>
    <w:rsid w:val="00DB0445"/>
    <w:rsid w:val="00DB2592"/>
    <w:rsid w:val="00DB2690"/>
    <w:rsid w:val="00DB578A"/>
    <w:rsid w:val="00DB66DB"/>
    <w:rsid w:val="00DC2B45"/>
    <w:rsid w:val="00DC388C"/>
    <w:rsid w:val="00DC5435"/>
    <w:rsid w:val="00DC555E"/>
    <w:rsid w:val="00DC68EC"/>
    <w:rsid w:val="00DC7102"/>
    <w:rsid w:val="00DD1986"/>
    <w:rsid w:val="00DD3D6D"/>
    <w:rsid w:val="00DE084C"/>
    <w:rsid w:val="00DE22D8"/>
    <w:rsid w:val="00DE3400"/>
    <w:rsid w:val="00DE66DB"/>
    <w:rsid w:val="00DF1253"/>
    <w:rsid w:val="00DF3015"/>
    <w:rsid w:val="00E007F5"/>
    <w:rsid w:val="00E01063"/>
    <w:rsid w:val="00E0493F"/>
    <w:rsid w:val="00E05EF5"/>
    <w:rsid w:val="00E0719C"/>
    <w:rsid w:val="00E10A0B"/>
    <w:rsid w:val="00E12DAC"/>
    <w:rsid w:val="00E21938"/>
    <w:rsid w:val="00E22FD2"/>
    <w:rsid w:val="00E23B65"/>
    <w:rsid w:val="00E245D7"/>
    <w:rsid w:val="00E2530A"/>
    <w:rsid w:val="00E265A5"/>
    <w:rsid w:val="00E26BA5"/>
    <w:rsid w:val="00E26D5E"/>
    <w:rsid w:val="00E27B7A"/>
    <w:rsid w:val="00E33CE0"/>
    <w:rsid w:val="00E357B7"/>
    <w:rsid w:val="00E36690"/>
    <w:rsid w:val="00E36F91"/>
    <w:rsid w:val="00E450C0"/>
    <w:rsid w:val="00E46B0D"/>
    <w:rsid w:val="00E47CE3"/>
    <w:rsid w:val="00E50B31"/>
    <w:rsid w:val="00E5128F"/>
    <w:rsid w:val="00E53619"/>
    <w:rsid w:val="00E53800"/>
    <w:rsid w:val="00E54857"/>
    <w:rsid w:val="00E57CEB"/>
    <w:rsid w:val="00E6081F"/>
    <w:rsid w:val="00E6224F"/>
    <w:rsid w:val="00E6741D"/>
    <w:rsid w:val="00E70BFF"/>
    <w:rsid w:val="00E71A39"/>
    <w:rsid w:val="00E7370B"/>
    <w:rsid w:val="00E823A7"/>
    <w:rsid w:val="00E930EA"/>
    <w:rsid w:val="00E936AB"/>
    <w:rsid w:val="00E945E7"/>
    <w:rsid w:val="00E95DD6"/>
    <w:rsid w:val="00E96922"/>
    <w:rsid w:val="00E97A78"/>
    <w:rsid w:val="00EA04B2"/>
    <w:rsid w:val="00EA0D47"/>
    <w:rsid w:val="00EA0D70"/>
    <w:rsid w:val="00EA0E7B"/>
    <w:rsid w:val="00EA1E30"/>
    <w:rsid w:val="00EA20F3"/>
    <w:rsid w:val="00EA71F8"/>
    <w:rsid w:val="00EB2D0F"/>
    <w:rsid w:val="00EB499C"/>
    <w:rsid w:val="00EB6DE0"/>
    <w:rsid w:val="00EB72E6"/>
    <w:rsid w:val="00EC0554"/>
    <w:rsid w:val="00EC15D0"/>
    <w:rsid w:val="00EC2A5A"/>
    <w:rsid w:val="00EC495A"/>
    <w:rsid w:val="00EC7EE4"/>
    <w:rsid w:val="00ED0644"/>
    <w:rsid w:val="00ED2831"/>
    <w:rsid w:val="00ED285D"/>
    <w:rsid w:val="00ED43D1"/>
    <w:rsid w:val="00ED4F02"/>
    <w:rsid w:val="00ED6615"/>
    <w:rsid w:val="00EE0809"/>
    <w:rsid w:val="00EE1294"/>
    <w:rsid w:val="00EE3F76"/>
    <w:rsid w:val="00EE424E"/>
    <w:rsid w:val="00EE4EE1"/>
    <w:rsid w:val="00EE5A71"/>
    <w:rsid w:val="00EF1E63"/>
    <w:rsid w:val="00EF2B6C"/>
    <w:rsid w:val="00EF4574"/>
    <w:rsid w:val="00EF6543"/>
    <w:rsid w:val="00EF76D6"/>
    <w:rsid w:val="00F03CF2"/>
    <w:rsid w:val="00F121DB"/>
    <w:rsid w:val="00F129F4"/>
    <w:rsid w:val="00F13E93"/>
    <w:rsid w:val="00F22E5C"/>
    <w:rsid w:val="00F2578B"/>
    <w:rsid w:val="00F25830"/>
    <w:rsid w:val="00F26475"/>
    <w:rsid w:val="00F2684E"/>
    <w:rsid w:val="00F275CA"/>
    <w:rsid w:val="00F32AB8"/>
    <w:rsid w:val="00F36096"/>
    <w:rsid w:val="00F44297"/>
    <w:rsid w:val="00F46C46"/>
    <w:rsid w:val="00F5063A"/>
    <w:rsid w:val="00F520BA"/>
    <w:rsid w:val="00F53705"/>
    <w:rsid w:val="00F5404C"/>
    <w:rsid w:val="00F55CA6"/>
    <w:rsid w:val="00F564C4"/>
    <w:rsid w:val="00F60012"/>
    <w:rsid w:val="00F60475"/>
    <w:rsid w:val="00F628D1"/>
    <w:rsid w:val="00F63C3A"/>
    <w:rsid w:val="00F63F16"/>
    <w:rsid w:val="00F6439F"/>
    <w:rsid w:val="00F64417"/>
    <w:rsid w:val="00F64608"/>
    <w:rsid w:val="00F67D20"/>
    <w:rsid w:val="00F70DE3"/>
    <w:rsid w:val="00F71D8A"/>
    <w:rsid w:val="00F729EF"/>
    <w:rsid w:val="00F74268"/>
    <w:rsid w:val="00F74F0A"/>
    <w:rsid w:val="00F77186"/>
    <w:rsid w:val="00F77CAE"/>
    <w:rsid w:val="00F77ECA"/>
    <w:rsid w:val="00F81E94"/>
    <w:rsid w:val="00F82271"/>
    <w:rsid w:val="00F83428"/>
    <w:rsid w:val="00F90C8B"/>
    <w:rsid w:val="00F93EF8"/>
    <w:rsid w:val="00F96BB9"/>
    <w:rsid w:val="00F975CE"/>
    <w:rsid w:val="00FA0E29"/>
    <w:rsid w:val="00FA6FDE"/>
    <w:rsid w:val="00FB2E69"/>
    <w:rsid w:val="00FB37A2"/>
    <w:rsid w:val="00FB4E77"/>
    <w:rsid w:val="00FB7B28"/>
    <w:rsid w:val="00FC4424"/>
    <w:rsid w:val="00FC57D5"/>
    <w:rsid w:val="00FC6C02"/>
    <w:rsid w:val="00FD6E50"/>
    <w:rsid w:val="00FE4B47"/>
    <w:rsid w:val="00FE6D51"/>
    <w:rsid w:val="00FE6EA0"/>
    <w:rsid w:val="00FF09F3"/>
    <w:rsid w:val="00FF6128"/>
    <w:rsid w:val="00FF6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4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F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7709F7"/>
    <w:rPr>
      <w:sz w:val="16"/>
      <w:szCs w:val="16"/>
    </w:rPr>
  </w:style>
  <w:style w:type="paragraph" w:styleId="CommentText">
    <w:name w:val="annotation text"/>
    <w:basedOn w:val="Normal"/>
    <w:link w:val="CommentTextChar"/>
    <w:uiPriority w:val="99"/>
    <w:unhideWhenUsed/>
    <w:rsid w:val="007709F7"/>
    <w:pPr>
      <w:spacing w:line="240" w:lineRule="auto"/>
    </w:pPr>
    <w:rPr>
      <w:sz w:val="20"/>
      <w:szCs w:val="20"/>
    </w:rPr>
  </w:style>
  <w:style w:type="character" w:customStyle="1" w:styleId="CommentTextChar">
    <w:name w:val="Comment Text Char"/>
    <w:basedOn w:val="DefaultParagraphFont"/>
    <w:link w:val="CommentText"/>
    <w:uiPriority w:val="99"/>
    <w:rsid w:val="007709F7"/>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7709F7"/>
    <w:rPr>
      <w:b/>
      <w:bCs/>
    </w:rPr>
  </w:style>
  <w:style w:type="character" w:customStyle="1" w:styleId="CommentSubjectChar">
    <w:name w:val="Comment Subject Char"/>
    <w:basedOn w:val="CommentTextChar"/>
    <w:link w:val="CommentSubject"/>
    <w:uiPriority w:val="99"/>
    <w:semiHidden/>
    <w:rsid w:val="007709F7"/>
    <w:rPr>
      <w:b/>
      <w:bCs/>
      <w:color w:val="495965" w:themeColor="text2"/>
      <w:sz w:val="20"/>
      <w:szCs w:val="20"/>
      <w:lang w:val="en-GB"/>
    </w:rPr>
  </w:style>
  <w:style w:type="paragraph" w:customStyle="1" w:styleId="Box1Text">
    <w:name w:val="Box 1 Text"/>
    <w:basedOn w:val="Normal"/>
    <w:qFormat/>
    <w:rsid w:val="00786FD5"/>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table" w:customStyle="1" w:styleId="ListTable4-Accent12">
    <w:name w:val="List Table 4 - Accent 12"/>
    <w:basedOn w:val="TableNormal"/>
    <w:next w:val="ListTable4-Accent1"/>
    <w:uiPriority w:val="49"/>
    <w:rsid w:val="00345F7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1">
    <w:name w:val="List Table 4 Accent 1"/>
    <w:basedOn w:val="TableNormal"/>
    <w:uiPriority w:val="49"/>
    <w:rsid w:val="00345F7E"/>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styleId="NormalWeb">
    <w:name w:val="Normal (Web)"/>
    <w:basedOn w:val="Normal"/>
    <w:uiPriority w:val="99"/>
    <w:semiHidden/>
    <w:unhideWhenUsed/>
    <w:rsid w:val="006C27E0"/>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Revision">
    <w:name w:val="Revision"/>
    <w:hidden/>
    <w:uiPriority w:val="99"/>
    <w:semiHidden/>
    <w:rsid w:val="0084092C"/>
    <w:pPr>
      <w:spacing w:after="0" w:line="240" w:lineRule="auto"/>
    </w:pPr>
    <w:rPr>
      <w:color w:val="495965" w:themeColor="text2"/>
      <w:lang w:val="en-GB"/>
    </w:rPr>
  </w:style>
  <w:style w:type="paragraph" w:customStyle="1" w:styleId="Default">
    <w:name w:val="Default"/>
    <w:rsid w:val="0084092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0D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7686">
      <w:bodyDiv w:val="1"/>
      <w:marLeft w:val="0"/>
      <w:marRight w:val="0"/>
      <w:marTop w:val="0"/>
      <w:marBottom w:val="0"/>
      <w:divBdr>
        <w:top w:val="none" w:sz="0" w:space="0" w:color="auto"/>
        <w:left w:val="none" w:sz="0" w:space="0" w:color="auto"/>
        <w:bottom w:val="none" w:sz="0" w:space="0" w:color="auto"/>
        <w:right w:val="none" w:sz="0" w:space="0" w:color="auto"/>
      </w:divBdr>
    </w:div>
    <w:div w:id="57940755">
      <w:bodyDiv w:val="1"/>
      <w:marLeft w:val="0"/>
      <w:marRight w:val="0"/>
      <w:marTop w:val="0"/>
      <w:marBottom w:val="0"/>
      <w:divBdr>
        <w:top w:val="none" w:sz="0" w:space="0" w:color="auto"/>
        <w:left w:val="none" w:sz="0" w:space="0" w:color="auto"/>
        <w:bottom w:val="none" w:sz="0" w:space="0" w:color="auto"/>
        <w:right w:val="none" w:sz="0" w:space="0" w:color="auto"/>
      </w:divBdr>
    </w:div>
    <w:div w:id="166410476">
      <w:bodyDiv w:val="1"/>
      <w:marLeft w:val="0"/>
      <w:marRight w:val="0"/>
      <w:marTop w:val="0"/>
      <w:marBottom w:val="0"/>
      <w:divBdr>
        <w:top w:val="none" w:sz="0" w:space="0" w:color="auto"/>
        <w:left w:val="none" w:sz="0" w:space="0" w:color="auto"/>
        <w:bottom w:val="none" w:sz="0" w:space="0" w:color="auto"/>
        <w:right w:val="none" w:sz="0" w:space="0" w:color="auto"/>
      </w:divBdr>
    </w:div>
    <w:div w:id="198981138">
      <w:bodyDiv w:val="1"/>
      <w:marLeft w:val="0"/>
      <w:marRight w:val="0"/>
      <w:marTop w:val="0"/>
      <w:marBottom w:val="0"/>
      <w:divBdr>
        <w:top w:val="none" w:sz="0" w:space="0" w:color="auto"/>
        <w:left w:val="none" w:sz="0" w:space="0" w:color="auto"/>
        <w:bottom w:val="none" w:sz="0" w:space="0" w:color="auto"/>
        <w:right w:val="none" w:sz="0" w:space="0" w:color="auto"/>
      </w:divBdr>
      <w:divsChild>
        <w:div w:id="612783203">
          <w:marLeft w:val="0"/>
          <w:marRight w:val="0"/>
          <w:marTop w:val="0"/>
          <w:marBottom w:val="0"/>
          <w:divBdr>
            <w:top w:val="none" w:sz="0" w:space="0" w:color="auto"/>
            <w:left w:val="none" w:sz="0" w:space="0" w:color="auto"/>
            <w:bottom w:val="none" w:sz="0" w:space="0" w:color="auto"/>
            <w:right w:val="none" w:sz="0" w:space="0" w:color="auto"/>
          </w:divBdr>
          <w:divsChild>
            <w:div w:id="477724121">
              <w:marLeft w:val="0"/>
              <w:marRight w:val="0"/>
              <w:marTop w:val="0"/>
              <w:marBottom w:val="0"/>
              <w:divBdr>
                <w:top w:val="none" w:sz="0" w:space="0" w:color="auto"/>
                <w:left w:val="none" w:sz="0" w:space="0" w:color="auto"/>
                <w:bottom w:val="none" w:sz="0" w:space="0" w:color="auto"/>
                <w:right w:val="none" w:sz="0" w:space="0" w:color="auto"/>
              </w:divBdr>
              <w:divsChild>
                <w:div w:id="66805040">
                  <w:marLeft w:val="0"/>
                  <w:marRight w:val="0"/>
                  <w:marTop w:val="0"/>
                  <w:marBottom w:val="0"/>
                  <w:divBdr>
                    <w:top w:val="none" w:sz="0" w:space="0" w:color="auto"/>
                    <w:left w:val="none" w:sz="0" w:space="0" w:color="auto"/>
                    <w:bottom w:val="none" w:sz="0" w:space="0" w:color="auto"/>
                    <w:right w:val="none" w:sz="0" w:space="0" w:color="auto"/>
                  </w:divBdr>
                  <w:divsChild>
                    <w:div w:id="398938888">
                      <w:marLeft w:val="0"/>
                      <w:marRight w:val="0"/>
                      <w:marTop w:val="0"/>
                      <w:marBottom w:val="0"/>
                      <w:divBdr>
                        <w:top w:val="none" w:sz="0" w:space="0" w:color="auto"/>
                        <w:left w:val="none" w:sz="0" w:space="0" w:color="auto"/>
                        <w:bottom w:val="none" w:sz="0" w:space="0" w:color="auto"/>
                        <w:right w:val="none" w:sz="0" w:space="0" w:color="auto"/>
                      </w:divBdr>
                      <w:divsChild>
                        <w:div w:id="1409157405">
                          <w:marLeft w:val="0"/>
                          <w:marRight w:val="0"/>
                          <w:marTop w:val="0"/>
                          <w:marBottom w:val="0"/>
                          <w:divBdr>
                            <w:top w:val="none" w:sz="0" w:space="0" w:color="auto"/>
                            <w:left w:val="none" w:sz="0" w:space="0" w:color="auto"/>
                            <w:bottom w:val="none" w:sz="0" w:space="0" w:color="auto"/>
                            <w:right w:val="none" w:sz="0" w:space="0" w:color="auto"/>
                          </w:divBdr>
                          <w:divsChild>
                            <w:div w:id="461462610">
                              <w:marLeft w:val="0"/>
                              <w:marRight w:val="0"/>
                              <w:marTop w:val="0"/>
                              <w:marBottom w:val="0"/>
                              <w:divBdr>
                                <w:top w:val="none" w:sz="0" w:space="0" w:color="auto"/>
                                <w:left w:val="none" w:sz="0" w:space="0" w:color="auto"/>
                                <w:bottom w:val="none" w:sz="0" w:space="0" w:color="auto"/>
                                <w:right w:val="none" w:sz="0" w:space="0" w:color="auto"/>
                              </w:divBdr>
                              <w:divsChild>
                                <w:div w:id="109471618">
                                  <w:marLeft w:val="0"/>
                                  <w:marRight w:val="0"/>
                                  <w:marTop w:val="0"/>
                                  <w:marBottom w:val="0"/>
                                  <w:divBdr>
                                    <w:top w:val="none" w:sz="0" w:space="0" w:color="auto"/>
                                    <w:left w:val="none" w:sz="0" w:space="0" w:color="auto"/>
                                    <w:bottom w:val="none" w:sz="0" w:space="0" w:color="auto"/>
                                    <w:right w:val="none" w:sz="0" w:space="0" w:color="auto"/>
                                  </w:divBdr>
                                  <w:divsChild>
                                    <w:div w:id="389577049">
                                      <w:marLeft w:val="0"/>
                                      <w:marRight w:val="0"/>
                                      <w:marTop w:val="0"/>
                                      <w:marBottom w:val="0"/>
                                      <w:divBdr>
                                        <w:top w:val="none" w:sz="0" w:space="0" w:color="auto"/>
                                        <w:left w:val="none" w:sz="0" w:space="0" w:color="auto"/>
                                        <w:bottom w:val="none" w:sz="0" w:space="0" w:color="auto"/>
                                        <w:right w:val="none" w:sz="0" w:space="0" w:color="auto"/>
                                      </w:divBdr>
                                      <w:divsChild>
                                        <w:div w:id="613488065">
                                          <w:marLeft w:val="0"/>
                                          <w:marRight w:val="0"/>
                                          <w:marTop w:val="0"/>
                                          <w:marBottom w:val="0"/>
                                          <w:divBdr>
                                            <w:top w:val="none" w:sz="0" w:space="0" w:color="auto"/>
                                            <w:left w:val="none" w:sz="0" w:space="0" w:color="auto"/>
                                            <w:bottom w:val="none" w:sz="0" w:space="0" w:color="auto"/>
                                            <w:right w:val="none" w:sz="0" w:space="0" w:color="auto"/>
                                          </w:divBdr>
                                          <w:divsChild>
                                            <w:div w:id="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951095">
      <w:bodyDiv w:val="1"/>
      <w:marLeft w:val="0"/>
      <w:marRight w:val="0"/>
      <w:marTop w:val="0"/>
      <w:marBottom w:val="0"/>
      <w:divBdr>
        <w:top w:val="none" w:sz="0" w:space="0" w:color="auto"/>
        <w:left w:val="none" w:sz="0" w:space="0" w:color="auto"/>
        <w:bottom w:val="none" w:sz="0" w:space="0" w:color="auto"/>
        <w:right w:val="none" w:sz="0" w:space="0" w:color="auto"/>
      </w:divBdr>
    </w:div>
    <w:div w:id="335571513">
      <w:bodyDiv w:val="1"/>
      <w:marLeft w:val="0"/>
      <w:marRight w:val="0"/>
      <w:marTop w:val="0"/>
      <w:marBottom w:val="0"/>
      <w:divBdr>
        <w:top w:val="none" w:sz="0" w:space="0" w:color="auto"/>
        <w:left w:val="none" w:sz="0" w:space="0" w:color="auto"/>
        <w:bottom w:val="none" w:sz="0" w:space="0" w:color="auto"/>
        <w:right w:val="none" w:sz="0" w:space="0" w:color="auto"/>
      </w:divBdr>
    </w:div>
    <w:div w:id="345209808">
      <w:bodyDiv w:val="1"/>
      <w:marLeft w:val="0"/>
      <w:marRight w:val="0"/>
      <w:marTop w:val="0"/>
      <w:marBottom w:val="0"/>
      <w:divBdr>
        <w:top w:val="none" w:sz="0" w:space="0" w:color="auto"/>
        <w:left w:val="none" w:sz="0" w:space="0" w:color="auto"/>
        <w:bottom w:val="none" w:sz="0" w:space="0" w:color="auto"/>
        <w:right w:val="none" w:sz="0" w:space="0" w:color="auto"/>
      </w:divBdr>
    </w:div>
    <w:div w:id="353268556">
      <w:bodyDiv w:val="1"/>
      <w:marLeft w:val="0"/>
      <w:marRight w:val="0"/>
      <w:marTop w:val="0"/>
      <w:marBottom w:val="0"/>
      <w:divBdr>
        <w:top w:val="none" w:sz="0" w:space="0" w:color="auto"/>
        <w:left w:val="none" w:sz="0" w:space="0" w:color="auto"/>
        <w:bottom w:val="none" w:sz="0" w:space="0" w:color="auto"/>
        <w:right w:val="none" w:sz="0" w:space="0" w:color="auto"/>
      </w:divBdr>
    </w:div>
    <w:div w:id="400257025">
      <w:bodyDiv w:val="1"/>
      <w:marLeft w:val="0"/>
      <w:marRight w:val="0"/>
      <w:marTop w:val="0"/>
      <w:marBottom w:val="0"/>
      <w:divBdr>
        <w:top w:val="none" w:sz="0" w:space="0" w:color="auto"/>
        <w:left w:val="none" w:sz="0" w:space="0" w:color="auto"/>
        <w:bottom w:val="none" w:sz="0" w:space="0" w:color="auto"/>
        <w:right w:val="none" w:sz="0" w:space="0" w:color="auto"/>
      </w:divBdr>
    </w:div>
    <w:div w:id="409884307">
      <w:bodyDiv w:val="1"/>
      <w:marLeft w:val="0"/>
      <w:marRight w:val="0"/>
      <w:marTop w:val="0"/>
      <w:marBottom w:val="0"/>
      <w:divBdr>
        <w:top w:val="none" w:sz="0" w:space="0" w:color="auto"/>
        <w:left w:val="none" w:sz="0" w:space="0" w:color="auto"/>
        <w:bottom w:val="none" w:sz="0" w:space="0" w:color="auto"/>
        <w:right w:val="none" w:sz="0" w:space="0" w:color="auto"/>
      </w:divBdr>
    </w:div>
    <w:div w:id="418644358">
      <w:bodyDiv w:val="1"/>
      <w:marLeft w:val="0"/>
      <w:marRight w:val="0"/>
      <w:marTop w:val="0"/>
      <w:marBottom w:val="0"/>
      <w:divBdr>
        <w:top w:val="none" w:sz="0" w:space="0" w:color="auto"/>
        <w:left w:val="none" w:sz="0" w:space="0" w:color="auto"/>
        <w:bottom w:val="none" w:sz="0" w:space="0" w:color="auto"/>
        <w:right w:val="none" w:sz="0" w:space="0" w:color="auto"/>
      </w:divBdr>
    </w:div>
    <w:div w:id="459230616">
      <w:bodyDiv w:val="1"/>
      <w:marLeft w:val="0"/>
      <w:marRight w:val="0"/>
      <w:marTop w:val="0"/>
      <w:marBottom w:val="0"/>
      <w:divBdr>
        <w:top w:val="none" w:sz="0" w:space="0" w:color="auto"/>
        <w:left w:val="none" w:sz="0" w:space="0" w:color="auto"/>
        <w:bottom w:val="none" w:sz="0" w:space="0" w:color="auto"/>
        <w:right w:val="none" w:sz="0" w:space="0" w:color="auto"/>
      </w:divBdr>
      <w:divsChild>
        <w:div w:id="594360705">
          <w:marLeft w:val="0"/>
          <w:marRight w:val="0"/>
          <w:marTop w:val="0"/>
          <w:marBottom w:val="0"/>
          <w:divBdr>
            <w:top w:val="none" w:sz="0" w:space="0" w:color="auto"/>
            <w:left w:val="none" w:sz="0" w:space="0" w:color="auto"/>
            <w:bottom w:val="none" w:sz="0" w:space="0" w:color="auto"/>
            <w:right w:val="none" w:sz="0" w:space="0" w:color="auto"/>
          </w:divBdr>
          <w:divsChild>
            <w:div w:id="502741707">
              <w:marLeft w:val="0"/>
              <w:marRight w:val="0"/>
              <w:marTop w:val="0"/>
              <w:marBottom w:val="0"/>
              <w:divBdr>
                <w:top w:val="none" w:sz="0" w:space="0" w:color="auto"/>
                <w:left w:val="none" w:sz="0" w:space="0" w:color="auto"/>
                <w:bottom w:val="none" w:sz="0" w:space="0" w:color="auto"/>
                <w:right w:val="none" w:sz="0" w:space="0" w:color="auto"/>
              </w:divBdr>
              <w:divsChild>
                <w:div w:id="1218978128">
                  <w:marLeft w:val="0"/>
                  <w:marRight w:val="0"/>
                  <w:marTop w:val="0"/>
                  <w:marBottom w:val="0"/>
                  <w:divBdr>
                    <w:top w:val="none" w:sz="0" w:space="0" w:color="auto"/>
                    <w:left w:val="none" w:sz="0" w:space="0" w:color="auto"/>
                    <w:bottom w:val="none" w:sz="0" w:space="0" w:color="auto"/>
                    <w:right w:val="none" w:sz="0" w:space="0" w:color="auto"/>
                  </w:divBdr>
                  <w:divsChild>
                    <w:div w:id="229273997">
                      <w:marLeft w:val="0"/>
                      <w:marRight w:val="0"/>
                      <w:marTop w:val="300"/>
                      <w:marBottom w:val="0"/>
                      <w:divBdr>
                        <w:top w:val="none" w:sz="0" w:space="0" w:color="auto"/>
                        <w:left w:val="none" w:sz="0" w:space="0" w:color="auto"/>
                        <w:bottom w:val="none" w:sz="0" w:space="0" w:color="auto"/>
                        <w:right w:val="none" w:sz="0" w:space="0" w:color="auto"/>
                      </w:divBdr>
                      <w:divsChild>
                        <w:div w:id="1083919386">
                          <w:marLeft w:val="0"/>
                          <w:marRight w:val="0"/>
                          <w:marTop w:val="0"/>
                          <w:marBottom w:val="0"/>
                          <w:divBdr>
                            <w:top w:val="none" w:sz="0" w:space="0" w:color="auto"/>
                            <w:left w:val="none" w:sz="0" w:space="0" w:color="auto"/>
                            <w:bottom w:val="none" w:sz="0" w:space="0" w:color="auto"/>
                            <w:right w:val="none" w:sz="0" w:space="0" w:color="auto"/>
                          </w:divBdr>
                          <w:divsChild>
                            <w:div w:id="1152986854">
                              <w:marLeft w:val="0"/>
                              <w:marRight w:val="0"/>
                              <w:marTop w:val="0"/>
                              <w:marBottom w:val="0"/>
                              <w:divBdr>
                                <w:top w:val="none" w:sz="0" w:space="0" w:color="auto"/>
                                <w:left w:val="none" w:sz="0" w:space="0" w:color="auto"/>
                                <w:bottom w:val="none" w:sz="0" w:space="0" w:color="auto"/>
                                <w:right w:val="none" w:sz="0" w:space="0" w:color="auto"/>
                              </w:divBdr>
                              <w:divsChild>
                                <w:div w:id="2031254648">
                                  <w:marLeft w:val="0"/>
                                  <w:marRight w:val="0"/>
                                  <w:marTop w:val="0"/>
                                  <w:marBottom w:val="0"/>
                                  <w:divBdr>
                                    <w:top w:val="none" w:sz="0" w:space="0" w:color="auto"/>
                                    <w:left w:val="none" w:sz="0" w:space="0" w:color="auto"/>
                                    <w:bottom w:val="none" w:sz="0" w:space="0" w:color="auto"/>
                                    <w:right w:val="none" w:sz="0" w:space="0" w:color="auto"/>
                                  </w:divBdr>
                                  <w:divsChild>
                                    <w:div w:id="661393179">
                                      <w:marLeft w:val="0"/>
                                      <w:marRight w:val="4"/>
                                      <w:marTop w:val="0"/>
                                      <w:marBottom w:val="0"/>
                                      <w:divBdr>
                                        <w:top w:val="none" w:sz="0" w:space="0" w:color="auto"/>
                                        <w:left w:val="none" w:sz="0" w:space="0" w:color="auto"/>
                                        <w:bottom w:val="none" w:sz="0" w:space="0" w:color="auto"/>
                                        <w:right w:val="none" w:sz="0" w:space="0" w:color="auto"/>
                                      </w:divBdr>
                                      <w:divsChild>
                                        <w:div w:id="11729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06648">
      <w:bodyDiv w:val="1"/>
      <w:marLeft w:val="0"/>
      <w:marRight w:val="0"/>
      <w:marTop w:val="0"/>
      <w:marBottom w:val="0"/>
      <w:divBdr>
        <w:top w:val="none" w:sz="0" w:space="0" w:color="auto"/>
        <w:left w:val="none" w:sz="0" w:space="0" w:color="auto"/>
        <w:bottom w:val="none" w:sz="0" w:space="0" w:color="auto"/>
        <w:right w:val="none" w:sz="0" w:space="0" w:color="auto"/>
      </w:divBdr>
    </w:div>
    <w:div w:id="504979981">
      <w:bodyDiv w:val="1"/>
      <w:marLeft w:val="0"/>
      <w:marRight w:val="0"/>
      <w:marTop w:val="0"/>
      <w:marBottom w:val="0"/>
      <w:divBdr>
        <w:top w:val="none" w:sz="0" w:space="0" w:color="auto"/>
        <w:left w:val="none" w:sz="0" w:space="0" w:color="auto"/>
        <w:bottom w:val="none" w:sz="0" w:space="0" w:color="auto"/>
        <w:right w:val="none" w:sz="0" w:space="0" w:color="auto"/>
      </w:divBdr>
    </w:div>
    <w:div w:id="521479420">
      <w:bodyDiv w:val="1"/>
      <w:marLeft w:val="0"/>
      <w:marRight w:val="0"/>
      <w:marTop w:val="0"/>
      <w:marBottom w:val="0"/>
      <w:divBdr>
        <w:top w:val="none" w:sz="0" w:space="0" w:color="auto"/>
        <w:left w:val="none" w:sz="0" w:space="0" w:color="auto"/>
        <w:bottom w:val="none" w:sz="0" w:space="0" w:color="auto"/>
        <w:right w:val="none" w:sz="0" w:space="0" w:color="auto"/>
      </w:divBdr>
      <w:divsChild>
        <w:div w:id="1057897854">
          <w:marLeft w:val="0"/>
          <w:marRight w:val="0"/>
          <w:marTop w:val="0"/>
          <w:marBottom w:val="0"/>
          <w:divBdr>
            <w:top w:val="none" w:sz="0" w:space="0" w:color="auto"/>
            <w:left w:val="none" w:sz="0" w:space="0" w:color="auto"/>
            <w:bottom w:val="none" w:sz="0" w:space="0" w:color="auto"/>
            <w:right w:val="none" w:sz="0" w:space="0" w:color="auto"/>
          </w:divBdr>
          <w:divsChild>
            <w:div w:id="1337003140">
              <w:marLeft w:val="0"/>
              <w:marRight w:val="0"/>
              <w:marTop w:val="0"/>
              <w:marBottom w:val="0"/>
              <w:divBdr>
                <w:top w:val="none" w:sz="0" w:space="0" w:color="auto"/>
                <w:left w:val="none" w:sz="0" w:space="0" w:color="auto"/>
                <w:bottom w:val="none" w:sz="0" w:space="0" w:color="auto"/>
                <w:right w:val="none" w:sz="0" w:space="0" w:color="auto"/>
              </w:divBdr>
              <w:divsChild>
                <w:div w:id="434525005">
                  <w:marLeft w:val="-225"/>
                  <w:marRight w:val="-225"/>
                  <w:marTop w:val="0"/>
                  <w:marBottom w:val="0"/>
                  <w:divBdr>
                    <w:top w:val="none" w:sz="0" w:space="0" w:color="auto"/>
                    <w:left w:val="none" w:sz="0" w:space="0" w:color="auto"/>
                    <w:bottom w:val="none" w:sz="0" w:space="0" w:color="auto"/>
                    <w:right w:val="none" w:sz="0" w:space="0" w:color="auto"/>
                  </w:divBdr>
                  <w:divsChild>
                    <w:div w:id="552352803">
                      <w:marLeft w:val="0"/>
                      <w:marRight w:val="0"/>
                      <w:marTop w:val="0"/>
                      <w:marBottom w:val="0"/>
                      <w:divBdr>
                        <w:top w:val="none" w:sz="0" w:space="0" w:color="auto"/>
                        <w:left w:val="none" w:sz="0" w:space="0" w:color="auto"/>
                        <w:bottom w:val="none" w:sz="0" w:space="0" w:color="auto"/>
                        <w:right w:val="none" w:sz="0" w:space="0" w:color="auto"/>
                      </w:divBdr>
                      <w:divsChild>
                        <w:div w:id="492181263">
                          <w:marLeft w:val="0"/>
                          <w:marRight w:val="0"/>
                          <w:marTop w:val="0"/>
                          <w:marBottom w:val="0"/>
                          <w:divBdr>
                            <w:top w:val="none" w:sz="0" w:space="0" w:color="auto"/>
                            <w:left w:val="none" w:sz="0" w:space="0" w:color="auto"/>
                            <w:bottom w:val="none" w:sz="0" w:space="0" w:color="auto"/>
                            <w:right w:val="none" w:sz="0" w:space="0" w:color="auto"/>
                          </w:divBdr>
                          <w:divsChild>
                            <w:div w:id="1701584956">
                              <w:marLeft w:val="0"/>
                              <w:marRight w:val="0"/>
                              <w:marTop w:val="0"/>
                              <w:marBottom w:val="0"/>
                              <w:divBdr>
                                <w:top w:val="none" w:sz="0" w:space="0" w:color="auto"/>
                                <w:left w:val="none" w:sz="0" w:space="0" w:color="auto"/>
                                <w:bottom w:val="none" w:sz="0" w:space="0" w:color="auto"/>
                                <w:right w:val="none" w:sz="0" w:space="0" w:color="auto"/>
                              </w:divBdr>
                              <w:divsChild>
                                <w:div w:id="8886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74040">
      <w:bodyDiv w:val="1"/>
      <w:marLeft w:val="0"/>
      <w:marRight w:val="0"/>
      <w:marTop w:val="0"/>
      <w:marBottom w:val="0"/>
      <w:divBdr>
        <w:top w:val="none" w:sz="0" w:space="0" w:color="auto"/>
        <w:left w:val="none" w:sz="0" w:space="0" w:color="auto"/>
        <w:bottom w:val="none" w:sz="0" w:space="0" w:color="auto"/>
        <w:right w:val="none" w:sz="0" w:space="0" w:color="auto"/>
      </w:divBdr>
    </w:div>
    <w:div w:id="593712678">
      <w:bodyDiv w:val="1"/>
      <w:marLeft w:val="0"/>
      <w:marRight w:val="0"/>
      <w:marTop w:val="0"/>
      <w:marBottom w:val="0"/>
      <w:divBdr>
        <w:top w:val="none" w:sz="0" w:space="0" w:color="auto"/>
        <w:left w:val="none" w:sz="0" w:space="0" w:color="auto"/>
        <w:bottom w:val="none" w:sz="0" w:space="0" w:color="auto"/>
        <w:right w:val="none" w:sz="0" w:space="0" w:color="auto"/>
      </w:divBdr>
    </w:div>
    <w:div w:id="621615572">
      <w:bodyDiv w:val="1"/>
      <w:marLeft w:val="0"/>
      <w:marRight w:val="0"/>
      <w:marTop w:val="0"/>
      <w:marBottom w:val="0"/>
      <w:divBdr>
        <w:top w:val="none" w:sz="0" w:space="0" w:color="auto"/>
        <w:left w:val="none" w:sz="0" w:space="0" w:color="auto"/>
        <w:bottom w:val="none" w:sz="0" w:space="0" w:color="auto"/>
        <w:right w:val="none" w:sz="0" w:space="0" w:color="auto"/>
      </w:divBdr>
    </w:div>
    <w:div w:id="727266883">
      <w:bodyDiv w:val="1"/>
      <w:marLeft w:val="0"/>
      <w:marRight w:val="0"/>
      <w:marTop w:val="0"/>
      <w:marBottom w:val="0"/>
      <w:divBdr>
        <w:top w:val="none" w:sz="0" w:space="0" w:color="auto"/>
        <w:left w:val="none" w:sz="0" w:space="0" w:color="auto"/>
        <w:bottom w:val="none" w:sz="0" w:space="0" w:color="auto"/>
        <w:right w:val="none" w:sz="0" w:space="0" w:color="auto"/>
      </w:divBdr>
    </w:div>
    <w:div w:id="745997110">
      <w:bodyDiv w:val="1"/>
      <w:marLeft w:val="0"/>
      <w:marRight w:val="0"/>
      <w:marTop w:val="0"/>
      <w:marBottom w:val="0"/>
      <w:divBdr>
        <w:top w:val="none" w:sz="0" w:space="0" w:color="auto"/>
        <w:left w:val="none" w:sz="0" w:space="0" w:color="auto"/>
        <w:bottom w:val="none" w:sz="0" w:space="0" w:color="auto"/>
        <w:right w:val="none" w:sz="0" w:space="0" w:color="auto"/>
      </w:divBdr>
    </w:div>
    <w:div w:id="962736685">
      <w:bodyDiv w:val="1"/>
      <w:marLeft w:val="0"/>
      <w:marRight w:val="0"/>
      <w:marTop w:val="0"/>
      <w:marBottom w:val="0"/>
      <w:divBdr>
        <w:top w:val="none" w:sz="0" w:space="0" w:color="auto"/>
        <w:left w:val="none" w:sz="0" w:space="0" w:color="auto"/>
        <w:bottom w:val="none" w:sz="0" w:space="0" w:color="auto"/>
        <w:right w:val="none" w:sz="0" w:space="0" w:color="auto"/>
      </w:divBdr>
    </w:div>
    <w:div w:id="1020356789">
      <w:bodyDiv w:val="1"/>
      <w:marLeft w:val="0"/>
      <w:marRight w:val="0"/>
      <w:marTop w:val="0"/>
      <w:marBottom w:val="0"/>
      <w:divBdr>
        <w:top w:val="none" w:sz="0" w:space="0" w:color="auto"/>
        <w:left w:val="none" w:sz="0" w:space="0" w:color="auto"/>
        <w:bottom w:val="none" w:sz="0" w:space="0" w:color="auto"/>
        <w:right w:val="none" w:sz="0" w:space="0" w:color="auto"/>
      </w:divBdr>
      <w:divsChild>
        <w:div w:id="1123693500">
          <w:marLeft w:val="0"/>
          <w:marRight w:val="0"/>
          <w:marTop w:val="0"/>
          <w:marBottom w:val="0"/>
          <w:divBdr>
            <w:top w:val="none" w:sz="0" w:space="0" w:color="auto"/>
            <w:left w:val="none" w:sz="0" w:space="0" w:color="auto"/>
            <w:bottom w:val="none" w:sz="0" w:space="0" w:color="auto"/>
            <w:right w:val="none" w:sz="0" w:space="0" w:color="auto"/>
          </w:divBdr>
          <w:divsChild>
            <w:div w:id="1124159662">
              <w:marLeft w:val="0"/>
              <w:marRight w:val="0"/>
              <w:marTop w:val="0"/>
              <w:marBottom w:val="0"/>
              <w:divBdr>
                <w:top w:val="none" w:sz="0" w:space="0" w:color="auto"/>
                <w:left w:val="none" w:sz="0" w:space="0" w:color="auto"/>
                <w:bottom w:val="none" w:sz="0" w:space="0" w:color="auto"/>
                <w:right w:val="none" w:sz="0" w:space="0" w:color="auto"/>
              </w:divBdr>
              <w:divsChild>
                <w:div w:id="1423448431">
                  <w:marLeft w:val="0"/>
                  <w:marRight w:val="0"/>
                  <w:marTop w:val="0"/>
                  <w:marBottom w:val="0"/>
                  <w:divBdr>
                    <w:top w:val="none" w:sz="0" w:space="0" w:color="auto"/>
                    <w:left w:val="none" w:sz="0" w:space="0" w:color="auto"/>
                    <w:bottom w:val="none" w:sz="0" w:space="0" w:color="auto"/>
                    <w:right w:val="none" w:sz="0" w:space="0" w:color="auto"/>
                  </w:divBdr>
                  <w:divsChild>
                    <w:div w:id="1948466893">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sChild>
                            <w:div w:id="365183103">
                              <w:marLeft w:val="0"/>
                              <w:marRight w:val="0"/>
                              <w:marTop w:val="0"/>
                              <w:marBottom w:val="0"/>
                              <w:divBdr>
                                <w:top w:val="none" w:sz="0" w:space="0" w:color="auto"/>
                                <w:left w:val="none" w:sz="0" w:space="0" w:color="auto"/>
                                <w:bottom w:val="none" w:sz="0" w:space="0" w:color="auto"/>
                                <w:right w:val="none" w:sz="0" w:space="0" w:color="auto"/>
                              </w:divBdr>
                              <w:divsChild>
                                <w:div w:id="811365655">
                                  <w:marLeft w:val="0"/>
                                  <w:marRight w:val="0"/>
                                  <w:marTop w:val="0"/>
                                  <w:marBottom w:val="0"/>
                                  <w:divBdr>
                                    <w:top w:val="none" w:sz="0" w:space="0" w:color="auto"/>
                                    <w:left w:val="none" w:sz="0" w:space="0" w:color="auto"/>
                                    <w:bottom w:val="none" w:sz="0" w:space="0" w:color="auto"/>
                                    <w:right w:val="none" w:sz="0" w:space="0" w:color="auto"/>
                                  </w:divBdr>
                                  <w:divsChild>
                                    <w:div w:id="1683314789">
                                      <w:marLeft w:val="0"/>
                                      <w:marRight w:val="0"/>
                                      <w:marTop w:val="0"/>
                                      <w:marBottom w:val="0"/>
                                      <w:divBdr>
                                        <w:top w:val="none" w:sz="0" w:space="0" w:color="auto"/>
                                        <w:left w:val="none" w:sz="0" w:space="0" w:color="auto"/>
                                        <w:bottom w:val="none" w:sz="0" w:space="0" w:color="auto"/>
                                        <w:right w:val="none" w:sz="0" w:space="0" w:color="auto"/>
                                      </w:divBdr>
                                      <w:divsChild>
                                        <w:div w:id="395779617">
                                          <w:marLeft w:val="0"/>
                                          <w:marRight w:val="0"/>
                                          <w:marTop w:val="0"/>
                                          <w:marBottom w:val="0"/>
                                          <w:divBdr>
                                            <w:top w:val="none" w:sz="0" w:space="0" w:color="auto"/>
                                            <w:left w:val="none" w:sz="0" w:space="0" w:color="auto"/>
                                            <w:bottom w:val="none" w:sz="0" w:space="0" w:color="auto"/>
                                            <w:right w:val="none" w:sz="0" w:space="0" w:color="auto"/>
                                          </w:divBdr>
                                          <w:divsChild>
                                            <w:div w:id="2954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268785">
      <w:bodyDiv w:val="1"/>
      <w:marLeft w:val="0"/>
      <w:marRight w:val="0"/>
      <w:marTop w:val="0"/>
      <w:marBottom w:val="0"/>
      <w:divBdr>
        <w:top w:val="none" w:sz="0" w:space="0" w:color="auto"/>
        <w:left w:val="none" w:sz="0" w:space="0" w:color="auto"/>
        <w:bottom w:val="none" w:sz="0" w:space="0" w:color="auto"/>
        <w:right w:val="none" w:sz="0" w:space="0" w:color="auto"/>
      </w:divBdr>
    </w:div>
    <w:div w:id="1131362462">
      <w:bodyDiv w:val="1"/>
      <w:marLeft w:val="0"/>
      <w:marRight w:val="0"/>
      <w:marTop w:val="0"/>
      <w:marBottom w:val="0"/>
      <w:divBdr>
        <w:top w:val="none" w:sz="0" w:space="0" w:color="auto"/>
        <w:left w:val="none" w:sz="0" w:space="0" w:color="auto"/>
        <w:bottom w:val="none" w:sz="0" w:space="0" w:color="auto"/>
        <w:right w:val="none" w:sz="0" w:space="0" w:color="auto"/>
      </w:divBdr>
    </w:div>
    <w:div w:id="1158881349">
      <w:bodyDiv w:val="1"/>
      <w:marLeft w:val="0"/>
      <w:marRight w:val="0"/>
      <w:marTop w:val="0"/>
      <w:marBottom w:val="0"/>
      <w:divBdr>
        <w:top w:val="none" w:sz="0" w:space="0" w:color="auto"/>
        <w:left w:val="none" w:sz="0" w:space="0" w:color="auto"/>
        <w:bottom w:val="none" w:sz="0" w:space="0" w:color="auto"/>
        <w:right w:val="none" w:sz="0" w:space="0" w:color="auto"/>
      </w:divBdr>
    </w:div>
    <w:div w:id="1176966511">
      <w:bodyDiv w:val="1"/>
      <w:marLeft w:val="0"/>
      <w:marRight w:val="0"/>
      <w:marTop w:val="0"/>
      <w:marBottom w:val="0"/>
      <w:divBdr>
        <w:top w:val="none" w:sz="0" w:space="0" w:color="auto"/>
        <w:left w:val="none" w:sz="0" w:space="0" w:color="auto"/>
        <w:bottom w:val="none" w:sz="0" w:space="0" w:color="auto"/>
        <w:right w:val="none" w:sz="0" w:space="0" w:color="auto"/>
      </w:divBdr>
    </w:div>
    <w:div w:id="1314290288">
      <w:bodyDiv w:val="1"/>
      <w:marLeft w:val="0"/>
      <w:marRight w:val="0"/>
      <w:marTop w:val="0"/>
      <w:marBottom w:val="0"/>
      <w:divBdr>
        <w:top w:val="none" w:sz="0" w:space="0" w:color="auto"/>
        <w:left w:val="none" w:sz="0" w:space="0" w:color="auto"/>
        <w:bottom w:val="none" w:sz="0" w:space="0" w:color="auto"/>
        <w:right w:val="none" w:sz="0" w:space="0" w:color="auto"/>
      </w:divBdr>
    </w:div>
    <w:div w:id="1354727061">
      <w:bodyDiv w:val="1"/>
      <w:marLeft w:val="0"/>
      <w:marRight w:val="0"/>
      <w:marTop w:val="0"/>
      <w:marBottom w:val="0"/>
      <w:divBdr>
        <w:top w:val="none" w:sz="0" w:space="0" w:color="auto"/>
        <w:left w:val="none" w:sz="0" w:space="0" w:color="auto"/>
        <w:bottom w:val="none" w:sz="0" w:space="0" w:color="auto"/>
        <w:right w:val="none" w:sz="0" w:space="0" w:color="auto"/>
      </w:divBdr>
    </w:div>
    <w:div w:id="1427460335">
      <w:bodyDiv w:val="1"/>
      <w:marLeft w:val="0"/>
      <w:marRight w:val="0"/>
      <w:marTop w:val="0"/>
      <w:marBottom w:val="0"/>
      <w:divBdr>
        <w:top w:val="none" w:sz="0" w:space="0" w:color="auto"/>
        <w:left w:val="none" w:sz="0" w:space="0" w:color="auto"/>
        <w:bottom w:val="none" w:sz="0" w:space="0" w:color="auto"/>
        <w:right w:val="none" w:sz="0" w:space="0" w:color="auto"/>
      </w:divBdr>
    </w:div>
    <w:div w:id="1499468626">
      <w:bodyDiv w:val="1"/>
      <w:marLeft w:val="0"/>
      <w:marRight w:val="0"/>
      <w:marTop w:val="0"/>
      <w:marBottom w:val="0"/>
      <w:divBdr>
        <w:top w:val="none" w:sz="0" w:space="0" w:color="auto"/>
        <w:left w:val="none" w:sz="0" w:space="0" w:color="auto"/>
        <w:bottom w:val="none" w:sz="0" w:space="0" w:color="auto"/>
        <w:right w:val="none" w:sz="0" w:space="0" w:color="auto"/>
      </w:divBdr>
    </w:div>
    <w:div w:id="1527517981">
      <w:bodyDiv w:val="1"/>
      <w:marLeft w:val="0"/>
      <w:marRight w:val="0"/>
      <w:marTop w:val="0"/>
      <w:marBottom w:val="0"/>
      <w:divBdr>
        <w:top w:val="none" w:sz="0" w:space="0" w:color="auto"/>
        <w:left w:val="none" w:sz="0" w:space="0" w:color="auto"/>
        <w:bottom w:val="none" w:sz="0" w:space="0" w:color="auto"/>
        <w:right w:val="none" w:sz="0" w:space="0" w:color="auto"/>
      </w:divBdr>
    </w:div>
    <w:div w:id="1585870112">
      <w:bodyDiv w:val="1"/>
      <w:marLeft w:val="0"/>
      <w:marRight w:val="0"/>
      <w:marTop w:val="0"/>
      <w:marBottom w:val="0"/>
      <w:divBdr>
        <w:top w:val="none" w:sz="0" w:space="0" w:color="auto"/>
        <w:left w:val="none" w:sz="0" w:space="0" w:color="auto"/>
        <w:bottom w:val="none" w:sz="0" w:space="0" w:color="auto"/>
        <w:right w:val="none" w:sz="0" w:space="0" w:color="auto"/>
      </w:divBdr>
    </w:div>
    <w:div w:id="1615940395">
      <w:bodyDiv w:val="1"/>
      <w:marLeft w:val="0"/>
      <w:marRight w:val="0"/>
      <w:marTop w:val="0"/>
      <w:marBottom w:val="0"/>
      <w:divBdr>
        <w:top w:val="none" w:sz="0" w:space="0" w:color="auto"/>
        <w:left w:val="none" w:sz="0" w:space="0" w:color="auto"/>
        <w:bottom w:val="none" w:sz="0" w:space="0" w:color="auto"/>
        <w:right w:val="none" w:sz="0" w:space="0" w:color="auto"/>
      </w:divBdr>
      <w:divsChild>
        <w:div w:id="365109273">
          <w:marLeft w:val="0"/>
          <w:marRight w:val="0"/>
          <w:marTop w:val="0"/>
          <w:marBottom w:val="0"/>
          <w:divBdr>
            <w:top w:val="none" w:sz="0" w:space="0" w:color="auto"/>
            <w:left w:val="none" w:sz="0" w:space="0" w:color="auto"/>
            <w:bottom w:val="none" w:sz="0" w:space="0" w:color="auto"/>
            <w:right w:val="none" w:sz="0" w:space="0" w:color="auto"/>
          </w:divBdr>
          <w:divsChild>
            <w:div w:id="862740891">
              <w:marLeft w:val="0"/>
              <w:marRight w:val="0"/>
              <w:marTop w:val="0"/>
              <w:marBottom w:val="0"/>
              <w:divBdr>
                <w:top w:val="none" w:sz="0" w:space="0" w:color="auto"/>
                <w:left w:val="none" w:sz="0" w:space="0" w:color="auto"/>
                <w:bottom w:val="none" w:sz="0" w:space="0" w:color="auto"/>
                <w:right w:val="none" w:sz="0" w:space="0" w:color="auto"/>
              </w:divBdr>
              <w:divsChild>
                <w:div w:id="251671236">
                  <w:marLeft w:val="0"/>
                  <w:marRight w:val="0"/>
                  <w:marTop w:val="0"/>
                  <w:marBottom w:val="0"/>
                  <w:divBdr>
                    <w:top w:val="none" w:sz="0" w:space="0" w:color="auto"/>
                    <w:left w:val="none" w:sz="0" w:space="0" w:color="auto"/>
                    <w:bottom w:val="none" w:sz="0" w:space="0" w:color="auto"/>
                    <w:right w:val="none" w:sz="0" w:space="0" w:color="auto"/>
                  </w:divBdr>
                  <w:divsChild>
                    <w:div w:id="599919247">
                      <w:marLeft w:val="0"/>
                      <w:marRight w:val="0"/>
                      <w:marTop w:val="300"/>
                      <w:marBottom w:val="0"/>
                      <w:divBdr>
                        <w:top w:val="none" w:sz="0" w:space="0" w:color="auto"/>
                        <w:left w:val="none" w:sz="0" w:space="0" w:color="auto"/>
                        <w:bottom w:val="none" w:sz="0" w:space="0" w:color="auto"/>
                        <w:right w:val="none" w:sz="0" w:space="0" w:color="auto"/>
                      </w:divBdr>
                      <w:divsChild>
                        <w:div w:id="1268081235">
                          <w:marLeft w:val="0"/>
                          <w:marRight w:val="0"/>
                          <w:marTop w:val="0"/>
                          <w:marBottom w:val="0"/>
                          <w:divBdr>
                            <w:top w:val="none" w:sz="0" w:space="0" w:color="auto"/>
                            <w:left w:val="none" w:sz="0" w:space="0" w:color="auto"/>
                            <w:bottom w:val="none" w:sz="0" w:space="0" w:color="auto"/>
                            <w:right w:val="none" w:sz="0" w:space="0" w:color="auto"/>
                          </w:divBdr>
                          <w:divsChild>
                            <w:div w:id="2081513057">
                              <w:marLeft w:val="0"/>
                              <w:marRight w:val="0"/>
                              <w:marTop w:val="0"/>
                              <w:marBottom w:val="0"/>
                              <w:divBdr>
                                <w:top w:val="none" w:sz="0" w:space="0" w:color="auto"/>
                                <w:left w:val="none" w:sz="0" w:space="0" w:color="auto"/>
                                <w:bottom w:val="none" w:sz="0" w:space="0" w:color="auto"/>
                                <w:right w:val="none" w:sz="0" w:space="0" w:color="auto"/>
                              </w:divBdr>
                              <w:divsChild>
                                <w:div w:id="138613070">
                                  <w:marLeft w:val="0"/>
                                  <w:marRight w:val="0"/>
                                  <w:marTop w:val="0"/>
                                  <w:marBottom w:val="0"/>
                                  <w:divBdr>
                                    <w:top w:val="none" w:sz="0" w:space="0" w:color="auto"/>
                                    <w:left w:val="none" w:sz="0" w:space="0" w:color="auto"/>
                                    <w:bottom w:val="none" w:sz="0" w:space="0" w:color="auto"/>
                                    <w:right w:val="none" w:sz="0" w:space="0" w:color="auto"/>
                                  </w:divBdr>
                                  <w:divsChild>
                                    <w:div w:id="185798117">
                                      <w:marLeft w:val="0"/>
                                      <w:marRight w:val="4"/>
                                      <w:marTop w:val="0"/>
                                      <w:marBottom w:val="0"/>
                                      <w:divBdr>
                                        <w:top w:val="none" w:sz="0" w:space="0" w:color="auto"/>
                                        <w:left w:val="none" w:sz="0" w:space="0" w:color="auto"/>
                                        <w:bottom w:val="none" w:sz="0" w:space="0" w:color="auto"/>
                                        <w:right w:val="none" w:sz="0" w:space="0" w:color="auto"/>
                                      </w:divBdr>
                                      <w:divsChild>
                                        <w:div w:id="1131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942835">
      <w:bodyDiv w:val="1"/>
      <w:marLeft w:val="0"/>
      <w:marRight w:val="0"/>
      <w:marTop w:val="0"/>
      <w:marBottom w:val="0"/>
      <w:divBdr>
        <w:top w:val="none" w:sz="0" w:space="0" w:color="auto"/>
        <w:left w:val="none" w:sz="0" w:space="0" w:color="auto"/>
        <w:bottom w:val="none" w:sz="0" w:space="0" w:color="auto"/>
        <w:right w:val="none" w:sz="0" w:space="0" w:color="auto"/>
      </w:divBdr>
    </w:div>
    <w:div w:id="1806585891">
      <w:bodyDiv w:val="1"/>
      <w:marLeft w:val="0"/>
      <w:marRight w:val="0"/>
      <w:marTop w:val="0"/>
      <w:marBottom w:val="0"/>
      <w:divBdr>
        <w:top w:val="none" w:sz="0" w:space="0" w:color="auto"/>
        <w:left w:val="none" w:sz="0" w:space="0" w:color="auto"/>
        <w:bottom w:val="none" w:sz="0" w:space="0" w:color="auto"/>
        <w:right w:val="none" w:sz="0" w:space="0" w:color="auto"/>
      </w:divBdr>
    </w:div>
    <w:div w:id="1882092349">
      <w:bodyDiv w:val="1"/>
      <w:marLeft w:val="0"/>
      <w:marRight w:val="0"/>
      <w:marTop w:val="0"/>
      <w:marBottom w:val="0"/>
      <w:divBdr>
        <w:top w:val="none" w:sz="0" w:space="0" w:color="auto"/>
        <w:left w:val="none" w:sz="0" w:space="0" w:color="auto"/>
        <w:bottom w:val="none" w:sz="0" w:space="0" w:color="auto"/>
        <w:right w:val="none" w:sz="0" w:space="0" w:color="auto"/>
      </w:divBdr>
    </w:div>
    <w:div w:id="1906792418">
      <w:bodyDiv w:val="1"/>
      <w:marLeft w:val="0"/>
      <w:marRight w:val="0"/>
      <w:marTop w:val="0"/>
      <w:marBottom w:val="0"/>
      <w:divBdr>
        <w:top w:val="none" w:sz="0" w:space="0" w:color="auto"/>
        <w:left w:val="none" w:sz="0" w:space="0" w:color="auto"/>
        <w:bottom w:val="none" w:sz="0" w:space="0" w:color="auto"/>
        <w:right w:val="none" w:sz="0" w:space="0" w:color="auto"/>
      </w:divBdr>
    </w:div>
    <w:div w:id="2029869127">
      <w:bodyDiv w:val="1"/>
      <w:marLeft w:val="0"/>
      <w:marRight w:val="0"/>
      <w:marTop w:val="0"/>
      <w:marBottom w:val="0"/>
      <w:divBdr>
        <w:top w:val="none" w:sz="0" w:space="0" w:color="auto"/>
        <w:left w:val="none" w:sz="0" w:space="0" w:color="auto"/>
        <w:bottom w:val="none" w:sz="0" w:space="0" w:color="auto"/>
        <w:right w:val="none" w:sz="0" w:space="0" w:color="auto"/>
      </w:divBdr>
    </w:div>
    <w:div w:id="2035885910">
      <w:bodyDiv w:val="1"/>
      <w:marLeft w:val="0"/>
      <w:marRight w:val="0"/>
      <w:marTop w:val="0"/>
      <w:marBottom w:val="0"/>
      <w:divBdr>
        <w:top w:val="none" w:sz="0" w:space="0" w:color="auto"/>
        <w:left w:val="none" w:sz="0" w:space="0" w:color="auto"/>
        <w:bottom w:val="none" w:sz="0" w:space="0" w:color="auto"/>
        <w:right w:val="none" w:sz="0" w:space="0" w:color="auto"/>
      </w:divBdr>
    </w:div>
    <w:div w:id="2061901467">
      <w:bodyDiv w:val="1"/>
      <w:marLeft w:val="0"/>
      <w:marRight w:val="0"/>
      <w:marTop w:val="0"/>
      <w:marBottom w:val="0"/>
      <w:divBdr>
        <w:top w:val="none" w:sz="0" w:space="0" w:color="auto"/>
        <w:left w:val="none" w:sz="0" w:space="0" w:color="auto"/>
        <w:bottom w:val="none" w:sz="0" w:space="0" w:color="auto"/>
        <w:right w:val="none" w:sz="0" w:space="0" w:color="auto"/>
      </w:divBdr>
    </w:div>
    <w:div w:id="2088726845">
      <w:bodyDiv w:val="1"/>
      <w:marLeft w:val="0"/>
      <w:marRight w:val="0"/>
      <w:marTop w:val="0"/>
      <w:marBottom w:val="0"/>
      <w:divBdr>
        <w:top w:val="none" w:sz="0" w:space="0" w:color="auto"/>
        <w:left w:val="none" w:sz="0" w:space="0" w:color="auto"/>
        <w:bottom w:val="none" w:sz="0" w:space="0" w:color="auto"/>
        <w:right w:val="none" w:sz="0" w:space="0" w:color="auto"/>
      </w:divBdr>
    </w:div>
    <w:div w:id="2120636701">
      <w:bodyDiv w:val="1"/>
      <w:marLeft w:val="0"/>
      <w:marRight w:val="0"/>
      <w:marTop w:val="0"/>
      <w:marBottom w:val="0"/>
      <w:divBdr>
        <w:top w:val="none" w:sz="0" w:space="0" w:color="auto"/>
        <w:left w:val="none" w:sz="0" w:space="0" w:color="auto"/>
        <w:bottom w:val="none" w:sz="0" w:space="0" w:color="auto"/>
        <w:right w:val="none" w:sz="0" w:space="0" w:color="auto"/>
      </w:divBdr>
    </w:div>
    <w:div w:id="2122798844">
      <w:bodyDiv w:val="1"/>
      <w:marLeft w:val="0"/>
      <w:marRight w:val="0"/>
      <w:marTop w:val="0"/>
      <w:marBottom w:val="0"/>
      <w:divBdr>
        <w:top w:val="none" w:sz="0" w:space="0" w:color="auto"/>
        <w:left w:val="none" w:sz="0" w:space="0" w:color="auto"/>
        <w:bottom w:val="none" w:sz="0" w:space="0" w:color="auto"/>
        <w:right w:val="none" w:sz="0" w:space="0" w:color="auto"/>
      </w:divBdr>
      <w:divsChild>
        <w:div w:id="165412944">
          <w:marLeft w:val="0"/>
          <w:marRight w:val="0"/>
          <w:marTop w:val="0"/>
          <w:marBottom w:val="0"/>
          <w:divBdr>
            <w:top w:val="none" w:sz="0" w:space="0" w:color="auto"/>
            <w:left w:val="none" w:sz="0" w:space="0" w:color="auto"/>
            <w:bottom w:val="none" w:sz="0" w:space="0" w:color="auto"/>
            <w:right w:val="none" w:sz="0" w:space="0" w:color="auto"/>
          </w:divBdr>
          <w:divsChild>
            <w:div w:id="1388794119">
              <w:marLeft w:val="0"/>
              <w:marRight w:val="0"/>
              <w:marTop w:val="0"/>
              <w:marBottom w:val="0"/>
              <w:divBdr>
                <w:top w:val="none" w:sz="0" w:space="0" w:color="auto"/>
                <w:left w:val="none" w:sz="0" w:space="0" w:color="auto"/>
                <w:bottom w:val="none" w:sz="0" w:space="0" w:color="auto"/>
                <w:right w:val="none" w:sz="0" w:space="0" w:color="auto"/>
              </w:divBdr>
              <w:divsChild>
                <w:div w:id="1700205468">
                  <w:marLeft w:val="0"/>
                  <w:marRight w:val="0"/>
                  <w:marTop w:val="0"/>
                  <w:marBottom w:val="0"/>
                  <w:divBdr>
                    <w:top w:val="none" w:sz="0" w:space="0" w:color="auto"/>
                    <w:left w:val="none" w:sz="0" w:space="0" w:color="auto"/>
                    <w:bottom w:val="none" w:sz="0" w:space="0" w:color="auto"/>
                    <w:right w:val="none" w:sz="0" w:space="0" w:color="auto"/>
                  </w:divBdr>
                  <w:divsChild>
                    <w:div w:id="490604811">
                      <w:marLeft w:val="0"/>
                      <w:marRight w:val="0"/>
                      <w:marTop w:val="0"/>
                      <w:marBottom w:val="0"/>
                      <w:divBdr>
                        <w:top w:val="none" w:sz="0" w:space="0" w:color="auto"/>
                        <w:left w:val="none" w:sz="0" w:space="0" w:color="auto"/>
                        <w:bottom w:val="none" w:sz="0" w:space="0" w:color="auto"/>
                        <w:right w:val="none" w:sz="0" w:space="0" w:color="auto"/>
                      </w:divBdr>
                      <w:divsChild>
                        <w:div w:id="2144342985">
                          <w:marLeft w:val="0"/>
                          <w:marRight w:val="0"/>
                          <w:marTop w:val="0"/>
                          <w:marBottom w:val="0"/>
                          <w:divBdr>
                            <w:top w:val="none" w:sz="0" w:space="0" w:color="auto"/>
                            <w:left w:val="none" w:sz="0" w:space="0" w:color="auto"/>
                            <w:bottom w:val="none" w:sz="0" w:space="0" w:color="auto"/>
                            <w:right w:val="none" w:sz="0" w:space="0" w:color="auto"/>
                          </w:divBdr>
                          <w:divsChild>
                            <w:div w:id="997029322">
                              <w:marLeft w:val="0"/>
                              <w:marRight w:val="0"/>
                              <w:marTop w:val="0"/>
                              <w:marBottom w:val="0"/>
                              <w:divBdr>
                                <w:top w:val="none" w:sz="0" w:space="0" w:color="auto"/>
                                <w:left w:val="none" w:sz="0" w:space="0" w:color="auto"/>
                                <w:bottom w:val="none" w:sz="0" w:space="0" w:color="auto"/>
                                <w:right w:val="none" w:sz="0" w:space="0" w:color="auto"/>
                              </w:divBdr>
                              <w:divsChild>
                                <w:div w:id="415564191">
                                  <w:marLeft w:val="0"/>
                                  <w:marRight w:val="0"/>
                                  <w:marTop w:val="0"/>
                                  <w:marBottom w:val="0"/>
                                  <w:divBdr>
                                    <w:top w:val="none" w:sz="0" w:space="0" w:color="auto"/>
                                    <w:left w:val="none" w:sz="0" w:space="0" w:color="auto"/>
                                    <w:bottom w:val="none" w:sz="0" w:space="0" w:color="auto"/>
                                    <w:right w:val="none" w:sz="0" w:space="0" w:color="auto"/>
                                  </w:divBdr>
                                  <w:divsChild>
                                    <w:div w:id="1562012530">
                                      <w:marLeft w:val="0"/>
                                      <w:marRight w:val="0"/>
                                      <w:marTop w:val="0"/>
                                      <w:marBottom w:val="0"/>
                                      <w:divBdr>
                                        <w:top w:val="none" w:sz="0" w:space="0" w:color="auto"/>
                                        <w:left w:val="none" w:sz="0" w:space="0" w:color="auto"/>
                                        <w:bottom w:val="none" w:sz="0" w:space="0" w:color="auto"/>
                                        <w:right w:val="none" w:sz="0" w:space="0" w:color="auto"/>
                                      </w:divBdr>
                                      <w:divsChild>
                                        <w:div w:id="1046837048">
                                          <w:marLeft w:val="0"/>
                                          <w:marRight w:val="0"/>
                                          <w:marTop w:val="0"/>
                                          <w:marBottom w:val="0"/>
                                          <w:divBdr>
                                            <w:top w:val="none" w:sz="0" w:space="0" w:color="auto"/>
                                            <w:left w:val="none" w:sz="0" w:space="0" w:color="auto"/>
                                            <w:bottom w:val="none" w:sz="0" w:space="0" w:color="auto"/>
                                            <w:right w:val="none" w:sz="0" w:space="0" w:color="auto"/>
                                          </w:divBdr>
                                          <w:divsChild>
                                            <w:div w:id="15986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image" Target="media/image22.png"/><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header" Target="header9.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8.xml"/><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png"/><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7.xml"/><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image" Target="media/image18.png"/><Relationship Id="rId43" Type="http://schemas.openxmlformats.org/officeDocument/2006/relationships/image" Target="media/image26.jpeg"/><Relationship Id="rId48" Type="http://schemas.openxmlformats.org/officeDocument/2006/relationships/hyperlink" Target="http://dfat.gov.au/aid/topics/development-issues/global-development-agenda/Pages/sustainable-development-goals.aspx"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3.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8.png"/><Relationship Id="rId41" Type="http://schemas.openxmlformats.org/officeDocument/2006/relationships/image" Target="media/image24.jpeg"/><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image" Target="media/image19.jpeg"/><Relationship Id="rId49" Type="http://schemas.openxmlformats.org/officeDocument/2006/relationships/hyperlink" Target="http://dfat.gov.au/aid/topics/development-issues/global-development-agenda/Pages/sustainable-development-goals.aspx"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7888C0-C36F-42C1-A9F2-44845F5F41B2}"/>
</file>

<file path=customXml/itemProps2.xml><?xml version="1.0" encoding="utf-8"?>
<ds:datastoreItem xmlns:ds="http://schemas.openxmlformats.org/officeDocument/2006/customXml" ds:itemID="{8E61B0C5-FD5C-4BBE-B39C-E8B2E45DCB8D}"/>
</file>

<file path=customXml/itemProps3.xml><?xml version="1.0" encoding="utf-8"?>
<ds:datastoreItem xmlns:ds="http://schemas.openxmlformats.org/officeDocument/2006/customXml" ds:itemID="{4526B9AB-2546-409B-94D7-8DB71FA0DC35}"/>
</file>

<file path=customXml/itemProps4.xml><?xml version="1.0" encoding="utf-8"?>
<ds:datastoreItem xmlns:ds="http://schemas.openxmlformats.org/officeDocument/2006/customXml" ds:itemID="{3D9F8BEF-F654-4BBD-B418-227931941733}"/>
</file>

<file path=docProps/app.xml><?xml version="1.0" encoding="utf-8"?>
<Properties xmlns="http://schemas.openxmlformats.org/officeDocument/2006/extended-properties" xmlns:vt="http://schemas.openxmlformats.org/officeDocument/2006/docPropsVTypes">
  <Template>Normal.dotm</Template>
  <TotalTime>0</TotalTime>
  <Pages>37</Pages>
  <Words>15073</Words>
  <Characters>85917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Aid Program Performance Report 2017-18</dc:title>
  <dc:creator/>
  <cp:lastModifiedBy/>
  <cp:revision>1</cp:revision>
  <dcterms:created xsi:type="dcterms:W3CDTF">2018-10-23T02:33:00Z</dcterms:created>
  <dcterms:modified xsi:type="dcterms:W3CDTF">2018-10-23T02:33:00Z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16f23eab-2d2b-44bc-994a-2f2cd134e3f5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1202400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