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F9595" w14:textId="27B068C3" w:rsidR="009512A0" w:rsidRPr="00B245AC" w:rsidRDefault="00D1072F" w:rsidP="00B245AC">
      <w:pPr>
        <w:pStyle w:val="Title"/>
      </w:pPr>
      <w:bookmarkStart w:id="0" w:name="_Toc475348267"/>
      <w:r w:rsidRPr="00B245AC">
        <w:t>Management Response</w:t>
      </w:r>
      <w:bookmarkEnd w:id="0"/>
      <w:r w:rsidR="009512A0" w:rsidRPr="00B245AC">
        <w:t xml:space="preserve">- </w:t>
      </w:r>
      <w:r w:rsidR="00D32B29" w:rsidRPr="00B245AC">
        <w:t xml:space="preserve">DFAT-INTERNATIONAL FINANCE CORPORATION fIJI PARTNERSHIP </w:t>
      </w:r>
      <w:r w:rsidR="00503A99" w:rsidRPr="00B245AC">
        <w:t>REVIEW</w:t>
      </w:r>
      <w:r w:rsidR="00D32B29" w:rsidRPr="00B245AC">
        <w:t xml:space="preserve"> REPORT </w:t>
      </w:r>
      <w:r w:rsidR="009512A0" w:rsidRPr="00B245AC">
        <w:t xml:space="preserve"> </w:t>
      </w:r>
    </w:p>
    <w:p w14:paraId="5B39CB0A" w14:textId="005D1539" w:rsidR="009512A0" w:rsidRPr="00B245AC" w:rsidRDefault="00D1072F" w:rsidP="00B245AC">
      <w:pPr>
        <w:pStyle w:val="Heading2"/>
      </w:pPr>
      <w:r w:rsidRPr="00B245AC">
        <w:t xml:space="preserve">Summary of management response </w:t>
      </w:r>
    </w:p>
    <w:p w14:paraId="532F27E9" w14:textId="77777777" w:rsidR="007B4FF6" w:rsidRPr="008D2BF9" w:rsidRDefault="009512A0" w:rsidP="00D63B82">
      <w:pPr>
        <w:suppressAutoHyphens/>
        <w:spacing w:before="120" w:after="60" w:line="260" w:lineRule="atLeast"/>
        <w:jc w:val="both"/>
        <w:rPr>
          <w:rFonts w:ascii="Calibri Light" w:eastAsia="Calibri Light" w:hAnsi="Calibri Light" w:cs="Times New Roman"/>
          <w:lang w:val="en-GB"/>
        </w:rPr>
      </w:pPr>
      <w:r w:rsidRPr="008D2BF9">
        <w:rPr>
          <w:rFonts w:ascii="Calibri Light" w:eastAsia="Calibri Light" w:hAnsi="Calibri Light" w:cs="Times New Roman"/>
          <w:lang w:val="en-GB"/>
        </w:rPr>
        <w:t xml:space="preserve">A review of the </w:t>
      </w:r>
      <w:r w:rsidR="00D32B29" w:rsidRPr="008D2BF9">
        <w:rPr>
          <w:rFonts w:ascii="Calibri Light" w:eastAsia="Calibri Light" w:hAnsi="Calibri Light" w:cs="Times New Roman"/>
          <w:lang w:val="en-GB"/>
        </w:rPr>
        <w:t>DFAT-International Finance Corporation (IFC) Fiji Partnership</w:t>
      </w:r>
      <w:r w:rsidRPr="008D2BF9">
        <w:rPr>
          <w:rFonts w:ascii="Calibri Light" w:eastAsia="Calibri Light" w:hAnsi="Calibri Light" w:cs="Times New Roman"/>
          <w:lang w:val="en-GB"/>
        </w:rPr>
        <w:t xml:space="preserve"> was conducted </w:t>
      </w:r>
      <w:r w:rsidR="00541AD8" w:rsidRPr="008D2BF9">
        <w:rPr>
          <w:rFonts w:ascii="Calibri Light" w:eastAsia="Calibri Light" w:hAnsi="Calibri Light" w:cs="Times New Roman"/>
          <w:lang w:val="en-GB"/>
        </w:rPr>
        <w:t xml:space="preserve">in </w:t>
      </w:r>
      <w:r w:rsidRPr="008D2BF9">
        <w:rPr>
          <w:rFonts w:ascii="Calibri Light" w:eastAsia="Calibri Light" w:hAnsi="Calibri Light" w:cs="Times New Roman"/>
          <w:lang w:val="en-GB"/>
        </w:rPr>
        <w:t xml:space="preserve">February </w:t>
      </w:r>
      <w:r w:rsidR="002D4699" w:rsidRPr="008D2BF9">
        <w:rPr>
          <w:rFonts w:ascii="Calibri Light" w:eastAsia="Calibri Light" w:hAnsi="Calibri Light" w:cs="Times New Roman"/>
          <w:lang w:val="en-GB"/>
        </w:rPr>
        <w:t xml:space="preserve">2020 </w:t>
      </w:r>
      <w:r w:rsidRPr="008D2BF9">
        <w:rPr>
          <w:rFonts w:ascii="Calibri Light" w:eastAsia="Calibri Light" w:hAnsi="Calibri Light" w:cs="Times New Roman"/>
          <w:lang w:val="en-GB"/>
        </w:rPr>
        <w:t xml:space="preserve">to assess </w:t>
      </w:r>
      <w:r w:rsidR="007B4FF6" w:rsidRPr="008D2BF9">
        <w:rPr>
          <w:rFonts w:ascii="Calibri Light" w:eastAsia="Calibri Light" w:hAnsi="Calibri Light" w:cs="Times New Roman"/>
          <w:lang w:val="en-GB"/>
        </w:rPr>
        <w:t xml:space="preserve">the extent to which the program remains relevant and </w:t>
      </w:r>
      <w:r w:rsidR="00761706" w:rsidRPr="008D2BF9">
        <w:rPr>
          <w:rFonts w:ascii="Calibri Light" w:eastAsia="Calibri Light" w:hAnsi="Calibri Light" w:cs="Times New Roman"/>
          <w:lang w:val="en-GB"/>
        </w:rPr>
        <w:t xml:space="preserve">is </w:t>
      </w:r>
      <w:r w:rsidR="007B4FF6" w:rsidRPr="008D2BF9">
        <w:rPr>
          <w:rFonts w:ascii="Calibri Light" w:eastAsia="Calibri Light" w:hAnsi="Calibri Light" w:cs="Times New Roman"/>
          <w:lang w:val="en-GB"/>
        </w:rPr>
        <w:t>operating efficiently</w:t>
      </w:r>
      <w:r w:rsidR="00D63B82" w:rsidRPr="008D2BF9">
        <w:rPr>
          <w:rFonts w:ascii="Calibri Light" w:eastAsia="Calibri Light" w:hAnsi="Calibri Light" w:cs="Times New Roman"/>
          <w:lang w:val="en-GB"/>
        </w:rPr>
        <w:t xml:space="preserve"> and effectively</w:t>
      </w:r>
      <w:r w:rsidR="007B4FF6" w:rsidRPr="008D2BF9">
        <w:rPr>
          <w:rFonts w:ascii="Calibri Light" w:eastAsia="Calibri Light" w:hAnsi="Calibri Light" w:cs="Times New Roman"/>
          <w:lang w:val="en-GB"/>
        </w:rPr>
        <w:t xml:space="preserve">. The review focused on </w:t>
      </w:r>
      <w:r w:rsidR="00541AD8" w:rsidRPr="008D2BF9">
        <w:rPr>
          <w:rFonts w:ascii="Calibri Light" w:eastAsia="Calibri Light" w:hAnsi="Calibri Light" w:cs="Times New Roman"/>
          <w:lang w:val="en-GB"/>
        </w:rPr>
        <w:t xml:space="preserve">how the Partnership to date has supported the expansion of economic </w:t>
      </w:r>
      <w:r w:rsidR="005A1DBE" w:rsidRPr="008D2BF9">
        <w:rPr>
          <w:rFonts w:ascii="Calibri Light" w:eastAsia="Calibri Light" w:hAnsi="Calibri Light" w:cs="Times New Roman"/>
          <w:lang w:val="en-GB"/>
        </w:rPr>
        <w:t>opportunities</w:t>
      </w:r>
      <w:r w:rsidR="00541AD8" w:rsidRPr="008D2BF9">
        <w:rPr>
          <w:rFonts w:ascii="Calibri Light" w:eastAsia="Calibri Light" w:hAnsi="Calibri Light" w:cs="Times New Roman"/>
          <w:lang w:val="en-GB"/>
        </w:rPr>
        <w:t xml:space="preserve"> and inclusive, private sector-led growth in Fiji. </w:t>
      </w:r>
      <w:r w:rsidR="00761706" w:rsidRPr="008D2BF9">
        <w:rPr>
          <w:rFonts w:ascii="Calibri Light" w:eastAsia="Calibri Light" w:hAnsi="Calibri Light" w:cs="Times New Roman"/>
          <w:lang w:val="en-GB"/>
        </w:rPr>
        <w:t xml:space="preserve"> </w:t>
      </w:r>
      <w:r w:rsidR="00541AD8" w:rsidRPr="008D2BF9">
        <w:rPr>
          <w:rFonts w:ascii="Calibri Light" w:eastAsia="Calibri Light" w:hAnsi="Calibri Light" w:cs="Times New Roman"/>
          <w:lang w:val="en-GB"/>
        </w:rPr>
        <w:t xml:space="preserve">It also sought to develop recommendations for future work in Fiji. </w:t>
      </w:r>
    </w:p>
    <w:p w14:paraId="531AE7FD" w14:textId="77777777" w:rsidR="00541AD8" w:rsidRPr="008D2BF9" w:rsidRDefault="00CB4D90" w:rsidP="00D63B82">
      <w:pPr>
        <w:suppressAutoHyphens/>
        <w:spacing w:before="120" w:after="60" w:line="260" w:lineRule="atLeast"/>
        <w:jc w:val="both"/>
        <w:rPr>
          <w:rFonts w:ascii="Calibri Light" w:eastAsia="Calibri Light" w:hAnsi="Calibri Light" w:cs="Times New Roman"/>
          <w:lang w:val="en-GB"/>
        </w:rPr>
      </w:pPr>
      <w:r w:rsidRPr="008D2BF9">
        <w:rPr>
          <w:rFonts w:ascii="Calibri Light" w:eastAsia="Calibri Light" w:hAnsi="Calibri Light" w:cs="Times New Roman"/>
          <w:lang w:val="en-GB"/>
        </w:rPr>
        <w:t xml:space="preserve">The review found that the </w:t>
      </w:r>
      <w:r w:rsidR="00541AD8" w:rsidRPr="008D2BF9">
        <w:rPr>
          <w:rFonts w:ascii="Calibri Light" w:eastAsia="Calibri Light" w:hAnsi="Calibri Light" w:cs="Times New Roman"/>
          <w:lang w:val="en-GB"/>
        </w:rPr>
        <w:t>partnership is performing outstanding work</w:t>
      </w:r>
      <w:r w:rsidR="00E67FF5" w:rsidRPr="008D2BF9">
        <w:rPr>
          <w:rFonts w:ascii="Calibri Light" w:eastAsia="Calibri Light" w:hAnsi="Calibri Light" w:cs="Times New Roman"/>
          <w:lang w:val="en-GB"/>
        </w:rPr>
        <w:t xml:space="preserve"> and that it is a model for economic cooperation which should be </w:t>
      </w:r>
      <w:r w:rsidR="000D1447" w:rsidRPr="008D2BF9">
        <w:rPr>
          <w:rFonts w:ascii="Calibri Light" w:eastAsia="Calibri Light" w:hAnsi="Calibri Light" w:cs="Times New Roman"/>
          <w:lang w:val="en-GB"/>
        </w:rPr>
        <w:t>replicated</w:t>
      </w:r>
      <w:r w:rsidR="00541AD8" w:rsidRPr="008D2BF9">
        <w:rPr>
          <w:rFonts w:ascii="Calibri Light" w:eastAsia="Calibri Light" w:hAnsi="Calibri Light" w:cs="Times New Roman"/>
          <w:lang w:val="en-GB"/>
        </w:rPr>
        <w:t xml:space="preserve">.  However, it also found that if the </w:t>
      </w:r>
      <w:r w:rsidR="00503A99" w:rsidRPr="008D2BF9">
        <w:rPr>
          <w:rFonts w:ascii="Calibri Light" w:eastAsia="Calibri Light" w:hAnsi="Calibri Light" w:cs="Times New Roman"/>
          <w:lang w:val="en-GB"/>
        </w:rPr>
        <w:t>review</w:t>
      </w:r>
      <w:r w:rsidR="00541AD8" w:rsidRPr="008D2BF9">
        <w:rPr>
          <w:rFonts w:ascii="Calibri Light" w:eastAsia="Calibri Light" w:hAnsi="Calibri Light" w:cs="Times New Roman"/>
          <w:lang w:val="en-GB"/>
        </w:rPr>
        <w:t xml:space="preserve"> adopted a rigid approach based on the partnerships monitoring and </w:t>
      </w:r>
      <w:r w:rsidR="00503A99" w:rsidRPr="008D2BF9">
        <w:rPr>
          <w:rFonts w:ascii="Calibri Light" w:eastAsia="Calibri Light" w:hAnsi="Calibri Light" w:cs="Times New Roman"/>
          <w:lang w:val="en-GB"/>
        </w:rPr>
        <w:t>review</w:t>
      </w:r>
      <w:r w:rsidR="00541AD8" w:rsidRPr="008D2BF9">
        <w:rPr>
          <w:rFonts w:ascii="Calibri Light" w:eastAsia="Calibri Light" w:hAnsi="Calibri Light" w:cs="Times New Roman"/>
          <w:lang w:val="en-GB"/>
        </w:rPr>
        <w:t xml:space="preserve"> framework, in particular the numerical targets underpinning </w:t>
      </w:r>
      <w:r w:rsidR="00E67FF5" w:rsidRPr="008D2BF9">
        <w:rPr>
          <w:rFonts w:ascii="Calibri Light" w:eastAsia="Calibri Light" w:hAnsi="Calibri Light" w:cs="Times New Roman"/>
          <w:lang w:val="en-GB"/>
        </w:rPr>
        <w:t xml:space="preserve">the </w:t>
      </w:r>
      <w:r w:rsidR="00541AD8" w:rsidRPr="008D2BF9">
        <w:rPr>
          <w:rFonts w:ascii="Calibri Light" w:eastAsia="Calibri Light" w:hAnsi="Calibri Light" w:cs="Times New Roman"/>
          <w:lang w:val="en-GB"/>
        </w:rPr>
        <w:t>program</w:t>
      </w:r>
      <w:r w:rsidR="00E67FF5" w:rsidRPr="008D2BF9">
        <w:rPr>
          <w:rFonts w:ascii="Calibri Light" w:eastAsia="Calibri Light" w:hAnsi="Calibri Light" w:cs="Times New Roman"/>
          <w:lang w:val="en-GB"/>
        </w:rPr>
        <w:t>s</w:t>
      </w:r>
      <w:r w:rsidR="00541AD8" w:rsidRPr="008D2BF9">
        <w:rPr>
          <w:rFonts w:ascii="Calibri Light" w:eastAsia="Calibri Light" w:hAnsi="Calibri Light" w:cs="Times New Roman"/>
          <w:lang w:val="en-GB"/>
        </w:rPr>
        <w:t xml:space="preserve"> objectives, the program would have to be deemed as not meeting its </w:t>
      </w:r>
      <w:r w:rsidR="00E67FF5" w:rsidRPr="008D2BF9">
        <w:rPr>
          <w:rFonts w:ascii="Calibri Light" w:eastAsia="Calibri Light" w:hAnsi="Calibri Light" w:cs="Times New Roman"/>
          <w:lang w:val="en-GB"/>
        </w:rPr>
        <w:t>mandate</w:t>
      </w:r>
      <w:r w:rsidR="002D4699" w:rsidRPr="008D2BF9">
        <w:rPr>
          <w:rFonts w:ascii="Calibri Light" w:eastAsia="Calibri Light" w:hAnsi="Calibri Light" w:cs="Times New Roman"/>
          <w:lang w:val="en-GB"/>
        </w:rPr>
        <w:t xml:space="preserve">. </w:t>
      </w:r>
      <w:r w:rsidR="00541AD8" w:rsidRPr="008D2BF9">
        <w:rPr>
          <w:rFonts w:ascii="Calibri Light" w:eastAsia="Calibri Light" w:hAnsi="Calibri Light" w:cs="Times New Roman"/>
          <w:lang w:val="en-GB"/>
        </w:rPr>
        <w:t>Th</w:t>
      </w:r>
      <w:r w:rsidR="0004278B" w:rsidRPr="008D2BF9">
        <w:rPr>
          <w:rFonts w:ascii="Calibri Light" w:eastAsia="Calibri Light" w:hAnsi="Calibri Light" w:cs="Times New Roman"/>
          <w:lang w:val="en-GB"/>
        </w:rPr>
        <w:t>is is because the</w:t>
      </w:r>
      <w:r w:rsidR="00541AD8" w:rsidRPr="008D2BF9">
        <w:rPr>
          <w:rFonts w:ascii="Calibri Light" w:eastAsia="Calibri Light" w:hAnsi="Calibri Light" w:cs="Times New Roman"/>
          <w:lang w:val="en-GB"/>
        </w:rPr>
        <w:t xml:space="preserve"> numerical targets do not capture </w:t>
      </w:r>
      <w:r w:rsidR="002D4699" w:rsidRPr="008D2BF9">
        <w:rPr>
          <w:rFonts w:ascii="Calibri Light" w:eastAsia="Calibri Light" w:hAnsi="Calibri Light" w:cs="Times New Roman"/>
          <w:lang w:val="en-GB"/>
        </w:rPr>
        <w:t xml:space="preserve">the programs high scores for relevance, effectiveness, efficiency, </w:t>
      </w:r>
      <w:proofErr w:type="gramStart"/>
      <w:r w:rsidR="002D4699" w:rsidRPr="008D2BF9">
        <w:rPr>
          <w:rFonts w:ascii="Calibri Light" w:eastAsia="Calibri Light" w:hAnsi="Calibri Light" w:cs="Times New Roman"/>
          <w:lang w:val="en-GB"/>
        </w:rPr>
        <w:t>impact</w:t>
      </w:r>
      <w:proofErr w:type="gramEnd"/>
      <w:r w:rsidR="002D4699" w:rsidRPr="008D2BF9">
        <w:rPr>
          <w:rFonts w:ascii="Calibri Light" w:eastAsia="Calibri Light" w:hAnsi="Calibri Light" w:cs="Times New Roman"/>
          <w:lang w:val="en-GB"/>
        </w:rPr>
        <w:t xml:space="preserve"> and </w:t>
      </w:r>
      <w:r w:rsidR="00541AD8" w:rsidRPr="008D2BF9">
        <w:rPr>
          <w:rFonts w:ascii="Calibri Light" w:eastAsia="Calibri Light" w:hAnsi="Calibri Light" w:cs="Times New Roman"/>
          <w:lang w:val="en-GB"/>
        </w:rPr>
        <w:t xml:space="preserve">sustainability.  </w:t>
      </w:r>
    </w:p>
    <w:p w14:paraId="4A42C6A7" w14:textId="77777777" w:rsidR="002D4699" w:rsidRPr="008D2BF9" w:rsidRDefault="00E67FF5" w:rsidP="00D63B82">
      <w:pPr>
        <w:suppressAutoHyphens/>
        <w:spacing w:before="120" w:after="60" w:line="260" w:lineRule="atLeast"/>
        <w:jc w:val="both"/>
        <w:rPr>
          <w:rFonts w:ascii="Calibri Light" w:eastAsia="Calibri Light" w:hAnsi="Calibri Light" w:cs="Times New Roman"/>
          <w:lang w:val="en-GB"/>
        </w:rPr>
      </w:pPr>
      <w:r w:rsidRPr="008D2BF9">
        <w:rPr>
          <w:rFonts w:ascii="Calibri Light" w:eastAsia="Calibri Light" w:hAnsi="Calibri Light" w:cs="Times New Roman"/>
          <w:lang w:val="en-GB"/>
        </w:rPr>
        <w:t>The partnership employs</w:t>
      </w:r>
      <w:r w:rsidR="002D4699" w:rsidRPr="008D2BF9">
        <w:rPr>
          <w:rFonts w:ascii="Calibri Light" w:eastAsia="Calibri Light" w:hAnsi="Calibri Light" w:cs="Times New Roman"/>
          <w:lang w:val="en-GB"/>
        </w:rPr>
        <w:t xml:space="preserve"> three main pathways to advance its objectives.  </w:t>
      </w:r>
      <w:r w:rsidR="000D1447" w:rsidRPr="008D2BF9">
        <w:rPr>
          <w:rFonts w:ascii="Calibri Light" w:eastAsia="Calibri Light" w:hAnsi="Calibri Light" w:cs="Times New Roman"/>
          <w:lang w:val="en-GB"/>
        </w:rPr>
        <w:t>The review noted this</w:t>
      </w:r>
      <w:r w:rsidR="002D4699" w:rsidRPr="008D2BF9">
        <w:rPr>
          <w:rFonts w:ascii="Calibri Light" w:eastAsia="Calibri Light" w:hAnsi="Calibri Light" w:cs="Times New Roman"/>
          <w:lang w:val="en-GB"/>
        </w:rPr>
        <w:t xml:space="preserve"> includes direct support </w:t>
      </w:r>
      <w:r w:rsidR="00F72594" w:rsidRPr="008D2BF9">
        <w:rPr>
          <w:rFonts w:ascii="Calibri Light" w:eastAsia="Calibri Light" w:hAnsi="Calibri Light" w:cs="Times New Roman"/>
          <w:lang w:val="en-GB"/>
        </w:rPr>
        <w:t>to</w:t>
      </w:r>
      <w:r w:rsidR="002D4699" w:rsidRPr="008D2BF9">
        <w:rPr>
          <w:rFonts w:ascii="Calibri Light" w:eastAsia="Calibri Light" w:hAnsi="Calibri Light" w:cs="Times New Roman"/>
          <w:lang w:val="en-GB"/>
        </w:rPr>
        <w:t xml:space="preserve"> </w:t>
      </w:r>
      <w:r w:rsidR="00F72594" w:rsidRPr="008D2BF9">
        <w:rPr>
          <w:rFonts w:ascii="Calibri Light" w:eastAsia="Calibri Light" w:hAnsi="Calibri Light" w:cs="Times New Roman"/>
          <w:lang w:val="en-GB"/>
        </w:rPr>
        <w:t>business</w:t>
      </w:r>
      <w:r w:rsidR="002D4699" w:rsidRPr="008D2BF9">
        <w:rPr>
          <w:rFonts w:ascii="Calibri Light" w:eastAsia="Calibri Light" w:hAnsi="Calibri Light" w:cs="Times New Roman"/>
          <w:lang w:val="en-GB"/>
        </w:rPr>
        <w:t xml:space="preserve"> and </w:t>
      </w:r>
      <w:r w:rsidR="00F72594" w:rsidRPr="008D2BF9">
        <w:rPr>
          <w:rFonts w:ascii="Calibri Light" w:eastAsia="Calibri Light" w:hAnsi="Calibri Light" w:cs="Times New Roman"/>
          <w:lang w:val="en-GB"/>
        </w:rPr>
        <w:t xml:space="preserve">improved </w:t>
      </w:r>
      <w:r w:rsidR="002D4699" w:rsidRPr="008D2BF9">
        <w:rPr>
          <w:rFonts w:ascii="Calibri Light" w:eastAsia="Calibri Light" w:hAnsi="Calibri Light" w:cs="Times New Roman"/>
          <w:lang w:val="en-GB"/>
        </w:rPr>
        <w:t xml:space="preserve">access to capital and financial services, support for policy and regulatory reform to improve the business and investment climate in Fiji, and a brokering role in investment deals, in key areas such as renewable energy, tourism and trade.  </w:t>
      </w:r>
      <w:r w:rsidR="00F72594" w:rsidRPr="008D2BF9">
        <w:rPr>
          <w:rFonts w:ascii="Calibri Light" w:eastAsia="Calibri Light" w:hAnsi="Calibri Light" w:cs="Times New Roman"/>
          <w:lang w:val="en-GB"/>
        </w:rPr>
        <w:t xml:space="preserve">The </w:t>
      </w:r>
      <w:r w:rsidR="00503A99" w:rsidRPr="008D2BF9">
        <w:rPr>
          <w:rFonts w:ascii="Calibri Light" w:eastAsia="Calibri Light" w:hAnsi="Calibri Light" w:cs="Times New Roman"/>
          <w:lang w:val="en-GB"/>
        </w:rPr>
        <w:t>review</w:t>
      </w:r>
      <w:r w:rsidR="00F72594" w:rsidRPr="008D2BF9">
        <w:rPr>
          <w:rFonts w:ascii="Calibri Light" w:eastAsia="Calibri Light" w:hAnsi="Calibri Light" w:cs="Times New Roman"/>
          <w:lang w:val="en-GB"/>
        </w:rPr>
        <w:t xml:space="preserve"> found that this approach was comprehensive and responsive to partner Government needs. </w:t>
      </w:r>
    </w:p>
    <w:p w14:paraId="7ECBC42A" w14:textId="77777777" w:rsidR="009B2D12" w:rsidRPr="008D2BF9" w:rsidRDefault="00F72594" w:rsidP="00D63B82">
      <w:pPr>
        <w:suppressAutoHyphens/>
        <w:spacing w:before="120" w:after="60" w:line="260" w:lineRule="atLeast"/>
        <w:jc w:val="both"/>
        <w:rPr>
          <w:rFonts w:ascii="Calibri Light" w:eastAsia="Calibri Light" w:hAnsi="Calibri Light" w:cs="Times New Roman"/>
          <w:lang w:val="en-GB"/>
        </w:rPr>
      </w:pPr>
      <w:r w:rsidRPr="008D2BF9">
        <w:rPr>
          <w:rFonts w:ascii="Calibri Light" w:eastAsia="Calibri Light" w:hAnsi="Calibri Light" w:cs="Times New Roman"/>
          <w:lang w:val="en-GB"/>
        </w:rPr>
        <w:t xml:space="preserve">The efficiency of the program was highly rated.  The </w:t>
      </w:r>
      <w:r w:rsidR="00503A99" w:rsidRPr="008D2BF9">
        <w:rPr>
          <w:rFonts w:ascii="Calibri Light" w:eastAsia="Calibri Light" w:hAnsi="Calibri Light" w:cs="Times New Roman"/>
          <w:lang w:val="en-GB"/>
        </w:rPr>
        <w:t>review</w:t>
      </w:r>
      <w:r w:rsidRPr="008D2BF9">
        <w:rPr>
          <w:rFonts w:ascii="Calibri Light" w:eastAsia="Calibri Light" w:hAnsi="Calibri Light" w:cs="Times New Roman"/>
          <w:lang w:val="en-GB"/>
        </w:rPr>
        <w:t xml:space="preserve"> found that the joint governance mechanism was working particularly well.  This model brings together the IFC, </w:t>
      </w:r>
      <w:r w:rsidR="0004278B" w:rsidRPr="008D2BF9">
        <w:rPr>
          <w:rFonts w:ascii="Calibri Light" w:eastAsia="Calibri Light" w:hAnsi="Calibri Light" w:cs="Times New Roman"/>
          <w:lang w:val="en-GB"/>
        </w:rPr>
        <w:t xml:space="preserve">and </w:t>
      </w:r>
      <w:r w:rsidRPr="008D2BF9">
        <w:rPr>
          <w:rFonts w:ascii="Calibri Light" w:eastAsia="Calibri Light" w:hAnsi="Calibri Light" w:cs="Times New Roman"/>
          <w:lang w:val="en-GB"/>
        </w:rPr>
        <w:t>the Government</w:t>
      </w:r>
      <w:r w:rsidR="0004278B" w:rsidRPr="008D2BF9">
        <w:rPr>
          <w:rFonts w:ascii="Calibri Light" w:eastAsia="Calibri Light" w:hAnsi="Calibri Light" w:cs="Times New Roman"/>
          <w:lang w:val="en-GB"/>
        </w:rPr>
        <w:t>s</w:t>
      </w:r>
      <w:r w:rsidRPr="008D2BF9">
        <w:rPr>
          <w:rFonts w:ascii="Calibri Light" w:eastAsia="Calibri Light" w:hAnsi="Calibri Light" w:cs="Times New Roman"/>
          <w:lang w:val="en-GB"/>
        </w:rPr>
        <w:t xml:space="preserve"> of Fiji, </w:t>
      </w:r>
      <w:proofErr w:type="gramStart"/>
      <w:r w:rsidRPr="008D2BF9">
        <w:rPr>
          <w:rFonts w:ascii="Calibri Light" w:eastAsia="Calibri Light" w:hAnsi="Calibri Light" w:cs="Times New Roman"/>
          <w:lang w:val="en-GB"/>
        </w:rPr>
        <w:t>Australia</w:t>
      </w:r>
      <w:proofErr w:type="gramEnd"/>
      <w:r w:rsidRPr="008D2BF9">
        <w:rPr>
          <w:rFonts w:ascii="Calibri Light" w:eastAsia="Calibri Light" w:hAnsi="Calibri Light" w:cs="Times New Roman"/>
          <w:lang w:val="en-GB"/>
        </w:rPr>
        <w:t xml:space="preserve"> and new partner New Zealand</w:t>
      </w:r>
      <w:r w:rsidR="0004278B" w:rsidRPr="008D2BF9">
        <w:rPr>
          <w:rFonts w:ascii="Calibri Light" w:eastAsia="Calibri Light" w:hAnsi="Calibri Light" w:cs="Times New Roman"/>
          <w:lang w:val="en-GB"/>
        </w:rPr>
        <w:t xml:space="preserve"> (</w:t>
      </w:r>
      <w:r w:rsidRPr="008D2BF9">
        <w:rPr>
          <w:rFonts w:ascii="Calibri Light" w:eastAsia="Calibri Light" w:hAnsi="Calibri Light" w:cs="Times New Roman"/>
          <w:lang w:val="en-GB"/>
        </w:rPr>
        <w:t>who joined the partnership in October 2019</w:t>
      </w:r>
      <w:r w:rsidR="0004278B" w:rsidRPr="008D2BF9">
        <w:rPr>
          <w:rFonts w:ascii="Calibri Light" w:eastAsia="Calibri Light" w:hAnsi="Calibri Light" w:cs="Times New Roman"/>
          <w:lang w:val="en-GB"/>
        </w:rPr>
        <w:t>)</w:t>
      </w:r>
      <w:r w:rsidRPr="008D2BF9">
        <w:rPr>
          <w:rFonts w:ascii="Calibri Light" w:eastAsia="Calibri Light" w:hAnsi="Calibri Light" w:cs="Times New Roman"/>
          <w:lang w:val="en-GB"/>
        </w:rPr>
        <w:t xml:space="preserve">.  </w:t>
      </w:r>
      <w:r w:rsidR="009B2D12" w:rsidRPr="008D2BF9">
        <w:rPr>
          <w:rFonts w:ascii="Calibri Light" w:eastAsia="Calibri Light" w:hAnsi="Calibri Light" w:cs="Times New Roman"/>
          <w:lang w:val="en-GB"/>
        </w:rPr>
        <w:t xml:space="preserve">The </w:t>
      </w:r>
      <w:r w:rsidR="00503A99" w:rsidRPr="008D2BF9">
        <w:rPr>
          <w:rFonts w:ascii="Calibri Light" w:eastAsia="Calibri Light" w:hAnsi="Calibri Light" w:cs="Times New Roman"/>
          <w:lang w:val="en-GB"/>
        </w:rPr>
        <w:t>review</w:t>
      </w:r>
      <w:r w:rsidR="009B2D12" w:rsidRPr="008D2BF9">
        <w:rPr>
          <w:rFonts w:ascii="Calibri Light" w:eastAsia="Calibri Light" w:hAnsi="Calibri Light" w:cs="Times New Roman"/>
          <w:lang w:val="en-GB"/>
        </w:rPr>
        <w:t xml:space="preserve"> emphasised that the Government of Fiji’s full participation in the </w:t>
      </w:r>
      <w:r w:rsidR="00503A99" w:rsidRPr="008D2BF9">
        <w:rPr>
          <w:rFonts w:ascii="Calibri Light" w:eastAsia="Calibri Light" w:hAnsi="Calibri Light" w:cs="Times New Roman"/>
          <w:lang w:val="en-GB"/>
        </w:rPr>
        <w:t>partnerships steering committee</w:t>
      </w:r>
      <w:r w:rsidR="009B2D12" w:rsidRPr="008D2BF9">
        <w:rPr>
          <w:rFonts w:ascii="Calibri Light" w:eastAsia="Calibri Light" w:hAnsi="Calibri Light" w:cs="Times New Roman"/>
          <w:lang w:val="en-GB"/>
        </w:rPr>
        <w:t xml:space="preserve"> was promoting significant Government ownership, led by both the Ministry of Economy and the Ministry for Industry, Trade and Tourism (now the Ministry of Commerce, Trade, Tourism and Transport). The </w:t>
      </w:r>
      <w:r w:rsidR="00503A99" w:rsidRPr="008D2BF9">
        <w:rPr>
          <w:rFonts w:ascii="Calibri Light" w:eastAsia="Calibri Light" w:hAnsi="Calibri Light" w:cs="Times New Roman"/>
          <w:lang w:val="en-GB"/>
        </w:rPr>
        <w:t>review</w:t>
      </w:r>
      <w:r w:rsidR="009B2D12" w:rsidRPr="008D2BF9">
        <w:rPr>
          <w:rFonts w:ascii="Calibri Light" w:eastAsia="Calibri Light" w:hAnsi="Calibri Light" w:cs="Times New Roman"/>
          <w:lang w:val="en-GB"/>
        </w:rPr>
        <w:t xml:space="preserve"> commended the ability of the World Bank Group to quickly build up close relationships with Government of Fiji off</w:t>
      </w:r>
      <w:r w:rsidR="000D1447" w:rsidRPr="008D2BF9">
        <w:rPr>
          <w:rFonts w:ascii="Calibri Light" w:eastAsia="Calibri Light" w:hAnsi="Calibri Light" w:cs="Times New Roman"/>
          <w:lang w:val="en-GB"/>
        </w:rPr>
        <w:t>icials</w:t>
      </w:r>
      <w:r w:rsidR="009B2D12" w:rsidRPr="008D2BF9">
        <w:rPr>
          <w:rFonts w:ascii="Calibri Light" w:eastAsia="Calibri Light" w:hAnsi="Calibri Light" w:cs="Times New Roman"/>
          <w:lang w:val="en-GB"/>
        </w:rPr>
        <w:t xml:space="preserve">.  </w:t>
      </w:r>
      <w:r w:rsidR="00DD39FE" w:rsidRPr="008D2BF9">
        <w:rPr>
          <w:rFonts w:ascii="Calibri Light" w:eastAsia="Calibri Light" w:hAnsi="Calibri Light" w:cs="Times New Roman"/>
          <w:lang w:val="en-GB"/>
        </w:rPr>
        <w:t>Such an</w:t>
      </w:r>
      <w:r w:rsidR="009B2D12" w:rsidRPr="008D2BF9">
        <w:rPr>
          <w:rFonts w:ascii="Calibri Light" w:eastAsia="Calibri Light" w:hAnsi="Calibri Light" w:cs="Times New Roman"/>
          <w:lang w:val="en-GB"/>
        </w:rPr>
        <w:t xml:space="preserve"> achievement is noteworthy </w:t>
      </w:r>
      <w:r w:rsidR="00DD39FE" w:rsidRPr="008D2BF9">
        <w:rPr>
          <w:rFonts w:ascii="Calibri Light" w:eastAsia="Calibri Light" w:hAnsi="Calibri Light" w:cs="Times New Roman"/>
          <w:lang w:val="en-GB"/>
        </w:rPr>
        <w:t xml:space="preserve">when considering the partnership was being built up and developed at the same time the World Bank Group was re-engaging with Fiji. </w:t>
      </w:r>
      <w:r w:rsidR="009B2D12" w:rsidRPr="008D2BF9">
        <w:rPr>
          <w:rFonts w:ascii="Calibri Light" w:eastAsia="Calibri Light" w:hAnsi="Calibri Light" w:cs="Times New Roman"/>
          <w:lang w:val="en-GB"/>
        </w:rPr>
        <w:t xml:space="preserve"> </w:t>
      </w:r>
    </w:p>
    <w:p w14:paraId="6A3174BE" w14:textId="77777777" w:rsidR="00F72594" w:rsidRPr="008D2BF9" w:rsidRDefault="009B2D12" w:rsidP="00D63B82">
      <w:pPr>
        <w:suppressAutoHyphens/>
        <w:spacing w:before="120" w:after="60" w:line="260" w:lineRule="atLeast"/>
        <w:jc w:val="both"/>
        <w:rPr>
          <w:rFonts w:ascii="Calibri Light" w:eastAsia="Calibri Light" w:hAnsi="Calibri Light" w:cs="Times New Roman"/>
          <w:lang w:val="en-GB"/>
        </w:rPr>
      </w:pPr>
      <w:r w:rsidRPr="008D2BF9">
        <w:rPr>
          <w:rFonts w:ascii="Calibri Light" w:eastAsia="Calibri Light" w:hAnsi="Calibri Light" w:cs="Times New Roman"/>
          <w:lang w:val="en-GB"/>
        </w:rPr>
        <w:t xml:space="preserve">The </w:t>
      </w:r>
      <w:r w:rsidR="00503A99" w:rsidRPr="008D2BF9">
        <w:rPr>
          <w:rFonts w:ascii="Calibri Light" w:eastAsia="Calibri Light" w:hAnsi="Calibri Light" w:cs="Times New Roman"/>
          <w:lang w:val="en-GB"/>
        </w:rPr>
        <w:t>review</w:t>
      </w:r>
      <w:r w:rsidRPr="008D2BF9">
        <w:rPr>
          <w:rFonts w:ascii="Calibri Light" w:eastAsia="Calibri Light" w:hAnsi="Calibri Light" w:cs="Times New Roman"/>
          <w:lang w:val="en-GB"/>
        </w:rPr>
        <w:t xml:space="preserve"> found that the partnership </w:t>
      </w:r>
      <w:r w:rsidR="009558A9" w:rsidRPr="008D2BF9">
        <w:rPr>
          <w:rFonts w:ascii="Calibri Light" w:eastAsia="Calibri Light" w:hAnsi="Calibri Light" w:cs="Times New Roman"/>
          <w:lang w:val="en-GB"/>
        </w:rPr>
        <w:t>is</w:t>
      </w:r>
      <w:r w:rsidRPr="008D2BF9">
        <w:rPr>
          <w:rFonts w:ascii="Calibri Light" w:eastAsia="Calibri Light" w:hAnsi="Calibri Light" w:cs="Times New Roman"/>
          <w:lang w:val="en-GB"/>
        </w:rPr>
        <w:t xml:space="preserve"> working efficiently with other key private sector development programs in Fiji, notably the Asian Development Bank and the DFAT funded Market Development Facility.  Both these stakeholders reported the IFC’s approach was complimentary</w:t>
      </w:r>
      <w:r w:rsidR="0004278B" w:rsidRPr="008D2BF9">
        <w:rPr>
          <w:rFonts w:ascii="Calibri Light" w:eastAsia="Calibri Light" w:hAnsi="Calibri Light" w:cs="Times New Roman"/>
          <w:lang w:val="en-GB"/>
        </w:rPr>
        <w:t xml:space="preserve"> to their programs and p</w:t>
      </w:r>
      <w:r w:rsidRPr="008D2BF9">
        <w:rPr>
          <w:rFonts w:ascii="Calibri Light" w:eastAsia="Calibri Light" w:hAnsi="Calibri Light" w:cs="Times New Roman"/>
          <w:lang w:val="en-GB"/>
        </w:rPr>
        <w:t>rovid</w:t>
      </w:r>
      <w:r w:rsidR="0004278B" w:rsidRPr="008D2BF9">
        <w:rPr>
          <w:rFonts w:ascii="Calibri Light" w:eastAsia="Calibri Light" w:hAnsi="Calibri Light" w:cs="Times New Roman"/>
          <w:lang w:val="en-GB"/>
        </w:rPr>
        <w:t>ed</w:t>
      </w:r>
      <w:r w:rsidRPr="008D2BF9">
        <w:rPr>
          <w:rFonts w:ascii="Calibri Light" w:eastAsia="Calibri Light" w:hAnsi="Calibri Light" w:cs="Times New Roman"/>
          <w:lang w:val="en-GB"/>
        </w:rPr>
        <w:t xml:space="preserve"> important support </w:t>
      </w:r>
      <w:r w:rsidR="0004278B" w:rsidRPr="008D2BF9">
        <w:rPr>
          <w:rFonts w:ascii="Calibri Light" w:eastAsia="Calibri Light" w:hAnsi="Calibri Light" w:cs="Times New Roman"/>
          <w:lang w:val="en-GB"/>
        </w:rPr>
        <w:t xml:space="preserve">to </w:t>
      </w:r>
      <w:r w:rsidRPr="008D2BF9">
        <w:rPr>
          <w:rFonts w:ascii="Calibri Light" w:eastAsia="Calibri Light" w:hAnsi="Calibri Light" w:cs="Times New Roman"/>
          <w:lang w:val="en-GB"/>
        </w:rPr>
        <w:t xml:space="preserve">their respective activities and priorities. </w:t>
      </w:r>
    </w:p>
    <w:p w14:paraId="06589609" w14:textId="77777777" w:rsidR="00F72594" w:rsidRPr="008D2BF9" w:rsidRDefault="00F72594" w:rsidP="00D63B82">
      <w:pPr>
        <w:suppressAutoHyphens/>
        <w:spacing w:before="120" w:after="60" w:line="260" w:lineRule="atLeast"/>
        <w:jc w:val="both"/>
        <w:rPr>
          <w:rFonts w:ascii="Calibri Light" w:eastAsia="Calibri Light" w:hAnsi="Calibri Light" w:cs="Times New Roman"/>
          <w:lang w:val="en-GB"/>
        </w:rPr>
      </w:pPr>
      <w:r w:rsidRPr="008D2BF9">
        <w:rPr>
          <w:rFonts w:ascii="Calibri Light" w:eastAsia="Calibri Light" w:hAnsi="Calibri Light" w:cs="Times New Roman"/>
          <w:lang w:val="en-GB"/>
        </w:rPr>
        <w:t xml:space="preserve">The </w:t>
      </w:r>
      <w:r w:rsidR="00503A99" w:rsidRPr="008D2BF9">
        <w:rPr>
          <w:rFonts w:ascii="Calibri Light" w:eastAsia="Calibri Light" w:hAnsi="Calibri Light" w:cs="Times New Roman"/>
          <w:lang w:val="en-GB"/>
        </w:rPr>
        <w:t>review</w:t>
      </w:r>
      <w:r w:rsidRPr="008D2BF9">
        <w:rPr>
          <w:rFonts w:ascii="Calibri Light" w:eastAsia="Calibri Light" w:hAnsi="Calibri Light" w:cs="Times New Roman"/>
          <w:lang w:val="en-GB"/>
        </w:rPr>
        <w:t xml:space="preserve"> </w:t>
      </w:r>
      <w:r w:rsidR="000D1447" w:rsidRPr="008D2BF9">
        <w:rPr>
          <w:rFonts w:ascii="Calibri Light" w:eastAsia="Calibri Light" w:hAnsi="Calibri Light" w:cs="Times New Roman"/>
          <w:lang w:val="en-GB"/>
        </w:rPr>
        <w:t xml:space="preserve">further </w:t>
      </w:r>
      <w:r w:rsidRPr="008D2BF9">
        <w:rPr>
          <w:rFonts w:ascii="Calibri Light" w:eastAsia="Calibri Light" w:hAnsi="Calibri Light" w:cs="Times New Roman"/>
          <w:lang w:val="en-GB"/>
        </w:rPr>
        <w:t xml:space="preserve">found the program is highly relevant and well aligned to Fiji Government </w:t>
      </w:r>
      <w:proofErr w:type="gramStart"/>
      <w:r w:rsidRPr="008D2BF9">
        <w:rPr>
          <w:rFonts w:ascii="Calibri Light" w:eastAsia="Calibri Light" w:hAnsi="Calibri Light" w:cs="Times New Roman"/>
          <w:lang w:val="en-GB"/>
        </w:rPr>
        <w:t xml:space="preserve">policy, </w:t>
      </w:r>
      <w:r w:rsidR="00631749" w:rsidRPr="008D2BF9">
        <w:rPr>
          <w:rFonts w:ascii="Calibri Light" w:eastAsia="Calibri Light" w:hAnsi="Calibri Light" w:cs="Times New Roman"/>
          <w:lang w:val="en-GB"/>
        </w:rPr>
        <w:t>and</w:t>
      </w:r>
      <w:proofErr w:type="gramEnd"/>
      <w:r w:rsidR="00631749" w:rsidRPr="008D2BF9">
        <w:rPr>
          <w:rFonts w:ascii="Calibri Light" w:eastAsia="Calibri Light" w:hAnsi="Calibri Light" w:cs="Times New Roman"/>
          <w:lang w:val="en-GB"/>
        </w:rPr>
        <w:t xml:space="preserve"> is advancing</w:t>
      </w:r>
      <w:r w:rsidRPr="008D2BF9">
        <w:rPr>
          <w:rFonts w:ascii="Calibri Light" w:eastAsia="Calibri Light" w:hAnsi="Calibri Light" w:cs="Times New Roman"/>
          <w:lang w:val="en-GB"/>
        </w:rPr>
        <w:t xml:space="preserve"> Australia’s commitments to private sector development and economic governance in the Pacific.  The </w:t>
      </w:r>
      <w:r w:rsidR="00503A99" w:rsidRPr="008D2BF9">
        <w:rPr>
          <w:rFonts w:ascii="Calibri Light" w:eastAsia="Calibri Light" w:hAnsi="Calibri Light" w:cs="Times New Roman"/>
          <w:lang w:val="en-GB"/>
        </w:rPr>
        <w:t>review</w:t>
      </w:r>
      <w:r w:rsidRPr="008D2BF9">
        <w:rPr>
          <w:rFonts w:ascii="Calibri Light" w:eastAsia="Calibri Light" w:hAnsi="Calibri Light" w:cs="Times New Roman"/>
          <w:lang w:val="en-GB"/>
        </w:rPr>
        <w:t xml:space="preserve"> also found that gender was highly relevant in the Partnership’s </w:t>
      </w:r>
      <w:proofErr w:type="gramStart"/>
      <w:r w:rsidRPr="008D2BF9">
        <w:rPr>
          <w:rFonts w:ascii="Calibri Light" w:eastAsia="Calibri Light" w:hAnsi="Calibri Light" w:cs="Times New Roman"/>
          <w:lang w:val="en-GB"/>
        </w:rPr>
        <w:t>work, and</w:t>
      </w:r>
      <w:proofErr w:type="gramEnd"/>
      <w:r w:rsidRPr="008D2BF9">
        <w:rPr>
          <w:rFonts w:ascii="Calibri Light" w:eastAsia="Calibri Light" w:hAnsi="Calibri Light" w:cs="Times New Roman"/>
          <w:lang w:val="en-GB"/>
        </w:rPr>
        <w:t xml:space="preserve"> was being effectively addressed in project implementation.  The </w:t>
      </w:r>
      <w:r w:rsidR="00503A99" w:rsidRPr="008D2BF9">
        <w:rPr>
          <w:rFonts w:ascii="Calibri Light" w:eastAsia="Calibri Light" w:hAnsi="Calibri Light" w:cs="Times New Roman"/>
          <w:lang w:val="en-GB"/>
        </w:rPr>
        <w:t>review</w:t>
      </w:r>
      <w:r w:rsidRPr="008D2BF9">
        <w:rPr>
          <w:rFonts w:ascii="Calibri Light" w:eastAsia="Calibri Light" w:hAnsi="Calibri Light" w:cs="Times New Roman"/>
          <w:lang w:val="en-GB"/>
        </w:rPr>
        <w:t xml:space="preserve"> </w:t>
      </w:r>
      <w:r w:rsidR="009B2D12" w:rsidRPr="008D2BF9">
        <w:rPr>
          <w:rFonts w:ascii="Calibri Light" w:eastAsia="Calibri Light" w:hAnsi="Calibri Light" w:cs="Times New Roman"/>
          <w:lang w:val="en-GB"/>
        </w:rPr>
        <w:t>highlighted</w:t>
      </w:r>
      <w:r w:rsidRPr="008D2BF9">
        <w:rPr>
          <w:rFonts w:ascii="Calibri Light" w:eastAsia="Calibri Light" w:hAnsi="Calibri Light" w:cs="Times New Roman"/>
          <w:lang w:val="en-GB"/>
        </w:rPr>
        <w:t xml:space="preserve"> the </w:t>
      </w:r>
      <w:proofErr w:type="spellStart"/>
      <w:r w:rsidRPr="008D2BF9">
        <w:rPr>
          <w:rFonts w:ascii="Calibri Light" w:eastAsia="Calibri Light" w:hAnsi="Calibri Light" w:cs="Times New Roman"/>
          <w:lang w:val="en-GB"/>
        </w:rPr>
        <w:t>WINvest</w:t>
      </w:r>
      <w:proofErr w:type="spellEnd"/>
      <w:r w:rsidRPr="008D2BF9">
        <w:rPr>
          <w:rFonts w:ascii="Calibri Light" w:eastAsia="Calibri Light" w:hAnsi="Calibri Light" w:cs="Times New Roman"/>
          <w:lang w:val="en-GB"/>
        </w:rPr>
        <w:t xml:space="preserve"> project, which had developed </w:t>
      </w:r>
      <w:r w:rsidR="009B2D12" w:rsidRPr="008D2BF9">
        <w:rPr>
          <w:rFonts w:ascii="Calibri Light" w:eastAsia="Calibri Light" w:hAnsi="Calibri Light" w:cs="Times New Roman"/>
          <w:lang w:val="en-GB"/>
        </w:rPr>
        <w:t xml:space="preserve">studies and outreach on issues relating to gender-based violence and childcare.  </w:t>
      </w:r>
    </w:p>
    <w:p w14:paraId="0F809829" w14:textId="77777777" w:rsidR="00631749" w:rsidRPr="008D2BF9" w:rsidRDefault="00631749" w:rsidP="00D63B82">
      <w:pPr>
        <w:suppressAutoHyphens/>
        <w:spacing w:before="120" w:after="60" w:line="260" w:lineRule="atLeast"/>
        <w:jc w:val="both"/>
        <w:rPr>
          <w:rFonts w:ascii="Calibri Light" w:eastAsia="Calibri Light" w:hAnsi="Calibri Light" w:cs="Times New Roman"/>
          <w:lang w:val="en-GB"/>
        </w:rPr>
      </w:pPr>
      <w:r w:rsidRPr="008D2BF9">
        <w:rPr>
          <w:rFonts w:ascii="Calibri Light" w:eastAsia="Calibri Light" w:hAnsi="Calibri Light" w:cs="Times New Roman"/>
          <w:lang w:val="en-GB"/>
        </w:rPr>
        <w:t xml:space="preserve">On impact, the </w:t>
      </w:r>
      <w:r w:rsidR="00503A99" w:rsidRPr="008D2BF9">
        <w:rPr>
          <w:rFonts w:ascii="Calibri Light" w:eastAsia="Calibri Light" w:hAnsi="Calibri Light" w:cs="Times New Roman"/>
          <w:lang w:val="en-GB"/>
        </w:rPr>
        <w:t>review</w:t>
      </w:r>
      <w:r w:rsidRPr="008D2BF9">
        <w:rPr>
          <w:rFonts w:ascii="Calibri Light" w:eastAsia="Calibri Light" w:hAnsi="Calibri Light" w:cs="Times New Roman"/>
          <w:lang w:val="en-GB"/>
        </w:rPr>
        <w:t xml:space="preserve"> noted the foundations for impact have been </w:t>
      </w:r>
      <w:proofErr w:type="gramStart"/>
      <w:r w:rsidR="005A1DBE" w:rsidRPr="008D2BF9">
        <w:rPr>
          <w:rFonts w:ascii="Calibri Light" w:eastAsia="Calibri Light" w:hAnsi="Calibri Light" w:cs="Times New Roman"/>
          <w:lang w:val="en-GB"/>
        </w:rPr>
        <w:t>built</w:t>
      </w:r>
      <w:r w:rsidRPr="008D2BF9">
        <w:rPr>
          <w:rFonts w:ascii="Calibri Light" w:eastAsia="Calibri Light" w:hAnsi="Calibri Light" w:cs="Times New Roman"/>
          <w:lang w:val="en-GB"/>
        </w:rPr>
        <w:t>, but</w:t>
      </w:r>
      <w:proofErr w:type="gramEnd"/>
      <w:r w:rsidRPr="008D2BF9">
        <w:rPr>
          <w:rFonts w:ascii="Calibri Light" w:eastAsia="Calibri Light" w:hAnsi="Calibri Light" w:cs="Times New Roman"/>
          <w:lang w:val="en-GB"/>
        </w:rPr>
        <w:t xml:space="preserve"> have not yet fully </w:t>
      </w:r>
      <w:r w:rsidR="005A1DBE" w:rsidRPr="008D2BF9">
        <w:rPr>
          <w:rFonts w:ascii="Calibri Light" w:eastAsia="Calibri Light" w:hAnsi="Calibri Light" w:cs="Times New Roman"/>
          <w:lang w:val="en-GB"/>
        </w:rPr>
        <w:t>materialised</w:t>
      </w:r>
      <w:r w:rsidRPr="008D2BF9">
        <w:rPr>
          <w:rFonts w:ascii="Calibri Light" w:eastAsia="Calibri Light" w:hAnsi="Calibri Light" w:cs="Times New Roman"/>
          <w:lang w:val="en-GB"/>
        </w:rPr>
        <w:t xml:space="preserve">.  The </w:t>
      </w:r>
      <w:r w:rsidR="00503A99" w:rsidRPr="008D2BF9">
        <w:rPr>
          <w:rFonts w:ascii="Calibri Light" w:eastAsia="Calibri Light" w:hAnsi="Calibri Light" w:cs="Times New Roman"/>
          <w:lang w:val="en-GB"/>
        </w:rPr>
        <w:t>review</w:t>
      </w:r>
      <w:r w:rsidRPr="008D2BF9">
        <w:rPr>
          <w:rFonts w:ascii="Calibri Light" w:eastAsia="Calibri Light" w:hAnsi="Calibri Light" w:cs="Times New Roman"/>
          <w:lang w:val="en-GB"/>
        </w:rPr>
        <w:t xml:space="preserve"> noted each project under the partnership </w:t>
      </w:r>
      <w:r w:rsidR="00DD39FE" w:rsidRPr="008D2BF9">
        <w:rPr>
          <w:rFonts w:ascii="Calibri Light" w:eastAsia="Calibri Light" w:hAnsi="Calibri Light" w:cs="Times New Roman"/>
          <w:lang w:val="en-GB"/>
        </w:rPr>
        <w:t>has</w:t>
      </w:r>
      <w:r w:rsidRPr="008D2BF9">
        <w:rPr>
          <w:rFonts w:ascii="Calibri Light" w:eastAsia="Calibri Light" w:hAnsi="Calibri Light" w:cs="Times New Roman"/>
          <w:lang w:val="en-GB"/>
        </w:rPr>
        <w:t xml:space="preserve"> a clear and specific </w:t>
      </w:r>
      <w:r w:rsidR="005A1DBE" w:rsidRPr="008D2BF9">
        <w:rPr>
          <w:rFonts w:ascii="Calibri Light" w:eastAsia="Calibri Light" w:hAnsi="Calibri Light" w:cs="Times New Roman"/>
          <w:lang w:val="en-GB"/>
        </w:rPr>
        <w:t>log frame</w:t>
      </w:r>
      <w:r w:rsidRPr="008D2BF9">
        <w:rPr>
          <w:rFonts w:ascii="Calibri Light" w:eastAsia="Calibri Light" w:hAnsi="Calibri Light" w:cs="Times New Roman"/>
          <w:lang w:val="en-GB"/>
        </w:rPr>
        <w:t xml:space="preserve"> tracking project </w:t>
      </w:r>
      <w:r w:rsidR="009558A9" w:rsidRPr="008D2BF9">
        <w:rPr>
          <w:rFonts w:ascii="Calibri Light" w:eastAsia="Calibri Light" w:hAnsi="Calibri Light" w:cs="Times New Roman"/>
          <w:lang w:val="en-GB"/>
        </w:rPr>
        <w:t xml:space="preserve">outputs, </w:t>
      </w:r>
      <w:proofErr w:type="gramStart"/>
      <w:r w:rsidR="009558A9" w:rsidRPr="008D2BF9">
        <w:rPr>
          <w:rFonts w:ascii="Calibri Light" w:eastAsia="Calibri Light" w:hAnsi="Calibri Light" w:cs="Times New Roman"/>
          <w:lang w:val="en-GB"/>
        </w:rPr>
        <w:t>outcomes</w:t>
      </w:r>
      <w:proofErr w:type="gramEnd"/>
      <w:r w:rsidR="009558A9" w:rsidRPr="008D2BF9">
        <w:rPr>
          <w:rFonts w:ascii="Calibri Light" w:eastAsia="Calibri Light" w:hAnsi="Calibri Light" w:cs="Times New Roman"/>
          <w:lang w:val="en-GB"/>
        </w:rPr>
        <w:t xml:space="preserve"> and impacts.  </w:t>
      </w:r>
      <w:r w:rsidRPr="008D2BF9">
        <w:rPr>
          <w:rFonts w:ascii="Calibri Light" w:eastAsia="Calibri Light" w:hAnsi="Calibri Light" w:cs="Times New Roman"/>
          <w:lang w:val="en-GB"/>
        </w:rPr>
        <w:t xml:space="preserve">A significant number of the projects were found to be innovative and pioneering, particularly in </w:t>
      </w:r>
      <w:r w:rsidR="00DD39FE" w:rsidRPr="008D2BF9">
        <w:rPr>
          <w:rFonts w:ascii="Calibri Light" w:eastAsia="Calibri Light" w:hAnsi="Calibri Light" w:cs="Times New Roman"/>
          <w:lang w:val="en-GB"/>
        </w:rPr>
        <w:t>a</w:t>
      </w:r>
      <w:r w:rsidRPr="008D2BF9">
        <w:rPr>
          <w:rFonts w:ascii="Calibri Light" w:eastAsia="Calibri Light" w:hAnsi="Calibri Light" w:cs="Times New Roman"/>
          <w:lang w:val="en-GB"/>
        </w:rPr>
        <w:t xml:space="preserve"> Pacific</w:t>
      </w:r>
      <w:r w:rsidR="00DD39FE" w:rsidRPr="008D2BF9">
        <w:rPr>
          <w:rFonts w:ascii="Calibri Light" w:eastAsia="Calibri Light" w:hAnsi="Calibri Light" w:cs="Times New Roman"/>
          <w:lang w:val="en-GB"/>
        </w:rPr>
        <w:t xml:space="preserve"> context</w:t>
      </w:r>
      <w:r w:rsidR="009558A9" w:rsidRPr="008D2BF9">
        <w:rPr>
          <w:rFonts w:ascii="Calibri Light" w:eastAsia="Calibri Light" w:hAnsi="Calibri Light" w:cs="Times New Roman"/>
          <w:lang w:val="en-GB"/>
        </w:rPr>
        <w:t xml:space="preserve">. </w:t>
      </w:r>
      <w:r w:rsidRPr="008D2BF9">
        <w:rPr>
          <w:rFonts w:ascii="Calibri Light" w:eastAsia="Calibri Light" w:hAnsi="Calibri Light" w:cs="Times New Roman"/>
          <w:lang w:val="en-GB"/>
        </w:rPr>
        <w:t>External feedback from stakeholders highlighted a consistent message that al</w:t>
      </w:r>
      <w:r w:rsidR="00D6790F" w:rsidRPr="008D2BF9">
        <w:rPr>
          <w:rFonts w:ascii="Calibri Light" w:eastAsia="Calibri Light" w:hAnsi="Calibri Light" w:cs="Times New Roman"/>
          <w:lang w:val="en-GB"/>
        </w:rPr>
        <w:t>l</w:t>
      </w:r>
      <w:r w:rsidRPr="008D2BF9">
        <w:rPr>
          <w:rFonts w:ascii="Calibri Light" w:eastAsia="Calibri Light" w:hAnsi="Calibri Light" w:cs="Times New Roman"/>
          <w:lang w:val="en-GB"/>
        </w:rPr>
        <w:t xml:space="preserve"> projects are on the right track and must continue to be </w:t>
      </w:r>
      <w:r w:rsidRPr="008D2BF9">
        <w:rPr>
          <w:rFonts w:ascii="Calibri Light" w:eastAsia="Calibri Light" w:hAnsi="Calibri Light" w:cs="Times New Roman"/>
          <w:lang w:val="en-GB"/>
        </w:rPr>
        <w:lastRenderedPageBreak/>
        <w:t xml:space="preserve">effectively supported.  The </w:t>
      </w:r>
      <w:r w:rsidR="00503A99" w:rsidRPr="008D2BF9">
        <w:rPr>
          <w:rFonts w:ascii="Calibri Light" w:eastAsia="Calibri Light" w:hAnsi="Calibri Light" w:cs="Times New Roman"/>
          <w:lang w:val="en-GB"/>
        </w:rPr>
        <w:t>review</w:t>
      </w:r>
      <w:r w:rsidRPr="008D2BF9">
        <w:rPr>
          <w:rFonts w:ascii="Calibri Light" w:eastAsia="Calibri Light" w:hAnsi="Calibri Light" w:cs="Times New Roman"/>
          <w:lang w:val="en-GB"/>
        </w:rPr>
        <w:t xml:space="preserve"> noted it is</w:t>
      </w:r>
      <w:r w:rsidR="00DD39FE" w:rsidRPr="008D2BF9">
        <w:rPr>
          <w:rFonts w:ascii="Calibri Light" w:eastAsia="Calibri Light" w:hAnsi="Calibri Light" w:cs="Times New Roman"/>
          <w:lang w:val="en-GB"/>
        </w:rPr>
        <w:t xml:space="preserve"> still</w:t>
      </w:r>
      <w:r w:rsidRPr="008D2BF9">
        <w:rPr>
          <w:rFonts w:ascii="Calibri Light" w:eastAsia="Calibri Light" w:hAnsi="Calibri Light" w:cs="Times New Roman"/>
          <w:lang w:val="en-GB"/>
        </w:rPr>
        <w:t xml:space="preserve"> too early to give a final verdict on both impact and sustainability.  </w:t>
      </w:r>
    </w:p>
    <w:p w14:paraId="535A1BE9" w14:textId="77777777" w:rsidR="00DD39FE" w:rsidRPr="008D2BF9" w:rsidRDefault="009B2D12" w:rsidP="00D63B82">
      <w:pPr>
        <w:suppressAutoHyphens/>
        <w:spacing w:before="120" w:after="60" w:line="260" w:lineRule="atLeast"/>
        <w:jc w:val="both"/>
        <w:rPr>
          <w:rFonts w:ascii="Calibri Light" w:eastAsia="Calibri Light" w:hAnsi="Calibri Light" w:cs="Times New Roman"/>
          <w:lang w:val="en-GB"/>
        </w:rPr>
      </w:pPr>
      <w:r w:rsidRPr="008D2BF9">
        <w:rPr>
          <w:rFonts w:ascii="Calibri Light" w:eastAsia="Calibri Light" w:hAnsi="Calibri Light" w:cs="Times New Roman"/>
          <w:lang w:val="en-GB"/>
        </w:rPr>
        <w:t xml:space="preserve">The challenge for the next phase of </w:t>
      </w:r>
      <w:r w:rsidR="00DD39FE" w:rsidRPr="008D2BF9">
        <w:rPr>
          <w:rFonts w:ascii="Calibri Light" w:eastAsia="Calibri Light" w:hAnsi="Calibri Light" w:cs="Times New Roman"/>
          <w:lang w:val="en-GB"/>
        </w:rPr>
        <w:t>p</w:t>
      </w:r>
      <w:r w:rsidRPr="008D2BF9">
        <w:rPr>
          <w:rFonts w:ascii="Calibri Light" w:eastAsia="Calibri Light" w:hAnsi="Calibri Light" w:cs="Times New Roman"/>
          <w:lang w:val="en-GB"/>
        </w:rPr>
        <w:t>artnersh</w:t>
      </w:r>
      <w:r w:rsidR="00DD39FE" w:rsidRPr="008D2BF9">
        <w:rPr>
          <w:rFonts w:ascii="Calibri Light" w:eastAsia="Calibri Light" w:hAnsi="Calibri Light" w:cs="Times New Roman"/>
          <w:lang w:val="en-GB"/>
        </w:rPr>
        <w:t xml:space="preserve">ip is to strengthen </w:t>
      </w:r>
      <w:r w:rsidR="0004278B" w:rsidRPr="008D2BF9">
        <w:rPr>
          <w:rFonts w:ascii="Calibri Light" w:eastAsia="Calibri Light" w:hAnsi="Calibri Light" w:cs="Times New Roman"/>
          <w:lang w:val="en-GB"/>
        </w:rPr>
        <w:t xml:space="preserve">its </w:t>
      </w:r>
      <w:r w:rsidR="00DD39FE" w:rsidRPr="008D2BF9">
        <w:rPr>
          <w:rFonts w:ascii="Calibri Light" w:eastAsia="Calibri Light" w:hAnsi="Calibri Light" w:cs="Times New Roman"/>
          <w:lang w:val="en-GB"/>
        </w:rPr>
        <w:t xml:space="preserve">ability to monitor and evaluate progress towards overall program objectives.  The </w:t>
      </w:r>
      <w:r w:rsidR="00503A99" w:rsidRPr="008D2BF9">
        <w:rPr>
          <w:rFonts w:ascii="Calibri Light" w:eastAsia="Calibri Light" w:hAnsi="Calibri Light" w:cs="Times New Roman"/>
          <w:lang w:val="en-GB"/>
        </w:rPr>
        <w:t>review</w:t>
      </w:r>
      <w:r w:rsidR="00DD39FE" w:rsidRPr="008D2BF9">
        <w:rPr>
          <w:rFonts w:ascii="Calibri Light" w:eastAsia="Calibri Light" w:hAnsi="Calibri Light" w:cs="Times New Roman"/>
          <w:lang w:val="en-GB"/>
        </w:rPr>
        <w:t xml:space="preserve"> found that the partnership is l</w:t>
      </w:r>
      <w:r w:rsidR="00503A99" w:rsidRPr="008D2BF9">
        <w:rPr>
          <w:rFonts w:ascii="Calibri Light" w:eastAsia="Calibri Light" w:hAnsi="Calibri Light" w:cs="Times New Roman"/>
          <w:lang w:val="en-GB"/>
        </w:rPr>
        <w:t>acking an explicit articulation</w:t>
      </w:r>
      <w:r w:rsidR="00DD39FE" w:rsidRPr="008D2BF9">
        <w:rPr>
          <w:rFonts w:ascii="Calibri Light" w:eastAsia="Calibri Light" w:hAnsi="Calibri Light" w:cs="Times New Roman"/>
          <w:lang w:val="en-GB"/>
        </w:rPr>
        <w:t xml:space="preserve"> of its overarching objective.  While the partnership is currently defined by eight numerical targets, there is no </w:t>
      </w:r>
      <w:r w:rsidR="005A1DBE" w:rsidRPr="008D2BF9">
        <w:rPr>
          <w:rFonts w:ascii="Calibri Light" w:eastAsia="Calibri Light" w:hAnsi="Calibri Light" w:cs="Times New Roman"/>
          <w:lang w:val="en-GB"/>
        </w:rPr>
        <w:t>log frame</w:t>
      </w:r>
      <w:r w:rsidR="00DD39FE" w:rsidRPr="008D2BF9">
        <w:rPr>
          <w:rFonts w:ascii="Calibri Light" w:eastAsia="Calibri Light" w:hAnsi="Calibri Light" w:cs="Times New Roman"/>
          <w:lang w:val="en-GB"/>
        </w:rPr>
        <w:t xml:space="preserve"> demonstrating how progress towards these targets is tracking.  The </w:t>
      </w:r>
      <w:r w:rsidR="00503A99" w:rsidRPr="008D2BF9">
        <w:rPr>
          <w:rFonts w:ascii="Calibri Light" w:eastAsia="Calibri Light" w:hAnsi="Calibri Light" w:cs="Times New Roman"/>
          <w:lang w:val="en-GB"/>
        </w:rPr>
        <w:t>review</w:t>
      </w:r>
      <w:r w:rsidR="00DD39FE" w:rsidRPr="008D2BF9">
        <w:rPr>
          <w:rFonts w:ascii="Calibri Light" w:eastAsia="Calibri Light" w:hAnsi="Calibri Light" w:cs="Times New Roman"/>
          <w:lang w:val="en-GB"/>
        </w:rPr>
        <w:t xml:space="preserve"> also noted there is a lack of certainty on whether these targets are being used and whether they are binding in the operations of the various activities the partnership is advancing.  The </w:t>
      </w:r>
      <w:r w:rsidR="00503A99" w:rsidRPr="008D2BF9">
        <w:rPr>
          <w:rFonts w:ascii="Calibri Light" w:eastAsia="Calibri Light" w:hAnsi="Calibri Light" w:cs="Times New Roman"/>
          <w:lang w:val="en-GB"/>
        </w:rPr>
        <w:t>review</w:t>
      </w:r>
      <w:r w:rsidR="00DD39FE" w:rsidRPr="008D2BF9">
        <w:rPr>
          <w:rFonts w:ascii="Calibri Light" w:eastAsia="Calibri Light" w:hAnsi="Calibri Light" w:cs="Times New Roman"/>
          <w:lang w:val="en-GB"/>
        </w:rPr>
        <w:t xml:space="preserve"> found there appears no consistent link between project monitoring and </w:t>
      </w:r>
      <w:r w:rsidR="00503A99" w:rsidRPr="008D2BF9">
        <w:rPr>
          <w:rFonts w:ascii="Calibri Light" w:eastAsia="Calibri Light" w:hAnsi="Calibri Light" w:cs="Times New Roman"/>
          <w:lang w:val="en-GB"/>
        </w:rPr>
        <w:t>review</w:t>
      </w:r>
      <w:r w:rsidR="00DD39FE" w:rsidRPr="008D2BF9">
        <w:rPr>
          <w:rFonts w:ascii="Calibri Light" w:eastAsia="Calibri Light" w:hAnsi="Calibri Light" w:cs="Times New Roman"/>
          <w:lang w:val="en-GB"/>
        </w:rPr>
        <w:t xml:space="preserve">, and the overall strategic objective of the partnership.  </w:t>
      </w:r>
    </w:p>
    <w:p w14:paraId="42ED8A44" w14:textId="1C77A898" w:rsidR="00D6790F" w:rsidRPr="008D2BF9" w:rsidRDefault="00D6790F" w:rsidP="00D63B82">
      <w:pPr>
        <w:suppressAutoHyphens/>
        <w:spacing w:before="120" w:after="60" w:line="260" w:lineRule="atLeast"/>
        <w:jc w:val="both"/>
        <w:rPr>
          <w:rFonts w:ascii="Calibri Light" w:eastAsia="Calibri Light" w:hAnsi="Calibri Light" w:cs="Times New Roman"/>
          <w:lang w:val="en-GB"/>
        </w:rPr>
      </w:pPr>
      <w:r w:rsidRPr="008D2BF9">
        <w:rPr>
          <w:rFonts w:ascii="Calibri Light" w:eastAsia="Calibri Light" w:hAnsi="Calibri Light" w:cs="Times New Roman"/>
          <w:lang w:val="en-GB"/>
        </w:rPr>
        <w:t xml:space="preserve">The </w:t>
      </w:r>
      <w:r w:rsidR="00503A99" w:rsidRPr="008D2BF9">
        <w:rPr>
          <w:rFonts w:ascii="Calibri Light" w:eastAsia="Calibri Light" w:hAnsi="Calibri Light" w:cs="Times New Roman"/>
          <w:lang w:val="en-GB"/>
        </w:rPr>
        <w:t>review</w:t>
      </w:r>
      <w:r w:rsidRPr="008D2BF9">
        <w:rPr>
          <w:rFonts w:ascii="Calibri Light" w:eastAsia="Calibri Light" w:hAnsi="Calibri Light" w:cs="Times New Roman"/>
          <w:lang w:val="en-GB"/>
        </w:rPr>
        <w:t xml:space="preserve"> also found corrective action is required </w:t>
      </w:r>
      <w:proofErr w:type="gramStart"/>
      <w:r w:rsidRPr="008D2BF9">
        <w:rPr>
          <w:rFonts w:ascii="Calibri Light" w:eastAsia="Calibri Light" w:hAnsi="Calibri Light" w:cs="Times New Roman"/>
          <w:lang w:val="en-GB"/>
        </w:rPr>
        <w:t>in regards to</w:t>
      </w:r>
      <w:proofErr w:type="gramEnd"/>
      <w:r w:rsidRPr="008D2BF9">
        <w:rPr>
          <w:rFonts w:ascii="Calibri Light" w:eastAsia="Calibri Light" w:hAnsi="Calibri Light" w:cs="Times New Roman"/>
          <w:lang w:val="en-GB"/>
        </w:rPr>
        <w:t xml:space="preserve"> </w:t>
      </w:r>
      <w:r w:rsidR="00F17A4C" w:rsidRPr="008D2BF9">
        <w:rPr>
          <w:rFonts w:ascii="Calibri Light" w:eastAsia="Calibri Light" w:hAnsi="Calibri Light" w:cs="Times New Roman"/>
          <w:lang w:val="en-GB"/>
        </w:rPr>
        <w:t>the healt</w:t>
      </w:r>
      <w:r w:rsidR="00503A99" w:rsidRPr="008D2BF9">
        <w:rPr>
          <w:rFonts w:ascii="Calibri Light" w:eastAsia="Calibri Light" w:hAnsi="Calibri Light" w:cs="Times New Roman"/>
          <w:lang w:val="en-GB"/>
        </w:rPr>
        <w:t>h public private partnership</w:t>
      </w:r>
      <w:r w:rsidR="0004278B" w:rsidRPr="008D2BF9">
        <w:rPr>
          <w:rFonts w:ascii="Calibri Light" w:eastAsia="Calibri Light" w:hAnsi="Calibri Light" w:cs="Times New Roman"/>
          <w:lang w:val="en-GB"/>
        </w:rPr>
        <w:t xml:space="preserve"> (PPP)</w:t>
      </w:r>
      <w:r w:rsidR="00503A99" w:rsidRPr="008D2BF9">
        <w:rPr>
          <w:rFonts w:ascii="Calibri Light" w:eastAsia="Calibri Light" w:hAnsi="Calibri Light" w:cs="Times New Roman"/>
          <w:lang w:val="en-GB"/>
        </w:rPr>
        <w:t xml:space="preserve">. </w:t>
      </w:r>
      <w:r w:rsidR="00DD39FE" w:rsidRPr="008D2BF9">
        <w:rPr>
          <w:rFonts w:ascii="Calibri Light" w:eastAsia="Calibri Light" w:hAnsi="Calibri Light" w:cs="Times New Roman"/>
          <w:lang w:val="en-GB"/>
        </w:rPr>
        <w:t>This activity</w:t>
      </w:r>
      <w:r w:rsidR="009558A9" w:rsidRPr="008D2BF9">
        <w:rPr>
          <w:rFonts w:ascii="Calibri Light" w:eastAsia="Calibri Light" w:hAnsi="Calibri Light" w:cs="Times New Roman"/>
          <w:lang w:val="en-GB"/>
        </w:rPr>
        <w:t xml:space="preserve"> supported the Government of Fiji to </w:t>
      </w:r>
      <w:proofErr w:type="gramStart"/>
      <w:r w:rsidR="009558A9" w:rsidRPr="008D2BF9">
        <w:rPr>
          <w:rFonts w:ascii="Calibri Light" w:eastAsia="Calibri Light" w:hAnsi="Calibri Light" w:cs="Times New Roman"/>
          <w:lang w:val="en-GB"/>
        </w:rPr>
        <w:t>enter into</w:t>
      </w:r>
      <w:proofErr w:type="gramEnd"/>
      <w:r w:rsidR="009558A9" w:rsidRPr="008D2BF9">
        <w:rPr>
          <w:rFonts w:ascii="Calibri Light" w:eastAsia="Calibri Light" w:hAnsi="Calibri Light" w:cs="Times New Roman"/>
          <w:lang w:val="en-GB"/>
        </w:rPr>
        <w:t xml:space="preserve"> </w:t>
      </w:r>
      <w:r w:rsidR="0004278B" w:rsidRPr="008D2BF9">
        <w:rPr>
          <w:rFonts w:ascii="Calibri Light" w:eastAsia="Calibri Light" w:hAnsi="Calibri Light" w:cs="Times New Roman"/>
          <w:lang w:val="en-GB"/>
        </w:rPr>
        <w:t>a PPP</w:t>
      </w:r>
      <w:r w:rsidR="009558A9" w:rsidRPr="008D2BF9">
        <w:rPr>
          <w:rFonts w:ascii="Calibri Light" w:eastAsia="Calibri Light" w:hAnsi="Calibri Light" w:cs="Times New Roman"/>
          <w:lang w:val="en-GB"/>
        </w:rPr>
        <w:t xml:space="preserve"> with </w:t>
      </w:r>
      <w:r w:rsidR="007D1DEB" w:rsidRPr="008D2BF9">
        <w:rPr>
          <w:rFonts w:ascii="Calibri Light" w:eastAsia="Calibri Light" w:hAnsi="Calibri Light" w:cs="Times New Roman"/>
          <w:lang w:val="en-GB"/>
        </w:rPr>
        <w:t>Healthcare Fiji Pte Limited</w:t>
      </w:r>
      <w:r w:rsidR="009558A9" w:rsidRPr="008D2BF9">
        <w:rPr>
          <w:rFonts w:ascii="Calibri Light" w:eastAsia="Calibri Light" w:hAnsi="Calibri Light" w:cs="Times New Roman"/>
          <w:lang w:val="en-GB"/>
        </w:rPr>
        <w:t xml:space="preserve"> to substantially upgrade, maintain and operate two public hospitals in Fiji</w:t>
      </w:r>
      <w:r w:rsidR="00161E22" w:rsidRPr="008D2BF9">
        <w:rPr>
          <w:rFonts w:ascii="Calibri Light" w:eastAsia="Calibri Light" w:hAnsi="Calibri Light" w:cs="Times New Roman"/>
          <w:lang w:val="en-GB"/>
        </w:rPr>
        <w:t>.</w:t>
      </w:r>
      <w:r w:rsidR="009558A9" w:rsidRPr="008D2BF9">
        <w:rPr>
          <w:rFonts w:ascii="Calibri Light" w:eastAsia="Calibri Light" w:hAnsi="Calibri Light" w:cs="Times New Roman"/>
          <w:lang w:val="en-GB"/>
        </w:rPr>
        <w:t xml:space="preserve"> </w:t>
      </w:r>
      <w:r w:rsidR="00161E22" w:rsidRPr="008D2BF9">
        <w:rPr>
          <w:rFonts w:ascii="Calibri Light" w:eastAsia="Calibri Light" w:hAnsi="Calibri Light" w:cs="Times New Roman"/>
          <w:lang w:val="en-GB"/>
        </w:rPr>
        <w:t xml:space="preserve"> On 20 March 2020, the project was placed on hold due to COVID-19 related challenges, including travel restrictions and supply chain constraints. The review found this activity </w:t>
      </w:r>
      <w:r w:rsidR="009558A9" w:rsidRPr="008D2BF9">
        <w:rPr>
          <w:rFonts w:ascii="Calibri Light" w:eastAsia="Calibri Light" w:hAnsi="Calibri Light" w:cs="Times New Roman"/>
          <w:lang w:val="en-GB"/>
        </w:rPr>
        <w:t xml:space="preserve">requires further consideration from a health systems perspective.  While the </w:t>
      </w:r>
      <w:r w:rsidR="005A1DBE" w:rsidRPr="008D2BF9">
        <w:rPr>
          <w:rFonts w:ascii="Calibri Light" w:eastAsia="Calibri Light" w:hAnsi="Calibri Light" w:cs="Times New Roman"/>
          <w:lang w:val="en-GB"/>
        </w:rPr>
        <w:t>review</w:t>
      </w:r>
      <w:r w:rsidR="009558A9" w:rsidRPr="008D2BF9">
        <w:rPr>
          <w:rFonts w:ascii="Calibri Light" w:eastAsia="Calibri Light" w:hAnsi="Calibri Light" w:cs="Times New Roman"/>
          <w:lang w:val="en-GB"/>
        </w:rPr>
        <w:t xml:space="preserve"> found the transaction has progressed </w:t>
      </w:r>
      <w:r w:rsidR="005A1DBE" w:rsidRPr="008D2BF9">
        <w:rPr>
          <w:rFonts w:ascii="Calibri Light" w:eastAsia="Calibri Light" w:hAnsi="Calibri Light" w:cs="Times New Roman"/>
          <w:lang w:val="en-GB"/>
        </w:rPr>
        <w:t>rapidly</w:t>
      </w:r>
      <w:r w:rsidR="009558A9" w:rsidRPr="008D2BF9">
        <w:rPr>
          <w:rFonts w:ascii="Calibri Light" w:eastAsia="Calibri Light" w:hAnsi="Calibri Light" w:cs="Times New Roman"/>
          <w:lang w:val="en-GB"/>
        </w:rPr>
        <w:t xml:space="preserve"> and has been well-managed, including with post-transaction support from IFC, the implications of a major public hospital which is operating at entirely new standards requires careful consideration</w:t>
      </w:r>
      <w:r w:rsidR="00161E22" w:rsidRPr="008D2BF9">
        <w:rPr>
          <w:rFonts w:ascii="Calibri Light" w:eastAsia="Calibri Light" w:hAnsi="Calibri Light" w:cs="Times New Roman"/>
          <w:lang w:val="en-GB"/>
        </w:rPr>
        <w:t>, especially focusing on</w:t>
      </w:r>
      <w:r w:rsidR="00503A99" w:rsidRPr="008D2BF9">
        <w:rPr>
          <w:rFonts w:ascii="Calibri Light" w:eastAsia="Calibri Light" w:hAnsi="Calibri Light" w:cs="Times New Roman"/>
          <w:lang w:val="en-GB"/>
        </w:rPr>
        <w:t xml:space="preserve"> wider systemic challenges</w:t>
      </w:r>
      <w:r w:rsidR="009558A9" w:rsidRPr="008D2BF9">
        <w:rPr>
          <w:rFonts w:ascii="Calibri Light" w:eastAsia="Calibri Light" w:hAnsi="Calibri Light" w:cs="Times New Roman"/>
          <w:lang w:val="en-GB"/>
        </w:rPr>
        <w:t xml:space="preserve">.  </w:t>
      </w:r>
      <w:r w:rsidR="002F7E81" w:rsidRPr="008D2BF9">
        <w:rPr>
          <w:rFonts w:ascii="Calibri Light" w:eastAsia="Calibri Light" w:hAnsi="Calibri Light" w:cs="Times New Roman"/>
          <w:lang w:val="en-GB"/>
        </w:rPr>
        <w:t xml:space="preserve">The review </w:t>
      </w:r>
      <w:r w:rsidR="00161E22" w:rsidRPr="008D2BF9">
        <w:rPr>
          <w:rFonts w:ascii="Calibri Light" w:eastAsia="Calibri Light" w:hAnsi="Calibri Light" w:cs="Times New Roman"/>
          <w:lang w:val="en-GB"/>
        </w:rPr>
        <w:t xml:space="preserve">recommended </w:t>
      </w:r>
      <w:r w:rsidR="002F7E81" w:rsidRPr="008D2BF9">
        <w:rPr>
          <w:rFonts w:ascii="Calibri Light" w:eastAsia="Calibri Light" w:hAnsi="Calibri Light" w:cs="Times New Roman"/>
          <w:lang w:val="en-GB"/>
        </w:rPr>
        <w:t>f</w:t>
      </w:r>
      <w:r w:rsidR="009558A9" w:rsidRPr="008D2BF9">
        <w:rPr>
          <w:rFonts w:ascii="Calibri Light" w:eastAsia="Calibri Light" w:hAnsi="Calibri Light" w:cs="Times New Roman"/>
          <w:lang w:val="en-GB"/>
        </w:rPr>
        <w:t>urther analysis to ensure any issues at a system level can be identified and managed</w:t>
      </w:r>
      <w:r w:rsidR="00161E22" w:rsidRPr="008D2BF9">
        <w:rPr>
          <w:rFonts w:ascii="Calibri Light" w:eastAsia="Calibri Light" w:hAnsi="Calibri Light" w:cs="Times New Roman"/>
          <w:lang w:val="en-GB"/>
        </w:rPr>
        <w:t>. It also recommended</w:t>
      </w:r>
      <w:r w:rsidR="00503A99" w:rsidRPr="008D2BF9">
        <w:rPr>
          <w:rFonts w:ascii="Calibri Light" w:eastAsia="Calibri Light" w:hAnsi="Calibri Light" w:cs="Times New Roman"/>
          <w:lang w:val="en-GB"/>
        </w:rPr>
        <w:t xml:space="preserve"> enhanced collaboration </w:t>
      </w:r>
      <w:r w:rsidR="00161E22" w:rsidRPr="008D2BF9">
        <w:rPr>
          <w:rFonts w:ascii="Calibri Light" w:eastAsia="Calibri Light" w:hAnsi="Calibri Light" w:cs="Times New Roman"/>
          <w:lang w:val="en-GB"/>
        </w:rPr>
        <w:t>with relevant</w:t>
      </w:r>
      <w:r w:rsidR="00503A99" w:rsidRPr="008D2BF9">
        <w:rPr>
          <w:rFonts w:ascii="Calibri Light" w:eastAsia="Calibri Light" w:hAnsi="Calibri Light" w:cs="Times New Roman"/>
          <w:lang w:val="en-GB"/>
        </w:rPr>
        <w:t xml:space="preserve"> areas of the World Bank Group</w:t>
      </w:r>
      <w:r w:rsidR="009558A9" w:rsidRPr="008D2BF9">
        <w:rPr>
          <w:rFonts w:ascii="Calibri Light" w:eastAsia="Calibri Light" w:hAnsi="Calibri Light" w:cs="Times New Roman"/>
          <w:lang w:val="en-GB"/>
        </w:rPr>
        <w:t xml:space="preserve">. </w:t>
      </w:r>
    </w:p>
    <w:p w14:paraId="2DDE3DA1" w14:textId="77777777" w:rsidR="005A1DBE" w:rsidRDefault="005E6D10" w:rsidP="00AC218D">
      <w:pPr>
        <w:suppressAutoHyphens/>
        <w:spacing w:before="120" w:after="60" w:line="260" w:lineRule="atLeast"/>
        <w:jc w:val="both"/>
        <w:rPr>
          <w:rFonts w:ascii="Calibri Light" w:eastAsia="Calibri Light" w:hAnsi="Calibri Light" w:cs="Times New Roman"/>
          <w:color w:val="495965"/>
          <w:lang w:val="en-GB"/>
        </w:rPr>
      </w:pPr>
      <w:r w:rsidRPr="008D2BF9">
        <w:rPr>
          <w:rFonts w:ascii="Calibri Light" w:eastAsia="Calibri Light" w:hAnsi="Calibri Light" w:cs="Times New Roman"/>
          <w:lang w:val="en-GB"/>
        </w:rPr>
        <w:t xml:space="preserve">DFAT accepts </w:t>
      </w:r>
      <w:proofErr w:type="gramStart"/>
      <w:r w:rsidRPr="008D2BF9">
        <w:rPr>
          <w:rFonts w:ascii="Calibri Light" w:eastAsia="Calibri Light" w:hAnsi="Calibri Light" w:cs="Times New Roman"/>
          <w:lang w:val="en-GB"/>
        </w:rPr>
        <w:t>all of</w:t>
      </w:r>
      <w:proofErr w:type="gramEnd"/>
      <w:r w:rsidRPr="008D2BF9">
        <w:rPr>
          <w:rFonts w:ascii="Calibri Light" w:eastAsia="Calibri Light" w:hAnsi="Calibri Light" w:cs="Times New Roman"/>
          <w:lang w:val="en-GB"/>
        </w:rPr>
        <w:t xml:space="preserve"> the review recommendations. </w:t>
      </w:r>
      <w:r w:rsidR="00CB4D90" w:rsidRPr="008D2BF9">
        <w:rPr>
          <w:rFonts w:ascii="Calibri Light" w:eastAsia="Calibri Light" w:hAnsi="Calibri Light" w:cs="Times New Roman"/>
          <w:lang w:val="en-GB"/>
        </w:rPr>
        <w:t xml:space="preserve">The management response represents DFAT’s commitment to program improvement for the next phase of </w:t>
      </w:r>
      <w:r w:rsidR="00503A99" w:rsidRPr="008D2BF9">
        <w:rPr>
          <w:rFonts w:ascii="Calibri Light" w:eastAsia="Calibri Light" w:hAnsi="Calibri Light" w:cs="Times New Roman"/>
          <w:lang w:val="en-GB"/>
        </w:rPr>
        <w:t>DFAT – IFC – New Zealand Fiji Partnership (2020-22)</w:t>
      </w:r>
      <w:r w:rsidR="00CB4D90" w:rsidRPr="008D2BF9">
        <w:rPr>
          <w:rFonts w:ascii="Calibri Light" w:eastAsia="Calibri Light" w:hAnsi="Calibri Light" w:cs="Times New Roman"/>
          <w:lang w:val="en-GB"/>
        </w:rPr>
        <w:t xml:space="preserve">. </w:t>
      </w:r>
      <w:r w:rsidR="00C13B52">
        <w:rPr>
          <w:rFonts w:ascii="Calibri" w:eastAsia="MS Gothic" w:hAnsi="Calibri" w:cs="Times New Roman"/>
          <w:bCs/>
          <w:color w:val="495965"/>
          <w:sz w:val="30"/>
          <w:szCs w:val="26"/>
        </w:rPr>
        <w:br w:type="page"/>
      </w:r>
    </w:p>
    <w:p w14:paraId="41EF04AF" w14:textId="77777777" w:rsidR="00C220FA" w:rsidRDefault="00C220FA" w:rsidP="00AC218D">
      <w:pPr>
        <w:suppressAutoHyphens/>
        <w:spacing w:before="120" w:after="60" w:line="260" w:lineRule="atLeast"/>
        <w:jc w:val="both"/>
        <w:rPr>
          <w:rFonts w:ascii="Calibri Light" w:eastAsia="Calibri Light" w:hAnsi="Calibri Light" w:cs="Times New Roman"/>
          <w:color w:val="495965"/>
          <w:lang w:val="en-GB"/>
        </w:rPr>
        <w:sectPr w:rsidR="00C220FA" w:rsidSect="00C220FA">
          <w:headerReference w:type="default" r:id="rId7"/>
          <w:pgSz w:w="11906" w:h="16838"/>
          <w:pgMar w:top="1440" w:right="1440" w:bottom="1440" w:left="1440" w:header="709" w:footer="709" w:gutter="0"/>
          <w:cols w:space="708"/>
          <w:titlePg/>
          <w:docGrid w:linePitch="360"/>
        </w:sectPr>
      </w:pPr>
    </w:p>
    <w:tbl>
      <w:tblPr>
        <w:tblStyle w:val="DFATTable1"/>
        <w:tblW w:w="14459"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2959"/>
        <w:gridCol w:w="2144"/>
        <w:gridCol w:w="2410"/>
        <w:gridCol w:w="5103"/>
        <w:gridCol w:w="1843"/>
      </w:tblGrid>
      <w:tr w:rsidR="00C220FA" w:rsidRPr="00D1072F" w14:paraId="43B609F3" w14:textId="77777777" w:rsidTr="008D2BF9">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959" w:type="dxa"/>
            <w:shd w:val="clear" w:color="auto" w:fill="ED7D31" w:themeFill="accent2"/>
            <w:hideMark/>
          </w:tcPr>
          <w:p w14:paraId="09937416" w14:textId="77777777" w:rsidR="00AC218D" w:rsidRPr="008D2BF9" w:rsidRDefault="00AC218D" w:rsidP="00C70FCF">
            <w:pPr>
              <w:suppressAutoHyphens/>
              <w:rPr>
                <w:rFonts w:eastAsia="Calibri Light" w:cs="Times New Roman"/>
                <w:b/>
                <w:color w:val="auto"/>
                <w:sz w:val="26"/>
                <w:szCs w:val="26"/>
                <w:lang w:val="en-GB"/>
              </w:rPr>
            </w:pPr>
            <w:r w:rsidRPr="008D2BF9">
              <w:rPr>
                <w:rFonts w:eastAsia="Calibri Light" w:cs="Times New Roman"/>
                <w:b/>
                <w:color w:val="auto"/>
                <w:sz w:val="26"/>
                <w:szCs w:val="26"/>
                <w:lang w:val="en-GB"/>
              </w:rPr>
              <w:lastRenderedPageBreak/>
              <w:t>Recommendation</w:t>
            </w:r>
          </w:p>
        </w:tc>
        <w:tc>
          <w:tcPr>
            <w:tcW w:w="2144" w:type="dxa"/>
            <w:shd w:val="clear" w:color="auto" w:fill="ED7D31" w:themeFill="accent2"/>
            <w:hideMark/>
          </w:tcPr>
          <w:p w14:paraId="78D9208B" w14:textId="77777777" w:rsidR="00AC218D" w:rsidRPr="008D2BF9" w:rsidRDefault="00AC218D" w:rsidP="00C70FC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auto"/>
                <w:sz w:val="26"/>
                <w:szCs w:val="26"/>
                <w:lang w:val="en-GB"/>
              </w:rPr>
            </w:pPr>
            <w:r w:rsidRPr="008D2BF9">
              <w:rPr>
                <w:rFonts w:eastAsia="Calibri Light" w:cs="Times New Roman"/>
                <w:b/>
                <w:color w:val="auto"/>
                <w:sz w:val="26"/>
                <w:szCs w:val="26"/>
                <w:lang w:val="en-GB"/>
              </w:rPr>
              <w:t xml:space="preserve">Response </w:t>
            </w:r>
            <w:r w:rsidRPr="008D2BF9">
              <w:rPr>
                <w:rFonts w:eastAsia="Calibri Light" w:cs="Times New Roman"/>
                <w:b/>
                <w:color w:val="auto"/>
                <w:sz w:val="26"/>
                <w:szCs w:val="26"/>
                <w:lang w:val="en-GB"/>
              </w:rPr>
              <w:br/>
            </w:r>
          </w:p>
        </w:tc>
        <w:tc>
          <w:tcPr>
            <w:tcW w:w="2410" w:type="dxa"/>
            <w:shd w:val="clear" w:color="auto" w:fill="ED7D31" w:themeFill="accent2"/>
            <w:hideMark/>
          </w:tcPr>
          <w:p w14:paraId="3CC2694F" w14:textId="77777777" w:rsidR="00AC218D" w:rsidRPr="008D2BF9" w:rsidRDefault="00AC218D" w:rsidP="00C70FC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auto"/>
                <w:sz w:val="26"/>
                <w:szCs w:val="26"/>
                <w:lang w:val="en-GB"/>
              </w:rPr>
            </w:pPr>
            <w:r w:rsidRPr="008D2BF9">
              <w:rPr>
                <w:rFonts w:eastAsia="Calibri Light" w:cs="Times New Roman"/>
                <w:b/>
                <w:color w:val="auto"/>
                <w:sz w:val="26"/>
                <w:szCs w:val="26"/>
                <w:lang w:val="en-GB"/>
              </w:rPr>
              <w:t xml:space="preserve">Explanation </w:t>
            </w:r>
          </w:p>
        </w:tc>
        <w:tc>
          <w:tcPr>
            <w:tcW w:w="5103" w:type="dxa"/>
            <w:shd w:val="clear" w:color="auto" w:fill="ED7D31" w:themeFill="accent2"/>
            <w:hideMark/>
          </w:tcPr>
          <w:p w14:paraId="094EDC6F" w14:textId="77777777" w:rsidR="00AC218D" w:rsidRPr="008D2BF9" w:rsidRDefault="00AC218D" w:rsidP="00C70FC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auto"/>
                <w:sz w:val="26"/>
                <w:szCs w:val="26"/>
                <w:lang w:val="en-GB"/>
              </w:rPr>
            </w:pPr>
            <w:r w:rsidRPr="008D2BF9">
              <w:rPr>
                <w:rFonts w:eastAsia="Calibri Light" w:cs="Times New Roman"/>
                <w:b/>
                <w:color w:val="auto"/>
                <w:sz w:val="26"/>
                <w:szCs w:val="26"/>
                <w:lang w:val="en-GB"/>
              </w:rPr>
              <w:t xml:space="preserve">Action plan </w:t>
            </w:r>
          </w:p>
        </w:tc>
        <w:tc>
          <w:tcPr>
            <w:tcW w:w="1843" w:type="dxa"/>
            <w:shd w:val="clear" w:color="auto" w:fill="ED7D31" w:themeFill="accent2"/>
            <w:hideMark/>
          </w:tcPr>
          <w:p w14:paraId="316B54E8" w14:textId="77777777" w:rsidR="00AC218D" w:rsidRPr="008D2BF9" w:rsidRDefault="00AC218D" w:rsidP="00C70FC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auto"/>
                <w:sz w:val="26"/>
                <w:szCs w:val="26"/>
                <w:lang w:val="en-GB"/>
              </w:rPr>
            </w:pPr>
            <w:r w:rsidRPr="008D2BF9">
              <w:rPr>
                <w:rFonts w:eastAsia="Calibri Light" w:cs="Times New Roman"/>
                <w:b/>
                <w:color w:val="auto"/>
                <w:sz w:val="26"/>
                <w:szCs w:val="26"/>
                <w:lang w:val="en-GB"/>
              </w:rPr>
              <w:t>Timeframe</w:t>
            </w:r>
          </w:p>
          <w:p w14:paraId="7DA5262A" w14:textId="77777777" w:rsidR="00AC218D" w:rsidRPr="008D2BF9" w:rsidRDefault="00AC218D" w:rsidP="00C70FCF">
            <w:pPr>
              <w:suppressAutoHyphens/>
              <w:cnfStyle w:val="100000000000" w:firstRow="1" w:lastRow="0" w:firstColumn="0" w:lastColumn="0" w:oddVBand="0" w:evenVBand="0" w:oddHBand="0" w:evenHBand="0" w:firstRowFirstColumn="0" w:firstRowLastColumn="0" w:lastRowFirstColumn="0" w:lastRowLastColumn="0"/>
              <w:rPr>
                <w:rFonts w:eastAsia="Calibri Light" w:cs="Times New Roman"/>
                <w:b/>
                <w:color w:val="auto"/>
                <w:sz w:val="26"/>
                <w:szCs w:val="26"/>
                <w:lang w:val="en-GB"/>
              </w:rPr>
            </w:pPr>
          </w:p>
        </w:tc>
      </w:tr>
      <w:tr w:rsidR="00AC218D" w:rsidRPr="00D1072F" w14:paraId="090EDB02" w14:textId="77777777" w:rsidTr="00C70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39A8904F" w14:textId="77777777" w:rsidR="00AC218D" w:rsidRPr="008D2BF9" w:rsidRDefault="00AC218D" w:rsidP="00C70FCF">
            <w:pPr>
              <w:keepNext/>
              <w:keepLines/>
              <w:suppressAutoHyphens/>
              <w:spacing w:before="480" w:after="120" w:line="360" w:lineRule="atLeast"/>
              <w:contextualSpacing/>
              <w:outlineLvl w:val="2"/>
              <w:rPr>
                <w:rFonts w:asciiTheme="majorHAnsi" w:eastAsia="MS Gothic" w:hAnsiTheme="majorHAnsi" w:cs="Times New Roman"/>
                <w:b/>
                <w:bCs/>
                <w:color w:val="auto"/>
              </w:rPr>
            </w:pPr>
            <w:r w:rsidRPr="008D2BF9">
              <w:rPr>
                <w:rFonts w:asciiTheme="majorHAnsi" w:eastAsia="MS Gothic" w:hAnsiTheme="majorHAnsi" w:cs="Times New Roman"/>
                <w:b/>
                <w:bCs/>
                <w:color w:val="auto"/>
              </w:rPr>
              <w:t>Recommendation 1</w:t>
            </w:r>
          </w:p>
          <w:p w14:paraId="12B50928" w14:textId="77777777" w:rsidR="00AC218D" w:rsidRPr="008D2BF9" w:rsidRDefault="00AC218D" w:rsidP="00C70FCF">
            <w:pPr>
              <w:keepNext/>
              <w:keepLines/>
              <w:suppressAutoHyphens/>
              <w:spacing w:before="480" w:after="120" w:line="360" w:lineRule="atLeast"/>
              <w:contextualSpacing/>
              <w:outlineLvl w:val="2"/>
              <w:rPr>
                <w:rFonts w:asciiTheme="majorHAnsi" w:eastAsia="MS Gothic" w:hAnsiTheme="majorHAnsi" w:cs="Times New Roman"/>
                <w:b/>
                <w:bCs/>
                <w:color w:val="auto"/>
              </w:rPr>
            </w:pPr>
            <w:r w:rsidRPr="008D2BF9">
              <w:rPr>
                <w:rFonts w:asciiTheme="majorHAnsi" w:eastAsia="Calibri Light" w:hAnsiTheme="majorHAnsi" w:cs="Times New Roman"/>
                <w:color w:val="auto"/>
                <w:lang w:val="en-GB"/>
              </w:rPr>
              <w:t xml:space="preserve">Corrective action on Partnership </w:t>
            </w:r>
            <w:r w:rsidR="005A1DBE" w:rsidRPr="008D2BF9">
              <w:rPr>
                <w:rFonts w:asciiTheme="majorHAnsi" w:eastAsia="Calibri Light" w:hAnsiTheme="majorHAnsi" w:cs="Times New Roman"/>
                <w:color w:val="auto"/>
                <w:lang w:val="en-GB"/>
              </w:rPr>
              <w:t>numerical</w:t>
            </w:r>
            <w:r w:rsidRPr="008D2BF9">
              <w:rPr>
                <w:rFonts w:asciiTheme="majorHAnsi" w:eastAsia="Calibri Light" w:hAnsiTheme="majorHAnsi" w:cs="Times New Roman"/>
                <w:color w:val="auto"/>
                <w:lang w:val="en-GB"/>
              </w:rPr>
              <w:t xml:space="preserve"> targets</w:t>
            </w:r>
          </w:p>
        </w:tc>
        <w:tc>
          <w:tcPr>
            <w:tcW w:w="2144" w:type="dxa"/>
            <w:shd w:val="clear" w:color="auto" w:fill="92D050"/>
          </w:tcPr>
          <w:p w14:paraId="462D10EF" w14:textId="77777777" w:rsidR="00AC218D" w:rsidRPr="008D2BF9" w:rsidRDefault="00AC218D" w:rsidP="00C70FCF">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color w:val="auto"/>
              </w:rPr>
            </w:pPr>
            <w:r w:rsidRPr="008D2BF9">
              <w:rPr>
                <w:rFonts w:asciiTheme="majorHAnsi" w:eastAsia="MS Gothic" w:hAnsiTheme="majorHAnsi" w:cs="Times New Roman"/>
                <w:bCs/>
                <w:color w:val="auto"/>
                <w:szCs w:val="24"/>
              </w:rPr>
              <w:t>Agree</w:t>
            </w:r>
          </w:p>
        </w:tc>
        <w:tc>
          <w:tcPr>
            <w:tcW w:w="2410" w:type="dxa"/>
            <w:tcBorders>
              <w:bottom w:val="single" w:sz="4" w:space="0" w:color="495965"/>
            </w:tcBorders>
            <w:shd w:val="clear" w:color="auto" w:fill="FBE4D5" w:themeFill="accent2" w:themeFillTint="33"/>
          </w:tcPr>
          <w:p w14:paraId="49EF6CA7" w14:textId="77777777" w:rsidR="00AC218D" w:rsidRPr="008D2BF9" w:rsidRDefault="00AC218D" w:rsidP="00C70FC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color w:val="auto"/>
                <w:lang w:val="en-GB"/>
              </w:rPr>
            </w:pPr>
          </w:p>
        </w:tc>
        <w:tc>
          <w:tcPr>
            <w:tcW w:w="5103" w:type="dxa"/>
            <w:shd w:val="clear" w:color="auto" w:fill="FBE4D5" w:themeFill="accent2" w:themeFillTint="33"/>
          </w:tcPr>
          <w:p w14:paraId="0128159E" w14:textId="77777777" w:rsidR="00AC218D" w:rsidRPr="008D2BF9" w:rsidRDefault="00AC218D" w:rsidP="00C70FC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DFAT will review the current partnerships </w:t>
            </w:r>
            <w:r w:rsidR="005A1DBE" w:rsidRPr="008D2BF9">
              <w:rPr>
                <w:rFonts w:asciiTheme="majorHAnsi" w:eastAsia="Calibri Light" w:hAnsiTheme="majorHAnsi" w:cs="Times New Roman"/>
                <w:color w:val="auto"/>
                <w:lang w:val="en-GB"/>
              </w:rPr>
              <w:t>numerical</w:t>
            </w:r>
            <w:r w:rsidRPr="008D2BF9">
              <w:rPr>
                <w:rFonts w:asciiTheme="majorHAnsi" w:eastAsia="Calibri Light" w:hAnsiTheme="majorHAnsi" w:cs="Times New Roman"/>
                <w:color w:val="auto"/>
                <w:lang w:val="en-GB"/>
              </w:rPr>
              <w:t xml:space="preserve"> targets, and in close consultation with the IFC, New Zealand and the Government of Fiji will seek to develop a whole of program theory of change and monitoring and evaluation framework that captures the overall contribution of the partnership.  The framework will be informed by the </w:t>
            </w:r>
            <w:r w:rsidR="005A1DBE" w:rsidRPr="008D2BF9">
              <w:rPr>
                <w:rFonts w:asciiTheme="majorHAnsi" w:eastAsia="Calibri Light" w:hAnsiTheme="majorHAnsi" w:cs="Times New Roman"/>
                <w:color w:val="auto"/>
                <w:lang w:val="en-GB"/>
              </w:rPr>
              <w:t>log frames</w:t>
            </w:r>
            <w:r w:rsidRPr="008D2BF9">
              <w:rPr>
                <w:rFonts w:asciiTheme="majorHAnsi" w:eastAsia="Calibri Light" w:hAnsiTheme="majorHAnsi" w:cs="Times New Roman"/>
                <w:color w:val="auto"/>
                <w:lang w:val="en-GB"/>
              </w:rPr>
              <w:t xml:space="preserve"> of the various program activities, which we note the review found adequately tracked outputs, </w:t>
            </w:r>
            <w:proofErr w:type="gramStart"/>
            <w:r w:rsidRPr="008D2BF9">
              <w:rPr>
                <w:rFonts w:asciiTheme="majorHAnsi" w:eastAsia="Calibri Light" w:hAnsiTheme="majorHAnsi" w:cs="Times New Roman"/>
                <w:color w:val="auto"/>
                <w:lang w:val="en-GB"/>
              </w:rPr>
              <w:t>outcomes</w:t>
            </w:r>
            <w:proofErr w:type="gramEnd"/>
            <w:r w:rsidRPr="008D2BF9">
              <w:rPr>
                <w:rFonts w:asciiTheme="majorHAnsi" w:eastAsia="Calibri Light" w:hAnsiTheme="majorHAnsi" w:cs="Times New Roman"/>
                <w:color w:val="auto"/>
                <w:lang w:val="en-GB"/>
              </w:rPr>
              <w:t xml:space="preserve"> and impact.  The results from the framework will feed into our regular aid quality check and program performance reporting.  </w:t>
            </w:r>
          </w:p>
        </w:tc>
        <w:tc>
          <w:tcPr>
            <w:tcW w:w="1843" w:type="dxa"/>
            <w:shd w:val="clear" w:color="auto" w:fill="FBE4D5" w:themeFill="accent2" w:themeFillTint="33"/>
          </w:tcPr>
          <w:p w14:paraId="79D204CB" w14:textId="77777777" w:rsidR="00AC218D" w:rsidRPr="008D2BF9" w:rsidRDefault="00AC218D" w:rsidP="00C70FC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By February 2021  </w:t>
            </w:r>
          </w:p>
        </w:tc>
      </w:tr>
      <w:tr w:rsidR="00AC218D" w:rsidRPr="00D1072F" w14:paraId="2065D86B" w14:textId="77777777" w:rsidTr="00C70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hideMark/>
          </w:tcPr>
          <w:p w14:paraId="19F4931A" w14:textId="77777777" w:rsidR="00AC218D" w:rsidRPr="008D2BF9" w:rsidRDefault="00AC218D" w:rsidP="00C70FCF">
            <w:pPr>
              <w:keepNext/>
              <w:keepLines/>
              <w:suppressAutoHyphens/>
              <w:spacing w:before="480" w:after="120" w:line="360" w:lineRule="atLeast"/>
              <w:contextualSpacing/>
              <w:outlineLvl w:val="2"/>
              <w:rPr>
                <w:rFonts w:asciiTheme="majorHAnsi" w:eastAsia="MS Gothic" w:hAnsiTheme="majorHAnsi" w:cs="Times New Roman"/>
                <w:b/>
                <w:bCs/>
                <w:color w:val="auto"/>
              </w:rPr>
            </w:pPr>
            <w:r w:rsidRPr="008D2BF9">
              <w:rPr>
                <w:rFonts w:asciiTheme="majorHAnsi" w:eastAsia="MS Gothic" w:hAnsiTheme="majorHAnsi" w:cs="Times New Roman"/>
                <w:b/>
                <w:bCs/>
                <w:color w:val="auto"/>
              </w:rPr>
              <w:t>Recommendation 2</w:t>
            </w:r>
          </w:p>
          <w:p w14:paraId="56BC08D6" w14:textId="77777777" w:rsidR="00AC218D" w:rsidRPr="008D2BF9" w:rsidRDefault="00AC218D" w:rsidP="00C70FCF">
            <w:pPr>
              <w:suppressAutoHyphens/>
              <w:spacing w:before="12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Corrective action on Health Public Private Partnership  </w:t>
            </w:r>
          </w:p>
        </w:tc>
        <w:tc>
          <w:tcPr>
            <w:tcW w:w="2144" w:type="dxa"/>
            <w:shd w:val="clear" w:color="auto" w:fill="92D050"/>
            <w:hideMark/>
          </w:tcPr>
          <w:p w14:paraId="06ABE305" w14:textId="77777777" w:rsidR="00AC218D" w:rsidRPr="008D2BF9" w:rsidRDefault="00AC218D" w:rsidP="00C70FCF">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Times New Roman"/>
                <w:bCs/>
                <w:color w:val="auto"/>
              </w:rPr>
            </w:pPr>
            <w:r w:rsidRPr="008D2BF9">
              <w:rPr>
                <w:rFonts w:asciiTheme="majorHAnsi" w:eastAsia="MS Gothic" w:hAnsiTheme="majorHAnsi" w:cs="Times New Roman"/>
                <w:bCs/>
                <w:color w:val="auto"/>
              </w:rPr>
              <w:t xml:space="preserve">Agree </w:t>
            </w:r>
          </w:p>
        </w:tc>
        <w:tc>
          <w:tcPr>
            <w:tcW w:w="2410" w:type="dxa"/>
            <w:tcBorders>
              <w:bottom w:val="single" w:sz="4" w:space="0" w:color="495965"/>
            </w:tcBorders>
            <w:shd w:val="clear" w:color="auto" w:fill="FBE4D5" w:themeFill="accent2" w:themeFillTint="33"/>
          </w:tcPr>
          <w:p w14:paraId="0B30F22A" w14:textId="77777777" w:rsidR="00AC218D" w:rsidRPr="008D2BF9" w:rsidRDefault="00AC218D" w:rsidP="00C70FCF">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color w:val="auto"/>
                <w:lang w:val="en-GB"/>
              </w:rPr>
            </w:pPr>
          </w:p>
        </w:tc>
        <w:tc>
          <w:tcPr>
            <w:tcW w:w="5103" w:type="dxa"/>
            <w:shd w:val="clear" w:color="auto" w:fill="FBE4D5" w:themeFill="accent2" w:themeFillTint="33"/>
          </w:tcPr>
          <w:p w14:paraId="6FC6E356" w14:textId="44F38EE5" w:rsidR="00AC218D" w:rsidRPr="008D2BF9" w:rsidRDefault="00AC218D" w:rsidP="00C70FCF">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DFAT, through the Fiji bilateral aid program, is supporting the Ministry of Health and Medical Services to strengthen Fiji’s national health system.  </w:t>
            </w:r>
            <w:r w:rsidR="0004278B" w:rsidRPr="008D2BF9">
              <w:rPr>
                <w:rFonts w:asciiTheme="majorHAnsi" w:eastAsia="Calibri Light" w:hAnsiTheme="majorHAnsi" w:cs="Times New Roman"/>
                <w:color w:val="auto"/>
                <w:lang w:val="en-GB"/>
              </w:rPr>
              <w:t xml:space="preserve">We will provide support as requested by the Government of Fiji </w:t>
            </w:r>
            <w:r w:rsidRPr="008D2BF9">
              <w:rPr>
                <w:rFonts w:asciiTheme="majorHAnsi" w:eastAsia="Calibri Light" w:hAnsiTheme="majorHAnsi" w:cs="Times New Roman"/>
                <w:color w:val="auto"/>
                <w:lang w:val="en-GB"/>
              </w:rPr>
              <w:t xml:space="preserve">Subject to manage systemic challenges associated with the hospital PPP project.  </w:t>
            </w:r>
          </w:p>
          <w:p w14:paraId="3C0C4F48" w14:textId="617AB7E0" w:rsidR="00AC218D" w:rsidRPr="008D2BF9" w:rsidRDefault="00AC218D" w:rsidP="003065FE">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DFAT will also request the World Bank Group provide further technical advice on this issue, </w:t>
            </w:r>
            <w:proofErr w:type="gramStart"/>
            <w:r w:rsidRPr="008D2BF9">
              <w:rPr>
                <w:rFonts w:asciiTheme="majorHAnsi" w:eastAsia="Calibri Light" w:hAnsiTheme="majorHAnsi" w:cs="Times New Roman"/>
                <w:color w:val="auto"/>
                <w:lang w:val="en-GB"/>
              </w:rPr>
              <w:t xml:space="preserve">for  </w:t>
            </w:r>
            <w:r w:rsidR="00827C88" w:rsidRPr="008D2BF9">
              <w:rPr>
                <w:rFonts w:asciiTheme="majorHAnsi" w:eastAsia="Calibri Light" w:hAnsiTheme="majorHAnsi" w:cs="Times New Roman"/>
                <w:color w:val="auto"/>
                <w:lang w:val="en-GB"/>
              </w:rPr>
              <w:t>careful</w:t>
            </w:r>
            <w:proofErr w:type="gramEnd"/>
            <w:r w:rsidR="00827C88" w:rsidRPr="008D2BF9">
              <w:rPr>
                <w:rFonts w:asciiTheme="majorHAnsi" w:eastAsia="Calibri Light" w:hAnsiTheme="majorHAnsi" w:cs="Times New Roman"/>
                <w:color w:val="auto"/>
                <w:lang w:val="en-GB"/>
              </w:rPr>
              <w:t xml:space="preserve"> consideration</w:t>
            </w:r>
            <w:r w:rsidRPr="008D2BF9">
              <w:rPr>
                <w:rFonts w:asciiTheme="majorHAnsi" w:eastAsia="Calibri Light" w:hAnsiTheme="majorHAnsi" w:cs="Times New Roman"/>
                <w:color w:val="auto"/>
                <w:lang w:val="en-GB"/>
              </w:rPr>
              <w:t xml:space="preserve"> through the joint steering committee mechanism. </w:t>
            </w:r>
            <w:r w:rsidR="00827C88" w:rsidRPr="008D2BF9">
              <w:rPr>
                <w:rFonts w:asciiTheme="majorHAnsi" w:eastAsia="Calibri Light" w:hAnsiTheme="majorHAnsi" w:cs="Times New Roman"/>
                <w:color w:val="auto"/>
                <w:lang w:val="en-GB"/>
              </w:rPr>
              <w:t xml:space="preserve">DFAT will request that additional analysis and monitoring at the systems level is </w:t>
            </w:r>
            <w:r w:rsidR="00C94DD5" w:rsidRPr="008D2BF9">
              <w:rPr>
                <w:rFonts w:asciiTheme="majorHAnsi" w:eastAsia="Calibri Light" w:hAnsiTheme="majorHAnsi" w:cs="Times New Roman"/>
                <w:color w:val="auto"/>
                <w:lang w:val="en-GB"/>
              </w:rPr>
              <w:t>considered</w:t>
            </w:r>
            <w:r w:rsidR="00827C88" w:rsidRPr="008D2BF9">
              <w:rPr>
                <w:rFonts w:asciiTheme="majorHAnsi" w:eastAsia="Calibri Light" w:hAnsiTheme="majorHAnsi" w:cs="Times New Roman"/>
                <w:color w:val="auto"/>
                <w:lang w:val="en-GB"/>
              </w:rPr>
              <w:t xml:space="preserve"> to identify any potential problems early and to </w:t>
            </w:r>
            <w:r w:rsidR="00AD33C0" w:rsidRPr="008D2BF9">
              <w:rPr>
                <w:rFonts w:asciiTheme="majorHAnsi" w:eastAsia="Calibri Light" w:hAnsiTheme="majorHAnsi" w:cs="Times New Roman"/>
                <w:color w:val="auto"/>
                <w:lang w:val="en-GB"/>
              </w:rPr>
              <w:t>help realize</w:t>
            </w:r>
            <w:r w:rsidR="00827C88" w:rsidRPr="008D2BF9">
              <w:rPr>
                <w:rFonts w:asciiTheme="majorHAnsi" w:eastAsia="Calibri Light" w:hAnsiTheme="majorHAnsi" w:cs="Times New Roman"/>
                <w:color w:val="auto"/>
                <w:lang w:val="en-GB"/>
              </w:rPr>
              <w:t xml:space="preserve"> the potential benefits of this PPP. </w:t>
            </w:r>
          </w:p>
        </w:tc>
        <w:tc>
          <w:tcPr>
            <w:tcW w:w="1843" w:type="dxa"/>
            <w:shd w:val="clear" w:color="auto" w:fill="FBE4D5" w:themeFill="accent2" w:themeFillTint="33"/>
          </w:tcPr>
          <w:p w14:paraId="3F4A4C81" w14:textId="77777777" w:rsidR="00AC218D" w:rsidRPr="008D2BF9" w:rsidRDefault="00AC218D" w:rsidP="00C70FCF">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Ongoing </w:t>
            </w:r>
          </w:p>
        </w:tc>
      </w:tr>
      <w:tr w:rsidR="00AC218D" w:rsidRPr="00D1072F" w14:paraId="2A21405F" w14:textId="77777777" w:rsidTr="00C70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7E2C3564" w14:textId="77777777" w:rsidR="00AC218D" w:rsidRPr="008D2BF9" w:rsidRDefault="00AC218D" w:rsidP="00C70FCF">
            <w:pPr>
              <w:keepNext/>
              <w:keepLines/>
              <w:suppressAutoHyphens/>
              <w:spacing w:before="480" w:after="120" w:line="360" w:lineRule="atLeast"/>
              <w:contextualSpacing/>
              <w:outlineLvl w:val="2"/>
              <w:rPr>
                <w:rFonts w:asciiTheme="majorHAnsi" w:eastAsia="MS Gothic" w:hAnsiTheme="majorHAnsi" w:cs="Times New Roman"/>
                <w:b/>
                <w:bCs/>
                <w:color w:val="auto"/>
              </w:rPr>
            </w:pPr>
            <w:r w:rsidRPr="008D2BF9">
              <w:rPr>
                <w:rFonts w:asciiTheme="majorHAnsi" w:eastAsia="MS Gothic" w:hAnsiTheme="majorHAnsi" w:cs="Times New Roman"/>
                <w:b/>
                <w:bCs/>
                <w:color w:val="auto"/>
              </w:rPr>
              <w:lastRenderedPageBreak/>
              <w:t>Recommendation 3</w:t>
            </w:r>
          </w:p>
          <w:p w14:paraId="01094A33" w14:textId="77777777" w:rsidR="00AC218D" w:rsidRPr="008D2BF9" w:rsidRDefault="00AC218D" w:rsidP="00C70FCF">
            <w:pPr>
              <w:suppressAutoHyphens/>
              <w:spacing w:before="12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Support a permanent dialogue mechanism: Public Private Dialogue </w:t>
            </w:r>
          </w:p>
        </w:tc>
        <w:tc>
          <w:tcPr>
            <w:tcW w:w="2144" w:type="dxa"/>
            <w:shd w:val="clear" w:color="auto" w:fill="92D050"/>
          </w:tcPr>
          <w:p w14:paraId="5C702638" w14:textId="77777777" w:rsidR="00AC218D" w:rsidRPr="008D2BF9" w:rsidRDefault="00AC218D" w:rsidP="00C70FCF">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color w:val="auto"/>
              </w:rPr>
            </w:pPr>
            <w:r w:rsidRPr="008D2BF9">
              <w:rPr>
                <w:rFonts w:asciiTheme="majorHAnsi" w:eastAsia="MS Gothic" w:hAnsiTheme="majorHAnsi" w:cs="Times New Roman"/>
                <w:bCs/>
                <w:color w:val="auto"/>
              </w:rPr>
              <w:t xml:space="preserve">Agree </w:t>
            </w:r>
          </w:p>
        </w:tc>
        <w:tc>
          <w:tcPr>
            <w:tcW w:w="2410" w:type="dxa"/>
            <w:tcBorders>
              <w:bottom w:val="single" w:sz="4" w:space="0" w:color="auto"/>
            </w:tcBorders>
            <w:shd w:val="clear" w:color="auto" w:fill="FBE4D5" w:themeFill="accent2" w:themeFillTint="33"/>
          </w:tcPr>
          <w:p w14:paraId="55772C2D" w14:textId="77777777" w:rsidR="00AC218D" w:rsidRPr="008D2BF9" w:rsidRDefault="00AC218D" w:rsidP="00C70FC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color w:val="auto"/>
                <w:lang w:val="en-GB"/>
              </w:rPr>
            </w:pPr>
          </w:p>
        </w:tc>
        <w:tc>
          <w:tcPr>
            <w:tcW w:w="5103" w:type="dxa"/>
            <w:shd w:val="clear" w:color="auto" w:fill="FBE4D5" w:themeFill="accent2" w:themeFillTint="33"/>
          </w:tcPr>
          <w:p w14:paraId="57E6ACFD" w14:textId="77777777" w:rsidR="00AC218D" w:rsidRPr="008D2BF9" w:rsidRDefault="00AC218D" w:rsidP="00C70FC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DFAT recognises the value of a permanent dialogue mechanism involving the Government of Fiji, the IFC and other development partners.  The Fiji Australia </w:t>
            </w:r>
            <w:proofErr w:type="spellStart"/>
            <w:r w:rsidRPr="008D2BF9">
              <w:rPr>
                <w:rFonts w:asciiTheme="majorHAnsi" w:eastAsia="Calibri Light" w:hAnsiTheme="majorHAnsi" w:cs="Times New Roman"/>
                <w:color w:val="auto"/>
                <w:lang w:val="en-GB"/>
              </w:rPr>
              <w:t>Vuvale</w:t>
            </w:r>
            <w:proofErr w:type="spellEnd"/>
            <w:r w:rsidRPr="008D2BF9">
              <w:rPr>
                <w:rFonts w:asciiTheme="majorHAnsi" w:eastAsia="Calibri Light" w:hAnsiTheme="majorHAnsi" w:cs="Times New Roman"/>
                <w:color w:val="auto"/>
                <w:lang w:val="en-GB"/>
              </w:rPr>
              <w:t xml:space="preserve"> Partnership welcomed “the establishment of annual Government-Business Working Groups and enhanced engagement between the Australia-Fiji and Fiji-Australia Business Councils to identify opportunities to expand trade and investment links”.  In partnership with the Government of Fiji, we will look for opportunities to progress dialogue on the business environment in Fiji once travel is able to resume.  </w:t>
            </w:r>
          </w:p>
        </w:tc>
        <w:tc>
          <w:tcPr>
            <w:tcW w:w="1843" w:type="dxa"/>
            <w:shd w:val="clear" w:color="auto" w:fill="FBE4D5" w:themeFill="accent2" w:themeFillTint="33"/>
          </w:tcPr>
          <w:p w14:paraId="47873C4D" w14:textId="77777777" w:rsidR="00AC218D" w:rsidRPr="008D2BF9" w:rsidRDefault="00AC218D" w:rsidP="00C70FC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Ongoing </w:t>
            </w:r>
          </w:p>
        </w:tc>
      </w:tr>
      <w:tr w:rsidR="00AC218D" w:rsidRPr="009E03F8" w14:paraId="10F57159" w14:textId="77777777" w:rsidTr="00C70F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58AF53A7" w14:textId="77777777" w:rsidR="00AC218D" w:rsidRPr="008D2BF9" w:rsidRDefault="00AC218D" w:rsidP="00C70FCF">
            <w:pPr>
              <w:keepNext/>
              <w:keepLines/>
              <w:suppressAutoHyphens/>
              <w:spacing w:before="480" w:after="120" w:line="360" w:lineRule="atLeast"/>
              <w:contextualSpacing/>
              <w:outlineLvl w:val="2"/>
              <w:rPr>
                <w:rFonts w:asciiTheme="majorHAnsi" w:eastAsia="MS Gothic" w:hAnsiTheme="majorHAnsi" w:cs="Times New Roman"/>
                <w:b/>
                <w:bCs/>
                <w:color w:val="auto"/>
              </w:rPr>
            </w:pPr>
            <w:r w:rsidRPr="008D2BF9">
              <w:rPr>
                <w:rFonts w:asciiTheme="majorHAnsi" w:eastAsia="MS Gothic" w:hAnsiTheme="majorHAnsi" w:cs="Times New Roman"/>
                <w:b/>
                <w:bCs/>
                <w:color w:val="auto"/>
              </w:rPr>
              <w:t>Recommendation 4</w:t>
            </w:r>
          </w:p>
          <w:p w14:paraId="59291106" w14:textId="77777777" w:rsidR="00AC218D" w:rsidRPr="008D2BF9" w:rsidRDefault="00AC218D" w:rsidP="00C70FCF">
            <w:pPr>
              <w:suppressAutoHyphens/>
              <w:spacing w:before="12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Taking care not to overburden counterparts </w:t>
            </w:r>
          </w:p>
        </w:tc>
        <w:tc>
          <w:tcPr>
            <w:tcW w:w="2144" w:type="dxa"/>
            <w:shd w:val="clear" w:color="auto" w:fill="92D050"/>
          </w:tcPr>
          <w:p w14:paraId="177EE77A" w14:textId="77777777" w:rsidR="00AC218D" w:rsidRPr="008D2BF9" w:rsidRDefault="00AC218D" w:rsidP="00C70FCF">
            <w:pPr>
              <w:keepNext/>
              <w:keepLines/>
              <w:suppressAutoHyphens/>
              <w:spacing w:before="480" w:after="120" w:line="360" w:lineRule="atLeast"/>
              <w:contextualSpacing/>
              <w:outlineLvl w:val="2"/>
              <w:cnfStyle w:val="000000010000" w:firstRow="0" w:lastRow="0" w:firstColumn="0" w:lastColumn="0" w:oddVBand="0" w:evenVBand="0" w:oddHBand="0" w:evenHBand="1" w:firstRowFirstColumn="0" w:firstRowLastColumn="0" w:lastRowFirstColumn="0" w:lastRowLastColumn="0"/>
              <w:rPr>
                <w:rFonts w:asciiTheme="majorHAnsi" w:eastAsia="MS Gothic" w:hAnsiTheme="majorHAnsi" w:cs="Times New Roman"/>
                <w:bCs/>
                <w:color w:val="auto"/>
              </w:rPr>
            </w:pPr>
            <w:r w:rsidRPr="008D2BF9">
              <w:rPr>
                <w:rFonts w:asciiTheme="majorHAnsi" w:eastAsia="MS Gothic" w:hAnsiTheme="majorHAnsi" w:cs="Times New Roman"/>
                <w:bCs/>
                <w:color w:val="auto"/>
              </w:rPr>
              <w:t xml:space="preserve">Agree </w:t>
            </w:r>
          </w:p>
        </w:tc>
        <w:tc>
          <w:tcPr>
            <w:tcW w:w="2410" w:type="dxa"/>
            <w:tcBorders>
              <w:top w:val="single" w:sz="4" w:space="0" w:color="auto"/>
            </w:tcBorders>
            <w:shd w:val="clear" w:color="auto" w:fill="FBE4D5" w:themeFill="accent2" w:themeFillTint="33"/>
          </w:tcPr>
          <w:p w14:paraId="7A82F40E" w14:textId="77777777" w:rsidR="00AC218D" w:rsidRPr="008D2BF9" w:rsidRDefault="00AC218D" w:rsidP="00C70FCF">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color w:val="auto"/>
                <w:lang w:val="en-GB"/>
              </w:rPr>
            </w:pPr>
          </w:p>
        </w:tc>
        <w:tc>
          <w:tcPr>
            <w:tcW w:w="5103" w:type="dxa"/>
            <w:shd w:val="clear" w:color="auto" w:fill="FBE4D5" w:themeFill="accent2" w:themeFillTint="33"/>
          </w:tcPr>
          <w:p w14:paraId="0CD9BAE5" w14:textId="77777777" w:rsidR="00AC218D" w:rsidRPr="008D2BF9" w:rsidRDefault="00AC218D" w:rsidP="00C70FCF">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DFAT will continue to prioritise the Government of Fiji’s participation in the steering committee, which we consider to be an efficient platform promoting full country ownership.  We are focussed on ensuring all partners in the partnership access regular and concise briefing on partnership activities.  We will also coordinate missions to avoid development partner fatigue.       </w:t>
            </w:r>
          </w:p>
        </w:tc>
        <w:tc>
          <w:tcPr>
            <w:tcW w:w="1843" w:type="dxa"/>
            <w:shd w:val="clear" w:color="auto" w:fill="FBE4D5" w:themeFill="accent2" w:themeFillTint="33"/>
          </w:tcPr>
          <w:p w14:paraId="17E395C5" w14:textId="77777777" w:rsidR="00AC218D" w:rsidRPr="008D2BF9" w:rsidRDefault="00AC218D" w:rsidP="00C70FCF">
            <w:pPr>
              <w:suppressAutoHyphens/>
              <w:spacing w:before="120"/>
              <w:cnfStyle w:val="000000010000" w:firstRow="0" w:lastRow="0" w:firstColumn="0" w:lastColumn="0" w:oddVBand="0" w:evenVBand="0" w:oddHBand="0" w:evenHBand="1"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Ongoing </w:t>
            </w:r>
          </w:p>
        </w:tc>
      </w:tr>
      <w:tr w:rsidR="00AC218D" w:rsidRPr="009E03F8" w14:paraId="6D650864" w14:textId="77777777" w:rsidTr="00C70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9" w:type="dxa"/>
          </w:tcPr>
          <w:p w14:paraId="330A2173" w14:textId="77777777" w:rsidR="00AC218D" w:rsidRPr="008D2BF9" w:rsidRDefault="00AC218D" w:rsidP="00C70FCF">
            <w:pPr>
              <w:keepNext/>
              <w:keepLines/>
              <w:suppressAutoHyphens/>
              <w:spacing w:before="480" w:after="120" w:line="360" w:lineRule="atLeast"/>
              <w:contextualSpacing/>
              <w:outlineLvl w:val="2"/>
              <w:rPr>
                <w:rFonts w:asciiTheme="majorHAnsi" w:eastAsia="MS Gothic" w:hAnsiTheme="majorHAnsi" w:cs="Times New Roman"/>
                <w:b/>
                <w:bCs/>
                <w:color w:val="auto"/>
              </w:rPr>
            </w:pPr>
            <w:r w:rsidRPr="008D2BF9">
              <w:rPr>
                <w:rFonts w:asciiTheme="majorHAnsi" w:eastAsia="MS Gothic" w:hAnsiTheme="majorHAnsi" w:cs="Times New Roman"/>
                <w:b/>
                <w:bCs/>
                <w:color w:val="auto"/>
              </w:rPr>
              <w:t xml:space="preserve">Recommendation 5 </w:t>
            </w:r>
          </w:p>
          <w:p w14:paraId="26B20282" w14:textId="77777777" w:rsidR="00AC218D" w:rsidRPr="008D2BF9" w:rsidRDefault="00AC218D" w:rsidP="00C70FCF">
            <w:pPr>
              <w:keepNext/>
              <w:keepLines/>
              <w:suppressAutoHyphens/>
              <w:spacing w:before="480" w:after="120" w:line="360" w:lineRule="atLeast"/>
              <w:contextualSpacing/>
              <w:outlineLvl w:val="2"/>
              <w:rPr>
                <w:rFonts w:asciiTheme="majorHAnsi" w:eastAsia="MS Gothic" w:hAnsiTheme="majorHAnsi" w:cs="Times New Roman"/>
                <w:bCs/>
                <w:color w:val="auto"/>
              </w:rPr>
            </w:pPr>
            <w:r w:rsidRPr="008D2BF9">
              <w:rPr>
                <w:rFonts w:asciiTheme="majorHAnsi" w:eastAsia="MS Gothic" w:hAnsiTheme="majorHAnsi" w:cs="Times New Roman"/>
                <w:bCs/>
                <w:color w:val="auto"/>
              </w:rPr>
              <w:t xml:space="preserve">More emphasis on communication </w:t>
            </w:r>
          </w:p>
        </w:tc>
        <w:tc>
          <w:tcPr>
            <w:tcW w:w="2144" w:type="dxa"/>
            <w:shd w:val="clear" w:color="auto" w:fill="92D050"/>
          </w:tcPr>
          <w:p w14:paraId="161704E1" w14:textId="77777777" w:rsidR="00AC218D" w:rsidRPr="008D2BF9" w:rsidRDefault="00AC218D" w:rsidP="00C70FCF">
            <w:pPr>
              <w:keepNext/>
              <w:keepLines/>
              <w:suppressAutoHyphens/>
              <w:spacing w:before="480" w:after="120" w:line="360" w:lineRule="atLeast"/>
              <w:contextualSpacing/>
              <w:outlineLvl w:val="2"/>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Times New Roman"/>
                <w:bCs/>
                <w:color w:val="auto"/>
              </w:rPr>
            </w:pPr>
            <w:r w:rsidRPr="008D2BF9">
              <w:rPr>
                <w:rFonts w:asciiTheme="majorHAnsi" w:eastAsia="MS Gothic" w:hAnsiTheme="majorHAnsi" w:cs="Times New Roman"/>
                <w:bCs/>
                <w:color w:val="auto"/>
              </w:rPr>
              <w:t>Agree</w:t>
            </w:r>
          </w:p>
        </w:tc>
        <w:tc>
          <w:tcPr>
            <w:tcW w:w="2410" w:type="dxa"/>
            <w:tcBorders>
              <w:top w:val="single" w:sz="4" w:space="0" w:color="auto"/>
            </w:tcBorders>
            <w:shd w:val="clear" w:color="auto" w:fill="FBE4D5" w:themeFill="accent2" w:themeFillTint="33"/>
          </w:tcPr>
          <w:p w14:paraId="0C22E270" w14:textId="77777777" w:rsidR="00AC218D" w:rsidRPr="008D2BF9" w:rsidRDefault="00AC218D" w:rsidP="00C70FC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color w:val="auto"/>
                <w:lang w:val="en-GB"/>
              </w:rPr>
            </w:pPr>
          </w:p>
        </w:tc>
        <w:tc>
          <w:tcPr>
            <w:tcW w:w="5103" w:type="dxa"/>
            <w:shd w:val="clear" w:color="auto" w:fill="FBE4D5" w:themeFill="accent2" w:themeFillTint="33"/>
          </w:tcPr>
          <w:p w14:paraId="3155AD18" w14:textId="77777777" w:rsidR="00AC218D" w:rsidRPr="008D2BF9" w:rsidRDefault="00AC218D" w:rsidP="00C70FC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DFAT will request the development of a communications plan associated with any future phases of the partnership.  This will identify opportunities for further engagement bringing together the Australian High Commission in Suva, the IFC, New Zealand and the Government of Fiji.   The communications plan will highlight key engagements to communicate program results. </w:t>
            </w:r>
          </w:p>
        </w:tc>
        <w:tc>
          <w:tcPr>
            <w:tcW w:w="1843" w:type="dxa"/>
            <w:shd w:val="clear" w:color="auto" w:fill="FBE4D5" w:themeFill="accent2" w:themeFillTint="33"/>
          </w:tcPr>
          <w:p w14:paraId="3EDE335B" w14:textId="77777777" w:rsidR="00AC218D" w:rsidRPr="008D2BF9" w:rsidRDefault="00AC218D" w:rsidP="00C70FCF">
            <w:pPr>
              <w:suppressAutoHyphens/>
              <w:spacing w:before="120"/>
              <w:cnfStyle w:val="000000100000" w:firstRow="0" w:lastRow="0" w:firstColumn="0" w:lastColumn="0" w:oddVBand="0" w:evenVBand="0" w:oddHBand="1" w:evenHBand="0" w:firstRowFirstColumn="0" w:firstRowLastColumn="0" w:lastRowFirstColumn="0" w:lastRowLastColumn="0"/>
              <w:rPr>
                <w:rFonts w:asciiTheme="majorHAnsi" w:eastAsia="Calibri Light" w:hAnsiTheme="majorHAnsi" w:cs="Times New Roman"/>
                <w:color w:val="auto"/>
                <w:lang w:val="en-GB"/>
              </w:rPr>
            </w:pPr>
            <w:r w:rsidRPr="008D2BF9">
              <w:rPr>
                <w:rFonts w:asciiTheme="majorHAnsi" w:eastAsia="Calibri Light" w:hAnsiTheme="majorHAnsi" w:cs="Times New Roman"/>
                <w:color w:val="auto"/>
                <w:lang w:val="en-GB"/>
              </w:rPr>
              <w:t xml:space="preserve">Ongoing </w:t>
            </w:r>
          </w:p>
        </w:tc>
      </w:tr>
    </w:tbl>
    <w:p w14:paraId="57FFD877" w14:textId="77777777" w:rsidR="00AC218D" w:rsidRPr="009E03F8" w:rsidRDefault="00AC218D" w:rsidP="0088769C">
      <w:pPr>
        <w:rPr>
          <w:rFonts w:asciiTheme="majorHAnsi" w:hAnsiTheme="majorHAnsi"/>
        </w:rPr>
      </w:pPr>
    </w:p>
    <w:sectPr w:rsidR="00AC218D" w:rsidRPr="009E03F8" w:rsidSect="00C220FA">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8C453" w14:textId="77777777" w:rsidR="006D27A9" w:rsidRDefault="006D27A9" w:rsidP="003872C3">
      <w:pPr>
        <w:spacing w:after="0" w:line="240" w:lineRule="auto"/>
      </w:pPr>
      <w:r>
        <w:separator/>
      </w:r>
    </w:p>
  </w:endnote>
  <w:endnote w:type="continuationSeparator" w:id="0">
    <w:p w14:paraId="012082EE" w14:textId="77777777" w:rsidR="006D27A9" w:rsidRDefault="006D27A9" w:rsidP="0038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F3D4B" w14:textId="77777777" w:rsidR="006D27A9" w:rsidRDefault="006D27A9" w:rsidP="003872C3">
      <w:pPr>
        <w:spacing w:after="0" w:line="240" w:lineRule="auto"/>
      </w:pPr>
      <w:r>
        <w:separator/>
      </w:r>
    </w:p>
  </w:footnote>
  <w:footnote w:type="continuationSeparator" w:id="0">
    <w:p w14:paraId="177D2295" w14:textId="77777777" w:rsidR="006D27A9" w:rsidRDefault="006D27A9" w:rsidP="00387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82778" w14:textId="77777777" w:rsidR="00C220FA" w:rsidRPr="00C220FA" w:rsidRDefault="00C220FA" w:rsidP="00C220FA">
    <w:pPr>
      <w:suppressAutoHyphens/>
      <w:spacing w:before="120" w:after="60" w:line="260" w:lineRule="atLeast"/>
      <w:jc w:val="both"/>
      <w:rPr>
        <w:rFonts w:ascii="Calibri Light" w:eastAsia="Calibri Light" w:hAnsi="Calibri Light" w:cs="Times New Roman"/>
        <w:b/>
        <w:lang w:val="en-GB"/>
      </w:rPr>
    </w:pPr>
    <w:r w:rsidRPr="00C220FA">
      <w:rPr>
        <w:rFonts w:ascii="Calibri" w:eastAsia="MS Gothic" w:hAnsi="Calibri" w:cs="Times New Roman"/>
        <w:b/>
        <w:bCs/>
        <w:sz w:val="30"/>
        <w:szCs w:val="26"/>
      </w:rPr>
      <w:t>Individual management response to the recommendations</w:t>
    </w:r>
  </w:p>
  <w:p w14:paraId="380F1125" w14:textId="77777777" w:rsidR="00C220FA" w:rsidRDefault="00C220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6" w:nlCheck="1" w:checkStyle="0"/>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2F"/>
    <w:rsid w:val="000302B5"/>
    <w:rsid w:val="0004278B"/>
    <w:rsid w:val="00071351"/>
    <w:rsid w:val="00091644"/>
    <w:rsid w:val="000A0059"/>
    <w:rsid w:val="000D1447"/>
    <w:rsid w:val="000F2406"/>
    <w:rsid w:val="00103493"/>
    <w:rsid w:val="0011472C"/>
    <w:rsid w:val="00142626"/>
    <w:rsid w:val="00161E22"/>
    <w:rsid w:val="001803EF"/>
    <w:rsid w:val="001C1236"/>
    <w:rsid w:val="001C7F45"/>
    <w:rsid w:val="00217F2E"/>
    <w:rsid w:val="00240547"/>
    <w:rsid w:val="002D0838"/>
    <w:rsid w:val="002D4699"/>
    <w:rsid w:val="002D68FE"/>
    <w:rsid w:val="002F7E81"/>
    <w:rsid w:val="003065FE"/>
    <w:rsid w:val="003872C3"/>
    <w:rsid w:val="003960B3"/>
    <w:rsid w:val="003B40EF"/>
    <w:rsid w:val="003C3898"/>
    <w:rsid w:val="004044EF"/>
    <w:rsid w:val="00405A85"/>
    <w:rsid w:val="00445746"/>
    <w:rsid w:val="004632DB"/>
    <w:rsid w:val="00472AF4"/>
    <w:rsid w:val="004B51C3"/>
    <w:rsid w:val="005023E6"/>
    <w:rsid w:val="00503A99"/>
    <w:rsid w:val="00536BE4"/>
    <w:rsid w:val="00541AD8"/>
    <w:rsid w:val="005A1DBE"/>
    <w:rsid w:val="005E6D10"/>
    <w:rsid w:val="006171C1"/>
    <w:rsid w:val="00631749"/>
    <w:rsid w:val="006535EB"/>
    <w:rsid w:val="006D27A9"/>
    <w:rsid w:val="006D3B25"/>
    <w:rsid w:val="006D5DE9"/>
    <w:rsid w:val="006E470F"/>
    <w:rsid w:val="006F7764"/>
    <w:rsid w:val="00761706"/>
    <w:rsid w:val="007B4FF6"/>
    <w:rsid w:val="007D0B7D"/>
    <w:rsid w:val="007D1DEB"/>
    <w:rsid w:val="007E51D2"/>
    <w:rsid w:val="007F0E70"/>
    <w:rsid w:val="00801967"/>
    <w:rsid w:val="00801F32"/>
    <w:rsid w:val="00827C88"/>
    <w:rsid w:val="008444A9"/>
    <w:rsid w:val="0088769C"/>
    <w:rsid w:val="008C4083"/>
    <w:rsid w:val="008D2BF9"/>
    <w:rsid w:val="0093491B"/>
    <w:rsid w:val="00945D4C"/>
    <w:rsid w:val="009512A0"/>
    <w:rsid w:val="009558A9"/>
    <w:rsid w:val="00971123"/>
    <w:rsid w:val="009B2D12"/>
    <w:rsid w:val="009D1AEC"/>
    <w:rsid w:val="009D6A98"/>
    <w:rsid w:val="009E03F8"/>
    <w:rsid w:val="00AC218D"/>
    <w:rsid w:val="00AD33C0"/>
    <w:rsid w:val="00B245AC"/>
    <w:rsid w:val="00B40034"/>
    <w:rsid w:val="00BA2B5B"/>
    <w:rsid w:val="00BB1A6D"/>
    <w:rsid w:val="00BB3F59"/>
    <w:rsid w:val="00BD38E5"/>
    <w:rsid w:val="00C13B52"/>
    <w:rsid w:val="00C220FA"/>
    <w:rsid w:val="00C641BA"/>
    <w:rsid w:val="00C83729"/>
    <w:rsid w:val="00C860D3"/>
    <w:rsid w:val="00C94DD5"/>
    <w:rsid w:val="00CA07E8"/>
    <w:rsid w:val="00CB4D90"/>
    <w:rsid w:val="00CE2DD5"/>
    <w:rsid w:val="00D1072F"/>
    <w:rsid w:val="00D32B29"/>
    <w:rsid w:val="00D4016E"/>
    <w:rsid w:val="00D63B82"/>
    <w:rsid w:val="00D6790F"/>
    <w:rsid w:val="00D86196"/>
    <w:rsid w:val="00DD39FE"/>
    <w:rsid w:val="00E11ED4"/>
    <w:rsid w:val="00E51691"/>
    <w:rsid w:val="00E642B1"/>
    <w:rsid w:val="00E67FF5"/>
    <w:rsid w:val="00EF7390"/>
    <w:rsid w:val="00F17A4C"/>
    <w:rsid w:val="00F33ED4"/>
    <w:rsid w:val="00F72594"/>
    <w:rsid w:val="00F76D79"/>
    <w:rsid w:val="00FA0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BED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245AC"/>
    <w:pPr>
      <w:keepNext/>
      <w:keepLines/>
      <w:suppressAutoHyphens/>
      <w:spacing w:before="480" w:after="120" w:line="360" w:lineRule="atLeast"/>
      <w:contextualSpacing/>
      <w:outlineLvl w:val="1"/>
    </w:pPr>
    <w:rPr>
      <w:rFonts w:ascii="Calibri" w:eastAsia="MS Gothic" w:hAnsi="Calibri" w:cs="Times New Roman"/>
      <w:b/>
      <w:bCs/>
      <w:sz w:val="30"/>
      <w:szCs w:val="26"/>
    </w:rPr>
  </w:style>
  <w:style w:type="paragraph" w:styleId="Heading3">
    <w:name w:val="heading 3"/>
    <w:basedOn w:val="Heading2"/>
    <w:next w:val="Normal"/>
    <w:link w:val="Heading3Char"/>
    <w:unhideWhenUsed/>
    <w:qFormat/>
    <w:rsid w:val="004632DB"/>
    <w:pPr>
      <w:outlineLvl w:val="2"/>
    </w:pPr>
    <w:rPr>
      <w:bCs w:val="0"/>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FATTable1">
    <w:name w:val="DFAT Table 1"/>
    <w:basedOn w:val="TableNormal"/>
    <w:uiPriority w:val="99"/>
    <w:rsid w:val="00D1072F"/>
    <w:pPr>
      <w:spacing w:before="60" w:after="60" w:line="260" w:lineRule="atLeast"/>
    </w:pPr>
    <w:rPr>
      <w:rFonts w:ascii="Calibri" w:hAnsi="Calibri"/>
      <w:color w:val="49596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D3875F"/>
          <w:bottom w:val="single" w:sz="4" w:space="0" w:color="D3875F"/>
          <w:insideH w:val="single" w:sz="4" w:space="0" w:color="D3875F"/>
        </w:tcBorders>
        <w:shd w:val="clear" w:color="auto" w:fill="D3875F"/>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F6E6DE"/>
      </w:tcPr>
    </w:tblStylePr>
    <w:tblStylePr w:type="band2Vert">
      <w:tblPr/>
      <w:tcPr>
        <w:shd w:val="clear" w:color="auto" w:fill="EDCEBE"/>
      </w:tcPr>
    </w:tblStylePr>
    <w:tblStylePr w:type="band1Horz">
      <w:tblPr/>
      <w:tcPr>
        <w:shd w:val="clear" w:color="auto" w:fill="F6E6DE"/>
      </w:tcPr>
    </w:tblStylePr>
    <w:tblStylePr w:type="band2Horz">
      <w:tblPr/>
      <w:tcPr>
        <w:shd w:val="clear" w:color="auto" w:fill="EDCEBE"/>
      </w:tcPr>
    </w:tblStylePr>
  </w:style>
  <w:style w:type="character" w:customStyle="1" w:styleId="Heading3Char">
    <w:name w:val="Heading 3 Char"/>
    <w:basedOn w:val="DefaultParagraphFont"/>
    <w:link w:val="Heading3"/>
    <w:rsid w:val="004632DB"/>
    <w:rPr>
      <w:rFonts w:asciiTheme="majorHAnsi" w:eastAsiaTheme="majorEastAsia" w:hAnsiTheme="majorHAnsi" w:cstheme="majorBidi"/>
      <w:bCs/>
      <w:color w:val="44546A" w:themeColor="text2"/>
      <w:sz w:val="30"/>
      <w:szCs w:val="26"/>
    </w:rPr>
  </w:style>
  <w:style w:type="character" w:customStyle="1" w:styleId="Heading2Char">
    <w:name w:val="Heading 2 Char"/>
    <w:basedOn w:val="DefaultParagraphFont"/>
    <w:link w:val="Heading2"/>
    <w:uiPriority w:val="9"/>
    <w:rsid w:val="00B245AC"/>
    <w:rPr>
      <w:rFonts w:ascii="Calibri" w:eastAsia="MS Gothic" w:hAnsi="Calibri" w:cs="Times New Roman"/>
      <w:b/>
      <w:bCs/>
      <w:sz w:val="30"/>
      <w:szCs w:val="26"/>
    </w:rPr>
  </w:style>
  <w:style w:type="paragraph" w:styleId="EndnoteText">
    <w:name w:val="endnote text"/>
    <w:basedOn w:val="Normal"/>
    <w:link w:val="EndnoteTextChar"/>
    <w:uiPriority w:val="99"/>
    <w:semiHidden/>
    <w:unhideWhenUsed/>
    <w:rsid w:val="003872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72C3"/>
    <w:rPr>
      <w:sz w:val="20"/>
      <w:szCs w:val="20"/>
    </w:rPr>
  </w:style>
  <w:style w:type="character" w:styleId="EndnoteReference">
    <w:name w:val="endnote reference"/>
    <w:basedOn w:val="DefaultParagraphFont"/>
    <w:uiPriority w:val="99"/>
    <w:semiHidden/>
    <w:unhideWhenUsed/>
    <w:rsid w:val="003872C3"/>
    <w:rPr>
      <w:vertAlign w:val="superscript"/>
    </w:rPr>
  </w:style>
  <w:style w:type="paragraph" w:styleId="FootnoteText">
    <w:name w:val="footnote text"/>
    <w:basedOn w:val="Normal"/>
    <w:link w:val="FootnoteTextChar"/>
    <w:uiPriority w:val="99"/>
    <w:semiHidden/>
    <w:unhideWhenUsed/>
    <w:rsid w:val="00387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2C3"/>
    <w:rPr>
      <w:sz w:val="20"/>
      <w:szCs w:val="20"/>
    </w:rPr>
  </w:style>
  <w:style w:type="character" w:styleId="FootnoteReference">
    <w:name w:val="footnote reference"/>
    <w:basedOn w:val="DefaultParagraphFont"/>
    <w:uiPriority w:val="99"/>
    <w:semiHidden/>
    <w:unhideWhenUsed/>
    <w:rsid w:val="003872C3"/>
    <w:rPr>
      <w:vertAlign w:val="superscript"/>
    </w:rPr>
  </w:style>
  <w:style w:type="character" w:styleId="CommentReference">
    <w:name w:val="annotation reference"/>
    <w:basedOn w:val="DefaultParagraphFont"/>
    <w:uiPriority w:val="99"/>
    <w:semiHidden/>
    <w:unhideWhenUsed/>
    <w:rsid w:val="003C3898"/>
    <w:rPr>
      <w:sz w:val="16"/>
      <w:szCs w:val="16"/>
    </w:rPr>
  </w:style>
  <w:style w:type="paragraph" w:styleId="CommentText">
    <w:name w:val="annotation text"/>
    <w:basedOn w:val="Normal"/>
    <w:link w:val="CommentTextChar"/>
    <w:uiPriority w:val="99"/>
    <w:semiHidden/>
    <w:unhideWhenUsed/>
    <w:rsid w:val="003C3898"/>
    <w:pPr>
      <w:spacing w:line="240" w:lineRule="auto"/>
    </w:pPr>
    <w:rPr>
      <w:sz w:val="20"/>
      <w:szCs w:val="20"/>
    </w:rPr>
  </w:style>
  <w:style w:type="character" w:customStyle="1" w:styleId="CommentTextChar">
    <w:name w:val="Comment Text Char"/>
    <w:basedOn w:val="DefaultParagraphFont"/>
    <w:link w:val="CommentText"/>
    <w:uiPriority w:val="99"/>
    <w:semiHidden/>
    <w:rsid w:val="003C3898"/>
    <w:rPr>
      <w:sz w:val="20"/>
      <w:szCs w:val="20"/>
    </w:rPr>
  </w:style>
  <w:style w:type="paragraph" w:styleId="CommentSubject">
    <w:name w:val="annotation subject"/>
    <w:basedOn w:val="CommentText"/>
    <w:next w:val="CommentText"/>
    <w:link w:val="CommentSubjectChar"/>
    <w:uiPriority w:val="99"/>
    <w:semiHidden/>
    <w:unhideWhenUsed/>
    <w:rsid w:val="003C3898"/>
    <w:rPr>
      <w:b/>
      <w:bCs/>
    </w:rPr>
  </w:style>
  <w:style w:type="character" w:customStyle="1" w:styleId="CommentSubjectChar">
    <w:name w:val="Comment Subject Char"/>
    <w:basedOn w:val="CommentTextChar"/>
    <w:link w:val="CommentSubject"/>
    <w:uiPriority w:val="99"/>
    <w:semiHidden/>
    <w:rsid w:val="003C3898"/>
    <w:rPr>
      <w:b/>
      <w:bCs/>
      <w:sz w:val="20"/>
      <w:szCs w:val="20"/>
    </w:rPr>
  </w:style>
  <w:style w:type="paragraph" w:styleId="BalloonText">
    <w:name w:val="Balloon Text"/>
    <w:basedOn w:val="Normal"/>
    <w:link w:val="BalloonTextChar"/>
    <w:uiPriority w:val="99"/>
    <w:semiHidden/>
    <w:unhideWhenUsed/>
    <w:rsid w:val="003C3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898"/>
    <w:rPr>
      <w:rFonts w:ascii="Segoe UI" w:hAnsi="Segoe UI" w:cs="Segoe UI"/>
      <w:sz w:val="18"/>
      <w:szCs w:val="18"/>
    </w:rPr>
  </w:style>
  <w:style w:type="paragraph" w:styleId="Revision">
    <w:name w:val="Revision"/>
    <w:hidden/>
    <w:uiPriority w:val="99"/>
    <w:semiHidden/>
    <w:rsid w:val="00BB1A6D"/>
    <w:pPr>
      <w:spacing w:after="0" w:line="240" w:lineRule="auto"/>
    </w:pPr>
  </w:style>
  <w:style w:type="paragraph" w:styleId="Header">
    <w:name w:val="header"/>
    <w:basedOn w:val="Normal"/>
    <w:link w:val="HeaderChar"/>
    <w:uiPriority w:val="99"/>
    <w:unhideWhenUsed/>
    <w:rsid w:val="00C22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0FA"/>
  </w:style>
  <w:style w:type="paragraph" w:styleId="Footer">
    <w:name w:val="footer"/>
    <w:basedOn w:val="Normal"/>
    <w:link w:val="FooterChar"/>
    <w:uiPriority w:val="99"/>
    <w:unhideWhenUsed/>
    <w:rsid w:val="00C22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0FA"/>
  </w:style>
  <w:style w:type="paragraph" w:styleId="Title">
    <w:name w:val="Title"/>
    <w:basedOn w:val="Normal"/>
    <w:next w:val="Normal"/>
    <w:link w:val="TitleChar"/>
    <w:uiPriority w:val="10"/>
    <w:qFormat/>
    <w:rsid w:val="00B245AC"/>
    <w:pPr>
      <w:keepNext/>
      <w:keepLines/>
      <w:suppressAutoHyphens/>
      <w:spacing w:before="300" w:after="300" w:line="380" w:lineRule="exact"/>
      <w:contextualSpacing/>
      <w:outlineLvl w:val="0"/>
    </w:pPr>
    <w:rPr>
      <w:rFonts w:ascii="Calibri" w:eastAsia="MS Gothic" w:hAnsi="Calibri" w:cs="Times New Roman"/>
      <w:b/>
      <w:bCs/>
      <w:caps/>
      <w:sz w:val="38"/>
      <w:szCs w:val="28"/>
      <w:lang w:val="en-GB"/>
    </w:rPr>
  </w:style>
  <w:style w:type="character" w:customStyle="1" w:styleId="TitleChar">
    <w:name w:val="Title Char"/>
    <w:basedOn w:val="DefaultParagraphFont"/>
    <w:link w:val="Title"/>
    <w:uiPriority w:val="10"/>
    <w:rsid w:val="00B245AC"/>
    <w:rPr>
      <w:rFonts w:ascii="Calibri" w:eastAsia="MS Gothic" w:hAnsi="Calibri" w:cs="Times New Roman"/>
      <w:b/>
      <w:bCs/>
      <w:caps/>
      <w:sz w:val="3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124011">
      <w:bodyDiv w:val="1"/>
      <w:marLeft w:val="0"/>
      <w:marRight w:val="0"/>
      <w:marTop w:val="0"/>
      <w:marBottom w:val="0"/>
      <w:divBdr>
        <w:top w:val="none" w:sz="0" w:space="0" w:color="auto"/>
        <w:left w:val="none" w:sz="0" w:space="0" w:color="auto"/>
        <w:bottom w:val="none" w:sz="0" w:space="0" w:color="auto"/>
        <w:right w:val="none" w:sz="0" w:space="0" w:color="auto"/>
      </w:divBdr>
    </w:div>
    <w:div w:id="1071924776">
      <w:bodyDiv w:val="1"/>
      <w:marLeft w:val="0"/>
      <w:marRight w:val="0"/>
      <w:marTop w:val="0"/>
      <w:marBottom w:val="0"/>
      <w:divBdr>
        <w:top w:val="none" w:sz="0" w:space="0" w:color="auto"/>
        <w:left w:val="none" w:sz="0" w:space="0" w:color="auto"/>
        <w:bottom w:val="none" w:sz="0" w:space="0" w:color="auto"/>
        <w:right w:val="none" w:sz="0" w:space="0" w:color="auto"/>
      </w:divBdr>
    </w:div>
    <w:div w:id="20405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6E24-92A3-44BA-AB1B-C7530D63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7602</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cp:keywords>
  <dc:description/>
  <cp:lastModifiedBy/>
  <cp:revision>1</cp:revision>
  <dcterms:created xsi:type="dcterms:W3CDTF">2021-11-23T05:05:00Z</dcterms:created>
  <dcterms:modified xsi:type="dcterms:W3CDTF">2021-11-23T05:07:00Z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B51D97395B8745358F3994E69042D3CD</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2021-11-23T05:07:07Z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399BE1254662C922693CE0F155AA308E</vt:lpwstr>
  </property>
  <property fmtid="{D5CDD505-2E9C-101B-9397-08002B2CF9AE}" pid="20" name="PM_Hash_Salt">
    <vt:lpwstr>6879BF8841284EC4476C447F3CCFE087</vt:lpwstr>
  </property>
  <property fmtid="{D5CDD505-2E9C-101B-9397-08002B2CF9AE}" pid="21" name="PM_Hash_SHA1">
    <vt:lpwstr>D7E97D89237CB6CA10F2411AD379EE53BAAED42C</vt:lpwstr>
  </property>
  <property fmtid="{D5CDD505-2E9C-101B-9397-08002B2CF9AE}" pid="22" name="PM_SecurityClassification_Prev">
    <vt:lpwstr>OFFICIAL</vt:lpwstr>
  </property>
  <property fmtid="{D5CDD505-2E9C-101B-9397-08002B2CF9AE}" pid="23" name="PM_Qualifier_Prev">
    <vt:lpwstr/>
  </property>
</Properties>
</file>