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5CC8" w14:textId="3FA44F26" w:rsidR="003D60F5" w:rsidRPr="001C1B82" w:rsidRDefault="003D60F5" w:rsidP="001C1B82">
      <w:pPr>
        <w:pStyle w:val="Heading1"/>
      </w:pPr>
      <w:r w:rsidRPr="001C1B82">
        <w:t>Fiji Recovery and resilience budget support 2020-2023</w:t>
      </w:r>
    </w:p>
    <w:p w14:paraId="3BCB3BB9" w14:textId="77777777" w:rsidR="003D60F5" w:rsidRPr="001C1B82" w:rsidRDefault="003D60F5" w:rsidP="001C1B82">
      <w:pPr>
        <w:pStyle w:val="Heading1"/>
      </w:pPr>
      <w:r w:rsidRPr="001C1B82">
        <w:t>management comments</w:t>
      </w:r>
    </w:p>
    <w:p w14:paraId="5145504F" w14:textId="5C9409C7" w:rsidR="006A0252" w:rsidRDefault="00440C8E" w:rsidP="003C4E62">
      <w:pPr>
        <w:pStyle w:val="NormalWeb"/>
        <w:shd w:val="clear" w:color="auto" w:fill="FFFFFF"/>
        <w:jc w:val="both"/>
        <w:rPr>
          <w:rFonts w:asciiTheme="minorHAnsi" w:hAnsiTheme="minorHAnsi" w:cstheme="minorHAnsi"/>
          <w:sz w:val="22"/>
          <w:szCs w:val="22"/>
        </w:rPr>
      </w:pPr>
      <w:r>
        <w:rPr>
          <w:rFonts w:asciiTheme="minorHAnsi" w:hAnsiTheme="minorHAnsi" w:cstheme="minorHAnsi"/>
          <w:color w:val="313131"/>
          <w:sz w:val="22"/>
          <w:szCs w:val="22"/>
        </w:rPr>
        <w:t xml:space="preserve">The Fiji Recovery and Resilience Budget Support Program was developed prior to the COVID-19 pandemic, with an aim of supporting the Government of Fiji’s </w:t>
      </w:r>
      <w:r w:rsidR="00105000">
        <w:rPr>
          <w:rFonts w:asciiTheme="minorHAnsi" w:hAnsiTheme="minorHAnsi" w:cstheme="minorHAnsi"/>
          <w:color w:val="313131"/>
          <w:sz w:val="22"/>
          <w:szCs w:val="22"/>
        </w:rPr>
        <w:t xml:space="preserve">economic and social </w:t>
      </w:r>
      <w:r>
        <w:rPr>
          <w:rFonts w:asciiTheme="minorHAnsi" w:hAnsiTheme="minorHAnsi" w:cstheme="minorHAnsi"/>
          <w:color w:val="313131"/>
          <w:sz w:val="22"/>
          <w:szCs w:val="22"/>
        </w:rPr>
        <w:t xml:space="preserve">reform priorities. </w:t>
      </w:r>
      <w:r w:rsidR="00105000">
        <w:rPr>
          <w:rFonts w:asciiTheme="minorHAnsi" w:hAnsiTheme="minorHAnsi" w:cstheme="minorHAnsi"/>
          <w:color w:val="313131"/>
          <w:sz w:val="22"/>
          <w:szCs w:val="22"/>
        </w:rPr>
        <w:t xml:space="preserve">As the pandemic evolved, Australia announced </w:t>
      </w:r>
      <w:r w:rsidR="00371B4A">
        <w:rPr>
          <w:rFonts w:asciiTheme="minorHAnsi" w:hAnsiTheme="minorHAnsi" w:cstheme="minorHAnsi"/>
          <w:color w:val="313131"/>
          <w:sz w:val="22"/>
          <w:szCs w:val="22"/>
        </w:rPr>
        <w:t>the</w:t>
      </w:r>
      <w:r w:rsidR="005B4071">
        <w:rPr>
          <w:rFonts w:asciiTheme="minorHAnsi" w:hAnsiTheme="minorHAnsi" w:cstheme="minorHAnsi"/>
          <w:color w:val="313131"/>
          <w:sz w:val="22"/>
          <w:szCs w:val="22"/>
        </w:rPr>
        <w:t xml:space="preserve"> </w:t>
      </w:r>
      <w:r w:rsidR="00105000">
        <w:rPr>
          <w:rFonts w:asciiTheme="minorHAnsi" w:hAnsiTheme="minorHAnsi" w:cstheme="minorHAnsi"/>
          <w:color w:val="313131"/>
          <w:sz w:val="22"/>
          <w:szCs w:val="22"/>
        </w:rPr>
        <w:t>AU</w:t>
      </w:r>
      <w:r w:rsidR="00105000" w:rsidRPr="00B83E5F">
        <w:rPr>
          <w:rFonts w:asciiTheme="minorHAnsi" w:hAnsiTheme="minorHAnsi" w:cstheme="minorHAnsi"/>
          <w:color w:val="313131"/>
          <w:sz w:val="22"/>
          <w:szCs w:val="22"/>
        </w:rPr>
        <w:t xml:space="preserve">$100 million Pacific and Timor-Leste </w:t>
      </w:r>
      <w:r w:rsidR="006A0252">
        <w:rPr>
          <w:rFonts w:asciiTheme="minorHAnsi" w:hAnsiTheme="minorHAnsi" w:cstheme="minorHAnsi"/>
          <w:color w:val="313131"/>
          <w:sz w:val="22"/>
          <w:szCs w:val="22"/>
        </w:rPr>
        <w:t xml:space="preserve">Immediate </w:t>
      </w:r>
      <w:r w:rsidR="00105000" w:rsidRPr="00B83E5F">
        <w:rPr>
          <w:rFonts w:asciiTheme="minorHAnsi" w:hAnsiTheme="minorHAnsi" w:cstheme="minorHAnsi"/>
          <w:color w:val="313131"/>
          <w:sz w:val="22"/>
          <w:szCs w:val="22"/>
        </w:rPr>
        <w:t xml:space="preserve">Response Package </w:t>
      </w:r>
      <w:r w:rsidR="00105000">
        <w:rPr>
          <w:rFonts w:asciiTheme="minorHAnsi" w:hAnsiTheme="minorHAnsi" w:cstheme="minorHAnsi"/>
          <w:color w:val="313131"/>
          <w:sz w:val="22"/>
          <w:szCs w:val="22"/>
        </w:rPr>
        <w:t xml:space="preserve">that was </w:t>
      </w:r>
      <w:r w:rsidR="00105000" w:rsidRPr="00B83E5F">
        <w:rPr>
          <w:rFonts w:asciiTheme="minorHAnsi" w:hAnsiTheme="minorHAnsi" w:cstheme="minorHAnsi"/>
          <w:color w:val="313131"/>
          <w:sz w:val="22"/>
          <w:szCs w:val="22"/>
        </w:rPr>
        <w:t>delivered in 2019-20</w:t>
      </w:r>
      <w:r w:rsidR="00105000">
        <w:rPr>
          <w:rFonts w:asciiTheme="minorHAnsi" w:hAnsiTheme="minorHAnsi" w:cstheme="minorHAnsi"/>
          <w:color w:val="313131"/>
          <w:sz w:val="22"/>
          <w:szCs w:val="22"/>
        </w:rPr>
        <w:t xml:space="preserve"> to</w:t>
      </w:r>
      <w:r w:rsidR="00105000" w:rsidRPr="00B83E5F">
        <w:rPr>
          <w:rFonts w:asciiTheme="minorHAnsi" w:hAnsiTheme="minorHAnsi" w:cstheme="minorHAnsi"/>
          <w:color w:val="313131"/>
          <w:sz w:val="22"/>
          <w:szCs w:val="22"/>
        </w:rPr>
        <w:t xml:space="preserve"> provide immediate crisis financing</w:t>
      </w:r>
      <w:r w:rsidR="00091B96">
        <w:rPr>
          <w:rFonts w:asciiTheme="minorHAnsi" w:hAnsiTheme="minorHAnsi" w:cstheme="minorHAnsi"/>
          <w:color w:val="313131"/>
          <w:sz w:val="22"/>
          <w:szCs w:val="22"/>
        </w:rPr>
        <w:t xml:space="preserve">. </w:t>
      </w:r>
      <w:r w:rsidR="006A0252" w:rsidRPr="006361C9">
        <w:rPr>
          <w:rFonts w:asciiTheme="minorHAnsi" w:hAnsiTheme="minorHAnsi" w:cstheme="minorHAnsi"/>
          <w:sz w:val="22"/>
          <w:szCs w:val="22"/>
        </w:rPr>
        <w:t xml:space="preserve">The Pacific COVID-19 Fiscal and Budget Support (FBS) Package </w:t>
      </w:r>
      <w:r w:rsidR="006A0252" w:rsidRPr="00A96273">
        <w:rPr>
          <w:rFonts w:asciiTheme="minorHAnsi" w:hAnsiTheme="minorHAnsi" w:cstheme="minorHAnsi"/>
          <w:sz w:val="22"/>
          <w:szCs w:val="22"/>
        </w:rPr>
        <w:t>was established following the Immediate Response Package to</w:t>
      </w:r>
      <w:r w:rsidR="006A0252" w:rsidRPr="006361C9">
        <w:rPr>
          <w:rFonts w:asciiTheme="minorHAnsi" w:hAnsiTheme="minorHAnsi" w:cstheme="minorHAnsi"/>
          <w:sz w:val="22"/>
          <w:szCs w:val="22"/>
        </w:rPr>
        <w:t xml:space="preserve"> </w:t>
      </w:r>
      <w:r w:rsidR="00C81BE6">
        <w:rPr>
          <w:rFonts w:asciiTheme="minorHAnsi" w:hAnsiTheme="minorHAnsi" w:cstheme="minorHAnsi"/>
          <w:sz w:val="22"/>
          <w:szCs w:val="22"/>
        </w:rPr>
        <w:t xml:space="preserve">support Pacific Island Countries </w:t>
      </w:r>
      <w:r w:rsidR="006A0252" w:rsidRPr="006361C9">
        <w:rPr>
          <w:rFonts w:asciiTheme="minorHAnsi" w:hAnsiTheme="minorHAnsi" w:cstheme="minorHAnsi"/>
          <w:sz w:val="22"/>
          <w:szCs w:val="22"/>
        </w:rPr>
        <w:t>weather the economic impacts of COVID-19 and position the region for recovery.</w:t>
      </w:r>
      <w:r w:rsidR="00091B96">
        <w:rPr>
          <w:rFonts w:asciiTheme="minorHAnsi" w:hAnsiTheme="minorHAnsi" w:cstheme="minorHAnsi"/>
          <w:sz w:val="22"/>
          <w:szCs w:val="22"/>
        </w:rPr>
        <w:t xml:space="preserve"> </w:t>
      </w:r>
    </w:p>
    <w:p w14:paraId="02BF7297" w14:textId="5748EC79" w:rsidR="005826E0" w:rsidRDefault="005B4071" w:rsidP="003C4E62">
      <w:pPr>
        <w:spacing w:after="0"/>
        <w:jc w:val="both"/>
        <w:rPr>
          <w:rFonts w:cstheme="minorHAnsi"/>
        </w:rPr>
      </w:pPr>
      <w:r>
        <w:rPr>
          <w:rFonts w:cstheme="minorHAnsi"/>
        </w:rPr>
        <w:t xml:space="preserve">The </w:t>
      </w:r>
      <w:r w:rsidR="006361C9">
        <w:rPr>
          <w:rFonts w:cstheme="minorHAnsi"/>
        </w:rPr>
        <w:t>FBS</w:t>
      </w:r>
      <w:r w:rsidR="006361C9" w:rsidRPr="00A10012">
        <w:rPr>
          <w:rFonts w:cstheme="minorHAnsi"/>
        </w:rPr>
        <w:t xml:space="preserve"> primarily provided general </w:t>
      </w:r>
      <w:r w:rsidR="006361C9">
        <w:rPr>
          <w:rFonts w:cstheme="minorHAnsi"/>
        </w:rPr>
        <w:t>budget support</w:t>
      </w:r>
      <w:r>
        <w:rPr>
          <w:rFonts w:cstheme="minorHAnsi"/>
        </w:rPr>
        <w:t xml:space="preserve"> linked to</w:t>
      </w:r>
      <w:r w:rsidR="00192082">
        <w:rPr>
          <w:rFonts w:cstheme="minorHAnsi"/>
        </w:rPr>
        <w:t xml:space="preserve"> the Government of </w:t>
      </w:r>
      <w:r w:rsidR="003C4E62">
        <w:rPr>
          <w:rFonts w:cstheme="minorHAnsi"/>
        </w:rPr>
        <w:t>Fiji’s reform</w:t>
      </w:r>
      <w:r w:rsidR="00192082">
        <w:rPr>
          <w:rFonts w:cstheme="minorHAnsi"/>
        </w:rPr>
        <w:t xml:space="preserve"> priorities</w:t>
      </w:r>
      <w:r w:rsidR="006361C9">
        <w:rPr>
          <w:rFonts w:cstheme="minorHAnsi"/>
        </w:rPr>
        <w:t>. Over three years (</w:t>
      </w:r>
      <w:r w:rsidR="003C4E62">
        <w:rPr>
          <w:rFonts w:cstheme="minorHAnsi"/>
        </w:rPr>
        <w:t>FY</w:t>
      </w:r>
      <w:r w:rsidR="006361C9">
        <w:rPr>
          <w:rFonts w:cstheme="minorHAnsi"/>
        </w:rPr>
        <w:t>202</w:t>
      </w:r>
      <w:r>
        <w:rPr>
          <w:rFonts w:cstheme="minorHAnsi"/>
        </w:rPr>
        <w:t>0-21</w:t>
      </w:r>
      <w:r w:rsidR="006361C9">
        <w:rPr>
          <w:rFonts w:cstheme="minorHAnsi"/>
        </w:rPr>
        <w:t xml:space="preserve"> – </w:t>
      </w:r>
      <w:r w:rsidR="003C4E62">
        <w:rPr>
          <w:rFonts w:cstheme="minorHAnsi"/>
        </w:rPr>
        <w:t>FY</w:t>
      </w:r>
      <w:r w:rsidR="006361C9">
        <w:rPr>
          <w:rFonts w:cstheme="minorHAnsi"/>
        </w:rPr>
        <w:t>20</w:t>
      </w:r>
      <w:r>
        <w:rPr>
          <w:rFonts w:cstheme="minorHAnsi"/>
        </w:rPr>
        <w:t>22-</w:t>
      </w:r>
      <w:r w:rsidR="006361C9">
        <w:rPr>
          <w:rFonts w:cstheme="minorHAnsi"/>
        </w:rPr>
        <w:t>23</w:t>
      </w:r>
      <w:r w:rsidR="003C4E62">
        <w:rPr>
          <w:rStyle w:val="FootnoteReference"/>
          <w:rFonts w:cstheme="minorHAnsi"/>
        </w:rPr>
        <w:footnoteReference w:id="1"/>
      </w:r>
      <w:r w:rsidR="006361C9">
        <w:rPr>
          <w:rFonts w:cstheme="minorHAnsi"/>
        </w:rPr>
        <w:t xml:space="preserve">), the Program </w:t>
      </w:r>
      <w:r>
        <w:rPr>
          <w:rFonts w:cstheme="minorHAnsi"/>
        </w:rPr>
        <w:t>has supported</w:t>
      </w:r>
      <w:r w:rsidRPr="00DF7009">
        <w:rPr>
          <w:rFonts w:cstheme="minorHAnsi"/>
        </w:rPr>
        <w:t xml:space="preserve"> </w:t>
      </w:r>
      <w:r w:rsidR="006361C9" w:rsidRPr="00DF7009">
        <w:rPr>
          <w:rFonts w:cstheme="minorHAnsi"/>
        </w:rPr>
        <w:t xml:space="preserve">Fiji’s fiscal viability, enabling the social protection system to reach vulnerable populations, strengthening public financial management, promoting private sector led economic recovery and enhancing climate, </w:t>
      </w:r>
      <w:proofErr w:type="gramStart"/>
      <w:r w:rsidR="006361C9" w:rsidRPr="00DF7009">
        <w:rPr>
          <w:rFonts w:cstheme="minorHAnsi"/>
        </w:rPr>
        <w:t>disaster</w:t>
      </w:r>
      <w:proofErr w:type="gramEnd"/>
      <w:r w:rsidR="006361C9" w:rsidRPr="00DF7009">
        <w:rPr>
          <w:rFonts w:cstheme="minorHAnsi"/>
        </w:rPr>
        <w:t xml:space="preserve"> and social resilience.</w:t>
      </w:r>
      <w:r>
        <w:rPr>
          <w:rFonts w:cstheme="minorHAnsi"/>
        </w:rPr>
        <w:t xml:space="preserve"> </w:t>
      </w:r>
      <w:r w:rsidR="005826E0">
        <w:rPr>
          <w:rFonts w:cstheme="minorHAnsi"/>
        </w:rPr>
        <w:t>As part of the FBS Package, Australia provided AUD 223.5 million in support to Fiji</w:t>
      </w:r>
      <w:r>
        <w:rPr>
          <w:rFonts w:cstheme="minorHAnsi"/>
        </w:rPr>
        <w:t xml:space="preserve">. </w:t>
      </w:r>
    </w:p>
    <w:p w14:paraId="3D556E01" w14:textId="77777777" w:rsidR="005826E0" w:rsidRDefault="005826E0" w:rsidP="003C4E62">
      <w:pPr>
        <w:spacing w:after="0"/>
        <w:jc w:val="both"/>
        <w:rPr>
          <w:rFonts w:cstheme="minorHAnsi"/>
        </w:rPr>
      </w:pPr>
    </w:p>
    <w:p w14:paraId="012013A3" w14:textId="06A71B5B" w:rsidR="003D60F5" w:rsidRPr="00A96273" w:rsidRDefault="003D60F5" w:rsidP="003C4E62">
      <w:pPr>
        <w:jc w:val="both"/>
        <w:rPr>
          <w:rFonts w:cstheme="minorHAnsi"/>
        </w:rPr>
      </w:pPr>
      <w:r w:rsidRPr="00A96273">
        <w:rPr>
          <w:rFonts w:cstheme="minorHAnsi"/>
        </w:rPr>
        <w:t xml:space="preserve">In August 2023, DFAT commissioned an independent evaluation of the Fiji Recovery and Resilience Budget Support Program for the period </w:t>
      </w:r>
      <w:r w:rsidR="005B4071">
        <w:rPr>
          <w:rFonts w:cstheme="minorHAnsi"/>
        </w:rPr>
        <w:t>FY2020-21 – FY2022-23</w:t>
      </w:r>
      <w:r w:rsidRPr="00A96273">
        <w:rPr>
          <w:rFonts w:cstheme="minorHAnsi"/>
        </w:rPr>
        <w:t xml:space="preserve">, with the key focus on its effectiveness, efficiency, sustainability, </w:t>
      </w:r>
      <w:r w:rsidR="00B606B4" w:rsidRPr="00A96273">
        <w:rPr>
          <w:rFonts w:cstheme="minorHAnsi"/>
        </w:rPr>
        <w:t xml:space="preserve">and contribution to </w:t>
      </w:r>
      <w:r w:rsidRPr="00A96273">
        <w:rPr>
          <w:rFonts w:cstheme="minorHAnsi"/>
        </w:rPr>
        <w:t>gender equality and disability inclusion. The independent evaluation was conducted by the consulting firm, Equity Economics.</w:t>
      </w:r>
    </w:p>
    <w:p w14:paraId="4FA38118" w14:textId="7FF9BAD0" w:rsidR="00B15583" w:rsidRPr="00A96273" w:rsidRDefault="003D60F5" w:rsidP="003C4E62">
      <w:pPr>
        <w:jc w:val="both"/>
        <w:rPr>
          <w:rFonts w:cstheme="minorHAnsi"/>
        </w:rPr>
      </w:pPr>
      <w:r w:rsidRPr="00A96273">
        <w:rPr>
          <w:rFonts w:cstheme="minorHAnsi"/>
        </w:rPr>
        <w:t>The review was conducted in-country from 21 August to 11 September 2023, with the final report submitted in January 2024. The evaluation team met with a diverse range of stakeholders, including Government, private sector, development partners, civil society and DFAT personnel.</w:t>
      </w:r>
    </w:p>
    <w:p w14:paraId="1F36C9F1" w14:textId="0C91177A" w:rsidR="003D60F5" w:rsidRPr="001C1B82" w:rsidRDefault="005B4071" w:rsidP="001C1B82">
      <w:pPr>
        <w:pStyle w:val="Heading2"/>
        <w:spacing w:before="240"/>
      </w:pPr>
      <w:r w:rsidRPr="001C1B82">
        <w:t xml:space="preserve">KEY FINDINGS and </w:t>
      </w:r>
      <w:r w:rsidR="003D60F5" w:rsidRPr="001C1B82">
        <w:t>Management response</w:t>
      </w:r>
    </w:p>
    <w:p w14:paraId="261E7694" w14:textId="05D81F59" w:rsidR="00BC245A" w:rsidRPr="00A96273" w:rsidRDefault="00BC245A" w:rsidP="003C4E62">
      <w:pPr>
        <w:spacing w:before="80" w:after="80" w:line="250" w:lineRule="atLeast"/>
        <w:jc w:val="both"/>
        <w:rPr>
          <w:rFonts w:eastAsia="Calibri" w:cstheme="minorHAnsi"/>
          <w:kern w:val="2"/>
          <w:szCs w:val="20"/>
          <w:lang w:val="en-ID"/>
          <w14:ligatures w14:val="standardContextual"/>
        </w:rPr>
      </w:pPr>
      <w:r w:rsidRPr="00A96273">
        <w:rPr>
          <w:rFonts w:eastAsia="Calibri" w:cstheme="minorHAnsi"/>
          <w:kern w:val="2"/>
          <w:szCs w:val="20"/>
          <w:lang w:val="en-ID"/>
          <w14:ligatures w14:val="standardContextual"/>
        </w:rPr>
        <w:t>There is strong evidence that the Fiji Recovery and Resilience Budget Support was very effective. Budget support was a highly effective crisis response tool due to Fiji’s fiscal needs, the scale of Australia’s support, and the Government of Fiji’s leadership</w:t>
      </w:r>
      <w:r w:rsidR="005B4071">
        <w:rPr>
          <w:rFonts w:eastAsia="Calibri" w:cstheme="minorHAnsi"/>
          <w:kern w:val="2"/>
          <w:szCs w:val="20"/>
          <w:lang w:val="en-ID"/>
          <w14:ligatures w14:val="standardContextual"/>
        </w:rPr>
        <w:t xml:space="preserve"> on reform</w:t>
      </w:r>
      <w:r w:rsidRPr="00A96273">
        <w:rPr>
          <w:rFonts w:eastAsia="Calibri" w:cstheme="minorHAnsi"/>
          <w:kern w:val="2"/>
          <w:szCs w:val="20"/>
          <w:lang w:val="en-ID"/>
          <w14:ligatures w14:val="standardContextual"/>
        </w:rPr>
        <w:t xml:space="preserve">. Budget support was also a valuable platform for cooperation and significantly enhanced the bilateral relationship. </w:t>
      </w:r>
    </w:p>
    <w:p w14:paraId="2A886A8E" w14:textId="066438F0" w:rsidR="003D60F5" w:rsidRPr="00A96273" w:rsidRDefault="00BC245A" w:rsidP="003C4E62">
      <w:pPr>
        <w:jc w:val="both"/>
        <w:rPr>
          <w:rFonts w:cstheme="minorHAnsi"/>
        </w:rPr>
      </w:pPr>
      <w:r w:rsidRPr="00A96273">
        <w:rPr>
          <w:rFonts w:cstheme="minorHAnsi"/>
        </w:rPr>
        <w:t>T</w:t>
      </w:r>
      <w:r w:rsidR="003D60F5" w:rsidRPr="00A96273">
        <w:rPr>
          <w:rFonts w:cstheme="minorHAnsi"/>
        </w:rPr>
        <w:t>he review highlighted that:</w:t>
      </w:r>
    </w:p>
    <w:p w14:paraId="28A304B7" w14:textId="4C85FFDC" w:rsidR="00BC245A" w:rsidRPr="00BC245A" w:rsidRDefault="00BC245A" w:rsidP="003C4E62">
      <w:pPr>
        <w:numPr>
          <w:ilvl w:val="0"/>
          <w:numId w:val="3"/>
        </w:numPr>
        <w:spacing w:before="80" w:after="80" w:line="250" w:lineRule="atLeast"/>
        <w:jc w:val="both"/>
        <w:rPr>
          <w:rFonts w:ascii="Calibri" w:eastAsia="Calibri" w:hAnsi="Calibri" w:cs="Calibri"/>
          <w:i/>
          <w:iCs/>
          <w:kern w:val="2"/>
          <w:szCs w:val="20"/>
          <w:lang w:val="en-ID"/>
          <w14:ligatures w14:val="standardContextual"/>
        </w:rPr>
      </w:pPr>
      <w:r w:rsidRPr="00BC245A">
        <w:rPr>
          <w:rFonts w:ascii="Calibri" w:eastAsia="Calibri" w:hAnsi="Calibri" w:cs="Calibri"/>
          <w:kern w:val="2"/>
          <w:szCs w:val="20"/>
          <w:lang w:val="en-ID"/>
          <w14:ligatures w14:val="standardContextual"/>
        </w:rPr>
        <w:t>There is strong evidence that Australia’s budget support effectively mitigated fiscal shortfalls and helped leverage development finance. Government of Fiji officials confirmed that substantial budget cuts were otherwise contemplated (in the absence of budget support), and Australia contributed towards crowding in additional grants and concessional loans from the multilateral development banks. Financial support from Australia and other partners was critically important in preventing the COVID</w:t>
      </w:r>
      <w:r w:rsidRPr="00BC245A">
        <w:rPr>
          <w:rFonts w:ascii="Calibri" w:eastAsia="Calibri" w:hAnsi="Calibri" w:cs="Calibri"/>
          <w:kern w:val="2"/>
          <w:szCs w:val="20"/>
          <w:lang w:val="en-ID"/>
          <w14:ligatures w14:val="standardContextual"/>
        </w:rPr>
        <w:noBreakHyphen/>
        <w:t>19 economic shock from deepening into a social crisis.</w:t>
      </w:r>
    </w:p>
    <w:p w14:paraId="6C5286EE" w14:textId="62E94D04" w:rsidR="00BC245A" w:rsidRPr="00A96273" w:rsidRDefault="00BC245A" w:rsidP="003C4E62">
      <w:pPr>
        <w:pStyle w:val="ListParagraph"/>
        <w:numPr>
          <w:ilvl w:val="0"/>
          <w:numId w:val="3"/>
        </w:numPr>
        <w:jc w:val="both"/>
        <w:rPr>
          <w:rFonts w:cstheme="minorHAnsi"/>
        </w:rPr>
      </w:pPr>
      <w:r w:rsidRPr="00BC245A">
        <w:rPr>
          <w:rFonts w:eastAsia="Calibri" w:cstheme="minorHAnsi"/>
          <w:kern w:val="2"/>
          <w:szCs w:val="20"/>
          <w:lang w:val="en-ID"/>
          <w14:ligatures w14:val="standardContextual"/>
        </w:rPr>
        <w:t>There is strong evidence that Australia’s investment supported vulnerable people and an inclusive recovery.</w:t>
      </w:r>
    </w:p>
    <w:p w14:paraId="2EACC971" w14:textId="65D54FED" w:rsidR="00BC245A" w:rsidRPr="00A96273" w:rsidRDefault="00BC245A" w:rsidP="003C4E62">
      <w:pPr>
        <w:pStyle w:val="ListParagraph"/>
        <w:numPr>
          <w:ilvl w:val="0"/>
          <w:numId w:val="3"/>
        </w:numPr>
        <w:jc w:val="both"/>
        <w:rPr>
          <w:rFonts w:cstheme="minorHAnsi"/>
        </w:rPr>
      </w:pPr>
      <w:r w:rsidRPr="00A96273">
        <w:rPr>
          <w:rFonts w:eastAsia="Calibri" w:cstheme="minorHAnsi"/>
          <w:kern w:val="2"/>
          <w:szCs w:val="20"/>
          <w:lang w:val="en-ID"/>
          <w14:ligatures w14:val="standardContextual"/>
        </w:rPr>
        <w:t>There is strong evidence</w:t>
      </w:r>
      <w:r w:rsidRPr="00A96273">
        <w:rPr>
          <w:rFonts w:eastAsia="Calibri" w:cstheme="minorHAnsi"/>
          <w:b/>
          <w:bCs/>
          <w:kern w:val="2"/>
          <w:szCs w:val="20"/>
          <w:lang w:val="en-ID"/>
          <w14:ligatures w14:val="standardContextual"/>
        </w:rPr>
        <w:t xml:space="preserve"> </w:t>
      </w:r>
      <w:r w:rsidRPr="00A96273">
        <w:rPr>
          <w:rFonts w:eastAsia="Calibri" w:cstheme="minorHAnsi"/>
          <w:kern w:val="2"/>
          <w:szCs w:val="20"/>
          <w:lang w:val="en-ID"/>
          <w14:ligatures w14:val="standardContextual"/>
        </w:rPr>
        <w:t>that</w:t>
      </w:r>
      <w:r w:rsidRPr="00A96273">
        <w:rPr>
          <w:rFonts w:eastAsia="Calibri" w:cstheme="minorHAnsi"/>
          <w:b/>
          <w:bCs/>
          <w:kern w:val="2"/>
          <w:szCs w:val="20"/>
          <w:lang w:val="en-ID"/>
          <w14:ligatures w14:val="standardContextual"/>
        </w:rPr>
        <w:t xml:space="preserve"> </w:t>
      </w:r>
      <w:r w:rsidRPr="00A96273">
        <w:rPr>
          <w:rFonts w:eastAsia="Calibri" w:cstheme="minorHAnsi"/>
          <w:kern w:val="2"/>
          <w:szCs w:val="20"/>
          <w:lang w:val="en-ID"/>
          <w14:ligatures w14:val="standardContextual"/>
        </w:rPr>
        <w:t xml:space="preserve">Australia’s budget support, coupled with technical assistance, helped progress Fiji-led reforms. An impressive 44 policy actions were undertaken over the three years </w:t>
      </w:r>
      <w:r w:rsidRPr="00A96273">
        <w:rPr>
          <w:rFonts w:eastAsia="Calibri" w:cstheme="minorHAnsi"/>
          <w:kern w:val="2"/>
          <w:szCs w:val="20"/>
          <w:lang w:val="en-ID"/>
          <w14:ligatures w14:val="standardContextual"/>
        </w:rPr>
        <w:lastRenderedPageBreak/>
        <w:t>from 2020 to 2023 across public financial management, the business environment, the financial sector, gender equality, climate change and social protection.</w:t>
      </w:r>
    </w:p>
    <w:p w14:paraId="433EB4BF" w14:textId="4C21A17F" w:rsidR="00BC245A" w:rsidRPr="00A96273" w:rsidRDefault="00BC245A" w:rsidP="003C4E62">
      <w:pPr>
        <w:pStyle w:val="ListParagraph"/>
        <w:numPr>
          <w:ilvl w:val="0"/>
          <w:numId w:val="3"/>
        </w:numPr>
        <w:jc w:val="both"/>
        <w:rPr>
          <w:rFonts w:cstheme="minorHAnsi"/>
        </w:rPr>
      </w:pPr>
      <w:r w:rsidRPr="00A96273">
        <w:rPr>
          <w:rFonts w:eastAsia="Calibri" w:cstheme="minorHAnsi"/>
          <w:kern w:val="2"/>
          <w:szCs w:val="20"/>
          <w:lang w:val="en-ID"/>
          <w14:ligatures w14:val="standardContextual"/>
        </w:rPr>
        <w:t>There is strong evidence that Australia harmonised agreed reforms with development partners where applicable</w:t>
      </w:r>
      <w:r>
        <w:rPr>
          <w:rFonts w:eastAsia="Calibri" w:cstheme="minorHAnsi"/>
          <w:kern w:val="2"/>
          <w:szCs w:val="20"/>
          <w:lang w:val="en-ID"/>
          <w14:ligatures w14:val="standardContextual"/>
        </w:rPr>
        <w:t>.</w:t>
      </w:r>
    </w:p>
    <w:p w14:paraId="3FD8A307" w14:textId="4A3F480B" w:rsidR="00BC245A" w:rsidRPr="00BC245A" w:rsidRDefault="00BC245A" w:rsidP="003C4E62">
      <w:pPr>
        <w:pStyle w:val="ListParagraph"/>
        <w:numPr>
          <w:ilvl w:val="0"/>
          <w:numId w:val="3"/>
        </w:numPr>
        <w:jc w:val="both"/>
        <w:rPr>
          <w:rFonts w:ascii="Calibri" w:hAnsi="Calibri" w:cs="Calibri"/>
        </w:rPr>
      </w:pPr>
      <w:r w:rsidRPr="00A96273">
        <w:rPr>
          <w:rFonts w:ascii="Calibri" w:hAnsi="Calibri" w:cs="Calibri"/>
          <w:szCs w:val="20"/>
        </w:rPr>
        <w:t>There is strong evidence that budget support was efficient in relation to time and resources of DFAT and the Government of Fiji and that disbursements were timely. Fiduciary risks were managed well by Post.</w:t>
      </w:r>
    </w:p>
    <w:p w14:paraId="4343FB11" w14:textId="1BBAC61C" w:rsidR="00BC245A" w:rsidRPr="00A96273" w:rsidRDefault="00BC245A" w:rsidP="003C4E62">
      <w:pPr>
        <w:pStyle w:val="ListParagraph"/>
        <w:numPr>
          <w:ilvl w:val="0"/>
          <w:numId w:val="3"/>
        </w:numPr>
        <w:jc w:val="both"/>
        <w:rPr>
          <w:rFonts w:ascii="Calibri" w:hAnsi="Calibri" w:cs="Calibri"/>
        </w:rPr>
      </w:pPr>
      <w:r w:rsidRPr="00A96273">
        <w:rPr>
          <w:rFonts w:ascii="Calibri" w:eastAsia="Calibri" w:hAnsi="Calibri" w:cs="Calibri"/>
          <w:kern w:val="2"/>
          <w:szCs w:val="20"/>
          <w:lang w:val="en-ID"/>
          <w14:ligatures w14:val="standardContextual"/>
        </w:rPr>
        <w:t xml:space="preserve">There is strong evidence that budget support enabled the Government of Fiji to </w:t>
      </w:r>
      <w:proofErr w:type="gramStart"/>
      <w:r w:rsidRPr="00A96273">
        <w:rPr>
          <w:rFonts w:ascii="Calibri" w:eastAsia="Calibri" w:hAnsi="Calibri" w:cs="Calibri"/>
          <w:kern w:val="2"/>
          <w:szCs w:val="20"/>
          <w:lang w:val="en-ID"/>
          <w14:ligatures w14:val="standardContextual"/>
        </w:rPr>
        <w:t>take action</w:t>
      </w:r>
      <w:proofErr w:type="gramEnd"/>
      <w:r w:rsidRPr="00A96273">
        <w:rPr>
          <w:rFonts w:ascii="Calibri" w:eastAsia="Calibri" w:hAnsi="Calibri" w:cs="Calibri"/>
          <w:kern w:val="2"/>
          <w:szCs w:val="20"/>
          <w:lang w:val="en-ID"/>
          <w14:ligatures w14:val="standardContextual"/>
        </w:rPr>
        <w:t xml:space="preserve"> on gender equality and achieve significant results.</w:t>
      </w:r>
    </w:p>
    <w:p w14:paraId="1EEB61F6" w14:textId="4DEF8E49" w:rsidR="003D60F5" w:rsidRPr="00A96273" w:rsidRDefault="003D60F5" w:rsidP="003C4E62">
      <w:pPr>
        <w:spacing w:line="240" w:lineRule="auto"/>
        <w:jc w:val="both"/>
        <w:rPr>
          <w:rFonts w:ascii="Calibri" w:hAnsi="Calibri" w:cs="Calibri"/>
          <w:lang w:val="en-ID"/>
        </w:rPr>
      </w:pPr>
      <w:r w:rsidRPr="00A96273">
        <w:rPr>
          <w:rFonts w:ascii="Calibri" w:hAnsi="Calibri" w:cs="Calibri"/>
          <w:lang w:val="en-ID"/>
        </w:rPr>
        <w:t>Detailed responses and the action plan against each of the recommendations from the evaluation is provided in the table on the next page.</w:t>
      </w:r>
    </w:p>
    <w:p w14:paraId="58570C31" w14:textId="77777777" w:rsidR="00F1253F" w:rsidRPr="00F1253F" w:rsidRDefault="00F1253F" w:rsidP="00F1253F">
      <w:pPr>
        <w:rPr>
          <w:rFonts w:asciiTheme="majorHAnsi" w:hAnsiTheme="majorHAnsi" w:cstheme="majorHAnsi"/>
          <w:lang w:val="en-ID"/>
        </w:rPr>
      </w:pPr>
    </w:p>
    <w:p w14:paraId="095F4B6E" w14:textId="77777777" w:rsidR="00F1253F" w:rsidRDefault="00F1253F" w:rsidP="00F1253F">
      <w:pPr>
        <w:jc w:val="right"/>
        <w:rPr>
          <w:rFonts w:asciiTheme="majorHAnsi" w:hAnsiTheme="majorHAnsi" w:cstheme="majorHAnsi"/>
          <w:lang w:val="en-ID"/>
        </w:rPr>
      </w:pPr>
    </w:p>
    <w:p w14:paraId="609799BB" w14:textId="4CE6111A" w:rsidR="00F1253F" w:rsidRPr="00F1253F" w:rsidRDefault="00F1253F" w:rsidP="00F1253F">
      <w:pPr>
        <w:rPr>
          <w:rFonts w:asciiTheme="majorHAnsi" w:hAnsiTheme="majorHAnsi" w:cstheme="majorHAnsi"/>
          <w:lang w:val="en-ID"/>
        </w:rPr>
        <w:sectPr w:rsidR="00F1253F" w:rsidRPr="00F1253F" w:rsidSect="0036151A">
          <w:headerReference w:type="default" r:id="rId8"/>
          <w:footerReference w:type="default" r:id="rId9"/>
          <w:pgSz w:w="12240" w:h="15840"/>
          <w:pgMar w:top="1440" w:right="1440" w:bottom="720" w:left="1440" w:header="720" w:footer="720" w:gutter="0"/>
          <w:cols w:space="720"/>
          <w:docGrid w:linePitch="360"/>
        </w:sectPr>
      </w:pPr>
    </w:p>
    <w:p w14:paraId="20975D36" w14:textId="08D82984" w:rsidR="003D60F5" w:rsidRPr="001C1B82" w:rsidRDefault="003D60F5" w:rsidP="001C1B82">
      <w:pPr>
        <w:pStyle w:val="Heading3"/>
      </w:pPr>
      <w:r w:rsidRPr="001C1B82">
        <w:lastRenderedPageBreak/>
        <w:t>Individual management response to the summary of recommendations</w:t>
      </w:r>
    </w:p>
    <w:tbl>
      <w:tblPr>
        <w:tblStyle w:val="TableGrid"/>
        <w:tblW w:w="14305" w:type="dxa"/>
        <w:tblLook w:val="04A0" w:firstRow="1" w:lastRow="0" w:firstColumn="1" w:lastColumn="0" w:noHBand="0" w:noVBand="1"/>
      </w:tblPr>
      <w:tblGrid>
        <w:gridCol w:w="1792"/>
        <w:gridCol w:w="4515"/>
        <w:gridCol w:w="1065"/>
        <w:gridCol w:w="5684"/>
        <w:gridCol w:w="1249"/>
      </w:tblGrid>
      <w:tr w:rsidR="00E42CA3" w:rsidRPr="00225182" w14:paraId="3F807A7E" w14:textId="77777777" w:rsidTr="00062664">
        <w:tc>
          <w:tcPr>
            <w:tcW w:w="1791" w:type="dxa"/>
            <w:shd w:val="clear" w:color="auto" w:fill="F4B083" w:themeFill="accent2" w:themeFillTint="99"/>
          </w:tcPr>
          <w:p w14:paraId="64F1BBE3" w14:textId="7D6DF8D2" w:rsidR="003D60F5" w:rsidRPr="00225182" w:rsidRDefault="003D60F5" w:rsidP="003D60F5">
            <w:pPr>
              <w:rPr>
                <w:rFonts w:asciiTheme="majorHAnsi" w:hAnsiTheme="majorHAnsi" w:cstheme="majorHAnsi"/>
              </w:rPr>
            </w:pPr>
            <w:r w:rsidRPr="00225182">
              <w:rPr>
                <w:rFonts w:asciiTheme="majorHAnsi" w:hAnsiTheme="majorHAnsi" w:cstheme="majorHAnsi"/>
                <w:b/>
                <w:bCs/>
                <w:lang w:val="en-US"/>
              </w:rPr>
              <w:t>Recommendation</w:t>
            </w:r>
          </w:p>
        </w:tc>
        <w:tc>
          <w:tcPr>
            <w:tcW w:w="4774" w:type="dxa"/>
            <w:shd w:val="clear" w:color="auto" w:fill="F4B083" w:themeFill="accent2" w:themeFillTint="99"/>
          </w:tcPr>
          <w:p w14:paraId="28C1D53F" w14:textId="7EEF8121" w:rsidR="003D60F5" w:rsidRPr="00225182" w:rsidRDefault="003D60F5" w:rsidP="003D60F5">
            <w:pPr>
              <w:rPr>
                <w:rFonts w:asciiTheme="majorHAnsi" w:hAnsiTheme="majorHAnsi" w:cstheme="majorHAnsi"/>
              </w:rPr>
            </w:pPr>
            <w:r w:rsidRPr="00225182">
              <w:rPr>
                <w:rFonts w:asciiTheme="majorHAnsi" w:hAnsiTheme="majorHAnsi" w:cstheme="majorHAnsi"/>
                <w:b/>
                <w:bCs/>
                <w:lang w:val="en-US"/>
              </w:rPr>
              <w:t>Summary</w:t>
            </w:r>
          </w:p>
        </w:tc>
        <w:tc>
          <w:tcPr>
            <w:tcW w:w="450" w:type="dxa"/>
            <w:shd w:val="clear" w:color="auto" w:fill="F4B083" w:themeFill="accent2" w:themeFillTint="99"/>
          </w:tcPr>
          <w:p w14:paraId="2F1EAD4D" w14:textId="4539BE1B" w:rsidR="003D60F5" w:rsidRPr="00225182" w:rsidRDefault="003D60F5" w:rsidP="003D60F5">
            <w:pPr>
              <w:rPr>
                <w:rFonts w:asciiTheme="majorHAnsi" w:hAnsiTheme="majorHAnsi" w:cstheme="majorHAnsi"/>
              </w:rPr>
            </w:pPr>
            <w:r w:rsidRPr="00225182">
              <w:rPr>
                <w:rFonts w:asciiTheme="majorHAnsi" w:hAnsiTheme="majorHAnsi" w:cstheme="majorHAnsi"/>
                <w:b/>
                <w:bCs/>
                <w:lang w:val="en-US"/>
              </w:rPr>
              <w:t>Response</w:t>
            </w:r>
          </w:p>
        </w:tc>
        <w:tc>
          <w:tcPr>
            <w:tcW w:w="6035" w:type="dxa"/>
            <w:shd w:val="clear" w:color="auto" w:fill="F4B083" w:themeFill="accent2" w:themeFillTint="99"/>
          </w:tcPr>
          <w:p w14:paraId="46EB2D87" w14:textId="533EFA08" w:rsidR="003D60F5" w:rsidRPr="00225182" w:rsidRDefault="003D60F5" w:rsidP="003D60F5">
            <w:pPr>
              <w:rPr>
                <w:rFonts w:asciiTheme="majorHAnsi" w:hAnsiTheme="majorHAnsi" w:cstheme="majorHAnsi"/>
              </w:rPr>
            </w:pPr>
            <w:r w:rsidRPr="00225182">
              <w:rPr>
                <w:rFonts w:asciiTheme="majorHAnsi" w:hAnsiTheme="majorHAnsi" w:cstheme="majorHAnsi"/>
                <w:b/>
                <w:bCs/>
                <w:lang w:val="en-US"/>
              </w:rPr>
              <w:t>Action Plan</w:t>
            </w:r>
          </w:p>
        </w:tc>
        <w:tc>
          <w:tcPr>
            <w:tcW w:w="1255" w:type="dxa"/>
            <w:shd w:val="clear" w:color="auto" w:fill="F4B083" w:themeFill="accent2" w:themeFillTint="99"/>
          </w:tcPr>
          <w:p w14:paraId="473E639E" w14:textId="320AF826" w:rsidR="003D60F5" w:rsidRPr="00225182" w:rsidRDefault="003D60F5" w:rsidP="003D60F5">
            <w:pPr>
              <w:rPr>
                <w:rFonts w:asciiTheme="majorHAnsi" w:hAnsiTheme="majorHAnsi" w:cstheme="majorHAnsi"/>
              </w:rPr>
            </w:pPr>
            <w:r w:rsidRPr="00225182">
              <w:rPr>
                <w:rFonts w:asciiTheme="majorHAnsi" w:hAnsiTheme="majorHAnsi" w:cstheme="majorHAnsi"/>
                <w:b/>
                <w:bCs/>
                <w:lang w:val="en-US"/>
              </w:rPr>
              <w:t>Timeframe</w:t>
            </w:r>
          </w:p>
        </w:tc>
      </w:tr>
      <w:tr w:rsidR="00E42CA3" w:rsidRPr="00225182" w14:paraId="6D94647A" w14:textId="77777777" w:rsidTr="00062664">
        <w:tc>
          <w:tcPr>
            <w:tcW w:w="1791" w:type="dxa"/>
            <w:shd w:val="clear" w:color="auto" w:fill="D0CECE" w:themeFill="background2" w:themeFillShade="E6"/>
          </w:tcPr>
          <w:p w14:paraId="69DE8B37" w14:textId="77777777" w:rsidR="003D60F5" w:rsidRPr="00225182" w:rsidRDefault="003D60F5" w:rsidP="003D60F5">
            <w:pPr>
              <w:spacing w:after="160" w:line="259" w:lineRule="auto"/>
              <w:rPr>
                <w:rFonts w:asciiTheme="majorHAnsi" w:hAnsiTheme="majorHAnsi" w:cstheme="majorHAnsi"/>
                <w:b/>
                <w:bCs/>
                <w:lang w:val="en-US"/>
              </w:rPr>
            </w:pPr>
          </w:p>
          <w:p w14:paraId="3EE8024C" w14:textId="198FACC7" w:rsidR="003D60F5" w:rsidRPr="00225182" w:rsidRDefault="003D60F5" w:rsidP="003D60F5">
            <w:pPr>
              <w:rPr>
                <w:rFonts w:asciiTheme="majorHAnsi" w:hAnsiTheme="majorHAnsi" w:cstheme="majorHAnsi"/>
              </w:rPr>
            </w:pPr>
            <w:r w:rsidRPr="00225182">
              <w:rPr>
                <w:rFonts w:asciiTheme="majorHAnsi" w:hAnsiTheme="majorHAnsi" w:cstheme="majorHAnsi"/>
                <w:b/>
                <w:bCs/>
                <w:lang w:val="en-US"/>
              </w:rPr>
              <w:t>Multi-year framework</w:t>
            </w:r>
          </w:p>
        </w:tc>
        <w:tc>
          <w:tcPr>
            <w:tcW w:w="4774" w:type="dxa"/>
            <w:shd w:val="clear" w:color="auto" w:fill="D0CECE" w:themeFill="background2" w:themeFillShade="E6"/>
          </w:tcPr>
          <w:p w14:paraId="65AD053C" w14:textId="3394D587" w:rsidR="003D60F5" w:rsidRPr="00E31539" w:rsidRDefault="000913B2" w:rsidP="00E31539">
            <w:pPr>
              <w:spacing w:before="60" w:after="60" w:line="259" w:lineRule="auto"/>
              <w:contextualSpacing/>
              <w:rPr>
                <w:rFonts w:ascii="Calibri Light" w:eastAsia="Calibri" w:hAnsi="Calibri Light" w:cs="Calibri Light"/>
                <w:kern w:val="2"/>
                <w:szCs w:val="20"/>
                <w:lang w:val="en-ID"/>
                <w14:ligatures w14:val="standardContextual"/>
              </w:rPr>
            </w:pPr>
            <w:r w:rsidRPr="000913B2">
              <w:rPr>
                <w:rFonts w:ascii="Calibri Light" w:eastAsia="Calibri" w:hAnsi="Calibri Light" w:cs="Calibri Light"/>
                <w:kern w:val="2"/>
                <w:szCs w:val="20"/>
                <w:lang w:val="en-ID"/>
                <w14:ligatures w14:val="standardContextual"/>
              </w:rPr>
              <w:t xml:space="preserve">DFAT should adopt a multi-year framework for budget support to enable Fiji to plan better and Australia to support more transformative multi-year reforms. </w:t>
            </w:r>
          </w:p>
        </w:tc>
        <w:tc>
          <w:tcPr>
            <w:tcW w:w="450" w:type="dxa"/>
            <w:shd w:val="clear" w:color="auto" w:fill="A8D08D" w:themeFill="accent6" w:themeFillTint="99"/>
          </w:tcPr>
          <w:p w14:paraId="39AEB0A7" w14:textId="413033B9" w:rsidR="003D60F5" w:rsidRPr="00225182" w:rsidRDefault="003D60F5" w:rsidP="003D60F5">
            <w:pPr>
              <w:rPr>
                <w:rFonts w:asciiTheme="majorHAnsi" w:hAnsiTheme="majorHAnsi" w:cstheme="majorHAnsi"/>
              </w:rPr>
            </w:pPr>
            <w:r w:rsidRPr="00225182">
              <w:rPr>
                <w:rFonts w:asciiTheme="majorHAnsi" w:hAnsiTheme="majorHAnsi" w:cstheme="majorHAnsi"/>
                <w:lang w:val="en-US"/>
              </w:rPr>
              <w:t>Agree</w:t>
            </w:r>
          </w:p>
        </w:tc>
        <w:tc>
          <w:tcPr>
            <w:tcW w:w="6035" w:type="dxa"/>
            <w:shd w:val="clear" w:color="auto" w:fill="D0CECE" w:themeFill="background2" w:themeFillShade="E6"/>
          </w:tcPr>
          <w:p w14:paraId="7DBBD90C" w14:textId="0BA413B9" w:rsidR="003D60F5" w:rsidRPr="00E31539" w:rsidRDefault="00225182" w:rsidP="00E31539">
            <w:pPr>
              <w:spacing w:after="160"/>
              <w:rPr>
                <w:rFonts w:asciiTheme="majorHAnsi" w:hAnsiTheme="majorHAnsi" w:cstheme="majorHAnsi"/>
                <w:lang w:val="en-ID"/>
              </w:rPr>
            </w:pPr>
            <w:r>
              <w:rPr>
                <w:rFonts w:asciiTheme="majorHAnsi" w:hAnsiTheme="majorHAnsi" w:cstheme="majorHAnsi"/>
                <w:lang w:val="en-ID"/>
              </w:rPr>
              <w:t>The recently established Pacific Direct Financing Fund (PDFF) within DFAT, will allow a multi-year framework to be established</w:t>
            </w:r>
            <w:r w:rsidR="00E31539">
              <w:rPr>
                <w:rFonts w:asciiTheme="majorHAnsi" w:hAnsiTheme="majorHAnsi" w:cstheme="majorHAnsi"/>
                <w:lang w:val="en-ID"/>
              </w:rPr>
              <w:t>.</w:t>
            </w:r>
          </w:p>
        </w:tc>
        <w:tc>
          <w:tcPr>
            <w:tcW w:w="1255" w:type="dxa"/>
            <w:shd w:val="clear" w:color="auto" w:fill="D0CECE" w:themeFill="background2" w:themeFillShade="E6"/>
          </w:tcPr>
          <w:p w14:paraId="2A828E28" w14:textId="000C1473" w:rsidR="003D60F5" w:rsidRPr="00225182" w:rsidRDefault="003D60F5" w:rsidP="003D60F5">
            <w:pPr>
              <w:rPr>
                <w:rFonts w:asciiTheme="majorHAnsi" w:hAnsiTheme="majorHAnsi" w:cstheme="majorHAnsi"/>
              </w:rPr>
            </w:pPr>
            <w:r w:rsidRPr="00225182">
              <w:rPr>
                <w:rFonts w:asciiTheme="majorHAnsi" w:hAnsiTheme="majorHAnsi" w:cstheme="majorHAnsi"/>
                <w:lang w:val="en-US"/>
              </w:rPr>
              <w:t xml:space="preserve">By </w:t>
            </w:r>
            <w:r w:rsidR="00225182">
              <w:rPr>
                <w:rFonts w:asciiTheme="majorHAnsi" w:hAnsiTheme="majorHAnsi" w:cstheme="majorHAnsi"/>
                <w:lang w:val="en-US"/>
              </w:rPr>
              <w:t xml:space="preserve">April </w:t>
            </w:r>
            <w:r w:rsidRPr="00225182">
              <w:rPr>
                <w:rFonts w:asciiTheme="majorHAnsi" w:hAnsiTheme="majorHAnsi" w:cstheme="majorHAnsi"/>
                <w:lang w:val="en-US"/>
              </w:rPr>
              <w:t>2024</w:t>
            </w:r>
          </w:p>
        </w:tc>
      </w:tr>
      <w:tr w:rsidR="00E42CA3" w:rsidRPr="00225182" w14:paraId="1E34EA14" w14:textId="77777777" w:rsidTr="00062664">
        <w:tc>
          <w:tcPr>
            <w:tcW w:w="1791" w:type="dxa"/>
            <w:shd w:val="clear" w:color="auto" w:fill="D0CECE" w:themeFill="background2" w:themeFillShade="E6"/>
          </w:tcPr>
          <w:p w14:paraId="70DF9540" w14:textId="2BD36102" w:rsidR="003D60F5" w:rsidRPr="00225182" w:rsidRDefault="003D60F5" w:rsidP="003D60F5">
            <w:pPr>
              <w:rPr>
                <w:rFonts w:asciiTheme="majorHAnsi" w:hAnsiTheme="majorHAnsi" w:cstheme="majorHAnsi"/>
              </w:rPr>
            </w:pPr>
            <w:r w:rsidRPr="00225182">
              <w:rPr>
                <w:rFonts w:asciiTheme="majorHAnsi" w:hAnsiTheme="majorHAnsi" w:cstheme="majorHAnsi"/>
                <w:b/>
                <w:bCs/>
                <w:lang w:val="en-US"/>
              </w:rPr>
              <w:t>Joint policy actions (JPA)</w:t>
            </w:r>
          </w:p>
        </w:tc>
        <w:tc>
          <w:tcPr>
            <w:tcW w:w="4774" w:type="dxa"/>
            <w:shd w:val="clear" w:color="auto" w:fill="D0CECE" w:themeFill="background2" w:themeFillShade="E6"/>
          </w:tcPr>
          <w:p w14:paraId="4C6DBF0C" w14:textId="5840FC8F" w:rsidR="003D60F5" w:rsidRPr="00B15583" w:rsidRDefault="00B15583" w:rsidP="003D60F5">
            <w:pPr>
              <w:rPr>
                <w:rFonts w:ascii="Calibri Light" w:hAnsi="Calibri Light" w:cs="Calibri Light"/>
              </w:rPr>
            </w:pPr>
            <w:r>
              <w:rPr>
                <w:rFonts w:ascii="Calibri Light" w:eastAsia="Calibri" w:hAnsi="Calibri Light" w:cs="Calibri Light"/>
                <w:kern w:val="2"/>
                <w:szCs w:val="20"/>
                <w:lang w:val="en-ID"/>
                <w14:ligatures w14:val="standardContextual"/>
              </w:rPr>
              <w:t>A JPA</w:t>
            </w:r>
            <w:r w:rsidR="00E31539">
              <w:rPr>
                <w:rFonts w:ascii="Calibri Light" w:eastAsia="Calibri" w:hAnsi="Calibri Light" w:cs="Calibri Light"/>
                <w:kern w:val="2"/>
                <w:szCs w:val="20"/>
                <w:lang w:val="en-ID"/>
                <w14:ligatures w14:val="standardContextual"/>
              </w:rPr>
              <w:t xml:space="preserve"> matrix</w:t>
            </w:r>
            <w:r>
              <w:rPr>
                <w:rFonts w:ascii="Calibri Light" w:eastAsia="Calibri" w:hAnsi="Calibri Light" w:cs="Calibri Light"/>
                <w:kern w:val="2"/>
                <w:szCs w:val="20"/>
                <w:lang w:val="en-ID"/>
                <w14:ligatures w14:val="standardContextual"/>
              </w:rPr>
              <w:t xml:space="preserve"> </w:t>
            </w:r>
            <w:r w:rsidRPr="00B15583">
              <w:rPr>
                <w:rFonts w:ascii="Calibri Light" w:eastAsia="Calibri" w:hAnsi="Calibri Light" w:cs="Calibri Light"/>
                <w:kern w:val="2"/>
                <w:szCs w:val="20"/>
                <w:lang w:val="en-ID"/>
                <w14:ligatures w14:val="standardContextual"/>
              </w:rPr>
              <w:t>should be agreed upon by DFAT with other development partners as good development practice. Additional actions can also reinforce Australia’s bilateral program.</w:t>
            </w:r>
          </w:p>
        </w:tc>
        <w:tc>
          <w:tcPr>
            <w:tcW w:w="450" w:type="dxa"/>
            <w:shd w:val="clear" w:color="auto" w:fill="A8D08D" w:themeFill="accent6" w:themeFillTint="99"/>
          </w:tcPr>
          <w:p w14:paraId="29470082" w14:textId="3633451A" w:rsidR="003D60F5" w:rsidRPr="00225182" w:rsidRDefault="003D60F5" w:rsidP="003D60F5">
            <w:pPr>
              <w:rPr>
                <w:rFonts w:asciiTheme="majorHAnsi" w:hAnsiTheme="majorHAnsi" w:cstheme="majorHAnsi"/>
              </w:rPr>
            </w:pPr>
            <w:r w:rsidRPr="00225182">
              <w:rPr>
                <w:rFonts w:asciiTheme="majorHAnsi" w:hAnsiTheme="majorHAnsi" w:cstheme="majorHAnsi"/>
                <w:lang w:val="en-US"/>
              </w:rPr>
              <w:t>Agree</w:t>
            </w:r>
          </w:p>
        </w:tc>
        <w:tc>
          <w:tcPr>
            <w:tcW w:w="6035" w:type="dxa"/>
            <w:shd w:val="clear" w:color="auto" w:fill="D0CECE" w:themeFill="background2" w:themeFillShade="E6"/>
          </w:tcPr>
          <w:p w14:paraId="23EB4A34" w14:textId="301B69FE" w:rsidR="003D60F5" w:rsidRPr="00763252" w:rsidRDefault="00E31539" w:rsidP="003D60F5">
            <w:pPr>
              <w:rPr>
                <w:rFonts w:asciiTheme="majorHAnsi" w:hAnsiTheme="majorHAnsi" w:cstheme="majorHAnsi"/>
              </w:rPr>
            </w:pPr>
            <w:r>
              <w:rPr>
                <w:rFonts w:asciiTheme="majorHAnsi" w:hAnsiTheme="majorHAnsi" w:cstheme="majorHAnsi"/>
              </w:rPr>
              <w:t>A JPA matrix now exists for the program. Each partner</w:t>
            </w:r>
            <w:r w:rsidR="00272B02">
              <w:rPr>
                <w:rFonts w:asciiTheme="majorHAnsi" w:hAnsiTheme="majorHAnsi" w:cstheme="majorHAnsi"/>
              </w:rPr>
              <w:t>’</w:t>
            </w:r>
            <w:r>
              <w:rPr>
                <w:rFonts w:asciiTheme="majorHAnsi" w:hAnsiTheme="majorHAnsi" w:cstheme="majorHAnsi"/>
              </w:rPr>
              <w:t xml:space="preserve">s priority actions are highlighted with timeframes for completion. </w:t>
            </w:r>
            <w:r w:rsidR="00763252" w:rsidRPr="00763252">
              <w:rPr>
                <w:rFonts w:asciiTheme="majorHAnsi" w:hAnsiTheme="majorHAnsi" w:cstheme="majorHAnsi"/>
              </w:rPr>
              <w:t xml:space="preserve">A more structured development partner roundtable has been convened amongst the active partners in Fiji and will serve as the platform for coordination of multi-year reform priorities and support for technical assistance. </w:t>
            </w:r>
          </w:p>
        </w:tc>
        <w:tc>
          <w:tcPr>
            <w:tcW w:w="1255" w:type="dxa"/>
            <w:shd w:val="clear" w:color="auto" w:fill="D0CECE" w:themeFill="background2" w:themeFillShade="E6"/>
          </w:tcPr>
          <w:p w14:paraId="148A719A" w14:textId="4FDEB082" w:rsidR="003D60F5" w:rsidRPr="00225182" w:rsidRDefault="003D60F5" w:rsidP="003D60F5">
            <w:pPr>
              <w:rPr>
                <w:rFonts w:asciiTheme="majorHAnsi" w:hAnsiTheme="majorHAnsi" w:cstheme="majorHAnsi"/>
              </w:rPr>
            </w:pPr>
            <w:r w:rsidRPr="00225182">
              <w:rPr>
                <w:rFonts w:asciiTheme="majorHAnsi" w:hAnsiTheme="majorHAnsi" w:cstheme="majorHAnsi"/>
                <w:lang w:val="en-US"/>
              </w:rPr>
              <w:t>Ongoing</w:t>
            </w:r>
          </w:p>
        </w:tc>
      </w:tr>
      <w:tr w:rsidR="00E42CA3" w:rsidRPr="00225182" w14:paraId="70B513D5" w14:textId="77777777" w:rsidTr="00062664">
        <w:tc>
          <w:tcPr>
            <w:tcW w:w="1791" w:type="dxa"/>
            <w:shd w:val="clear" w:color="auto" w:fill="D0CECE" w:themeFill="background2" w:themeFillShade="E6"/>
          </w:tcPr>
          <w:p w14:paraId="6F04BF87" w14:textId="2D265BC5" w:rsidR="003D60F5" w:rsidRPr="00225182" w:rsidRDefault="003D60F5" w:rsidP="003D60F5">
            <w:pPr>
              <w:rPr>
                <w:rFonts w:asciiTheme="majorHAnsi" w:hAnsiTheme="majorHAnsi" w:cstheme="majorHAnsi"/>
              </w:rPr>
            </w:pPr>
            <w:r w:rsidRPr="00225182">
              <w:rPr>
                <w:rFonts w:asciiTheme="majorHAnsi" w:hAnsiTheme="majorHAnsi" w:cstheme="majorHAnsi"/>
                <w:b/>
                <w:bCs/>
                <w:lang w:val="en-US"/>
              </w:rPr>
              <w:t>Skilled staff</w:t>
            </w:r>
            <w:r w:rsidRPr="00225182">
              <w:rPr>
                <w:rFonts w:asciiTheme="majorHAnsi" w:hAnsiTheme="majorHAnsi" w:cstheme="majorHAnsi"/>
                <w:lang w:val="en-US"/>
              </w:rPr>
              <w:t xml:space="preserve"> </w:t>
            </w:r>
            <w:r w:rsidRPr="00225182">
              <w:rPr>
                <w:rFonts w:asciiTheme="majorHAnsi" w:hAnsiTheme="majorHAnsi" w:cstheme="majorHAnsi"/>
                <w:b/>
                <w:bCs/>
                <w:lang w:val="en-US"/>
              </w:rPr>
              <w:t>at Post</w:t>
            </w:r>
          </w:p>
        </w:tc>
        <w:tc>
          <w:tcPr>
            <w:tcW w:w="4774" w:type="dxa"/>
            <w:shd w:val="clear" w:color="auto" w:fill="D0CECE" w:themeFill="background2" w:themeFillShade="E6"/>
          </w:tcPr>
          <w:p w14:paraId="24349C13" w14:textId="04A96E98" w:rsidR="003D60F5" w:rsidRPr="00B15583" w:rsidRDefault="00B15583" w:rsidP="003D60F5">
            <w:pPr>
              <w:rPr>
                <w:rFonts w:ascii="Calibri Light" w:hAnsi="Calibri Light" w:cs="Calibri Light"/>
              </w:rPr>
            </w:pPr>
            <w:r>
              <w:rPr>
                <w:rFonts w:ascii="Calibri Light" w:eastAsia="Calibri" w:hAnsi="Calibri Light" w:cs="Calibri Light"/>
                <w:kern w:val="2"/>
                <w:szCs w:val="20"/>
                <w:lang w:val="en-ID"/>
                <w14:ligatures w14:val="standardContextual"/>
              </w:rPr>
              <w:t xml:space="preserve">Skilled staff at Post </w:t>
            </w:r>
            <w:r w:rsidRPr="00B15583">
              <w:rPr>
                <w:rFonts w:ascii="Calibri Light" w:eastAsia="Calibri" w:hAnsi="Calibri Light" w:cs="Calibri Light"/>
                <w:kern w:val="2"/>
                <w:szCs w:val="20"/>
                <w:lang w:val="en-ID"/>
                <w14:ligatures w14:val="standardContextual"/>
              </w:rPr>
              <w:t>are essential for DFAT to maintain, including local experts skilled in public financial management and political economy, and remunerated on competitive terms.</w:t>
            </w:r>
          </w:p>
        </w:tc>
        <w:tc>
          <w:tcPr>
            <w:tcW w:w="450" w:type="dxa"/>
            <w:shd w:val="clear" w:color="auto" w:fill="A8D08D" w:themeFill="accent6" w:themeFillTint="99"/>
          </w:tcPr>
          <w:p w14:paraId="6BE4A917" w14:textId="77777777" w:rsidR="003D60F5" w:rsidRPr="00225182" w:rsidRDefault="003D60F5" w:rsidP="003D60F5">
            <w:pPr>
              <w:spacing w:after="160" w:line="259" w:lineRule="auto"/>
              <w:rPr>
                <w:rFonts w:asciiTheme="majorHAnsi" w:hAnsiTheme="majorHAnsi" w:cstheme="majorHAnsi"/>
                <w:lang w:val="en-US"/>
              </w:rPr>
            </w:pPr>
            <w:r w:rsidRPr="00225182">
              <w:rPr>
                <w:rFonts w:asciiTheme="majorHAnsi" w:hAnsiTheme="majorHAnsi" w:cstheme="majorHAnsi"/>
                <w:lang w:val="en-US"/>
              </w:rPr>
              <w:t>Agree</w:t>
            </w:r>
          </w:p>
          <w:p w14:paraId="3E37CA5F" w14:textId="77777777" w:rsidR="003D60F5" w:rsidRPr="00225182" w:rsidRDefault="003D60F5" w:rsidP="003D60F5">
            <w:pPr>
              <w:rPr>
                <w:rFonts w:asciiTheme="majorHAnsi" w:hAnsiTheme="majorHAnsi" w:cstheme="majorHAnsi"/>
                <w:lang w:val="en-US"/>
              </w:rPr>
            </w:pPr>
          </w:p>
          <w:p w14:paraId="7D5B7174" w14:textId="77777777" w:rsidR="003D60F5" w:rsidRPr="00225182" w:rsidRDefault="003D60F5" w:rsidP="003D60F5">
            <w:pPr>
              <w:rPr>
                <w:rFonts w:asciiTheme="majorHAnsi" w:hAnsiTheme="majorHAnsi" w:cstheme="majorHAnsi"/>
                <w:lang w:val="en-US"/>
              </w:rPr>
            </w:pPr>
          </w:p>
          <w:p w14:paraId="4C1C696F" w14:textId="77777777" w:rsidR="003D60F5" w:rsidRPr="00225182" w:rsidRDefault="003D60F5" w:rsidP="003D60F5">
            <w:pPr>
              <w:rPr>
                <w:rFonts w:asciiTheme="majorHAnsi" w:hAnsiTheme="majorHAnsi" w:cstheme="majorHAnsi"/>
                <w:lang w:val="en-US"/>
              </w:rPr>
            </w:pPr>
          </w:p>
          <w:p w14:paraId="11544C76" w14:textId="77777777" w:rsidR="003D60F5" w:rsidRPr="00225182" w:rsidRDefault="003D60F5" w:rsidP="003D60F5">
            <w:pPr>
              <w:rPr>
                <w:rFonts w:asciiTheme="majorHAnsi" w:hAnsiTheme="majorHAnsi" w:cstheme="majorHAnsi"/>
              </w:rPr>
            </w:pPr>
          </w:p>
        </w:tc>
        <w:tc>
          <w:tcPr>
            <w:tcW w:w="6035" w:type="dxa"/>
            <w:shd w:val="clear" w:color="auto" w:fill="D0CECE" w:themeFill="background2" w:themeFillShade="E6"/>
          </w:tcPr>
          <w:p w14:paraId="6A061040" w14:textId="20FEE0F9" w:rsidR="003D60F5" w:rsidRPr="00225182" w:rsidRDefault="003D60F5" w:rsidP="003D60F5">
            <w:pPr>
              <w:rPr>
                <w:rFonts w:asciiTheme="majorHAnsi" w:hAnsiTheme="majorHAnsi" w:cstheme="majorHAnsi"/>
              </w:rPr>
            </w:pPr>
            <w:r w:rsidRPr="00225182">
              <w:rPr>
                <w:rFonts w:asciiTheme="majorHAnsi" w:hAnsiTheme="majorHAnsi" w:cstheme="majorHAnsi"/>
                <w:lang w:val="en-ID"/>
              </w:rPr>
              <w:t>Post continues to actively review its program staffing competencies and re</w:t>
            </w:r>
            <w:r w:rsidR="00B606B4">
              <w:rPr>
                <w:rFonts w:asciiTheme="majorHAnsi" w:hAnsiTheme="majorHAnsi" w:cstheme="majorHAnsi"/>
                <w:lang w:val="en-ID"/>
              </w:rPr>
              <w:t>mun</w:t>
            </w:r>
            <w:r w:rsidRPr="00225182">
              <w:rPr>
                <w:rFonts w:asciiTheme="majorHAnsi" w:hAnsiTheme="majorHAnsi" w:cstheme="majorHAnsi"/>
                <w:lang w:val="en-ID"/>
              </w:rPr>
              <w:t xml:space="preserve">eration frameworks. </w:t>
            </w:r>
            <w:r w:rsidR="00E31539">
              <w:rPr>
                <w:rFonts w:asciiTheme="majorHAnsi" w:hAnsiTheme="majorHAnsi" w:cstheme="majorHAnsi"/>
                <w:lang w:val="en-ID"/>
              </w:rPr>
              <w:t>C</w:t>
            </w:r>
            <w:r w:rsidRPr="00225182">
              <w:rPr>
                <w:rFonts w:asciiTheme="majorHAnsi" w:hAnsiTheme="majorHAnsi" w:cstheme="majorHAnsi"/>
                <w:lang w:val="en-ID"/>
              </w:rPr>
              <w:t xml:space="preserve">ontinuous capacity assessments </w:t>
            </w:r>
            <w:r w:rsidR="00E31539">
              <w:rPr>
                <w:rFonts w:asciiTheme="majorHAnsi" w:hAnsiTheme="majorHAnsi" w:cstheme="majorHAnsi"/>
                <w:lang w:val="en-ID"/>
              </w:rPr>
              <w:t>are being</w:t>
            </w:r>
            <w:r w:rsidRPr="00225182">
              <w:rPr>
                <w:rFonts w:asciiTheme="majorHAnsi" w:hAnsiTheme="majorHAnsi" w:cstheme="majorHAnsi"/>
                <w:lang w:val="en-ID"/>
              </w:rPr>
              <w:t xml:space="preserve"> conducted by Post and where necessary adequate retention models pursued. </w:t>
            </w:r>
          </w:p>
        </w:tc>
        <w:tc>
          <w:tcPr>
            <w:tcW w:w="1255" w:type="dxa"/>
            <w:shd w:val="clear" w:color="auto" w:fill="D0CECE" w:themeFill="background2" w:themeFillShade="E6"/>
          </w:tcPr>
          <w:p w14:paraId="05AA48BC" w14:textId="4886E76E" w:rsidR="003D60F5" w:rsidRPr="00225182" w:rsidRDefault="003D60F5" w:rsidP="003D60F5">
            <w:pPr>
              <w:rPr>
                <w:rFonts w:asciiTheme="majorHAnsi" w:hAnsiTheme="majorHAnsi" w:cstheme="majorHAnsi"/>
              </w:rPr>
            </w:pPr>
            <w:r w:rsidRPr="00225182">
              <w:rPr>
                <w:rFonts w:asciiTheme="majorHAnsi" w:hAnsiTheme="majorHAnsi" w:cstheme="majorHAnsi"/>
                <w:lang w:val="en-US"/>
              </w:rPr>
              <w:t>Ongoing</w:t>
            </w:r>
          </w:p>
        </w:tc>
      </w:tr>
      <w:tr w:rsidR="00E42CA3" w:rsidRPr="00225182" w14:paraId="75F0150F" w14:textId="77777777" w:rsidTr="00062664">
        <w:tc>
          <w:tcPr>
            <w:tcW w:w="1791" w:type="dxa"/>
            <w:shd w:val="clear" w:color="auto" w:fill="D0CECE" w:themeFill="background2" w:themeFillShade="E6"/>
          </w:tcPr>
          <w:p w14:paraId="6DC6D3C7" w14:textId="7A979A21" w:rsidR="003D60F5" w:rsidRPr="00225182" w:rsidRDefault="003D60F5" w:rsidP="003D60F5">
            <w:pPr>
              <w:rPr>
                <w:rFonts w:asciiTheme="majorHAnsi" w:hAnsiTheme="majorHAnsi" w:cstheme="majorHAnsi"/>
              </w:rPr>
            </w:pPr>
            <w:r w:rsidRPr="00225182">
              <w:rPr>
                <w:rFonts w:asciiTheme="majorHAnsi" w:hAnsiTheme="majorHAnsi" w:cstheme="majorHAnsi"/>
                <w:b/>
                <w:bCs/>
                <w:lang w:val="en-US"/>
              </w:rPr>
              <w:t>Civil society engagement</w:t>
            </w:r>
            <w:r w:rsidR="00B15583">
              <w:rPr>
                <w:rFonts w:asciiTheme="majorHAnsi" w:hAnsiTheme="majorHAnsi" w:cstheme="majorHAnsi"/>
                <w:b/>
                <w:bCs/>
                <w:lang w:val="en-US"/>
              </w:rPr>
              <w:t xml:space="preserve"> (CSO)</w:t>
            </w:r>
          </w:p>
        </w:tc>
        <w:tc>
          <w:tcPr>
            <w:tcW w:w="4774" w:type="dxa"/>
            <w:shd w:val="clear" w:color="auto" w:fill="D0CECE" w:themeFill="background2" w:themeFillShade="E6"/>
          </w:tcPr>
          <w:p w14:paraId="7FB76DCE" w14:textId="3B790520" w:rsidR="003D60F5" w:rsidRPr="00B15583" w:rsidRDefault="00B15583" w:rsidP="003D60F5">
            <w:pPr>
              <w:rPr>
                <w:rFonts w:ascii="Calibri Light" w:hAnsi="Calibri Light" w:cs="Calibri Light"/>
              </w:rPr>
            </w:pPr>
            <w:r>
              <w:rPr>
                <w:rFonts w:ascii="Calibri Light" w:eastAsia="Calibri" w:hAnsi="Calibri Light" w:cs="Calibri Light"/>
                <w:kern w:val="2"/>
                <w:szCs w:val="20"/>
                <w:lang w:val="en-ID"/>
                <w14:ligatures w14:val="standardContextual"/>
              </w:rPr>
              <w:t xml:space="preserve">CSO engagement </w:t>
            </w:r>
            <w:r w:rsidRPr="00B15583">
              <w:rPr>
                <w:rFonts w:ascii="Calibri Light" w:eastAsia="Calibri" w:hAnsi="Calibri Light" w:cs="Calibri Light"/>
                <w:kern w:val="2"/>
                <w:szCs w:val="20"/>
                <w:lang w:val="en-ID"/>
                <w14:ligatures w14:val="standardContextual"/>
              </w:rPr>
              <w:t>can be strengthened by DFAT, leveraging Fiji’s own budget process and by holding roundtables to be well informed and bring this voice to policy dialogue.</w:t>
            </w:r>
          </w:p>
        </w:tc>
        <w:tc>
          <w:tcPr>
            <w:tcW w:w="450" w:type="dxa"/>
            <w:shd w:val="clear" w:color="auto" w:fill="A8D08D" w:themeFill="accent6" w:themeFillTint="99"/>
          </w:tcPr>
          <w:p w14:paraId="3AFC630F" w14:textId="3C818CAC" w:rsidR="003D60F5" w:rsidRPr="00225182" w:rsidRDefault="003D60F5" w:rsidP="003D60F5">
            <w:pPr>
              <w:rPr>
                <w:rFonts w:asciiTheme="majorHAnsi" w:hAnsiTheme="majorHAnsi" w:cstheme="majorHAnsi"/>
              </w:rPr>
            </w:pPr>
            <w:r w:rsidRPr="00225182">
              <w:rPr>
                <w:rFonts w:asciiTheme="majorHAnsi" w:hAnsiTheme="majorHAnsi" w:cstheme="majorHAnsi"/>
                <w:lang w:val="en-US"/>
              </w:rPr>
              <w:t>Agree</w:t>
            </w:r>
          </w:p>
        </w:tc>
        <w:tc>
          <w:tcPr>
            <w:tcW w:w="6035" w:type="dxa"/>
            <w:shd w:val="clear" w:color="auto" w:fill="D0CECE" w:themeFill="background2" w:themeFillShade="E6"/>
          </w:tcPr>
          <w:p w14:paraId="7F710D96" w14:textId="2B64A5D5" w:rsidR="003F5411" w:rsidRPr="00E31539" w:rsidRDefault="003D60F5" w:rsidP="00E31539">
            <w:pPr>
              <w:rPr>
                <w:rFonts w:asciiTheme="majorHAnsi" w:hAnsiTheme="majorHAnsi" w:cstheme="majorHAnsi"/>
                <w:lang w:val="en-US"/>
              </w:rPr>
            </w:pPr>
            <w:r w:rsidRPr="00225182">
              <w:rPr>
                <w:rFonts w:asciiTheme="majorHAnsi" w:hAnsiTheme="majorHAnsi" w:cstheme="majorHAnsi"/>
                <w:lang w:val="en-US"/>
              </w:rPr>
              <w:t xml:space="preserve">Post will continue to actively engage with CSOs through its ongoing bilateral initiatives and through its policy dialogue processes which form part of the budget support operation. It will also seek inputs from the CSOs to support its ongoing monitoring and evaluation process. </w:t>
            </w:r>
          </w:p>
        </w:tc>
        <w:tc>
          <w:tcPr>
            <w:tcW w:w="1255" w:type="dxa"/>
            <w:shd w:val="clear" w:color="auto" w:fill="D0CECE" w:themeFill="background2" w:themeFillShade="E6"/>
          </w:tcPr>
          <w:p w14:paraId="2F233D36" w14:textId="4CE8F9DA" w:rsidR="003D60F5" w:rsidRPr="00225182" w:rsidRDefault="003D60F5" w:rsidP="003D60F5">
            <w:pPr>
              <w:rPr>
                <w:rFonts w:asciiTheme="majorHAnsi" w:hAnsiTheme="majorHAnsi" w:cstheme="majorHAnsi"/>
              </w:rPr>
            </w:pPr>
            <w:r w:rsidRPr="00225182">
              <w:rPr>
                <w:rFonts w:asciiTheme="majorHAnsi" w:hAnsiTheme="majorHAnsi" w:cstheme="majorHAnsi"/>
                <w:lang w:val="en-US"/>
              </w:rPr>
              <w:t>Ongoing</w:t>
            </w:r>
          </w:p>
        </w:tc>
      </w:tr>
      <w:tr w:rsidR="00E42CA3" w:rsidRPr="00225182" w14:paraId="2FF9514A" w14:textId="77777777" w:rsidTr="00062664">
        <w:tc>
          <w:tcPr>
            <w:tcW w:w="1791" w:type="dxa"/>
            <w:shd w:val="clear" w:color="auto" w:fill="D0CECE" w:themeFill="background2" w:themeFillShade="E6"/>
          </w:tcPr>
          <w:p w14:paraId="1664D57D" w14:textId="20C5F936" w:rsidR="003D60F5" w:rsidRPr="00225182" w:rsidRDefault="003D60F5" w:rsidP="003D60F5">
            <w:pPr>
              <w:rPr>
                <w:rFonts w:asciiTheme="majorHAnsi" w:hAnsiTheme="majorHAnsi" w:cstheme="majorHAnsi"/>
              </w:rPr>
            </w:pPr>
            <w:r w:rsidRPr="00225182">
              <w:rPr>
                <w:rFonts w:asciiTheme="majorHAnsi" w:hAnsiTheme="majorHAnsi" w:cstheme="majorHAnsi"/>
                <w:b/>
                <w:bCs/>
                <w:lang w:val="en-US"/>
              </w:rPr>
              <w:t>Gender equality and disability equity</w:t>
            </w:r>
          </w:p>
        </w:tc>
        <w:tc>
          <w:tcPr>
            <w:tcW w:w="4774" w:type="dxa"/>
            <w:shd w:val="clear" w:color="auto" w:fill="D0CECE" w:themeFill="background2" w:themeFillShade="E6"/>
          </w:tcPr>
          <w:p w14:paraId="355EEBC3" w14:textId="412EEE64" w:rsidR="003D60F5" w:rsidRPr="00B15583" w:rsidRDefault="00B15583" w:rsidP="003D60F5">
            <w:pPr>
              <w:rPr>
                <w:rFonts w:ascii="Calibri Light" w:hAnsi="Calibri Light" w:cs="Calibri Light"/>
              </w:rPr>
            </w:pPr>
            <w:r w:rsidRPr="00B15583">
              <w:rPr>
                <w:rFonts w:ascii="Calibri Light" w:eastAsia="Calibri" w:hAnsi="Calibri Light" w:cs="Calibri Light"/>
                <w:kern w:val="2"/>
                <w:szCs w:val="20"/>
                <w:lang w:val="en-ID"/>
                <w14:ligatures w14:val="standardContextual"/>
              </w:rPr>
              <w:t>Fiji’s commendable focus on gender equality should continue to be supported by DFAT, while inclusion of people with disabilities and other socially marginalised groups needs to be strengthened.</w:t>
            </w:r>
          </w:p>
        </w:tc>
        <w:tc>
          <w:tcPr>
            <w:tcW w:w="450" w:type="dxa"/>
            <w:shd w:val="clear" w:color="auto" w:fill="A8D08D" w:themeFill="accent6" w:themeFillTint="99"/>
          </w:tcPr>
          <w:p w14:paraId="15875908" w14:textId="378EF625" w:rsidR="003D60F5" w:rsidRPr="00225182" w:rsidRDefault="003D60F5" w:rsidP="003D60F5">
            <w:pPr>
              <w:rPr>
                <w:rFonts w:asciiTheme="majorHAnsi" w:hAnsiTheme="majorHAnsi" w:cstheme="majorHAnsi"/>
              </w:rPr>
            </w:pPr>
            <w:r w:rsidRPr="00225182">
              <w:rPr>
                <w:rFonts w:asciiTheme="majorHAnsi" w:hAnsiTheme="majorHAnsi" w:cstheme="majorHAnsi"/>
                <w:lang w:val="en-US"/>
              </w:rPr>
              <w:t>Agree</w:t>
            </w:r>
          </w:p>
        </w:tc>
        <w:tc>
          <w:tcPr>
            <w:tcW w:w="6035" w:type="dxa"/>
            <w:shd w:val="clear" w:color="auto" w:fill="D0CECE" w:themeFill="background2" w:themeFillShade="E6"/>
          </w:tcPr>
          <w:p w14:paraId="046F3C6F" w14:textId="53D12A1B" w:rsidR="003D60F5" w:rsidRPr="00225182" w:rsidRDefault="003D60F5" w:rsidP="003D60F5">
            <w:pPr>
              <w:rPr>
                <w:rFonts w:asciiTheme="majorHAnsi" w:hAnsiTheme="majorHAnsi" w:cstheme="majorHAnsi"/>
              </w:rPr>
            </w:pPr>
            <w:r w:rsidRPr="00225182">
              <w:rPr>
                <w:rFonts w:asciiTheme="majorHAnsi" w:hAnsiTheme="majorHAnsi" w:cstheme="majorHAnsi"/>
                <w:lang w:val="en-ID"/>
              </w:rPr>
              <w:t xml:space="preserve">Strategic incorporation of GEDSI into the budget support operation will continue to be a focus of the </w:t>
            </w:r>
            <w:r w:rsidR="00E31539">
              <w:rPr>
                <w:rFonts w:asciiTheme="majorHAnsi" w:hAnsiTheme="majorHAnsi" w:cstheme="majorHAnsi"/>
                <w:lang w:val="en-ID"/>
              </w:rPr>
              <w:t>program</w:t>
            </w:r>
            <w:r w:rsidRPr="00225182">
              <w:rPr>
                <w:rFonts w:asciiTheme="majorHAnsi" w:hAnsiTheme="majorHAnsi" w:cstheme="majorHAnsi"/>
                <w:lang w:val="en-ID"/>
              </w:rPr>
              <w:t xml:space="preserve">, helping mainstream these cross-cutting issues into the macro-economic reform agenda. </w:t>
            </w:r>
            <w:r w:rsidR="002201D9">
              <w:rPr>
                <w:rFonts w:asciiTheme="majorHAnsi" w:hAnsiTheme="majorHAnsi" w:cstheme="majorHAnsi"/>
                <w:lang w:val="en-ID"/>
              </w:rPr>
              <w:t xml:space="preserve">Suva Post </w:t>
            </w:r>
            <w:r w:rsidR="00E42CA3">
              <w:rPr>
                <w:rFonts w:asciiTheme="majorHAnsi" w:hAnsiTheme="majorHAnsi" w:cstheme="majorHAnsi"/>
                <w:lang w:val="en-ID"/>
              </w:rPr>
              <w:t>will continue to seek international best practices in GEDSI mainstreaming and where appropriate, engage in policy dialogue on thes</w:t>
            </w:r>
            <w:r w:rsidR="00062664">
              <w:rPr>
                <w:rFonts w:asciiTheme="majorHAnsi" w:hAnsiTheme="majorHAnsi" w:cstheme="majorHAnsi"/>
                <w:lang w:val="en-ID"/>
              </w:rPr>
              <w:t>e, compl</w:t>
            </w:r>
            <w:r w:rsidR="00272B02">
              <w:rPr>
                <w:rFonts w:asciiTheme="majorHAnsi" w:hAnsiTheme="majorHAnsi" w:cstheme="majorHAnsi"/>
                <w:lang w:val="en-ID"/>
              </w:rPr>
              <w:t>e</w:t>
            </w:r>
            <w:r w:rsidR="00062664">
              <w:rPr>
                <w:rFonts w:asciiTheme="majorHAnsi" w:hAnsiTheme="majorHAnsi" w:cstheme="majorHAnsi"/>
                <w:lang w:val="en-ID"/>
              </w:rPr>
              <w:t xml:space="preserve">menting the robust bilateral program we have in this area. </w:t>
            </w:r>
          </w:p>
        </w:tc>
        <w:tc>
          <w:tcPr>
            <w:tcW w:w="1255" w:type="dxa"/>
            <w:shd w:val="clear" w:color="auto" w:fill="D0CECE" w:themeFill="background2" w:themeFillShade="E6"/>
          </w:tcPr>
          <w:p w14:paraId="3A6E2E77" w14:textId="5E45CDFC" w:rsidR="003D60F5" w:rsidRPr="00225182" w:rsidRDefault="003D60F5" w:rsidP="003D60F5">
            <w:pPr>
              <w:rPr>
                <w:rFonts w:asciiTheme="majorHAnsi" w:hAnsiTheme="majorHAnsi" w:cstheme="majorHAnsi"/>
              </w:rPr>
            </w:pPr>
            <w:r w:rsidRPr="00225182">
              <w:rPr>
                <w:rFonts w:asciiTheme="majorHAnsi" w:hAnsiTheme="majorHAnsi" w:cstheme="majorHAnsi"/>
                <w:lang w:val="en-US"/>
              </w:rPr>
              <w:t>Ongoing</w:t>
            </w:r>
          </w:p>
        </w:tc>
      </w:tr>
      <w:tr w:rsidR="00E42CA3" w:rsidRPr="00225182" w14:paraId="6A405E39" w14:textId="77777777" w:rsidTr="00062664">
        <w:tc>
          <w:tcPr>
            <w:tcW w:w="1791" w:type="dxa"/>
            <w:shd w:val="clear" w:color="auto" w:fill="D0CECE" w:themeFill="background2" w:themeFillShade="E6"/>
          </w:tcPr>
          <w:p w14:paraId="0AB0575B" w14:textId="36FC2B5E" w:rsidR="003D60F5" w:rsidRPr="00225182" w:rsidRDefault="003D60F5" w:rsidP="003D60F5">
            <w:pPr>
              <w:rPr>
                <w:rFonts w:asciiTheme="majorHAnsi" w:hAnsiTheme="majorHAnsi" w:cstheme="majorHAnsi"/>
              </w:rPr>
            </w:pPr>
            <w:r w:rsidRPr="00225182">
              <w:rPr>
                <w:rFonts w:asciiTheme="majorHAnsi" w:hAnsiTheme="majorHAnsi" w:cstheme="majorHAnsi"/>
                <w:b/>
                <w:bCs/>
                <w:lang w:val="en-US"/>
              </w:rPr>
              <w:t>Technical assistance</w:t>
            </w:r>
          </w:p>
        </w:tc>
        <w:tc>
          <w:tcPr>
            <w:tcW w:w="4774" w:type="dxa"/>
            <w:shd w:val="clear" w:color="auto" w:fill="D0CECE" w:themeFill="background2" w:themeFillShade="E6"/>
          </w:tcPr>
          <w:p w14:paraId="2A13FEE0" w14:textId="5B5259EF" w:rsidR="003D60F5" w:rsidRPr="00B15583" w:rsidRDefault="00B15583" w:rsidP="003D60F5">
            <w:pPr>
              <w:rPr>
                <w:rFonts w:ascii="Calibri Light" w:hAnsi="Calibri Light" w:cs="Calibri Light"/>
              </w:rPr>
            </w:pPr>
            <w:r>
              <w:rPr>
                <w:rFonts w:ascii="Calibri Light" w:eastAsia="Calibri" w:hAnsi="Calibri Light" w:cs="Calibri Light"/>
                <w:kern w:val="2"/>
                <w:szCs w:val="20"/>
                <w:lang w:val="en-ID"/>
                <w14:ligatures w14:val="standardContextual"/>
              </w:rPr>
              <w:t xml:space="preserve">Technical assistance </w:t>
            </w:r>
            <w:r w:rsidRPr="00B15583">
              <w:rPr>
                <w:rFonts w:ascii="Calibri Light" w:eastAsia="Calibri" w:hAnsi="Calibri Light" w:cs="Calibri Light"/>
                <w:kern w:val="2"/>
                <w:szCs w:val="20"/>
                <w:lang w:val="en-ID"/>
                <w14:ligatures w14:val="standardContextual"/>
              </w:rPr>
              <w:t>which is crucial for supporting reforms,</w:t>
            </w:r>
            <w:r w:rsidRPr="00B15583">
              <w:rPr>
                <w:rFonts w:ascii="Calibri Light" w:eastAsia="Calibri" w:hAnsi="Calibri Light" w:cs="Calibri Light"/>
                <w:b/>
                <w:bCs/>
                <w:kern w:val="2"/>
                <w:szCs w:val="20"/>
                <w:lang w:val="en-ID"/>
                <w14:ligatures w14:val="standardContextual"/>
              </w:rPr>
              <w:t xml:space="preserve"> </w:t>
            </w:r>
            <w:r w:rsidRPr="00B15583">
              <w:rPr>
                <w:rFonts w:ascii="Calibri Light" w:eastAsia="Calibri" w:hAnsi="Calibri Light" w:cs="Calibri Light"/>
                <w:kern w:val="2"/>
                <w:szCs w:val="20"/>
                <w:lang w:val="en-ID"/>
                <w14:ligatures w14:val="standardContextual"/>
              </w:rPr>
              <w:t>should continue to be coordinated by DFAT and development partners, and linked with the policy actions.</w:t>
            </w:r>
          </w:p>
        </w:tc>
        <w:tc>
          <w:tcPr>
            <w:tcW w:w="450" w:type="dxa"/>
            <w:shd w:val="clear" w:color="auto" w:fill="A8D08D" w:themeFill="accent6" w:themeFillTint="99"/>
          </w:tcPr>
          <w:p w14:paraId="5C258F6C" w14:textId="619C8149" w:rsidR="003D60F5" w:rsidRPr="00225182" w:rsidRDefault="003D60F5" w:rsidP="003D60F5">
            <w:pPr>
              <w:rPr>
                <w:rFonts w:asciiTheme="majorHAnsi" w:hAnsiTheme="majorHAnsi" w:cstheme="majorHAnsi"/>
              </w:rPr>
            </w:pPr>
            <w:r w:rsidRPr="00225182">
              <w:rPr>
                <w:rFonts w:asciiTheme="majorHAnsi" w:hAnsiTheme="majorHAnsi" w:cstheme="majorHAnsi"/>
                <w:lang w:val="en-US"/>
              </w:rPr>
              <w:t>Agree</w:t>
            </w:r>
          </w:p>
        </w:tc>
        <w:tc>
          <w:tcPr>
            <w:tcW w:w="6035" w:type="dxa"/>
            <w:shd w:val="clear" w:color="auto" w:fill="D0CECE" w:themeFill="background2" w:themeFillShade="E6"/>
          </w:tcPr>
          <w:p w14:paraId="27FBF6FB" w14:textId="650337AE" w:rsidR="003D60F5" w:rsidRPr="00225182" w:rsidRDefault="003D60F5" w:rsidP="003D60F5">
            <w:pPr>
              <w:rPr>
                <w:rFonts w:asciiTheme="majorHAnsi" w:hAnsiTheme="majorHAnsi" w:cstheme="majorHAnsi"/>
              </w:rPr>
            </w:pPr>
            <w:r w:rsidRPr="00225182">
              <w:rPr>
                <w:rFonts w:asciiTheme="majorHAnsi" w:hAnsiTheme="majorHAnsi" w:cstheme="majorHAnsi"/>
                <w:lang w:val="en-US"/>
              </w:rPr>
              <w:t xml:space="preserve">Provision of adequate technical assistance will continue to be assessed and supported. Close coordination of </w:t>
            </w:r>
            <w:r w:rsidR="002840E4">
              <w:rPr>
                <w:rFonts w:asciiTheme="majorHAnsi" w:hAnsiTheme="majorHAnsi" w:cstheme="majorHAnsi"/>
                <w:lang w:val="en-US"/>
              </w:rPr>
              <w:t>technical assistance</w:t>
            </w:r>
            <w:r w:rsidRPr="00225182">
              <w:rPr>
                <w:rFonts w:asciiTheme="majorHAnsi" w:hAnsiTheme="majorHAnsi" w:cstheme="majorHAnsi"/>
                <w:lang w:val="en-US"/>
              </w:rPr>
              <w:t xml:space="preserve"> and sequencing will be assessed to ensure it aligns with Government</w:t>
            </w:r>
            <w:r w:rsidR="002201D9">
              <w:rPr>
                <w:rFonts w:asciiTheme="majorHAnsi" w:hAnsiTheme="majorHAnsi" w:cstheme="majorHAnsi"/>
                <w:lang w:val="en-US"/>
              </w:rPr>
              <w:t>’s</w:t>
            </w:r>
            <w:r w:rsidRPr="00225182">
              <w:rPr>
                <w:rFonts w:asciiTheme="majorHAnsi" w:hAnsiTheme="majorHAnsi" w:cstheme="majorHAnsi"/>
                <w:lang w:val="en-US"/>
              </w:rPr>
              <w:t xml:space="preserve"> needs and absorptive capacity.</w:t>
            </w:r>
          </w:p>
        </w:tc>
        <w:tc>
          <w:tcPr>
            <w:tcW w:w="1255" w:type="dxa"/>
            <w:shd w:val="clear" w:color="auto" w:fill="D0CECE" w:themeFill="background2" w:themeFillShade="E6"/>
          </w:tcPr>
          <w:p w14:paraId="083EBF5F" w14:textId="6B743F17" w:rsidR="003D60F5" w:rsidRPr="00225182" w:rsidRDefault="003D60F5" w:rsidP="003D60F5">
            <w:pPr>
              <w:rPr>
                <w:rFonts w:asciiTheme="majorHAnsi" w:hAnsiTheme="majorHAnsi" w:cstheme="majorHAnsi"/>
              </w:rPr>
            </w:pPr>
            <w:r w:rsidRPr="00225182">
              <w:rPr>
                <w:rFonts w:asciiTheme="majorHAnsi" w:hAnsiTheme="majorHAnsi" w:cstheme="majorHAnsi"/>
                <w:lang w:val="en-US"/>
              </w:rPr>
              <w:t>Ongoing</w:t>
            </w:r>
          </w:p>
        </w:tc>
      </w:tr>
      <w:tr w:rsidR="00E42CA3" w:rsidRPr="00225182" w14:paraId="27224A1F" w14:textId="77777777" w:rsidTr="00062664">
        <w:tc>
          <w:tcPr>
            <w:tcW w:w="1791" w:type="dxa"/>
            <w:shd w:val="clear" w:color="auto" w:fill="D0CECE" w:themeFill="background2" w:themeFillShade="E6"/>
          </w:tcPr>
          <w:p w14:paraId="426BB22F" w14:textId="65A54F09" w:rsidR="003D60F5" w:rsidRPr="00225182" w:rsidRDefault="003D60F5" w:rsidP="003D60F5">
            <w:pPr>
              <w:rPr>
                <w:rFonts w:asciiTheme="majorHAnsi" w:hAnsiTheme="majorHAnsi" w:cstheme="majorHAnsi"/>
              </w:rPr>
            </w:pPr>
            <w:r w:rsidRPr="00225182">
              <w:rPr>
                <w:rFonts w:asciiTheme="majorHAnsi" w:hAnsiTheme="majorHAnsi" w:cstheme="majorHAnsi"/>
                <w:b/>
                <w:bCs/>
                <w:lang w:val="en-US"/>
              </w:rPr>
              <w:lastRenderedPageBreak/>
              <w:t>Risk management.</w:t>
            </w:r>
          </w:p>
        </w:tc>
        <w:tc>
          <w:tcPr>
            <w:tcW w:w="4774" w:type="dxa"/>
            <w:shd w:val="clear" w:color="auto" w:fill="D0CECE" w:themeFill="background2" w:themeFillShade="E6"/>
          </w:tcPr>
          <w:p w14:paraId="389F8A1E" w14:textId="2D6B7778" w:rsidR="003D60F5" w:rsidRPr="00B15583" w:rsidRDefault="00B15583" w:rsidP="003D60F5">
            <w:pPr>
              <w:rPr>
                <w:rFonts w:ascii="Calibri Light" w:hAnsi="Calibri Light" w:cs="Calibri Light"/>
              </w:rPr>
            </w:pPr>
            <w:r>
              <w:rPr>
                <w:rFonts w:ascii="Calibri Light" w:eastAsia="Calibri" w:hAnsi="Calibri Light" w:cs="Calibri Light"/>
                <w:kern w:val="2"/>
                <w:szCs w:val="20"/>
                <w:lang w:val="en-ID"/>
                <w14:ligatures w14:val="standardContextual"/>
              </w:rPr>
              <w:t xml:space="preserve">Risk registers </w:t>
            </w:r>
            <w:r w:rsidRPr="00B15583">
              <w:rPr>
                <w:rFonts w:ascii="Calibri Light" w:eastAsia="Calibri" w:hAnsi="Calibri Light" w:cs="Calibri Light"/>
                <w:kern w:val="2"/>
                <w:szCs w:val="20"/>
                <w:lang w:val="en-ID"/>
                <w14:ligatures w14:val="standardContextual"/>
              </w:rPr>
              <w:t>should continue to be kept up to date by DFAT and a risks and safeguards assessment should reflect political economy factors for successful ongoing budget support.</w:t>
            </w:r>
          </w:p>
        </w:tc>
        <w:tc>
          <w:tcPr>
            <w:tcW w:w="450" w:type="dxa"/>
            <w:shd w:val="clear" w:color="auto" w:fill="A8D08D" w:themeFill="accent6" w:themeFillTint="99"/>
          </w:tcPr>
          <w:p w14:paraId="5B8280F5" w14:textId="5B9250AA" w:rsidR="003D60F5" w:rsidRPr="00225182" w:rsidRDefault="003D60F5" w:rsidP="003D60F5">
            <w:pPr>
              <w:rPr>
                <w:rFonts w:asciiTheme="majorHAnsi" w:hAnsiTheme="majorHAnsi" w:cstheme="majorHAnsi"/>
              </w:rPr>
            </w:pPr>
            <w:r w:rsidRPr="00225182">
              <w:rPr>
                <w:rFonts w:asciiTheme="majorHAnsi" w:hAnsiTheme="majorHAnsi" w:cstheme="majorHAnsi"/>
                <w:lang w:val="en-US"/>
              </w:rPr>
              <w:t>Agree</w:t>
            </w:r>
          </w:p>
        </w:tc>
        <w:tc>
          <w:tcPr>
            <w:tcW w:w="6035" w:type="dxa"/>
            <w:shd w:val="clear" w:color="auto" w:fill="D0CECE" w:themeFill="background2" w:themeFillShade="E6"/>
          </w:tcPr>
          <w:p w14:paraId="389A0B99" w14:textId="6472116B" w:rsidR="003D60F5" w:rsidRPr="00225182" w:rsidRDefault="003D60F5" w:rsidP="00C11E4A">
            <w:pPr>
              <w:spacing w:after="160"/>
              <w:rPr>
                <w:rFonts w:asciiTheme="majorHAnsi" w:hAnsiTheme="majorHAnsi" w:cstheme="majorHAnsi"/>
              </w:rPr>
            </w:pPr>
            <w:r w:rsidRPr="00225182">
              <w:rPr>
                <w:rFonts w:asciiTheme="majorHAnsi" w:hAnsiTheme="majorHAnsi" w:cstheme="majorHAnsi"/>
                <w:lang w:val="en-ID"/>
              </w:rPr>
              <w:t>The Assessment of National Systems (ANS) was conducted in parallel with the Public Expenditure and Financial Accountability (PEFA)</w:t>
            </w:r>
            <w:r w:rsidR="00C11E4A">
              <w:rPr>
                <w:rFonts w:asciiTheme="majorHAnsi" w:hAnsiTheme="majorHAnsi" w:cstheme="majorHAnsi"/>
                <w:lang w:val="en-ID"/>
              </w:rPr>
              <w:t xml:space="preserve"> assessment in 2020.</w:t>
            </w:r>
            <w:r w:rsidRPr="00225182">
              <w:rPr>
                <w:rFonts w:asciiTheme="majorHAnsi" w:hAnsiTheme="majorHAnsi" w:cstheme="majorHAnsi"/>
                <w:lang w:val="en-ID"/>
              </w:rPr>
              <w:t xml:space="preserve"> A comprehensive update of the ANS will be conducted in 2024 </w:t>
            </w:r>
            <w:r w:rsidR="00C11E4A">
              <w:rPr>
                <w:rFonts w:asciiTheme="majorHAnsi" w:hAnsiTheme="majorHAnsi" w:cstheme="majorHAnsi"/>
                <w:lang w:val="en-ID"/>
              </w:rPr>
              <w:t>along with relevant fiduciary check assessments (social protection schemes etc).</w:t>
            </w:r>
            <w:r w:rsidR="00C11E4A">
              <w:rPr>
                <w:rFonts w:asciiTheme="majorHAnsi" w:hAnsiTheme="majorHAnsi" w:cstheme="majorHAnsi"/>
              </w:rPr>
              <w:t xml:space="preserve"> Risk and safeguard assessments will continue to be regularly updated.</w:t>
            </w:r>
          </w:p>
        </w:tc>
        <w:tc>
          <w:tcPr>
            <w:tcW w:w="1255" w:type="dxa"/>
            <w:shd w:val="clear" w:color="auto" w:fill="D0CECE" w:themeFill="background2" w:themeFillShade="E6"/>
          </w:tcPr>
          <w:p w14:paraId="08BBC932" w14:textId="62138ED3" w:rsidR="003D60F5" w:rsidRPr="00225182" w:rsidRDefault="003D60F5" w:rsidP="003D60F5">
            <w:pPr>
              <w:rPr>
                <w:rFonts w:asciiTheme="majorHAnsi" w:hAnsiTheme="majorHAnsi" w:cstheme="majorHAnsi"/>
              </w:rPr>
            </w:pPr>
            <w:r w:rsidRPr="00225182">
              <w:rPr>
                <w:rFonts w:asciiTheme="majorHAnsi" w:hAnsiTheme="majorHAnsi" w:cstheme="majorHAnsi"/>
                <w:lang w:val="en-US"/>
              </w:rPr>
              <w:t>Dec 2024 and ongoing</w:t>
            </w:r>
          </w:p>
        </w:tc>
      </w:tr>
      <w:tr w:rsidR="00E42CA3" w:rsidRPr="00225182" w14:paraId="3757EBD4" w14:textId="77777777" w:rsidTr="00062664">
        <w:tc>
          <w:tcPr>
            <w:tcW w:w="1791" w:type="dxa"/>
            <w:shd w:val="clear" w:color="auto" w:fill="D0CECE" w:themeFill="background2" w:themeFillShade="E6"/>
          </w:tcPr>
          <w:p w14:paraId="7086E4DD" w14:textId="6526F148" w:rsidR="003D60F5" w:rsidRPr="00225182" w:rsidRDefault="003D60F5" w:rsidP="003D60F5">
            <w:pPr>
              <w:rPr>
                <w:rFonts w:asciiTheme="majorHAnsi" w:hAnsiTheme="majorHAnsi" w:cstheme="majorHAnsi"/>
              </w:rPr>
            </w:pPr>
            <w:r w:rsidRPr="00225182">
              <w:rPr>
                <w:rFonts w:asciiTheme="majorHAnsi" w:hAnsiTheme="majorHAnsi" w:cstheme="majorHAnsi"/>
                <w:b/>
                <w:bCs/>
                <w:lang w:val="en-US"/>
              </w:rPr>
              <w:t>Learning</w:t>
            </w:r>
          </w:p>
        </w:tc>
        <w:tc>
          <w:tcPr>
            <w:tcW w:w="4774" w:type="dxa"/>
            <w:shd w:val="clear" w:color="auto" w:fill="D0CECE" w:themeFill="background2" w:themeFillShade="E6"/>
          </w:tcPr>
          <w:p w14:paraId="0206E501" w14:textId="1C3B93B0" w:rsidR="003D60F5" w:rsidRPr="00B15583" w:rsidRDefault="00B15583" w:rsidP="003D60F5">
            <w:pPr>
              <w:rPr>
                <w:rFonts w:ascii="Calibri Light" w:hAnsi="Calibri Light" w:cs="Calibri Light"/>
              </w:rPr>
            </w:pPr>
            <w:r w:rsidRPr="00B15583">
              <w:rPr>
                <w:rFonts w:ascii="Calibri Light" w:eastAsia="Calibri" w:hAnsi="Calibri Light" w:cs="Calibri Light"/>
                <w:kern w:val="2"/>
                <w:szCs w:val="20"/>
                <w:lang w:val="en-ID"/>
                <w14:ligatures w14:val="standardContextual"/>
              </w:rPr>
              <w:t>Fiji’s experience presents a valuable learning opportunity. DFAT should capitalise on this by facilitating knowledge sharing with other Pacific Posts and governments.</w:t>
            </w:r>
          </w:p>
        </w:tc>
        <w:tc>
          <w:tcPr>
            <w:tcW w:w="450" w:type="dxa"/>
            <w:shd w:val="clear" w:color="auto" w:fill="A8D08D" w:themeFill="accent6" w:themeFillTint="99"/>
          </w:tcPr>
          <w:p w14:paraId="5D8C0E6F" w14:textId="731BEE89" w:rsidR="003D60F5" w:rsidRPr="00225182" w:rsidRDefault="003D60F5" w:rsidP="003D60F5">
            <w:pPr>
              <w:rPr>
                <w:rFonts w:asciiTheme="majorHAnsi" w:hAnsiTheme="majorHAnsi" w:cstheme="majorHAnsi"/>
              </w:rPr>
            </w:pPr>
            <w:r w:rsidRPr="00225182">
              <w:rPr>
                <w:rFonts w:asciiTheme="majorHAnsi" w:hAnsiTheme="majorHAnsi" w:cstheme="majorHAnsi"/>
                <w:lang w:val="en-US"/>
              </w:rPr>
              <w:t>Agree</w:t>
            </w:r>
          </w:p>
        </w:tc>
        <w:tc>
          <w:tcPr>
            <w:tcW w:w="6035" w:type="dxa"/>
            <w:shd w:val="clear" w:color="auto" w:fill="D0CECE" w:themeFill="background2" w:themeFillShade="E6"/>
          </w:tcPr>
          <w:p w14:paraId="6112A592" w14:textId="686B7C1A" w:rsidR="003D60F5" w:rsidRPr="00225182" w:rsidRDefault="003D60F5" w:rsidP="003D60F5">
            <w:pPr>
              <w:rPr>
                <w:rFonts w:asciiTheme="majorHAnsi" w:hAnsiTheme="majorHAnsi" w:cstheme="majorHAnsi"/>
              </w:rPr>
            </w:pPr>
            <w:r w:rsidRPr="00225182">
              <w:rPr>
                <w:rFonts w:asciiTheme="majorHAnsi" w:hAnsiTheme="majorHAnsi" w:cstheme="majorHAnsi"/>
                <w:lang w:val="en-ID"/>
              </w:rPr>
              <w:t>This is currently in practice</w:t>
            </w:r>
            <w:r w:rsidR="008B10AD">
              <w:rPr>
                <w:rFonts w:asciiTheme="majorHAnsi" w:hAnsiTheme="majorHAnsi" w:cstheme="majorHAnsi"/>
                <w:lang w:val="en-ID"/>
              </w:rPr>
              <w:t xml:space="preserve">. </w:t>
            </w:r>
            <w:r w:rsidRPr="00225182">
              <w:rPr>
                <w:rFonts w:asciiTheme="majorHAnsi" w:hAnsiTheme="majorHAnsi" w:cstheme="majorHAnsi"/>
                <w:lang w:val="en-ID"/>
              </w:rPr>
              <w:t>However, DFAT will explore resources to strengthen our support and knowledge sharing with other Posts.</w:t>
            </w:r>
          </w:p>
        </w:tc>
        <w:tc>
          <w:tcPr>
            <w:tcW w:w="1255" w:type="dxa"/>
            <w:shd w:val="clear" w:color="auto" w:fill="D0CECE" w:themeFill="background2" w:themeFillShade="E6"/>
          </w:tcPr>
          <w:p w14:paraId="2366BC70" w14:textId="7DFA9A12" w:rsidR="003D60F5" w:rsidRPr="00225182" w:rsidRDefault="003D60F5" w:rsidP="003D60F5">
            <w:pPr>
              <w:rPr>
                <w:rFonts w:asciiTheme="majorHAnsi" w:hAnsiTheme="majorHAnsi" w:cstheme="majorHAnsi"/>
              </w:rPr>
            </w:pPr>
            <w:r w:rsidRPr="00225182">
              <w:rPr>
                <w:rFonts w:asciiTheme="majorHAnsi" w:hAnsiTheme="majorHAnsi" w:cstheme="majorHAnsi"/>
                <w:lang w:val="en-US"/>
              </w:rPr>
              <w:t>Ongoing</w:t>
            </w:r>
          </w:p>
        </w:tc>
      </w:tr>
    </w:tbl>
    <w:p w14:paraId="3E37D4D5" w14:textId="22882DFB" w:rsidR="00686291" w:rsidRDefault="00686291" w:rsidP="003F5411"/>
    <w:sectPr w:rsidR="00686291" w:rsidSect="0036151A">
      <w:pgSz w:w="15840" w:h="12240" w:orient="landscape"/>
      <w:pgMar w:top="310" w:right="1440" w:bottom="1170" w:left="72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210C" w14:textId="77777777" w:rsidR="0036151A" w:rsidRDefault="0036151A" w:rsidP="00F1253F">
      <w:pPr>
        <w:spacing w:after="0" w:line="240" w:lineRule="auto"/>
      </w:pPr>
      <w:r>
        <w:separator/>
      </w:r>
    </w:p>
  </w:endnote>
  <w:endnote w:type="continuationSeparator" w:id="0">
    <w:p w14:paraId="0BA29E9B" w14:textId="77777777" w:rsidR="0036151A" w:rsidRDefault="0036151A" w:rsidP="00F1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1976213184"/>
      <w:docPartObj>
        <w:docPartGallery w:val="Page Numbers (Bottom of Page)"/>
        <w:docPartUnique/>
      </w:docPartObj>
    </w:sdtPr>
    <w:sdtEndPr/>
    <w:sdtContent>
      <w:p w14:paraId="7066484A" w14:textId="46E5A63B" w:rsidR="00F1253F" w:rsidRPr="00F1253F" w:rsidRDefault="00F1253F">
        <w:pPr>
          <w:pStyle w:val="Footer"/>
          <w:jc w:val="right"/>
          <w:rPr>
            <w:rFonts w:asciiTheme="majorHAnsi" w:hAnsiTheme="majorHAnsi" w:cstheme="majorHAnsi"/>
            <w:sz w:val="20"/>
            <w:szCs w:val="20"/>
          </w:rPr>
        </w:pPr>
        <w:r w:rsidRPr="00F1253F">
          <w:rPr>
            <w:rFonts w:asciiTheme="majorHAnsi" w:hAnsiTheme="majorHAnsi" w:cstheme="majorHAnsi"/>
            <w:sz w:val="20"/>
            <w:szCs w:val="20"/>
          </w:rPr>
          <w:t xml:space="preserve">Page | </w:t>
        </w:r>
        <w:r w:rsidRPr="00F1253F">
          <w:rPr>
            <w:rFonts w:asciiTheme="majorHAnsi" w:hAnsiTheme="majorHAnsi" w:cstheme="majorHAnsi"/>
            <w:sz w:val="20"/>
            <w:szCs w:val="20"/>
          </w:rPr>
          <w:fldChar w:fldCharType="begin"/>
        </w:r>
        <w:r w:rsidRPr="00F1253F">
          <w:rPr>
            <w:rFonts w:asciiTheme="majorHAnsi" w:hAnsiTheme="majorHAnsi" w:cstheme="majorHAnsi"/>
            <w:sz w:val="20"/>
            <w:szCs w:val="20"/>
          </w:rPr>
          <w:instrText xml:space="preserve"> PAGE   \* MERGEFORMAT </w:instrText>
        </w:r>
        <w:r w:rsidRPr="00F1253F">
          <w:rPr>
            <w:rFonts w:asciiTheme="majorHAnsi" w:hAnsiTheme="majorHAnsi" w:cstheme="majorHAnsi"/>
            <w:sz w:val="20"/>
            <w:szCs w:val="20"/>
          </w:rPr>
          <w:fldChar w:fldCharType="separate"/>
        </w:r>
        <w:r w:rsidRPr="00F1253F">
          <w:rPr>
            <w:rFonts w:asciiTheme="majorHAnsi" w:hAnsiTheme="majorHAnsi" w:cstheme="majorHAnsi"/>
            <w:noProof/>
            <w:sz w:val="20"/>
            <w:szCs w:val="20"/>
          </w:rPr>
          <w:t>2</w:t>
        </w:r>
        <w:r w:rsidRPr="00F1253F">
          <w:rPr>
            <w:rFonts w:asciiTheme="majorHAnsi" w:hAnsiTheme="majorHAnsi" w:cstheme="majorHAnsi"/>
            <w:noProof/>
            <w:sz w:val="20"/>
            <w:szCs w:val="20"/>
          </w:rPr>
          <w:fldChar w:fldCharType="end"/>
        </w:r>
        <w:r w:rsidRPr="00F1253F">
          <w:rPr>
            <w:rFonts w:asciiTheme="majorHAnsi" w:hAnsiTheme="majorHAnsi" w:cstheme="majorHAnsi"/>
            <w:sz w:val="20"/>
            <w:szCs w:val="20"/>
          </w:rPr>
          <w:t xml:space="preserve"> </w:t>
        </w:r>
      </w:p>
    </w:sdtContent>
  </w:sdt>
  <w:p w14:paraId="023B44E6" w14:textId="77777777" w:rsidR="00F1253F" w:rsidRDefault="00F12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A54C" w14:textId="77777777" w:rsidR="0036151A" w:rsidRDefault="0036151A" w:rsidP="00F1253F">
      <w:pPr>
        <w:spacing w:after="0" w:line="240" w:lineRule="auto"/>
      </w:pPr>
      <w:r>
        <w:separator/>
      </w:r>
    </w:p>
  </w:footnote>
  <w:footnote w:type="continuationSeparator" w:id="0">
    <w:p w14:paraId="26DE28F5" w14:textId="77777777" w:rsidR="0036151A" w:rsidRDefault="0036151A" w:rsidP="00F1253F">
      <w:pPr>
        <w:spacing w:after="0" w:line="240" w:lineRule="auto"/>
      </w:pPr>
      <w:r>
        <w:continuationSeparator/>
      </w:r>
    </w:p>
  </w:footnote>
  <w:footnote w:id="1">
    <w:p w14:paraId="3D3F3414" w14:textId="50423A37" w:rsidR="003C4E62" w:rsidRPr="003C4E62" w:rsidRDefault="003C4E62">
      <w:pPr>
        <w:pStyle w:val="FootnoteText"/>
        <w:rPr>
          <w:rFonts w:asciiTheme="minorHAnsi" w:hAnsiTheme="minorHAnsi" w:cstheme="minorHAnsi"/>
          <w:sz w:val="18"/>
          <w:szCs w:val="18"/>
          <w:lang w:val="en-US"/>
        </w:rPr>
      </w:pPr>
      <w:r w:rsidRPr="003C4E62">
        <w:rPr>
          <w:rStyle w:val="FootnoteReference"/>
          <w:rFonts w:asciiTheme="minorHAnsi" w:hAnsiTheme="minorHAnsi" w:cstheme="minorHAnsi"/>
          <w:sz w:val="18"/>
          <w:szCs w:val="18"/>
        </w:rPr>
        <w:footnoteRef/>
      </w:r>
      <w:r w:rsidRPr="003C4E62">
        <w:rPr>
          <w:rFonts w:asciiTheme="minorHAnsi" w:hAnsiTheme="minorHAnsi" w:cstheme="minorHAnsi"/>
          <w:sz w:val="18"/>
          <w:szCs w:val="18"/>
        </w:rPr>
        <w:t xml:space="preserve"> </w:t>
      </w:r>
      <w:r w:rsidRPr="003C4E62">
        <w:rPr>
          <w:rFonts w:asciiTheme="minorHAnsi" w:hAnsiTheme="minorHAnsi" w:cstheme="minorHAnsi"/>
          <w:sz w:val="18"/>
          <w:szCs w:val="18"/>
          <w:lang w:val="en-US"/>
        </w:rPr>
        <w:t xml:space="preserve">This represents the period 01 July </w:t>
      </w:r>
      <w:r w:rsidR="005B4071" w:rsidRPr="003C4E62">
        <w:rPr>
          <w:rFonts w:asciiTheme="minorHAnsi" w:hAnsiTheme="minorHAnsi" w:cstheme="minorHAnsi"/>
          <w:sz w:val="18"/>
          <w:szCs w:val="18"/>
          <w:lang w:val="en-US"/>
        </w:rPr>
        <w:t>202</w:t>
      </w:r>
      <w:r w:rsidR="005B4071">
        <w:rPr>
          <w:rFonts w:asciiTheme="minorHAnsi" w:hAnsiTheme="minorHAnsi" w:cstheme="minorHAnsi"/>
          <w:sz w:val="18"/>
          <w:szCs w:val="18"/>
          <w:lang w:val="en-US"/>
        </w:rPr>
        <w:t>0</w:t>
      </w:r>
      <w:r w:rsidR="005B4071" w:rsidRPr="003C4E62">
        <w:rPr>
          <w:rFonts w:asciiTheme="minorHAnsi" w:hAnsiTheme="minorHAnsi" w:cstheme="minorHAnsi"/>
          <w:sz w:val="18"/>
          <w:szCs w:val="18"/>
          <w:lang w:val="en-US"/>
        </w:rPr>
        <w:t xml:space="preserve"> </w:t>
      </w:r>
      <w:r w:rsidRPr="003C4E62">
        <w:rPr>
          <w:rFonts w:asciiTheme="minorHAnsi" w:hAnsiTheme="minorHAnsi" w:cstheme="minorHAnsi"/>
          <w:sz w:val="18"/>
          <w:szCs w:val="18"/>
          <w:lang w:val="en-US"/>
        </w:rPr>
        <w:t>– 30 June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28BD" w14:textId="1FBCC55E" w:rsidR="00F1253F" w:rsidRPr="00F1253F" w:rsidRDefault="00F1253F" w:rsidP="00F1253F">
    <w:pPr>
      <w:pStyle w:val="Header"/>
      <w:pBdr>
        <w:bottom w:val="single" w:sz="4" w:space="1" w:color="auto"/>
      </w:pBdr>
      <w:jc w:val="right"/>
      <w:rPr>
        <w:sz w:val="18"/>
        <w:szCs w:val="18"/>
      </w:rPr>
    </w:pPr>
    <w:r w:rsidRPr="00F1253F">
      <w:rPr>
        <w:sz w:val="18"/>
        <w:szCs w:val="18"/>
      </w:rPr>
      <w:t>Management Response to the Fiji Recovery and Resilience Budget Support 2020-2023 Evaluation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2E28"/>
    <w:multiLevelType w:val="hybridMultilevel"/>
    <w:tmpl w:val="AA60B0DA"/>
    <w:lvl w:ilvl="0" w:tplc="22BC0F6A">
      <w:numFmt w:val="bullet"/>
      <w:lvlText w:val=""/>
      <w:lvlJc w:val="left"/>
      <w:pPr>
        <w:ind w:left="410" w:hanging="360"/>
      </w:pPr>
      <w:rPr>
        <w:rFonts w:ascii="Symbol" w:eastAsiaTheme="minorHAnsi" w:hAnsi="Symbol" w:cs="Open Sans Light" w:hint="default"/>
      </w:rPr>
    </w:lvl>
    <w:lvl w:ilvl="1" w:tplc="38090003" w:tentative="1">
      <w:start w:val="1"/>
      <w:numFmt w:val="bullet"/>
      <w:lvlText w:val="o"/>
      <w:lvlJc w:val="left"/>
      <w:pPr>
        <w:ind w:left="1130" w:hanging="360"/>
      </w:pPr>
      <w:rPr>
        <w:rFonts w:ascii="Courier New" w:hAnsi="Courier New" w:cs="Courier New" w:hint="default"/>
      </w:rPr>
    </w:lvl>
    <w:lvl w:ilvl="2" w:tplc="38090005" w:tentative="1">
      <w:start w:val="1"/>
      <w:numFmt w:val="bullet"/>
      <w:lvlText w:val=""/>
      <w:lvlJc w:val="left"/>
      <w:pPr>
        <w:ind w:left="1850" w:hanging="360"/>
      </w:pPr>
      <w:rPr>
        <w:rFonts w:ascii="Wingdings" w:hAnsi="Wingdings" w:hint="default"/>
      </w:rPr>
    </w:lvl>
    <w:lvl w:ilvl="3" w:tplc="38090001" w:tentative="1">
      <w:start w:val="1"/>
      <w:numFmt w:val="bullet"/>
      <w:lvlText w:val=""/>
      <w:lvlJc w:val="left"/>
      <w:pPr>
        <w:ind w:left="2570" w:hanging="360"/>
      </w:pPr>
      <w:rPr>
        <w:rFonts w:ascii="Symbol" w:hAnsi="Symbol" w:hint="default"/>
      </w:rPr>
    </w:lvl>
    <w:lvl w:ilvl="4" w:tplc="38090003" w:tentative="1">
      <w:start w:val="1"/>
      <w:numFmt w:val="bullet"/>
      <w:lvlText w:val="o"/>
      <w:lvlJc w:val="left"/>
      <w:pPr>
        <w:ind w:left="3290" w:hanging="360"/>
      </w:pPr>
      <w:rPr>
        <w:rFonts w:ascii="Courier New" w:hAnsi="Courier New" w:cs="Courier New" w:hint="default"/>
      </w:rPr>
    </w:lvl>
    <w:lvl w:ilvl="5" w:tplc="38090005" w:tentative="1">
      <w:start w:val="1"/>
      <w:numFmt w:val="bullet"/>
      <w:lvlText w:val=""/>
      <w:lvlJc w:val="left"/>
      <w:pPr>
        <w:ind w:left="4010" w:hanging="360"/>
      </w:pPr>
      <w:rPr>
        <w:rFonts w:ascii="Wingdings" w:hAnsi="Wingdings" w:hint="default"/>
      </w:rPr>
    </w:lvl>
    <w:lvl w:ilvl="6" w:tplc="38090001" w:tentative="1">
      <w:start w:val="1"/>
      <w:numFmt w:val="bullet"/>
      <w:lvlText w:val=""/>
      <w:lvlJc w:val="left"/>
      <w:pPr>
        <w:ind w:left="4730" w:hanging="360"/>
      </w:pPr>
      <w:rPr>
        <w:rFonts w:ascii="Symbol" w:hAnsi="Symbol" w:hint="default"/>
      </w:rPr>
    </w:lvl>
    <w:lvl w:ilvl="7" w:tplc="38090003" w:tentative="1">
      <w:start w:val="1"/>
      <w:numFmt w:val="bullet"/>
      <w:lvlText w:val="o"/>
      <w:lvlJc w:val="left"/>
      <w:pPr>
        <w:ind w:left="5450" w:hanging="360"/>
      </w:pPr>
      <w:rPr>
        <w:rFonts w:ascii="Courier New" w:hAnsi="Courier New" w:cs="Courier New" w:hint="default"/>
      </w:rPr>
    </w:lvl>
    <w:lvl w:ilvl="8" w:tplc="38090005" w:tentative="1">
      <w:start w:val="1"/>
      <w:numFmt w:val="bullet"/>
      <w:lvlText w:val=""/>
      <w:lvlJc w:val="left"/>
      <w:pPr>
        <w:ind w:left="6170" w:hanging="360"/>
      </w:pPr>
      <w:rPr>
        <w:rFonts w:ascii="Wingdings" w:hAnsi="Wingdings" w:hint="default"/>
      </w:rPr>
    </w:lvl>
  </w:abstractNum>
  <w:abstractNum w:abstractNumId="1" w15:restartNumberingAfterBreak="0">
    <w:nsid w:val="22391955"/>
    <w:multiLevelType w:val="hybridMultilevel"/>
    <w:tmpl w:val="FD30D7B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5EA529B0"/>
    <w:multiLevelType w:val="hybridMultilevel"/>
    <w:tmpl w:val="B9AA1FD4"/>
    <w:lvl w:ilvl="0" w:tplc="681C7B7E">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FD8533D"/>
    <w:multiLevelType w:val="hybridMultilevel"/>
    <w:tmpl w:val="C468500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7735685">
    <w:abstractNumId w:val="3"/>
  </w:num>
  <w:num w:numId="2" w16cid:durableId="607858859">
    <w:abstractNumId w:val="1"/>
  </w:num>
  <w:num w:numId="3" w16cid:durableId="1250307113">
    <w:abstractNumId w:val="2"/>
  </w:num>
  <w:num w:numId="4" w16cid:durableId="47907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F5"/>
    <w:rsid w:val="00013D43"/>
    <w:rsid w:val="00062664"/>
    <w:rsid w:val="000913B2"/>
    <w:rsid w:val="00091B96"/>
    <w:rsid w:val="000E02EB"/>
    <w:rsid w:val="00105000"/>
    <w:rsid w:val="00192082"/>
    <w:rsid w:val="001C1B82"/>
    <w:rsid w:val="002201D9"/>
    <w:rsid w:val="00225182"/>
    <w:rsid w:val="00272B02"/>
    <w:rsid w:val="00277506"/>
    <w:rsid w:val="002840E4"/>
    <w:rsid w:val="002D444A"/>
    <w:rsid w:val="0036151A"/>
    <w:rsid w:val="00371B4A"/>
    <w:rsid w:val="003C4E62"/>
    <w:rsid w:val="003C7F48"/>
    <w:rsid w:val="003D60F5"/>
    <w:rsid w:val="003E0110"/>
    <w:rsid w:val="003F5411"/>
    <w:rsid w:val="00440C8E"/>
    <w:rsid w:val="005826E0"/>
    <w:rsid w:val="005B4071"/>
    <w:rsid w:val="005D0638"/>
    <w:rsid w:val="006361C9"/>
    <w:rsid w:val="00686291"/>
    <w:rsid w:val="006A0252"/>
    <w:rsid w:val="006C3CF2"/>
    <w:rsid w:val="007461E7"/>
    <w:rsid w:val="00763252"/>
    <w:rsid w:val="008B10AD"/>
    <w:rsid w:val="008B30DE"/>
    <w:rsid w:val="009C46F8"/>
    <w:rsid w:val="00A61AB4"/>
    <w:rsid w:val="00A96273"/>
    <w:rsid w:val="00AF514A"/>
    <w:rsid w:val="00B15583"/>
    <w:rsid w:val="00B27EBE"/>
    <w:rsid w:val="00B606B4"/>
    <w:rsid w:val="00B905E9"/>
    <w:rsid w:val="00BC245A"/>
    <w:rsid w:val="00C11E4A"/>
    <w:rsid w:val="00C36AD8"/>
    <w:rsid w:val="00C81BE6"/>
    <w:rsid w:val="00C847FD"/>
    <w:rsid w:val="00D56E97"/>
    <w:rsid w:val="00D77369"/>
    <w:rsid w:val="00E31539"/>
    <w:rsid w:val="00E42CA3"/>
    <w:rsid w:val="00E773FF"/>
    <w:rsid w:val="00F1253F"/>
    <w:rsid w:val="00F20D5E"/>
    <w:rsid w:val="00F4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42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0F5"/>
    <w:rPr>
      <w:lang w:val="en-AU"/>
    </w:rPr>
  </w:style>
  <w:style w:type="paragraph" w:styleId="Heading1">
    <w:name w:val="heading 1"/>
    <w:basedOn w:val="Heading2"/>
    <w:next w:val="Normal"/>
    <w:link w:val="Heading1Char"/>
    <w:uiPriority w:val="9"/>
    <w:qFormat/>
    <w:rsid w:val="001C1B82"/>
    <w:pPr>
      <w:suppressAutoHyphens/>
      <w:spacing w:line="260" w:lineRule="atLeast"/>
      <w:jc w:val="center"/>
      <w:outlineLvl w:val="0"/>
    </w:pPr>
    <w:rPr>
      <w:rFonts w:asciiTheme="minorHAnsi" w:hAnsiTheme="minorHAnsi" w:cstheme="minorHAnsi"/>
      <w:caps w:val="0"/>
      <w:color w:val="44546A"/>
      <w:sz w:val="28"/>
      <w:szCs w:val="28"/>
      <w:lang w:val="en-GB"/>
    </w:rPr>
  </w:style>
  <w:style w:type="paragraph" w:styleId="Heading2">
    <w:name w:val="heading 2"/>
    <w:basedOn w:val="Normal"/>
    <w:next w:val="Normal"/>
    <w:link w:val="Heading2Char"/>
    <w:uiPriority w:val="9"/>
    <w:unhideWhenUsed/>
    <w:qFormat/>
    <w:rsid w:val="001C1B82"/>
    <w:pPr>
      <w:outlineLvl w:val="1"/>
    </w:pPr>
    <w:rPr>
      <w:rFonts w:asciiTheme="majorHAnsi" w:hAnsiTheme="majorHAnsi" w:cstheme="majorHAnsi"/>
      <w:b/>
      <w:bCs/>
      <w:caps/>
    </w:rPr>
  </w:style>
  <w:style w:type="paragraph" w:styleId="Heading3">
    <w:name w:val="heading 3"/>
    <w:basedOn w:val="Normal"/>
    <w:next w:val="Normal"/>
    <w:link w:val="Heading3Char"/>
    <w:uiPriority w:val="9"/>
    <w:unhideWhenUsed/>
    <w:qFormat/>
    <w:rsid w:val="001C1B82"/>
    <w:pPr>
      <w:tabs>
        <w:tab w:val="left" w:pos="3660"/>
      </w:tabs>
      <w:ind w:right="-1210"/>
      <w:jc w:val="center"/>
      <w:outlineLvl w:val="2"/>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B82"/>
    <w:rPr>
      <w:rFonts w:cstheme="minorHAnsi"/>
      <w:b/>
      <w:bCs/>
      <w:color w:val="44546A"/>
      <w:sz w:val="28"/>
      <w:szCs w:val="28"/>
      <w:lang w:val="en-GB"/>
    </w:rPr>
  </w:style>
  <w:style w:type="character" w:customStyle="1" w:styleId="Heading2Char">
    <w:name w:val="Heading 2 Char"/>
    <w:basedOn w:val="DefaultParagraphFont"/>
    <w:link w:val="Heading2"/>
    <w:uiPriority w:val="9"/>
    <w:rsid w:val="001C1B82"/>
    <w:rPr>
      <w:rFonts w:asciiTheme="majorHAnsi" w:hAnsiTheme="majorHAnsi" w:cstheme="majorHAnsi"/>
      <w:b/>
      <w:bCs/>
      <w:caps/>
      <w:lang w:val="en-AU"/>
    </w:rPr>
  </w:style>
  <w:style w:type="table" w:styleId="TableGrid">
    <w:name w:val="Table Grid"/>
    <w:basedOn w:val="TableNormal"/>
    <w:uiPriority w:val="39"/>
    <w:rsid w:val="003D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60F5"/>
    <w:pPr>
      <w:spacing w:after="0" w:line="240" w:lineRule="auto"/>
    </w:pPr>
    <w:rPr>
      <w:lang w:val="en-AU"/>
    </w:rPr>
  </w:style>
  <w:style w:type="paragraph" w:styleId="Header">
    <w:name w:val="header"/>
    <w:basedOn w:val="Normal"/>
    <w:link w:val="HeaderChar"/>
    <w:uiPriority w:val="99"/>
    <w:unhideWhenUsed/>
    <w:rsid w:val="00F12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53F"/>
    <w:rPr>
      <w:lang w:val="en-AU"/>
    </w:rPr>
  </w:style>
  <w:style w:type="paragraph" w:styleId="Footer">
    <w:name w:val="footer"/>
    <w:basedOn w:val="Normal"/>
    <w:link w:val="FooterChar"/>
    <w:uiPriority w:val="99"/>
    <w:unhideWhenUsed/>
    <w:rsid w:val="00F12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53F"/>
    <w:rPr>
      <w:lang w:val="en-AU"/>
    </w:rPr>
  </w:style>
  <w:style w:type="paragraph" w:styleId="Revision">
    <w:name w:val="Revision"/>
    <w:hidden/>
    <w:uiPriority w:val="99"/>
    <w:semiHidden/>
    <w:rsid w:val="00B606B4"/>
    <w:pPr>
      <w:spacing w:after="0" w:line="240" w:lineRule="auto"/>
    </w:pPr>
    <w:rPr>
      <w:lang w:val="en-AU"/>
    </w:rPr>
  </w:style>
  <w:style w:type="character" w:styleId="FootnoteReference">
    <w:name w:val="footnote reference"/>
    <w:basedOn w:val="DefaultParagraphFont"/>
    <w:semiHidden/>
    <w:rsid w:val="005826E0"/>
    <w:rPr>
      <w:vertAlign w:val="superscript"/>
    </w:rPr>
  </w:style>
  <w:style w:type="paragraph" w:styleId="FootnoteText">
    <w:name w:val="footnote text"/>
    <w:basedOn w:val="Normal"/>
    <w:link w:val="FootnoteTextChar"/>
    <w:semiHidden/>
    <w:rsid w:val="005826E0"/>
    <w:pPr>
      <w:spacing w:before="40" w:after="12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826E0"/>
    <w:rPr>
      <w:rFonts w:ascii="Times New Roman" w:eastAsia="Times New Roman" w:hAnsi="Times New Roman" w:cs="Times New Roman"/>
      <w:sz w:val="20"/>
      <w:szCs w:val="20"/>
      <w:lang w:val="en-AU"/>
    </w:rPr>
  </w:style>
  <w:style w:type="character" w:customStyle="1" w:styleId="cf01">
    <w:name w:val="cf01"/>
    <w:basedOn w:val="DefaultParagraphFont"/>
    <w:rsid w:val="005826E0"/>
    <w:rPr>
      <w:rFonts w:ascii="Segoe UI" w:hAnsi="Segoe UI" w:cs="Segoe UI" w:hint="default"/>
      <w:sz w:val="18"/>
      <w:szCs w:val="18"/>
    </w:rPr>
  </w:style>
  <w:style w:type="paragraph" w:styleId="NormalWeb">
    <w:name w:val="Normal (Web)"/>
    <w:basedOn w:val="Normal"/>
    <w:uiPriority w:val="99"/>
    <w:semiHidden/>
    <w:unhideWhenUsed/>
    <w:rsid w:val="00440C8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C245A"/>
    <w:pPr>
      <w:ind w:left="720"/>
      <w:contextualSpacing/>
    </w:pPr>
  </w:style>
  <w:style w:type="character" w:customStyle="1" w:styleId="Heading3Char">
    <w:name w:val="Heading 3 Char"/>
    <w:basedOn w:val="DefaultParagraphFont"/>
    <w:link w:val="Heading3"/>
    <w:uiPriority w:val="9"/>
    <w:rsid w:val="001C1B82"/>
    <w:rPr>
      <w:rFonts w:cstheme="minorHAnsi"/>
      <w:b/>
      <w:b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9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CDFB9-ABA8-4DF3-AB19-C6B41BEA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6706</Characters>
  <Application>Microsoft Office Word</Application>
  <DocSecurity>0</DocSecurity>
  <Lines>171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Fiji Recovery and resilience budget support 2020-2023</dc:title>
  <dc:subject/>
  <dc:creator/>
  <cp:keywords>[SEC=OFFICIAL]</cp:keywords>
  <dc:description/>
  <cp:lastModifiedBy/>
  <cp:revision>1</cp:revision>
  <dcterms:created xsi:type="dcterms:W3CDTF">2024-05-08T05:41:00Z</dcterms:created>
  <dcterms:modified xsi:type="dcterms:W3CDTF">2024-05-08T05:41:00Z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v=2022.1;a=SHA256;h=4C9A2788FAEAA4E07C54A09148E5F497C70E989179F4956EBA1343A9FD7C8006</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2024-02-07T00:50:25Z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B2458923D4764F56B5328D1FDEAFC727</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65CA326D715DBCDF6CF13BBD7D4D4039</vt:lpwstr>
  </property>
  <property fmtid="{D5CDD505-2E9C-101B-9397-08002B2CF9AE}" pid="24" name="PM_Hash_Salt">
    <vt:lpwstr>F9657F45B952DB39A8E78A4194BE077B</vt:lpwstr>
  </property>
  <property fmtid="{D5CDD505-2E9C-101B-9397-08002B2CF9AE}" pid="25" name="PM_Hash_SHA1">
    <vt:lpwstr>9CBEA8B2ABC73B7B4907A800D4D5E74FDE48AF5F</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