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A73C" w14:textId="3E59126E" w:rsidR="0024189A" w:rsidRPr="009930D0" w:rsidRDefault="006530B8" w:rsidP="0024189A">
      <w:pPr>
        <w:keepNext/>
        <w:keepLines/>
        <w:spacing w:before="360" w:after="240"/>
        <w:outlineLvl w:val="0"/>
        <w:rPr>
          <w:rFonts w:asciiTheme="majorHAnsi" w:eastAsiaTheme="majorEastAsia" w:hAnsiTheme="majorHAnsi" w:cstheme="majorBidi"/>
          <w:b/>
          <w:bCs/>
          <w:color w:val="000000" w:themeColor="text1"/>
          <w:sz w:val="44"/>
          <w:szCs w:val="28"/>
        </w:rPr>
      </w:pPr>
      <w:bookmarkStart w:id="0" w:name="_Toc35441315"/>
      <w:r>
        <w:rPr>
          <w:rFonts w:asciiTheme="majorHAnsi" w:eastAsiaTheme="majorEastAsia" w:hAnsiTheme="majorHAnsi" w:cstheme="majorBidi"/>
          <w:b/>
          <w:bCs/>
          <w:color w:val="000000" w:themeColor="text1"/>
          <w:sz w:val="44"/>
          <w:szCs w:val="28"/>
        </w:rPr>
        <w:t xml:space="preserve">Independent Evaluation of the Australian NGO Cooperation Program (ANCP) </w:t>
      </w:r>
      <w:r w:rsidR="0024189A" w:rsidRPr="009930D0">
        <w:rPr>
          <w:rFonts w:asciiTheme="majorHAnsi" w:eastAsiaTheme="majorEastAsia" w:hAnsiTheme="majorHAnsi" w:cstheme="majorBidi"/>
          <w:b/>
          <w:bCs/>
          <w:color w:val="000000" w:themeColor="text1"/>
          <w:sz w:val="44"/>
          <w:szCs w:val="28"/>
        </w:rPr>
        <w:t xml:space="preserve">Management </w:t>
      </w:r>
      <w:r w:rsidR="00A80B3B">
        <w:rPr>
          <w:rFonts w:asciiTheme="majorHAnsi" w:eastAsiaTheme="majorEastAsia" w:hAnsiTheme="majorHAnsi" w:cstheme="majorBidi"/>
          <w:b/>
          <w:bCs/>
          <w:color w:val="000000" w:themeColor="text1"/>
          <w:sz w:val="44"/>
          <w:szCs w:val="28"/>
        </w:rPr>
        <w:t>R</w:t>
      </w:r>
      <w:r w:rsidR="0024189A" w:rsidRPr="009930D0">
        <w:rPr>
          <w:rFonts w:asciiTheme="majorHAnsi" w:eastAsiaTheme="majorEastAsia" w:hAnsiTheme="majorHAnsi" w:cstheme="majorBidi"/>
          <w:b/>
          <w:bCs/>
          <w:color w:val="000000" w:themeColor="text1"/>
          <w:sz w:val="44"/>
          <w:szCs w:val="28"/>
        </w:rPr>
        <w:t>esponse</w:t>
      </w:r>
      <w:bookmarkEnd w:id="0"/>
      <w:r w:rsidR="00054663">
        <w:rPr>
          <w:rFonts w:asciiTheme="majorHAnsi" w:eastAsiaTheme="majorEastAsia" w:hAnsiTheme="majorHAnsi" w:cstheme="majorBidi"/>
          <w:b/>
          <w:bCs/>
          <w:color w:val="000000" w:themeColor="text1"/>
          <w:sz w:val="44"/>
          <w:szCs w:val="28"/>
        </w:rPr>
        <w:t xml:space="preserve"> (December 2022)</w:t>
      </w:r>
    </w:p>
    <w:p w14:paraId="0D2B8E4D" w14:textId="5AB752D5" w:rsidR="00F72D7F" w:rsidRPr="00BA6DBF" w:rsidRDefault="0024189A" w:rsidP="00F72D7F">
      <w:pPr>
        <w:keepNext/>
        <w:keepLines/>
        <w:numPr>
          <w:ilvl w:val="0"/>
          <w:numId w:val="0"/>
        </w:numPr>
        <w:spacing w:before="400"/>
        <w:outlineLvl w:val="1"/>
        <w:rPr>
          <w:rFonts w:asciiTheme="majorHAnsi" w:eastAsiaTheme="majorEastAsia" w:hAnsiTheme="majorHAnsi" w:cstheme="majorBidi"/>
          <w:b/>
          <w:bCs/>
          <w:color w:val="000000" w:themeColor="text1"/>
          <w:sz w:val="28"/>
          <w:szCs w:val="26"/>
        </w:rPr>
      </w:pPr>
      <w:bookmarkStart w:id="1" w:name="_Toc35441316"/>
      <w:r w:rsidRPr="00BA6DBF">
        <w:rPr>
          <w:rFonts w:asciiTheme="majorHAnsi" w:eastAsiaTheme="majorEastAsia" w:hAnsiTheme="majorHAnsi" w:cstheme="majorBidi"/>
          <w:b/>
          <w:bCs/>
          <w:color w:val="000000" w:themeColor="text1"/>
          <w:sz w:val="28"/>
          <w:szCs w:val="26"/>
        </w:rPr>
        <w:t>Summary</w:t>
      </w:r>
      <w:bookmarkEnd w:id="1"/>
      <w:r w:rsidRPr="00BA6DBF">
        <w:rPr>
          <w:rFonts w:asciiTheme="majorHAnsi" w:eastAsiaTheme="majorEastAsia" w:hAnsiTheme="majorHAnsi" w:cstheme="majorBidi"/>
          <w:b/>
          <w:bCs/>
          <w:color w:val="000000" w:themeColor="text1"/>
          <w:sz w:val="28"/>
          <w:szCs w:val="26"/>
        </w:rPr>
        <w:t xml:space="preserve"> </w:t>
      </w:r>
    </w:p>
    <w:p w14:paraId="42C3A045" w14:textId="7D5E7718" w:rsidR="005C7929" w:rsidRPr="00846DA9" w:rsidRDefault="00757BEC" w:rsidP="005C7929">
      <w:pPr>
        <w:keepNext/>
        <w:keepLines/>
        <w:numPr>
          <w:ilvl w:val="0"/>
          <w:numId w:val="0"/>
        </w:numPr>
        <w:spacing w:before="400"/>
        <w:outlineLvl w:val="1"/>
        <w:rPr>
          <w:rFonts w:eastAsiaTheme="majorEastAsia" w:cs="Arial"/>
          <w:color w:val="000000" w:themeColor="text1"/>
          <w:sz w:val="20"/>
          <w:szCs w:val="20"/>
        </w:rPr>
      </w:pPr>
      <w:r w:rsidRPr="00651675">
        <w:rPr>
          <w:rFonts w:eastAsiaTheme="majorEastAsia" w:cs="Arial"/>
          <w:color w:val="000000" w:themeColor="text1"/>
          <w:sz w:val="20"/>
          <w:szCs w:val="20"/>
        </w:rPr>
        <w:t xml:space="preserve">The </w:t>
      </w:r>
      <w:r w:rsidR="003561E0">
        <w:rPr>
          <w:rFonts w:eastAsiaTheme="majorEastAsia" w:cs="Arial"/>
          <w:color w:val="000000" w:themeColor="text1"/>
          <w:sz w:val="20"/>
          <w:szCs w:val="20"/>
        </w:rPr>
        <w:t>Australian NGO Cooperation Program (</w:t>
      </w:r>
      <w:r w:rsidRPr="00651675">
        <w:rPr>
          <w:rFonts w:eastAsiaTheme="majorEastAsia" w:cs="Arial"/>
          <w:color w:val="000000" w:themeColor="text1"/>
          <w:sz w:val="20"/>
          <w:szCs w:val="20"/>
        </w:rPr>
        <w:t>ANCP</w:t>
      </w:r>
      <w:r w:rsidR="003561E0">
        <w:rPr>
          <w:rFonts w:eastAsiaTheme="majorEastAsia" w:cs="Arial"/>
          <w:color w:val="000000" w:themeColor="text1"/>
          <w:sz w:val="20"/>
          <w:szCs w:val="20"/>
        </w:rPr>
        <w:t>)</w:t>
      </w:r>
      <w:r w:rsidRPr="00651675">
        <w:rPr>
          <w:rFonts w:eastAsiaTheme="majorEastAsia" w:cs="Arial"/>
          <w:color w:val="000000" w:themeColor="text1"/>
          <w:sz w:val="20"/>
          <w:szCs w:val="20"/>
        </w:rPr>
        <w:t xml:space="preserve"> is the Australian Government’s largest NGO program and supports over 55 </w:t>
      </w:r>
      <w:r w:rsidR="00651675" w:rsidRPr="00651675">
        <w:rPr>
          <w:rFonts w:eastAsiaTheme="majorEastAsia" w:cs="Arial"/>
          <w:color w:val="000000" w:themeColor="text1"/>
          <w:sz w:val="20"/>
          <w:szCs w:val="20"/>
        </w:rPr>
        <w:t xml:space="preserve">Australian </w:t>
      </w:r>
      <w:r w:rsidRPr="00651675">
        <w:rPr>
          <w:rFonts w:eastAsiaTheme="majorEastAsia" w:cs="Arial"/>
          <w:color w:val="000000" w:themeColor="text1"/>
          <w:sz w:val="20"/>
          <w:szCs w:val="20"/>
        </w:rPr>
        <w:t xml:space="preserve">NGOs </w:t>
      </w:r>
      <w:r w:rsidR="00651675" w:rsidRPr="00651675">
        <w:rPr>
          <w:rFonts w:eastAsiaTheme="majorEastAsia" w:cs="Arial"/>
          <w:color w:val="000000" w:themeColor="text1"/>
          <w:sz w:val="20"/>
          <w:szCs w:val="20"/>
        </w:rPr>
        <w:t xml:space="preserve">(ANGOs) </w:t>
      </w:r>
      <w:r w:rsidRPr="00651675">
        <w:rPr>
          <w:rFonts w:eastAsiaTheme="majorEastAsia" w:cs="Arial"/>
          <w:color w:val="000000" w:themeColor="text1"/>
          <w:sz w:val="20"/>
          <w:szCs w:val="20"/>
        </w:rPr>
        <w:t xml:space="preserve">to deliver around 400 projects in more than 50 countries each year. </w:t>
      </w:r>
      <w:r w:rsidR="00F72D7F" w:rsidRPr="00846DA9">
        <w:rPr>
          <w:rFonts w:eastAsiaTheme="majorEastAsia" w:cs="Arial"/>
          <w:color w:val="000000" w:themeColor="text1"/>
          <w:sz w:val="20"/>
          <w:szCs w:val="20"/>
        </w:rPr>
        <w:t xml:space="preserve">The ANCP supports accredited ANGOs through flexible annual grants to contribute to NGO and partner country priorities to reduce poverty and promote sustainable and inclusive development. ANGOs funded under the ANCP must fulfil the requirements of a rigorous accreditation process every five years.  </w:t>
      </w:r>
    </w:p>
    <w:p w14:paraId="0598A6F1" w14:textId="2C0BD5F2" w:rsidR="005C7929" w:rsidRPr="00846DA9" w:rsidRDefault="005C7929" w:rsidP="005C7929">
      <w:pPr>
        <w:keepNext/>
        <w:keepLines/>
        <w:numPr>
          <w:ilvl w:val="0"/>
          <w:numId w:val="0"/>
        </w:numPr>
        <w:spacing w:before="400"/>
        <w:outlineLvl w:val="1"/>
        <w:rPr>
          <w:rFonts w:eastAsiaTheme="majorEastAsia" w:cs="Arial"/>
          <w:color w:val="000000" w:themeColor="text1"/>
          <w:sz w:val="20"/>
          <w:szCs w:val="20"/>
        </w:rPr>
      </w:pPr>
      <w:r w:rsidRPr="00846DA9">
        <w:rPr>
          <w:rFonts w:eastAsiaTheme="majorEastAsia" w:cs="Arial"/>
          <w:color w:val="000000" w:themeColor="text1"/>
          <w:sz w:val="20"/>
          <w:szCs w:val="20"/>
        </w:rPr>
        <w:t xml:space="preserve">Tetra Tech International Development was engaged to undertake an independent evaluation of </w:t>
      </w:r>
      <w:r w:rsidR="00825445">
        <w:rPr>
          <w:rFonts w:eastAsiaTheme="majorEastAsia" w:cs="Arial"/>
          <w:color w:val="000000" w:themeColor="text1"/>
          <w:sz w:val="20"/>
          <w:szCs w:val="20"/>
        </w:rPr>
        <w:t xml:space="preserve">the </w:t>
      </w:r>
      <w:r w:rsidRPr="00846DA9">
        <w:rPr>
          <w:rFonts w:eastAsiaTheme="majorEastAsia" w:cs="Arial"/>
          <w:color w:val="000000" w:themeColor="text1"/>
          <w:sz w:val="20"/>
          <w:szCs w:val="20"/>
        </w:rPr>
        <w:t>ANCP between November 2021 and November 2022.</w:t>
      </w:r>
      <w:r w:rsidR="00E6719B">
        <w:rPr>
          <w:rFonts w:eastAsiaTheme="majorEastAsia" w:cs="Arial"/>
          <w:color w:val="000000" w:themeColor="text1"/>
          <w:sz w:val="20"/>
          <w:szCs w:val="20"/>
        </w:rPr>
        <w:t xml:space="preserve"> </w:t>
      </w:r>
      <w:r w:rsidRPr="00846DA9">
        <w:rPr>
          <w:rFonts w:eastAsiaTheme="majorEastAsia" w:cs="Arial"/>
          <w:color w:val="000000" w:themeColor="text1"/>
          <w:sz w:val="20"/>
          <w:szCs w:val="20"/>
        </w:rPr>
        <w:t>The primary purpose of the evaluation was to assess the ANCP as a delivery ‘modality’ and to identify ways to strengthen the management and implementation arrangements in response to the evolving development context. A secondary focus was to assess high level impacts of the ANCP.</w:t>
      </w:r>
    </w:p>
    <w:p w14:paraId="2C5675E8" w14:textId="4DFE574B" w:rsidR="001B2790" w:rsidRPr="00846DA9" w:rsidRDefault="001B2790" w:rsidP="001B2790">
      <w:pPr>
        <w:pStyle w:val="Bullet1"/>
        <w:numPr>
          <w:ilvl w:val="0"/>
          <w:numId w:val="0"/>
        </w:numPr>
        <w:rPr>
          <w:rFonts w:ascii="Arial" w:hAnsi="Arial" w:cs="Arial"/>
          <w:sz w:val="20"/>
          <w:szCs w:val="20"/>
        </w:rPr>
      </w:pPr>
    </w:p>
    <w:p w14:paraId="593D67FB" w14:textId="254F9DBE" w:rsidR="00C82885" w:rsidRDefault="00C82885" w:rsidP="00C82885">
      <w:pPr>
        <w:pStyle w:val="Bullet1"/>
        <w:numPr>
          <w:ilvl w:val="0"/>
          <w:numId w:val="0"/>
        </w:numPr>
        <w:rPr>
          <w:rFonts w:ascii="Arial" w:hAnsi="Arial" w:cs="Arial"/>
          <w:sz w:val="20"/>
          <w:szCs w:val="20"/>
        </w:rPr>
      </w:pPr>
      <w:r w:rsidRPr="00846DA9">
        <w:rPr>
          <w:rFonts w:ascii="Arial" w:hAnsi="Arial" w:cs="Arial"/>
          <w:sz w:val="20"/>
          <w:szCs w:val="20"/>
        </w:rPr>
        <w:t xml:space="preserve">The evaluation found the ANCP is a highly valued </w:t>
      </w:r>
      <w:r w:rsidR="006E4674">
        <w:rPr>
          <w:rFonts w:ascii="Arial" w:hAnsi="Arial" w:cs="Arial"/>
          <w:sz w:val="20"/>
          <w:szCs w:val="20"/>
        </w:rPr>
        <w:t>Official Development Assistance (</w:t>
      </w:r>
      <w:r w:rsidRPr="00846DA9">
        <w:rPr>
          <w:rFonts w:ascii="Arial" w:hAnsi="Arial" w:cs="Arial"/>
          <w:sz w:val="20"/>
          <w:szCs w:val="20"/>
        </w:rPr>
        <w:t>ODA</w:t>
      </w:r>
      <w:r w:rsidR="006E4674">
        <w:rPr>
          <w:rFonts w:ascii="Arial" w:hAnsi="Arial" w:cs="Arial"/>
          <w:sz w:val="20"/>
          <w:szCs w:val="20"/>
        </w:rPr>
        <w:t>)</w:t>
      </w:r>
      <w:r w:rsidRPr="00846DA9">
        <w:rPr>
          <w:rFonts w:ascii="Arial" w:hAnsi="Arial" w:cs="Arial"/>
          <w:sz w:val="20"/>
          <w:szCs w:val="20"/>
        </w:rPr>
        <w:t xml:space="preserve"> mechanism for accredited ANGOs. ANGOs receive a predictable and flexible funding stream, allowing them to work in sectors and countries based on their priorities and to reach </w:t>
      </w:r>
      <w:r w:rsidR="00346214">
        <w:rPr>
          <w:rFonts w:ascii="Arial" w:hAnsi="Arial" w:cs="Arial"/>
          <w:sz w:val="20"/>
          <w:szCs w:val="20"/>
        </w:rPr>
        <w:t>marginalised</w:t>
      </w:r>
      <w:r w:rsidRPr="00846DA9">
        <w:rPr>
          <w:rFonts w:ascii="Arial" w:hAnsi="Arial" w:cs="Arial"/>
          <w:sz w:val="20"/>
          <w:szCs w:val="20"/>
        </w:rPr>
        <w:t xml:space="preserve"> groups.</w:t>
      </w:r>
      <w:r w:rsidR="00111614">
        <w:rPr>
          <w:rFonts w:ascii="Arial" w:hAnsi="Arial" w:cs="Arial"/>
          <w:sz w:val="20"/>
          <w:szCs w:val="20"/>
        </w:rPr>
        <w:t xml:space="preserve"> </w:t>
      </w:r>
      <w:r w:rsidRPr="00846DA9">
        <w:rPr>
          <w:rFonts w:ascii="Arial" w:hAnsi="Arial" w:cs="Arial"/>
          <w:sz w:val="20"/>
          <w:szCs w:val="20"/>
        </w:rPr>
        <w:t xml:space="preserve">ANCP creates value for Australia’s development program by leveraging Australian public donations and the people-to-people links enabled through the long-term relationships of ANGOs to local communities. ANCP’s work in regions with limited bilateral and regional programs </w:t>
      </w:r>
      <w:r w:rsidR="00586AEF">
        <w:rPr>
          <w:rFonts w:ascii="Arial" w:hAnsi="Arial" w:cs="Arial"/>
          <w:sz w:val="20"/>
          <w:szCs w:val="20"/>
        </w:rPr>
        <w:t>extends to reach of Australia’s development program.</w:t>
      </w:r>
    </w:p>
    <w:p w14:paraId="72060D65" w14:textId="7B9443DA" w:rsidR="00A60F59" w:rsidRDefault="00A60F59" w:rsidP="00C82885">
      <w:pPr>
        <w:pStyle w:val="Bullet1"/>
        <w:numPr>
          <w:ilvl w:val="0"/>
          <w:numId w:val="0"/>
        </w:numPr>
        <w:rPr>
          <w:rFonts w:ascii="Arial" w:hAnsi="Arial" w:cs="Arial"/>
          <w:sz w:val="20"/>
          <w:szCs w:val="20"/>
        </w:rPr>
      </w:pPr>
    </w:p>
    <w:p w14:paraId="50C99FE1" w14:textId="28346A59" w:rsidR="00190C4B" w:rsidRPr="00190C4B" w:rsidRDefault="00190C4B" w:rsidP="00190C4B">
      <w:pPr>
        <w:spacing w:before="0" w:after="0"/>
        <w:rPr>
          <w:sz w:val="20"/>
          <w:szCs w:val="20"/>
        </w:rPr>
      </w:pPr>
      <w:r w:rsidRPr="00190C4B">
        <w:rPr>
          <w:sz w:val="20"/>
          <w:szCs w:val="20"/>
        </w:rPr>
        <w:t xml:space="preserve">However, the evaluation also shows there is room for improvement. Findings show there is a need to shift from a transactional to a more strategic partnership approach, </w:t>
      </w:r>
      <w:r w:rsidR="00D50D3D">
        <w:rPr>
          <w:sz w:val="20"/>
          <w:szCs w:val="20"/>
        </w:rPr>
        <w:t>address the</w:t>
      </w:r>
      <w:r w:rsidR="00C0598D">
        <w:rPr>
          <w:sz w:val="20"/>
          <w:szCs w:val="20"/>
        </w:rPr>
        <w:t xml:space="preserve"> </w:t>
      </w:r>
      <w:r w:rsidR="00D50D3D">
        <w:rPr>
          <w:sz w:val="20"/>
          <w:szCs w:val="20"/>
        </w:rPr>
        <w:t xml:space="preserve">structural inequities </w:t>
      </w:r>
      <w:r w:rsidR="00614A47">
        <w:rPr>
          <w:sz w:val="20"/>
          <w:szCs w:val="20"/>
        </w:rPr>
        <w:t>in the accreditation system and funding policy</w:t>
      </w:r>
      <w:r w:rsidR="00F73340">
        <w:rPr>
          <w:sz w:val="20"/>
          <w:szCs w:val="20"/>
        </w:rPr>
        <w:t>,</w:t>
      </w:r>
      <w:r w:rsidR="00614A47">
        <w:rPr>
          <w:sz w:val="20"/>
          <w:szCs w:val="20"/>
        </w:rPr>
        <w:t xml:space="preserve"> </w:t>
      </w:r>
      <w:r w:rsidRPr="00190C4B">
        <w:rPr>
          <w:sz w:val="20"/>
          <w:szCs w:val="20"/>
        </w:rPr>
        <w:t>shift to</w:t>
      </w:r>
      <w:r w:rsidR="003128AA">
        <w:rPr>
          <w:sz w:val="20"/>
          <w:szCs w:val="20"/>
        </w:rPr>
        <w:t xml:space="preserve"> a</w:t>
      </w:r>
      <w:r w:rsidRPr="00190C4B">
        <w:rPr>
          <w:sz w:val="20"/>
          <w:szCs w:val="20"/>
        </w:rPr>
        <w:t xml:space="preserve"> multi-year funding model, better connect the ANCP to our bilateral and regional programs and shift from a monitoring to an evaluative approach to better report on outcomes.</w:t>
      </w:r>
    </w:p>
    <w:p w14:paraId="159957C5" w14:textId="39868172" w:rsidR="00892090" w:rsidRDefault="00892090" w:rsidP="00C82885">
      <w:pPr>
        <w:pStyle w:val="Bullet1"/>
        <w:numPr>
          <w:ilvl w:val="0"/>
          <w:numId w:val="0"/>
        </w:numPr>
        <w:rPr>
          <w:rFonts w:ascii="Arial" w:hAnsi="Arial" w:cs="Arial"/>
          <w:sz w:val="20"/>
          <w:szCs w:val="20"/>
        </w:rPr>
      </w:pPr>
    </w:p>
    <w:p w14:paraId="59981A81" w14:textId="73FAB348" w:rsidR="00892090" w:rsidRDefault="00892090" w:rsidP="00892090">
      <w:pPr>
        <w:pStyle w:val="Bullet1"/>
        <w:numPr>
          <w:ilvl w:val="0"/>
          <w:numId w:val="0"/>
        </w:numPr>
        <w:rPr>
          <w:rFonts w:ascii="Arial" w:hAnsi="Arial" w:cs="Arial"/>
          <w:sz w:val="20"/>
          <w:szCs w:val="20"/>
        </w:rPr>
      </w:pPr>
      <w:r w:rsidRPr="00846DA9">
        <w:rPr>
          <w:rFonts w:ascii="Arial" w:hAnsi="Arial" w:cs="Arial"/>
          <w:sz w:val="20"/>
          <w:szCs w:val="20"/>
        </w:rPr>
        <w:t>DFAT accepts the evaluation findings and agrees with the majority of the recommendations</w:t>
      </w:r>
      <w:r>
        <w:rPr>
          <w:rFonts w:ascii="Arial" w:hAnsi="Arial" w:cs="Arial"/>
          <w:sz w:val="20"/>
          <w:szCs w:val="20"/>
        </w:rPr>
        <w:t>.</w:t>
      </w:r>
      <w:r w:rsidRPr="00846DA9">
        <w:rPr>
          <w:rFonts w:ascii="Arial" w:hAnsi="Arial" w:cs="Arial"/>
          <w:sz w:val="20"/>
          <w:szCs w:val="20"/>
        </w:rPr>
        <w:t xml:space="preserve"> </w:t>
      </w:r>
      <w:r w:rsidR="00912853">
        <w:rPr>
          <w:rFonts w:ascii="Arial" w:hAnsi="Arial" w:cs="Arial"/>
          <w:sz w:val="20"/>
          <w:szCs w:val="20"/>
        </w:rPr>
        <w:t xml:space="preserve">The management response outlines high level actions DFAT will take to implement the recommendations. </w:t>
      </w:r>
      <w:r w:rsidR="007C4AE0">
        <w:rPr>
          <w:rFonts w:ascii="Arial" w:hAnsi="Arial" w:cs="Arial"/>
          <w:sz w:val="20"/>
          <w:szCs w:val="20"/>
        </w:rPr>
        <w:t>Reflecting</w:t>
      </w:r>
      <w:r w:rsidRPr="00846DA9">
        <w:rPr>
          <w:rFonts w:ascii="Arial" w:hAnsi="Arial" w:cs="Arial"/>
          <w:sz w:val="20"/>
          <w:szCs w:val="20"/>
        </w:rPr>
        <w:t xml:space="preserve"> that ANCP is a partnership between DFAT and ANGO partners, the management response has been agreed in co</w:t>
      </w:r>
      <w:r>
        <w:rPr>
          <w:rFonts w:ascii="Arial" w:hAnsi="Arial" w:cs="Arial"/>
          <w:sz w:val="20"/>
          <w:szCs w:val="20"/>
        </w:rPr>
        <w:t>nsultation</w:t>
      </w:r>
      <w:r w:rsidRPr="00846DA9">
        <w:rPr>
          <w:rFonts w:ascii="Arial" w:hAnsi="Arial" w:cs="Arial"/>
          <w:sz w:val="20"/>
          <w:szCs w:val="20"/>
        </w:rPr>
        <w:t xml:space="preserve"> with the Development Practice Committee</w:t>
      </w:r>
      <w:r>
        <w:rPr>
          <w:rFonts w:ascii="Arial" w:hAnsi="Arial" w:cs="Arial"/>
          <w:sz w:val="20"/>
          <w:szCs w:val="20"/>
        </w:rPr>
        <w:t xml:space="preserve"> (DPC) of the Australian Council for International Development (</w:t>
      </w:r>
      <w:r w:rsidRPr="00846DA9">
        <w:rPr>
          <w:rFonts w:ascii="Arial" w:hAnsi="Arial" w:cs="Arial"/>
          <w:sz w:val="20"/>
          <w:szCs w:val="20"/>
        </w:rPr>
        <w:t>ACFID</w:t>
      </w:r>
      <w:r>
        <w:rPr>
          <w:rFonts w:ascii="Arial" w:hAnsi="Arial" w:cs="Arial"/>
          <w:sz w:val="20"/>
          <w:szCs w:val="20"/>
        </w:rPr>
        <w:t>)</w:t>
      </w:r>
      <w:r w:rsidRPr="00846DA9">
        <w:rPr>
          <w:rFonts w:ascii="Arial" w:hAnsi="Arial" w:cs="Arial"/>
          <w:sz w:val="20"/>
          <w:szCs w:val="20"/>
        </w:rPr>
        <w:t xml:space="preserve">. </w:t>
      </w:r>
      <w:r>
        <w:rPr>
          <w:rFonts w:ascii="Arial" w:hAnsi="Arial" w:cs="Arial"/>
          <w:sz w:val="20"/>
          <w:szCs w:val="20"/>
        </w:rPr>
        <w:t xml:space="preserve">DFAT will work closely with the ACFID, DPC and the Committee for Development Cooperation (CDC) to </w:t>
      </w:r>
      <w:r w:rsidR="00E64061">
        <w:rPr>
          <w:rFonts w:ascii="Arial" w:hAnsi="Arial" w:cs="Arial"/>
          <w:sz w:val="20"/>
          <w:szCs w:val="20"/>
        </w:rPr>
        <w:t>agree on</w:t>
      </w:r>
      <w:r w:rsidR="003676B3">
        <w:rPr>
          <w:rFonts w:ascii="Arial" w:hAnsi="Arial" w:cs="Arial"/>
          <w:sz w:val="20"/>
          <w:szCs w:val="20"/>
        </w:rPr>
        <w:t xml:space="preserve"> </w:t>
      </w:r>
      <w:r w:rsidR="00E64061">
        <w:rPr>
          <w:rFonts w:ascii="Arial" w:hAnsi="Arial" w:cs="Arial"/>
          <w:sz w:val="20"/>
          <w:szCs w:val="20"/>
        </w:rPr>
        <w:t xml:space="preserve">detailed </w:t>
      </w:r>
      <w:r>
        <w:rPr>
          <w:rFonts w:ascii="Arial" w:hAnsi="Arial" w:cs="Arial"/>
          <w:sz w:val="20"/>
          <w:szCs w:val="20"/>
        </w:rPr>
        <w:t xml:space="preserve">implementation and change management plans to take the evaluation </w:t>
      </w:r>
      <w:r w:rsidR="00931820">
        <w:rPr>
          <w:rFonts w:ascii="Arial" w:hAnsi="Arial" w:cs="Arial"/>
          <w:sz w:val="20"/>
          <w:szCs w:val="20"/>
        </w:rPr>
        <w:t>recommendations</w:t>
      </w:r>
      <w:r>
        <w:rPr>
          <w:rFonts w:ascii="Arial" w:hAnsi="Arial" w:cs="Arial"/>
          <w:sz w:val="20"/>
          <w:szCs w:val="20"/>
        </w:rPr>
        <w:t xml:space="preserve"> forward.</w:t>
      </w:r>
    </w:p>
    <w:p w14:paraId="7820C1AF" w14:textId="77777777" w:rsidR="00892090" w:rsidRPr="00846DA9" w:rsidRDefault="00892090" w:rsidP="00C82885">
      <w:pPr>
        <w:pStyle w:val="Bullet1"/>
        <w:numPr>
          <w:ilvl w:val="0"/>
          <w:numId w:val="0"/>
        </w:numPr>
        <w:rPr>
          <w:rFonts w:ascii="Arial" w:hAnsi="Arial" w:cs="Arial"/>
          <w:sz w:val="20"/>
          <w:szCs w:val="20"/>
        </w:rPr>
      </w:pPr>
    </w:p>
    <w:p w14:paraId="77E4DF5B" w14:textId="77777777" w:rsidR="005B0E07" w:rsidRDefault="005B0E07" w:rsidP="00846DA9">
      <w:pPr>
        <w:pStyle w:val="Bullet1"/>
        <w:numPr>
          <w:ilvl w:val="0"/>
          <w:numId w:val="0"/>
        </w:numPr>
        <w:rPr>
          <w:rFonts w:ascii="Arial" w:hAnsi="Arial" w:cs="Arial"/>
          <w:sz w:val="20"/>
          <w:szCs w:val="20"/>
        </w:rPr>
        <w:sectPr w:rsidR="005B0E07" w:rsidSect="005B0E07">
          <w:footerReference w:type="default" r:id="rId8"/>
          <w:headerReference w:type="first" r:id="rId9"/>
          <w:pgSz w:w="11906" w:h="16838"/>
          <w:pgMar w:top="1440" w:right="1440" w:bottom="1440" w:left="1440" w:header="708" w:footer="708" w:gutter="0"/>
          <w:cols w:space="708"/>
          <w:docGrid w:linePitch="360"/>
        </w:sectPr>
      </w:pPr>
    </w:p>
    <w:p w14:paraId="021F294F" w14:textId="77777777" w:rsidR="005B0E07" w:rsidRDefault="0024189A" w:rsidP="0024189A">
      <w:pPr>
        <w:keepNext/>
        <w:keepLines/>
        <w:numPr>
          <w:ilvl w:val="0"/>
          <w:numId w:val="0"/>
        </w:numPr>
        <w:spacing w:before="400"/>
        <w:outlineLvl w:val="1"/>
        <w:rPr>
          <w:rFonts w:asciiTheme="majorHAnsi" w:eastAsiaTheme="majorEastAsia" w:hAnsiTheme="majorHAnsi" w:cstheme="majorBidi"/>
          <w:b/>
          <w:bCs/>
          <w:color w:val="000000" w:themeColor="text1"/>
          <w:sz w:val="28"/>
          <w:szCs w:val="26"/>
        </w:rPr>
      </w:pPr>
      <w:bookmarkStart w:id="5" w:name="_Toc35441317"/>
      <w:r>
        <w:rPr>
          <w:rFonts w:asciiTheme="majorHAnsi" w:eastAsiaTheme="majorEastAsia" w:hAnsiTheme="majorHAnsi" w:cstheme="majorBidi"/>
          <w:b/>
          <w:bCs/>
          <w:color w:val="000000" w:themeColor="text1"/>
          <w:sz w:val="28"/>
          <w:szCs w:val="26"/>
        </w:rPr>
        <w:lastRenderedPageBreak/>
        <w:t>Management response to each recommendation</w:t>
      </w:r>
      <w:bookmarkEnd w:id="5"/>
    </w:p>
    <w:p w14:paraId="7FD19724" w14:textId="774DE38A" w:rsidR="005B0E07" w:rsidRDefault="005B0E07" w:rsidP="0024189A">
      <w:pPr>
        <w:keepNext/>
        <w:keepLines/>
        <w:numPr>
          <w:ilvl w:val="0"/>
          <w:numId w:val="0"/>
        </w:numPr>
        <w:spacing w:before="400"/>
        <w:outlineLvl w:val="1"/>
        <w:rPr>
          <w:rFonts w:asciiTheme="majorHAnsi" w:eastAsiaTheme="majorEastAsia" w:hAnsiTheme="majorHAnsi" w:cstheme="majorBidi"/>
          <w:b/>
          <w:bCs/>
          <w:color w:val="000000" w:themeColor="text1"/>
          <w:sz w:val="28"/>
          <w:szCs w:val="26"/>
        </w:rPr>
      </w:pPr>
      <w:r>
        <w:rPr>
          <w:rFonts w:asciiTheme="majorHAnsi" w:eastAsiaTheme="majorEastAsia" w:hAnsiTheme="majorHAnsi" w:cstheme="majorBidi"/>
          <w:b/>
          <w:bCs/>
          <w:color w:val="000000" w:themeColor="text1"/>
          <w:sz w:val="28"/>
          <w:szCs w:val="26"/>
        </w:rPr>
        <w:t>Recommendation 1</w:t>
      </w:r>
    </w:p>
    <w:tbl>
      <w:tblPr>
        <w:tblStyle w:val="TableGrid"/>
        <w:tblW w:w="0" w:type="auto"/>
        <w:tblLook w:val="04A0" w:firstRow="1" w:lastRow="0" w:firstColumn="1" w:lastColumn="0" w:noHBand="0" w:noVBand="1"/>
        <w:tblCaption w:val="MANAGEMENT RESPONSE  TABLE"/>
      </w:tblPr>
      <w:tblGrid>
        <w:gridCol w:w="4418"/>
        <w:gridCol w:w="1268"/>
        <w:gridCol w:w="3147"/>
        <w:gridCol w:w="3509"/>
        <w:gridCol w:w="1606"/>
      </w:tblGrid>
      <w:tr w:rsidR="008E353F" w14:paraId="0F50CDB2" w14:textId="5876F6EB" w:rsidTr="0007614B">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418" w:type="dxa"/>
            <w:shd w:val="clear" w:color="auto" w:fill="2F5496" w:themeFill="accent1" w:themeFillShade="BF"/>
          </w:tcPr>
          <w:p w14:paraId="2088BA8C" w14:textId="77777777" w:rsidR="00F333ED" w:rsidRPr="009C205D" w:rsidRDefault="00F333ED" w:rsidP="00CB63CA">
            <w:pPr>
              <w:numPr>
                <w:ilvl w:val="0"/>
                <w:numId w:val="0"/>
              </w:numPr>
              <w:rPr>
                <w:rFonts w:cs="Arial"/>
                <w:color w:val="FFFFFF" w:themeColor="background1"/>
              </w:rPr>
            </w:pPr>
            <w:r w:rsidRPr="009C205D">
              <w:rPr>
                <w:color w:val="FFFFFF" w:themeColor="background1"/>
              </w:rPr>
              <w:t>Recommendation</w:t>
            </w:r>
          </w:p>
        </w:tc>
        <w:tc>
          <w:tcPr>
            <w:tcW w:w="1268" w:type="dxa"/>
            <w:shd w:val="clear" w:color="auto" w:fill="2F5496" w:themeFill="accent1" w:themeFillShade="BF"/>
          </w:tcPr>
          <w:p w14:paraId="3869583D" w14:textId="77777777" w:rsidR="00F333ED" w:rsidRPr="009C205D" w:rsidRDefault="00F333ED" w:rsidP="00CB63CA">
            <w:pPr>
              <w:numPr>
                <w:ilvl w:val="0"/>
                <w:numId w:val="0"/>
              </w:numPr>
              <w:cnfStyle w:val="100000000000" w:firstRow="1" w:lastRow="0" w:firstColumn="0" w:lastColumn="0" w:oddVBand="0" w:evenVBand="0" w:oddHBand="0" w:evenHBand="0" w:firstRowFirstColumn="0" w:firstRowLastColumn="0" w:lastRowFirstColumn="0" w:lastRowLastColumn="0"/>
              <w:rPr>
                <w:color w:val="FFFFFF" w:themeColor="background1"/>
              </w:rPr>
            </w:pPr>
            <w:r w:rsidRPr="009C205D">
              <w:rPr>
                <w:color w:val="FFFFFF" w:themeColor="background1"/>
              </w:rPr>
              <w:t>Response</w:t>
            </w:r>
          </w:p>
        </w:tc>
        <w:tc>
          <w:tcPr>
            <w:tcW w:w="3147" w:type="dxa"/>
            <w:shd w:val="clear" w:color="auto" w:fill="2F5496" w:themeFill="accent1" w:themeFillShade="BF"/>
          </w:tcPr>
          <w:p w14:paraId="3C6AEBA9" w14:textId="040D8069" w:rsidR="00CC7ACE" w:rsidRPr="009C205D" w:rsidRDefault="00F333ED" w:rsidP="009C205D">
            <w:pPr>
              <w:numPr>
                <w:ilvl w:val="0"/>
                <w:numId w:val="0"/>
              </w:num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rPr>
            </w:pPr>
            <w:r w:rsidRPr="009C205D">
              <w:rPr>
                <w:rFonts w:cs="Arial"/>
                <w:color w:val="FFFFFF" w:themeColor="background1"/>
              </w:rPr>
              <w:t>Explanation</w:t>
            </w:r>
          </w:p>
        </w:tc>
        <w:tc>
          <w:tcPr>
            <w:tcW w:w="3509" w:type="dxa"/>
            <w:shd w:val="clear" w:color="auto" w:fill="2F5496" w:themeFill="accent1" w:themeFillShade="BF"/>
          </w:tcPr>
          <w:p w14:paraId="55789DF6" w14:textId="1944A041" w:rsidR="00F333ED" w:rsidRPr="009C205D" w:rsidRDefault="00F333ED" w:rsidP="009C205D">
            <w:pPr>
              <w:numPr>
                <w:ilvl w:val="0"/>
                <w:numId w:val="0"/>
              </w:num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9C205D">
              <w:rPr>
                <w:rFonts w:cs="Arial"/>
                <w:color w:val="FFFFFF" w:themeColor="background1"/>
              </w:rPr>
              <w:t>Action plan</w:t>
            </w:r>
          </w:p>
        </w:tc>
        <w:tc>
          <w:tcPr>
            <w:tcW w:w="1606" w:type="dxa"/>
            <w:shd w:val="clear" w:color="auto" w:fill="2F5496" w:themeFill="accent1" w:themeFillShade="BF"/>
          </w:tcPr>
          <w:p w14:paraId="66EB677E" w14:textId="7402D784" w:rsidR="00F333ED" w:rsidRPr="009C205D" w:rsidRDefault="00F333ED" w:rsidP="00CB63CA">
            <w:pPr>
              <w:numPr>
                <w:ilvl w:val="0"/>
                <w:numId w:val="0"/>
              </w:num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9C205D">
              <w:rPr>
                <w:rFonts w:cs="Arial"/>
                <w:color w:val="FFFFFF" w:themeColor="background1"/>
              </w:rPr>
              <w:t>Timeframe</w:t>
            </w:r>
          </w:p>
        </w:tc>
      </w:tr>
      <w:tr w:rsidR="008E353F" w14:paraId="76B5DA52" w14:textId="0D85127F" w:rsidTr="0007614B">
        <w:tc>
          <w:tcPr>
            <w:cnfStyle w:val="001000000000" w:firstRow="0" w:lastRow="0" w:firstColumn="1" w:lastColumn="0" w:oddVBand="0" w:evenVBand="0" w:oddHBand="0" w:evenHBand="0" w:firstRowFirstColumn="0" w:firstRowLastColumn="0" w:lastRowFirstColumn="0" w:lastRowLastColumn="0"/>
            <w:tcW w:w="4418" w:type="dxa"/>
            <w:shd w:val="clear" w:color="auto" w:fill="FFFFFF" w:themeFill="background1"/>
          </w:tcPr>
          <w:p w14:paraId="01D16D6D" w14:textId="0056323E" w:rsidR="001063BB" w:rsidRDefault="001063BB" w:rsidP="001063BB">
            <w:pPr>
              <w:pStyle w:val="ListBullet"/>
              <w:numPr>
                <w:ilvl w:val="0"/>
                <w:numId w:val="0"/>
              </w:numPr>
              <w:rPr>
                <w:b w:val="0"/>
                <w:sz w:val="20"/>
                <w:szCs w:val="20"/>
              </w:rPr>
            </w:pPr>
            <w:r w:rsidRPr="00CD7B9C">
              <w:rPr>
                <w:b w:val="0"/>
                <w:bCs/>
                <w:sz w:val="20"/>
                <w:szCs w:val="20"/>
              </w:rPr>
              <w:t>NPQ works with the sector to</w:t>
            </w:r>
            <w:r>
              <w:rPr>
                <w:b w:val="0"/>
                <w:bCs/>
                <w:sz w:val="20"/>
                <w:szCs w:val="20"/>
              </w:rPr>
              <w:t xml:space="preserve"> </w:t>
            </w:r>
            <w:r w:rsidRPr="005252F2">
              <w:rPr>
                <w:sz w:val="20"/>
                <w:szCs w:val="20"/>
              </w:rPr>
              <w:t>strengthen the ANCP partnering approach</w:t>
            </w:r>
            <w:r w:rsidRPr="00CD7B9C">
              <w:rPr>
                <w:b w:val="0"/>
                <w:bCs/>
                <w:sz w:val="20"/>
                <w:szCs w:val="20"/>
              </w:rPr>
              <w:t xml:space="preserve"> through a range of measures involving:</w:t>
            </w:r>
          </w:p>
          <w:p w14:paraId="757AE2AB" w14:textId="7D56B101" w:rsidR="001764F8" w:rsidRPr="0029408B" w:rsidRDefault="001764F8" w:rsidP="001764F8">
            <w:pPr>
              <w:pStyle w:val="ListBullet"/>
              <w:numPr>
                <w:ilvl w:val="0"/>
                <w:numId w:val="0"/>
              </w:numPr>
              <w:ind w:left="360" w:hanging="360"/>
              <w:rPr>
                <w:sz w:val="20"/>
                <w:szCs w:val="20"/>
              </w:rPr>
            </w:pPr>
            <w:r w:rsidRPr="0029408B">
              <w:rPr>
                <w:sz w:val="20"/>
                <w:szCs w:val="20"/>
              </w:rPr>
              <w:t>R1.1</w:t>
            </w:r>
            <w:r w:rsidRPr="0029408B">
              <w:rPr>
                <w:sz w:val="20"/>
                <w:szCs w:val="20"/>
              </w:rPr>
              <w:tab/>
              <w:t>Partnership, strategic learning, and policy dialogue</w:t>
            </w:r>
          </w:p>
          <w:p w14:paraId="0656B2AF" w14:textId="77777777" w:rsidR="001764F8" w:rsidRPr="0029408B" w:rsidRDefault="001764F8" w:rsidP="00AF20D8">
            <w:pPr>
              <w:pStyle w:val="ListBullet"/>
              <w:numPr>
                <w:ilvl w:val="0"/>
                <w:numId w:val="0"/>
              </w:numPr>
              <w:ind w:left="597" w:hanging="360"/>
              <w:rPr>
                <w:b w:val="0"/>
                <w:bCs/>
                <w:sz w:val="20"/>
                <w:szCs w:val="20"/>
              </w:rPr>
            </w:pPr>
            <w:r w:rsidRPr="0029408B">
              <w:rPr>
                <w:b w:val="0"/>
                <w:bCs/>
                <w:sz w:val="20"/>
                <w:szCs w:val="20"/>
              </w:rPr>
              <w:t>a.</w:t>
            </w:r>
            <w:r w:rsidRPr="0029408B">
              <w:rPr>
                <w:b w:val="0"/>
                <w:bCs/>
                <w:sz w:val="20"/>
                <w:szCs w:val="20"/>
              </w:rPr>
              <w:tab/>
              <w:t>Articulate the key purpose of partnership and establish a mechanism for partnership dialogue between DFAT, ANCP partners and other civil society actors</w:t>
            </w:r>
          </w:p>
          <w:p w14:paraId="4711A117" w14:textId="77777777" w:rsidR="001764F8" w:rsidRPr="0029408B" w:rsidRDefault="001764F8" w:rsidP="00AF20D8">
            <w:pPr>
              <w:pStyle w:val="ListBullet"/>
              <w:numPr>
                <w:ilvl w:val="0"/>
                <w:numId w:val="0"/>
              </w:numPr>
              <w:ind w:left="597" w:hanging="360"/>
              <w:rPr>
                <w:b w:val="0"/>
                <w:bCs/>
                <w:sz w:val="20"/>
                <w:szCs w:val="20"/>
              </w:rPr>
            </w:pPr>
            <w:r w:rsidRPr="0029408B">
              <w:rPr>
                <w:b w:val="0"/>
                <w:bCs/>
                <w:sz w:val="20"/>
                <w:szCs w:val="20"/>
              </w:rPr>
              <w:t>b.</w:t>
            </w:r>
            <w:r w:rsidRPr="0029408B">
              <w:rPr>
                <w:b w:val="0"/>
                <w:bCs/>
                <w:sz w:val="20"/>
                <w:szCs w:val="20"/>
              </w:rPr>
              <w:tab/>
              <w:t>Leverage the benefits of strong relationships created through internal management of the ANCP to contribute to wider DFAT – ANGO strategic dialogue and learning</w:t>
            </w:r>
          </w:p>
          <w:p w14:paraId="526AD45D" w14:textId="0A5DCE12" w:rsidR="001764F8" w:rsidRPr="0029408B" w:rsidRDefault="001764F8" w:rsidP="00AF20D8">
            <w:pPr>
              <w:pStyle w:val="ListBullet"/>
              <w:numPr>
                <w:ilvl w:val="0"/>
                <w:numId w:val="0"/>
              </w:numPr>
              <w:ind w:left="597" w:hanging="360"/>
              <w:rPr>
                <w:b w:val="0"/>
                <w:bCs/>
              </w:rPr>
            </w:pPr>
            <w:r w:rsidRPr="0029408B">
              <w:rPr>
                <w:b w:val="0"/>
                <w:bCs/>
                <w:sz w:val="20"/>
                <w:szCs w:val="20"/>
              </w:rPr>
              <w:t>c.</w:t>
            </w:r>
            <w:r w:rsidRPr="0029408B">
              <w:rPr>
                <w:b w:val="0"/>
                <w:bCs/>
                <w:sz w:val="20"/>
                <w:szCs w:val="20"/>
              </w:rPr>
              <w:tab/>
              <w:t>Consider how technical assistance (from a range of local and international sources including from within the partnership) could be engaged to support core technical business processes across the program cycle</w:t>
            </w:r>
          </w:p>
        </w:tc>
        <w:tc>
          <w:tcPr>
            <w:tcW w:w="1268" w:type="dxa"/>
            <w:shd w:val="clear" w:color="auto" w:fill="92D050"/>
          </w:tcPr>
          <w:p w14:paraId="6761E453" w14:textId="7078B1F4" w:rsidR="001764F8" w:rsidRDefault="001764F8" w:rsidP="001764F8">
            <w:pPr>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sidRPr="00C21B68">
              <w:rPr>
                <w:rFonts w:cs="Arial"/>
                <w:sz w:val="20"/>
                <w:szCs w:val="20"/>
              </w:rPr>
              <w:t>Agree</w:t>
            </w:r>
          </w:p>
        </w:tc>
        <w:tc>
          <w:tcPr>
            <w:tcW w:w="3147" w:type="dxa"/>
            <w:shd w:val="clear" w:color="auto" w:fill="FFFFFF" w:themeFill="background1"/>
          </w:tcPr>
          <w:p w14:paraId="4A941E8E" w14:textId="4C12EEC1" w:rsidR="00CD406B" w:rsidRDefault="00CD406B" w:rsidP="003750F7">
            <w:pPr>
              <w:numPr>
                <w:ilvl w:val="0"/>
                <w:numId w:val="0"/>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DFAT agrees </w:t>
            </w:r>
            <w:r w:rsidR="00E01254">
              <w:rPr>
                <w:sz w:val="20"/>
                <w:szCs w:val="20"/>
              </w:rPr>
              <w:t xml:space="preserve">strengthening </w:t>
            </w:r>
            <w:r w:rsidR="003674D7">
              <w:rPr>
                <w:sz w:val="20"/>
                <w:szCs w:val="20"/>
              </w:rPr>
              <w:t>our partnership</w:t>
            </w:r>
            <w:r w:rsidR="004B6027">
              <w:rPr>
                <w:sz w:val="20"/>
                <w:szCs w:val="20"/>
              </w:rPr>
              <w:t xml:space="preserve"> </w:t>
            </w:r>
            <w:r w:rsidR="00E01254">
              <w:rPr>
                <w:sz w:val="20"/>
                <w:szCs w:val="20"/>
              </w:rPr>
              <w:t>approach</w:t>
            </w:r>
            <w:r w:rsidR="003674D7">
              <w:rPr>
                <w:sz w:val="20"/>
                <w:szCs w:val="20"/>
              </w:rPr>
              <w:t xml:space="preserve"> in ANCP </w:t>
            </w:r>
            <w:r w:rsidR="00482C7B">
              <w:rPr>
                <w:sz w:val="20"/>
                <w:szCs w:val="20"/>
              </w:rPr>
              <w:t xml:space="preserve">will </w:t>
            </w:r>
            <w:r w:rsidR="003674D7">
              <w:rPr>
                <w:sz w:val="20"/>
                <w:szCs w:val="20"/>
              </w:rPr>
              <w:t xml:space="preserve">improve </w:t>
            </w:r>
            <w:r w:rsidR="00482C7B">
              <w:rPr>
                <w:sz w:val="20"/>
                <w:szCs w:val="20"/>
              </w:rPr>
              <w:t>the effectiveness of the program</w:t>
            </w:r>
            <w:r w:rsidR="001D67FD">
              <w:rPr>
                <w:sz w:val="20"/>
                <w:szCs w:val="20"/>
              </w:rPr>
              <w:t xml:space="preserve"> and </w:t>
            </w:r>
            <w:r w:rsidR="00881B28">
              <w:rPr>
                <w:sz w:val="20"/>
                <w:szCs w:val="20"/>
              </w:rPr>
              <w:t>support</w:t>
            </w:r>
            <w:r w:rsidR="000E59AB">
              <w:rPr>
                <w:sz w:val="20"/>
                <w:szCs w:val="20"/>
              </w:rPr>
              <w:t xml:space="preserve"> improved</w:t>
            </w:r>
            <w:r w:rsidR="00FA3F01">
              <w:rPr>
                <w:sz w:val="20"/>
                <w:szCs w:val="20"/>
              </w:rPr>
              <w:t xml:space="preserve"> links</w:t>
            </w:r>
            <w:r w:rsidR="001D67FD">
              <w:rPr>
                <w:sz w:val="20"/>
                <w:szCs w:val="20"/>
              </w:rPr>
              <w:t xml:space="preserve"> to the priority are</w:t>
            </w:r>
            <w:r w:rsidR="002606EF">
              <w:rPr>
                <w:sz w:val="20"/>
                <w:szCs w:val="20"/>
              </w:rPr>
              <w:t>a</w:t>
            </w:r>
            <w:r w:rsidR="001D67FD">
              <w:rPr>
                <w:sz w:val="20"/>
                <w:szCs w:val="20"/>
              </w:rPr>
              <w:t xml:space="preserve">s </w:t>
            </w:r>
            <w:r w:rsidR="002606EF">
              <w:rPr>
                <w:sz w:val="20"/>
                <w:szCs w:val="20"/>
              </w:rPr>
              <w:t xml:space="preserve">for the </w:t>
            </w:r>
            <w:r w:rsidR="00FA3F01">
              <w:rPr>
                <w:sz w:val="20"/>
                <w:szCs w:val="20"/>
              </w:rPr>
              <w:t>broader</w:t>
            </w:r>
            <w:r w:rsidR="002606EF">
              <w:rPr>
                <w:sz w:val="20"/>
                <w:szCs w:val="20"/>
              </w:rPr>
              <w:t xml:space="preserve"> Australian development program.</w:t>
            </w:r>
          </w:p>
          <w:p w14:paraId="488C998A" w14:textId="77777777" w:rsidR="00561117" w:rsidRDefault="00561117" w:rsidP="00FE295A">
            <w:pPr>
              <w:numPr>
                <w:ilvl w:val="0"/>
                <w:numId w:val="0"/>
              </w:numPr>
              <w:cnfStyle w:val="000000000000" w:firstRow="0" w:lastRow="0" w:firstColumn="0" w:lastColumn="0" w:oddVBand="0" w:evenVBand="0" w:oddHBand="0" w:evenHBand="0" w:firstRowFirstColumn="0" w:firstRowLastColumn="0" w:lastRowFirstColumn="0" w:lastRowLastColumn="0"/>
              <w:rPr>
                <w:rFonts w:cs="Arial"/>
                <w:i/>
                <w:iCs/>
                <w:sz w:val="20"/>
                <w:szCs w:val="20"/>
              </w:rPr>
            </w:pPr>
          </w:p>
          <w:p w14:paraId="4625745F" w14:textId="751883FE" w:rsidR="005A6656" w:rsidRPr="00B66E79" w:rsidRDefault="005A6656" w:rsidP="009C6F79">
            <w:pPr>
              <w:numPr>
                <w:ilvl w:val="0"/>
                <w:numId w:val="0"/>
              </w:numPr>
              <w:cnfStyle w:val="000000000000" w:firstRow="0" w:lastRow="0" w:firstColumn="0" w:lastColumn="0" w:oddVBand="0" w:evenVBand="0" w:oddHBand="0" w:evenHBand="0" w:firstRowFirstColumn="0" w:firstRowLastColumn="0" w:lastRowFirstColumn="0" w:lastRowLastColumn="0"/>
              <w:rPr>
                <w:rFonts w:cs="Arial"/>
                <w:i/>
                <w:iCs/>
                <w:sz w:val="20"/>
                <w:szCs w:val="20"/>
              </w:rPr>
            </w:pPr>
          </w:p>
        </w:tc>
        <w:tc>
          <w:tcPr>
            <w:tcW w:w="3509" w:type="dxa"/>
            <w:shd w:val="clear" w:color="auto" w:fill="FFFFFF" w:themeFill="background1"/>
          </w:tcPr>
          <w:p w14:paraId="62445F7F" w14:textId="090A371B" w:rsidR="00D30EC5" w:rsidRDefault="00BA7A8B" w:rsidP="0074006C">
            <w:pPr>
              <w:pStyle w:val="ListBullet"/>
              <w:numPr>
                <w:ilvl w:val="0"/>
                <w:numId w:val="0"/>
              </w:numPr>
              <w:spacing w:before="80" w:after="0" w:line="252" w:lineRule="auto"/>
              <w:contextualSpacing/>
              <w:cnfStyle w:val="000000000000" w:firstRow="0" w:lastRow="0" w:firstColumn="0" w:lastColumn="0" w:oddVBand="0" w:evenVBand="0" w:oddHBand="0" w:evenHBand="0" w:firstRowFirstColumn="0" w:firstRowLastColumn="0" w:lastRowFirstColumn="0" w:lastRowLastColumn="0"/>
              <w:rPr>
                <w:rFonts w:cs="Arial"/>
                <w:iCs/>
                <w:sz w:val="20"/>
                <w:szCs w:val="20"/>
              </w:rPr>
            </w:pPr>
            <w:r>
              <w:rPr>
                <w:rFonts w:cs="Arial"/>
                <w:iCs/>
                <w:sz w:val="20"/>
                <w:szCs w:val="20"/>
              </w:rPr>
              <w:t>The NGO Progra</w:t>
            </w:r>
            <w:r w:rsidR="00FA4D44">
              <w:rPr>
                <w:rFonts w:cs="Arial"/>
                <w:iCs/>
                <w:sz w:val="20"/>
                <w:szCs w:val="20"/>
              </w:rPr>
              <w:t xml:space="preserve">m and Partnerships Section (NPQ) </w:t>
            </w:r>
            <w:r w:rsidR="00D30EC5">
              <w:rPr>
                <w:rFonts w:cs="Arial"/>
                <w:iCs/>
                <w:sz w:val="20"/>
                <w:szCs w:val="20"/>
              </w:rPr>
              <w:t xml:space="preserve">will work with </w:t>
            </w:r>
            <w:r w:rsidR="003674D7">
              <w:rPr>
                <w:rFonts w:cs="Arial"/>
                <w:iCs/>
                <w:sz w:val="20"/>
                <w:szCs w:val="20"/>
              </w:rPr>
              <w:t xml:space="preserve">ACFID’s </w:t>
            </w:r>
            <w:r w:rsidR="00596994">
              <w:rPr>
                <w:rFonts w:cs="Arial"/>
                <w:iCs/>
                <w:sz w:val="20"/>
                <w:szCs w:val="20"/>
              </w:rPr>
              <w:t>DPC</w:t>
            </w:r>
            <w:r w:rsidR="001127DB">
              <w:rPr>
                <w:rFonts w:cs="Arial"/>
                <w:iCs/>
                <w:sz w:val="20"/>
                <w:szCs w:val="20"/>
              </w:rPr>
              <w:t xml:space="preserve"> </w:t>
            </w:r>
            <w:r w:rsidR="001269D4">
              <w:rPr>
                <w:rFonts w:cs="Arial"/>
                <w:iCs/>
                <w:sz w:val="20"/>
                <w:szCs w:val="20"/>
              </w:rPr>
              <w:t>to</w:t>
            </w:r>
            <w:r w:rsidR="000F79E6">
              <w:rPr>
                <w:rFonts w:cs="Arial"/>
                <w:iCs/>
                <w:sz w:val="20"/>
                <w:szCs w:val="20"/>
              </w:rPr>
              <w:t xml:space="preserve"> </w:t>
            </w:r>
            <w:r w:rsidR="0065365B">
              <w:rPr>
                <w:rFonts w:cs="Arial"/>
                <w:iCs/>
                <w:sz w:val="20"/>
                <w:szCs w:val="20"/>
              </w:rPr>
              <w:t>develop a partner</w:t>
            </w:r>
            <w:r w:rsidR="003674D7">
              <w:rPr>
                <w:rFonts w:cs="Arial"/>
                <w:iCs/>
                <w:sz w:val="20"/>
                <w:szCs w:val="20"/>
              </w:rPr>
              <w:t>ship</w:t>
            </w:r>
            <w:r w:rsidR="0065365B">
              <w:rPr>
                <w:rFonts w:cs="Arial"/>
                <w:iCs/>
                <w:sz w:val="20"/>
                <w:szCs w:val="20"/>
              </w:rPr>
              <w:t xml:space="preserve"> framework </w:t>
            </w:r>
            <w:r w:rsidR="003674D7">
              <w:rPr>
                <w:rFonts w:cs="Arial"/>
                <w:iCs/>
                <w:sz w:val="20"/>
                <w:szCs w:val="20"/>
              </w:rPr>
              <w:t>to</w:t>
            </w:r>
            <w:r w:rsidR="0065365B">
              <w:rPr>
                <w:rFonts w:cs="Arial"/>
                <w:iCs/>
                <w:sz w:val="20"/>
                <w:szCs w:val="20"/>
              </w:rPr>
              <w:t xml:space="preserve"> </w:t>
            </w:r>
            <w:r w:rsidR="00324321">
              <w:rPr>
                <w:rFonts w:cs="Arial"/>
                <w:iCs/>
                <w:sz w:val="20"/>
                <w:szCs w:val="20"/>
              </w:rPr>
              <w:t xml:space="preserve">govern relationship management processes between DFAT and its </w:t>
            </w:r>
            <w:r w:rsidR="00AE20B6">
              <w:rPr>
                <w:rFonts w:cs="Arial"/>
                <w:iCs/>
                <w:sz w:val="20"/>
                <w:szCs w:val="20"/>
              </w:rPr>
              <w:t>NGO</w:t>
            </w:r>
            <w:r w:rsidR="00324321">
              <w:rPr>
                <w:rFonts w:cs="Arial"/>
                <w:iCs/>
                <w:sz w:val="20"/>
                <w:szCs w:val="20"/>
              </w:rPr>
              <w:t xml:space="preserve"> partners both individually and collectively</w:t>
            </w:r>
            <w:r w:rsidR="003A4B86">
              <w:rPr>
                <w:rFonts w:cs="Arial"/>
                <w:iCs/>
                <w:sz w:val="20"/>
                <w:szCs w:val="20"/>
              </w:rPr>
              <w:t xml:space="preserve"> </w:t>
            </w:r>
            <w:r w:rsidR="00C23513">
              <w:rPr>
                <w:rFonts w:cs="Arial"/>
                <w:iCs/>
                <w:sz w:val="20"/>
                <w:szCs w:val="20"/>
              </w:rPr>
              <w:t>to contribute to wider DFAT – ANGO strategic dial</w:t>
            </w:r>
            <w:r w:rsidR="00C77C17">
              <w:rPr>
                <w:rFonts w:cs="Arial"/>
                <w:iCs/>
                <w:sz w:val="20"/>
                <w:szCs w:val="20"/>
              </w:rPr>
              <w:t>ogue and learning</w:t>
            </w:r>
            <w:r w:rsidR="00324321">
              <w:rPr>
                <w:rFonts w:cs="Arial"/>
                <w:iCs/>
                <w:sz w:val="20"/>
                <w:szCs w:val="20"/>
              </w:rPr>
              <w:t>.</w:t>
            </w:r>
            <w:r w:rsidR="00E64061">
              <w:rPr>
                <w:rFonts w:cs="Arial"/>
                <w:iCs/>
                <w:sz w:val="20"/>
                <w:szCs w:val="20"/>
              </w:rPr>
              <w:t xml:space="preserve"> The partnership framework will be informed by the </w:t>
            </w:r>
            <w:r w:rsidR="003D1FA9">
              <w:rPr>
                <w:rFonts w:cs="Arial"/>
                <w:iCs/>
                <w:sz w:val="20"/>
                <w:szCs w:val="20"/>
              </w:rPr>
              <w:t xml:space="preserve">ANCP </w:t>
            </w:r>
            <w:r w:rsidR="00DE2758">
              <w:rPr>
                <w:rFonts w:cs="Arial"/>
                <w:iCs/>
                <w:sz w:val="20"/>
                <w:szCs w:val="20"/>
              </w:rPr>
              <w:t>A</w:t>
            </w:r>
            <w:r w:rsidR="00E64061">
              <w:rPr>
                <w:rFonts w:cs="Arial"/>
                <w:iCs/>
                <w:sz w:val="20"/>
                <w:szCs w:val="20"/>
              </w:rPr>
              <w:t xml:space="preserve">ccreditation and </w:t>
            </w:r>
            <w:r w:rsidR="00DE2758">
              <w:rPr>
                <w:rFonts w:cs="Arial"/>
                <w:iCs/>
                <w:sz w:val="20"/>
                <w:szCs w:val="20"/>
              </w:rPr>
              <w:t>F</w:t>
            </w:r>
            <w:r w:rsidR="00E64061">
              <w:rPr>
                <w:rFonts w:cs="Arial"/>
                <w:iCs/>
                <w:sz w:val="20"/>
                <w:szCs w:val="20"/>
              </w:rPr>
              <w:t xml:space="preserve">unding </w:t>
            </w:r>
            <w:r w:rsidR="00DE2758">
              <w:rPr>
                <w:rFonts w:cs="Arial"/>
                <w:iCs/>
                <w:sz w:val="20"/>
                <w:szCs w:val="20"/>
              </w:rPr>
              <w:t>P</w:t>
            </w:r>
            <w:r w:rsidR="00E64061">
              <w:rPr>
                <w:rFonts w:cs="Arial"/>
                <w:iCs/>
                <w:sz w:val="20"/>
                <w:szCs w:val="20"/>
              </w:rPr>
              <w:t>olicy refreshes (see R1.2</w:t>
            </w:r>
            <w:r w:rsidR="005B78DA">
              <w:rPr>
                <w:rFonts w:cs="Arial"/>
                <w:iCs/>
                <w:sz w:val="20"/>
                <w:szCs w:val="20"/>
              </w:rPr>
              <w:t>a</w:t>
            </w:r>
            <w:r w:rsidR="00E64061">
              <w:rPr>
                <w:rFonts w:cs="Arial"/>
                <w:iCs/>
                <w:sz w:val="20"/>
                <w:szCs w:val="20"/>
              </w:rPr>
              <w:t xml:space="preserve"> and</w:t>
            </w:r>
            <w:r w:rsidR="005B78DA">
              <w:rPr>
                <w:rFonts w:cs="Arial"/>
                <w:iCs/>
                <w:sz w:val="20"/>
                <w:szCs w:val="20"/>
              </w:rPr>
              <w:t xml:space="preserve"> R1.3a</w:t>
            </w:r>
            <w:r w:rsidR="00C46BBD">
              <w:rPr>
                <w:rFonts w:cs="Arial"/>
                <w:iCs/>
                <w:sz w:val="20"/>
                <w:szCs w:val="20"/>
              </w:rPr>
              <w:t>)</w:t>
            </w:r>
          </w:p>
          <w:p w14:paraId="72F26275" w14:textId="57B806FB" w:rsidR="003674D7" w:rsidRDefault="003674D7" w:rsidP="0074006C">
            <w:pPr>
              <w:pStyle w:val="ListBullet"/>
              <w:numPr>
                <w:ilvl w:val="0"/>
                <w:numId w:val="0"/>
              </w:numPr>
              <w:spacing w:before="80" w:after="0" w:line="252" w:lineRule="auto"/>
              <w:contextualSpacing/>
              <w:cnfStyle w:val="000000000000" w:firstRow="0" w:lastRow="0" w:firstColumn="0" w:lastColumn="0" w:oddVBand="0" w:evenVBand="0" w:oddHBand="0" w:evenHBand="0" w:firstRowFirstColumn="0" w:firstRowLastColumn="0" w:lastRowFirstColumn="0" w:lastRowLastColumn="0"/>
              <w:rPr>
                <w:rFonts w:cs="Arial"/>
                <w:iCs/>
                <w:sz w:val="20"/>
                <w:szCs w:val="20"/>
              </w:rPr>
            </w:pPr>
          </w:p>
          <w:p w14:paraId="49F0BB5A" w14:textId="052CA2A9" w:rsidR="003674D7" w:rsidRDefault="003674D7" w:rsidP="0074006C">
            <w:pPr>
              <w:pStyle w:val="ListBullet"/>
              <w:numPr>
                <w:ilvl w:val="0"/>
                <w:numId w:val="0"/>
              </w:numPr>
              <w:spacing w:before="80" w:after="0" w:line="252" w:lineRule="auto"/>
              <w:contextualSpacing/>
              <w:cnfStyle w:val="000000000000" w:firstRow="0" w:lastRow="0" w:firstColumn="0" w:lastColumn="0" w:oddVBand="0" w:evenVBand="0" w:oddHBand="0" w:evenHBand="0" w:firstRowFirstColumn="0" w:firstRowLastColumn="0" w:lastRowFirstColumn="0" w:lastRowLastColumn="0"/>
              <w:rPr>
                <w:rFonts w:cs="Arial"/>
                <w:iCs/>
                <w:sz w:val="20"/>
                <w:szCs w:val="20"/>
              </w:rPr>
            </w:pPr>
            <w:r>
              <w:rPr>
                <w:rFonts w:cs="Arial"/>
                <w:iCs/>
                <w:sz w:val="20"/>
                <w:szCs w:val="20"/>
              </w:rPr>
              <w:t xml:space="preserve">DFAT will </w:t>
            </w:r>
            <w:r w:rsidR="00942B58">
              <w:rPr>
                <w:rFonts w:cs="Arial"/>
                <w:iCs/>
                <w:sz w:val="20"/>
                <w:szCs w:val="20"/>
              </w:rPr>
              <w:t xml:space="preserve">consider how to best </w:t>
            </w:r>
            <w:r>
              <w:rPr>
                <w:rFonts w:cs="Arial"/>
                <w:iCs/>
                <w:sz w:val="20"/>
                <w:szCs w:val="20"/>
              </w:rPr>
              <w:t>use technical assistance in ANCP to improve business processes</w:t>
            </w:r>
            <w:r w:rsidR="00AF55B8">
              <w:rPr>
                <w:rFonts w:cs="Arial"/>
                <w:iCs/>
                <w:sz w:val="20"/>
                <w:szCs w:val="20"/>
              </w:rPr>
              <w:t>, for example</w:t>
            </w:r>
            <w:r w:rsidR="00942B58">
              <w:rPr>
                <w:rFonts w:cs="Arial"/>
                <w:iCs/>
                <w:sz w:val="20"/>
                <w:szCs w:val="20"/>
              </w:rPr>
              <w:t>,</w:t>
            </w:r>
            <w:r w:rsidR="00AF55B8">
              <w:rPr>
                <w:rFonts w:cs="Arial"/>
                <w:iCs/>
                <w:sz w:val="20"/>
                <w:szCs w:val="20"/>
              </w:rPr>
              <w:t xml:space="preserve"> to review multiyear </w:t>
            </w:r>
            <w:r w:rsidR="003D1FA9">
              <w:rPr>
                <w:rFonts w:cs="Arial"/>
                <w:iCs/>
                <w:sz w:val="20"/>
                <w:szCs w:val="20"/>
              </w:rPr>
              <w:t xml:space="preserve">design and </w:t>
            </w:r>
            <w:r w:rsidR="00AF55B8">
              <w:rPr>
                <w:rFonts w:cs="Arial"/>
                <w:iCs/>
                <w:sz w:val="20"/>
                <w:szCs w:val="20"/>
              </w:rPr>
              <w:t>implementation plan</w:t>
            </w:r>
            <w:r w:rsidR="00942B58">
              <w:rPr>
                <w:rFonts w:cs="Arial"/>
                <w:iCs/>
                <w:sz w:val="20"/>
                <w:szCs w:val="20"/>
              </w:rPr>
              <w:t>s</w:t>
            </w:r>
            <w:r w:rsidR="003D1FA9">
              <w:rPr>
                <w:rFonts w:cs="Arial"/>
                <w:iCs/>
                <w:sz w:val="20"/>
                <w:szCs w:val="20"/>
              </w:rPr>
              <w:t xml:space="preserve"> and</w:t>
            </w:r>
            <w:r w:rsidR="00DE2758">
              <w:rPr>
                <w:rFonts w:cs="Arial"/>
                <w:iCs/>
                <w:sz w:val="20"/>
                <w:szCs w:val="20"/>
              </w:rPr>
              <w:t xml:space="preserve"> </w:t>
            </w:r>
            <w:r w:rsidR="00942B58">
              <w:rPr>
                <w:rFonts w:cs="Arial"/>
                <w:iCs/>
                <w:sz w:val="20"/>
                <w:szCs w:val="20"/>
              </w:rPr>
              <w:t>performance reports</w:t>
            </w:r>
          </w:p>
          <w:p w14:paraId="53BE4463" w14:textId="19047F89" w:rsidR="002018B7" w:rsidRDefault="002018B7" w:rsidP="0074006C">
            <w:pPr>
              <w:pStyle w:val="ListBullet"/>
              <w:numPr>
                <w:ilvl w:val="0"/>
                <w:numId w:val="0"/>
              </w:numPr>
              <w:spacing w:before="80" w:after="0" w:line="252" w:lineRule="auto"/>
              <w:contextualSpacing/>
              <w:cnfStyle w:val="000000000000" w:firstRow="0" w:lastRow="0" w:firstColumn="0" w:lastColumn="0" w:oddVBand="0" w:evenVBand="0" w:oddHBand="0" w:evenHBand="0" w:firstRowFirstColumn="0" w:firstRowLastColumn="0" w:lastRowFirstColumn="0" w:lastRowLastColumn="0"/>
              <w:rPr>
                <w:rFonts w:cs="Arial"/>
                <w:iCs/>
                <w:sz w:val="20"/>
                <w:szCs w:val="20"/>
              </w:rPr>
            </w:pPr>
          </w:p>
          <w:p w14:paraId="39BE1890" w14:textId="77777777" w:rsidR="00D30EC5" w:rsidRDefault="00D30EC5" w:rsidP="0074006C">
            <w:pPr>
              <w:pStyle w:val="ListBullet"/>
              <w:numPr>
                <w:ilvl w:val="0"/>
                <w:numId w:val="0"/>
              </w:numPr>
              <w:spacing w:before="80" w:after="0" w:line="252" w:lineRule="auto"/>
              <w:contextualSpacing/>
              <w:cnfStyle w:val="000000000000" w:firstRow="0" w:lastRow="0" w:firstColumn="0" w:lastColumn="0" w:oddVBand="0" w:evenVBand="0" w:oddHBand="0" w:evenHBand="0" w:firstRowFirstColumn="0" w:firstRowLastColumn="0" w:lastRowFirstColumn="0" w:lastRowLastColumn="0"/>
              <w:rPr>
                <w:rFonts w:cs="Arial"/>
                <w:iCs/>
                <w:sz w:val="20"/>
                <w:szCs w:val="20"/>
              </w:rPr>
            </w:pPr>
          </w:p>
          <w:p w14:paraId="59FDBFD9" w14:textId="2BDD3FAB" w:rsidR="001764F8" w:rsidRPr="00007E1C" w:rsidRDefault="001764F8" w:rsidP="002A0ECE">
            <w:pPr>
              <w:pStyle w:val="ListBullet"/>
              <w:numPr>
                <w:ilvl w:val="0"/>
                <w:numId w:val="0"/>
              </w:numPr>
              <w:spacing w:before="80" w:after="0" w:line="252" w:lineRule="auto"/>
              <w:contextualSpacing/>
              <w:cnfStyle w:val="000000000000" w:firstRow="0" w:lastRow="0" w:firstColumn="0" w:lastColumn="0" w:oddVBand="0" w:evenVBand="0" w:oddHBand="0" w:evenHBand="0" w:firstRowFirstColumn="0" w:firstRowLastColumn="0" w:lastRowFirstColumn="0" w:lastRowLastColumn="0"/>
              <w:rPr>
                <w:rFonts w:cs="Arial"/>
                <w:iCs/>
                <w:sz w:val="20"/>
                <w:szCs w:val="20"/>
              </w:rPr>
            </w:pPr>
          </w:p>
        </w:tc>
        <w:tc>
          <w:tcPr>
            <w:tcW w:w="1606" w:type="dxa"/>
            <w:shd w:val="clear" w:color="auto" w:fill="FFFFFF" w:themeFill="background1"/>
          </w:tcPr>
          <w:p w14:paraId="120B8EFB" w14:textId="1E7F3A42" w:rsidR="005B78DA" w:rsidRDefault="009F4433" w:rsidP="001764F8">
            <w:pPr>
              <w:numPr>
                <w:ilvl w:val="0"/>
                <w:numId w:val="0"/>
              </w:numPr>
              <w:cnfStyle w:val="000000000000" w:firstRow="0" w:lastRow="0" w:firstColumn="0" w:lastColumn="0" w:oddVBand="0" w:evenVBand="0" w:oddHBand="0" w:evenHBand="0" w:firstRowFirstColumn="0" w:firstRowLastColumn="0" w:lastRowFirstColumn="0" w:lastRowLastColumn="0"/>
              <w:rPr>
                <w:rFonts w:cs="Arial"/>
                <w:iCs/>
                <w:sz w:val="20"/>
                <w:szCs w:val="20"/>
              </w:rPr>
            </w:pPr>
            <w:r>
              <w:rPr>
                <w:rFonts w:cs="Arial"/>
                <w:iCs/>
                <w:sz w:val="20"/>
                <w:szCs w:val="20"/>
              </w:rPr>
              <w:t xml:space="preserve">Commence in </w:t>
            </w:r>
            <w:r w:rsidR="005B78DA">
              <w:rPr>
                <w:rFonts w:cs="Arial"/>
                <w:iCs/>
                <w:sz w:val="20"/>
                <w:szCs w:val="20"/>
              </w:rPr>
              <w:t>2023</w:t>
            </w:r>
          </w:p>
          <w:p w14:paraId="3361A9F4" w14:textId="77777777" w:rsidR="00541E7C" w:rsidRDefault="00541E7C" w:rsidP="001764F8">
            <w:pPr>
              <w:numPr>
                <w:ilvl w:val="0"/>
                <w:numId w:val="0"/>
              </w:numPr>
              <w:cnfStyle w:val="000000000000" w:firstRow="0" w:lastRow="0" w:firstColumn="0" w:lastColumn="0" w:oddVBand="0" w:evenVBand="0" w:oddHBand="0" w:evenHBand="0" w:firstRowFirstColumn="0" w:firstRowLastColumn="0" w:lastRowFirstColumn="0" w:lastRowLastColumn="0"/>
              <w:rPr>
                <w:rFonts w:cs="Arial"/>
                <w:iCs/>
                <w:sz w:val="20"/>
                <w:szCs w:val="20"/>
              </w:rPr>
            </w:pPr>
          </w:p>
          <w:p w14:paraId="568FBDE7" w14:textId="77777777" w:rsidR="00541E7C" w:rsidRDefault="00541E7C" w:rsidP="001764F8">
            <w:pPr>
              <w:numPr>
                <w:ilvl w:val="0"/>
                <w:numId w:val="0"/>
              </w:numPr>
              <w:cnfStyle w:val="000000000000" w:firstRow="0" w:lastRow="0" w:firstColumn="0" w:lastColumn="0" w:oddVBand="0" w:evenVBand="0" w:oddHBand="0" w:evenHBand="0" w:firstRowFirstColumn="0" w:firstRowLastColumn="0" w:lastRowFirstColumn="0" w:lastRowLastColumn="0"/>
              <w:rPr>
                <w:rFonts w:cs="Arial"/>
                <w:iCs/>
                <w:sz w:val="20"/>
                <w:szCs w:val="20"/>
              </w:rPr>
            </w:pPr>
          </w:p>
          <w:p w14:paraId="215C4E4B" w14:textId="77777777" w:rsidR="00541E7C" w:rsidRDefault="00541E7C" w:rsidP="001764F8">
            <w:pPr>
              <w:numPr>
                <w:ilvl w:val="0"/>
                <w:numId w:val="0"/>
              </w:numPr>
              <w:cnfStyle w:val="000000000000" w:firstRow="0" w:lastRow="0" w:firstColumn="0" w:lastColumn="0" w:oddVBand="0" w:evenVBand="0" w:oddHBand="0" w:evenHBand="0" w:firstRowFirstColumn="0" w:firstRowLastColumn="0" w:lastRowFirstColumn="0" w:lastRowLastColumn="0"/>
              <w:rPr>
                <w:rFonts w:cs="Arial"/>
                <w:iCs/>
                <w:sz w:val="20"/>
                <w:szCs w:val="20"/>
              </w:rPr>
            </w:pPr>
          </w:p>
          <w:p w14:paraId="0E5561A9" w14:textId="77777777" w:rsidR="00541E7C" w:rsidRDefault="00541E7C" w:rsidP="001764F8">
            <w:pPr>
              <w:numPr>
                <w:ilvl w:val="0"/>
                <w:numId w:val="0"/>
              </w:numPr>
              <w:cnfStyle w:val="000000000000" w:firstRow="0" w:lastRow="0" w:firstColumn="0" w:lastColumn="0" w:oddVBand="0" w:evenVBand="0" w:oddHBand="0" w:evenHBand="0" w:firstRowFirstColumn="0" w:firstRowLastColumn="0" w:lastRowFirstColumn="0" w:lastRowLastColumn="0"/>
              <w:rPr>
                <w:rFonts w:cs="Arial"/>
                <w:iCs/>
                <w:sz w:val="20"/>
                <w:szCs w:val="20"/>
              </w:rPr>
            </w:pPr>
          </w:p>
          <w:p w14:paraId="463ACBAA" w14:textId="77777777" w:rsidR="00541E7C" w:rsidRDefault="00541E7C" w:rsidP="001764F8">
            <w:pPr>
              <w:numPr>
                <w:ilvl w:val="0"/>
                <w:numId w:val="0"/>
              </w:numPr>
              <w:cnfStyle w:val="000000000000" w:firstRow="0" w:lastRow="0" w:firstColumn="0" w:lastColumn="0" w:oddVBand="0" w:evenVBand="0" w:oddHBand="0" w:evenHBand="0" w:firstRowFirstColumn="0" w:firstRowLastColumn="0" w:lastRowFirstColumn="0" w:lastRowLastColumn="0"/>
              <w:rPr>
                <w:rFonts w:cs="Arial"/>
                <w:iCs/>
                <w:sz w:val="20"/>
                <w:szCs w:val="20"/>
              </w:rPr>
            </w:pPr>
          </w:p>
          <w:p w14:paraId="2B4D3387" w14:textId="77777777" w:rsidR="00541E7C" w:rsidRDefault="00541E7C" w:rsidP="001764F8">
            <w:pPr>
              <w:numPr>
                <w:ilvl w:val="0"/>
                <w:numId w:val="0"/>
              </w:numPr>
              <w:cnfStyle w:val="000000000000" w:firstRow="0" w:lastRow="0" w:firstColumn="0" w:lastColumn="0" w:oddVBand="0" w:evenVBand="0" w:oddHBand="0" w:evenHBand="0" w:firstRowFirstColumn="0" w:firstRowLastColumn="0" w:lastRowFirstColumn="0" w:lastRowLastColumn="0"/>
              <w:rPr>
                <w:rFonts w:cs="Arial"/>
                <w:iCs/>
                <w:sz w:val="20"/>
                <w:szCs w:val="20"/>
              </w:rPr>
            </w:pPr>
          </w:p>
          <w:p w14:paraId="6A18C2A7" w14:textId="77777777" w:rsidR="00541E7C" w:rsidRDefault="00541E7C" w:rsidP="001764F8">
            <w:pPr>
              <w:numPr>
                <w:ilvl w:val="0"/>
                <w:numId w:val="0"/>
              </w:numPr>
              <w:cnfStyle w:val="000000000000" w:firstRow="0" w:lastRow="0" w:firstColumn="0" w:lastColumn="0" w:oddVBand="0" w:evenVBand="0" w:oddHBand="0" w:evenHBand="0" w:firstRowFirstColumn="0" w:firstRowLastColumn="0" w:lastRowFirstColumn="0" w:lastRowLastColumn="0"/>
              <w:rPr>
                <w:rFonts w:cs="Arial"/>
                <w:iCs/>
                <w:sz w:val="20"/>
                <w:szCs w:val="20"/>
              </w:rPr>
            </w:pPr>
          </w:p>
          <w:p w14:paraId="45235606" w14:textId="426C2137" w:rsidR="00DE6B40" w:rsidRPr="00943344" w:rsidRDefault="00DE6B40" w:rsidP="00DE6B40">
            <w:pPr>
              <w:numPr>
                <w:ilvl w:val="0"/>
                <w:numId w:val="0"/>
              </w:numPr>
              <w:cnfStyle w:val="000000000000" w:firstRow="0" w:lastRow="0" w:firstColumn="0" w:lastColumn="0" w:oddVBand="0" w:evenVBand="0" w:oddHBand="0" w:evenHBand="0" w:firstRowFirstColumn="0" w:firstRowLastColumn="0" w:lastRowFirstColumn="0" w:lastRowLastColumn="0"/>
              <w:rPr>
                <w:rFonts w:cs="Arial"/>
                <w:iCs/>
                <w:sz w:val="20"/>
                <w:szCs w:val="20"/>
              </w:rPr>
            </w:pPr>
          </w:p>
        </w:tc>
      </w:tr>
      <w:tr w:rsidR="008B525B" w14:paraId="4BE143A3" w14:textId="4CEFDC12" w:rsidTr="0007614B">
        <w:tc>
          <w:tcPr>
            <w:cnfStyle w:val="001000000000" w:firstRow="0" w:lastRow="0" w:firstColumn="1" w:lastColumn="0" w:oddVBand="0" w:evenVBand="0" w:oddHBand="0" w:evenHBand="0" w:firstRowFirstColumn="0" w:firstRowLastColumn="0" w:lastRowFirstColumn="0" w:lastRowLastColumn="0"/>
            <w:tcW w:w="4418" w:type="dxa"/>
          </w:tcPr>
          <w:p w14:paraId="6ABEE53A" w14:textId="77777777" w:rsidR="001764F8" w:rsidRPr="00415CA3" w:rsidRDefault="001764F8" w:rsidP="00982D35">
            <w:pPr>
              <w:pStyle w:val="ListNumber3"/>
              <w:tabs>
                <w:tab w:val="clear" w:pos="1077"/>
              </w:tabs>
              <w:ind w:left="172" w:firstLine="0"/>
              <w:rPr>
                <w:bCs/>
                <w:sz w:val="20"/>
                <w:szCs w:val="20"/>
              </w:rPr>
            </w:pPr>
            <w:r w:rsidRPr="00415CA3">
              <w:rPr>
                <w:bCs/>
                <w:sz w:val="20"/>
                <w:szCs w:val="20"/>
              </w:rPr>
              <w:lastRenderedPageBreak/>
              <w:t>R1.2</w:t>
            </w:r>
            <w:r w:rsidRPr="00415CA3">
              <w:rPr>
                <w:bCs/>
                <w:sz w:val="20"/>
                <w:szCs w:val="20"/>
              </w:rPr>
              <w:tab/>
              <w:t>Accreditation</w:t>
            </w:r>
          </w:p>
          <w:p w14:paraId="386CC26E" w14:textId="1900702B" w:rsidR="001764F8" w:rsidRPr="00415CA3" w:rsidRDefault="001764F8" w:rsidP="00982D35">
            <w:pPr>
              <w:pStyle w:val="ListNumber3"/>
              <w:tabs>
                <w:tab w:val="clear" w:pos="1077"/>
              </w:tabs>
              <w:ind w:left="172" w:firstLine="0"/>
              <w:rPr>
                <w:b w:val="0"/>
                <w:sz w:val="20"/>
                <w:szCs w:val="20"/>
              </w:rPr>
            </w:pPr>
            <w:r w:rsidRPr="00415CA3">
              <w:rPr>
                <w:b w:val="0"/>
                <w:sz w:val="20"/>
                <w:szCs w:val="20"/>
              </w:rPr>
              <w:t xml:space="preserve">Strategically review and redesign the </w:t>
            </w:r>
            <w:r w:rsidR="00E00BBD">
              <w:rPr>
                <w:b w:val="0"/>
                <w:sz w:val="20"/>
                <w:szCs w:val="20"/>
              </w:rPr>
              <w:t xml:space="preserve">ANCP </w:t>
            </w:r>
            <w:r w:rsidRPr="00415CA3">
              <w:rPr>
                <w:b w:val="0"/>
                <w:sz w:val="20"/>
                <w:szCs w:val="20"/>
              </w:rPr>
              <w:t xml:space="preserve">accreditation and </w:t>
            </w:r>
            <w:r w:rsidR="00E00BBD">
              <w:rPr>
                <w:b w:val="0"/>
                <w:sz w:val="20"/>
                <w:szCs w:val="20"/>
              </w:rPr>
              <w:t>f</w:t>
            </w:r>
            <w:r w:rsidRPr="00415CA3">
              <w:rPr>
                <w:b w:val="0"/>
                <w:sz w:val="20"/>
                <w:szCs w:val="20"/>
              </w:rPr>
              <w:t xml:space="preserve">unding </w:t>
            </w:r>
            <w:r w:rsidR="00E00BBD">
              <w:rPr>
                <w:b w:val="0"/>
                <w:sz w:val="20"/>
                <w:szCs w:val="20"/>
              </w:rPr>
              <w:t>p</w:t>
            </w:r>
            <w:r w:rsidRPr="00415CA3">
              <w:rPr>
                <w:b w:val="0"/>
                <w:sz w:val="20"/>
                <w:szCs w:val="20"/>
              </w:rPr>
              <w:t>olic</w:t>
            </w:r>
            <w:r w:rsidR="00E00BBD">
              <w:rPr>
                <w:b w:val="0"/>
                <w:sz w:val="20"/>
                <w:szCs w:val="20"/>
              </w:rPr>
              <w:t>ies</w:t>
            </w:r>
            <w:r w:rsidRPr="00415CA3">
              <w:rPr>
                <w:b w:val="0"/>
                <w:sz w:val="20"/>
                <w:szCs w:val="20"/>
              </w:rPr>
              <w:t xml:space="preserve"> to address </w:t>
            </w:r>
            <w:r w:rsidR="006E377F">
              <w:rPr>
                <w:b w:val="0"/>
                <w:sz w:val="20"/>
                <w:szCs w:val="20"/>
              </w:rPr>
              <w:t xml:space="preserve">any perceived </w:t>
            </w:r>
            <w:r w:rsidRPr="00415CA3">
              <w:rPr>
                <w:b w:val="0"/>
                <w:sz w:val="20"/>
                <w:szCs w:val="20"/>
              </w:rPr>
              <w:t xml:space="preserve">structural inequalities and enable different partnering types with proportionate business and partnering processes including: </w:t>
            </w:r>
          </w:p>
          <w:p w14:paraId="3F6BCE74" w14:textId="1B25EA80" w:rsidR="001764F8" w:rsidRPr="00415CA3" w:rsidRDefault="00B61F21" w:rsidP="00AF20D8">
            <w:pPr>
              <w:pStyle w:val="ListNumber3"/>
              <w:numPr>
                <w:ilvl w:val="2"/>
                <w:numId w:val="1"/>
              </w:numPr>
              <w:ind w:left="597"/>
              <w:rPr>
                <w:b w:val="0"/>
                <w:sz w:val="20"/>
                <w:szCs w:val="20"/>
              </w:rPr>
            </w:pPr>
            <w:r>
              <w:rPr>
                <w:b w:val="0"/>
                <w:sz w:val="20"/>
                <w:szCs w:val="20"/>
              </w:rPr>
              <w:t>m</w:t>
            </w:r>
            <w:r w:rsidR="001764F8" w:rsidRPr="00415CA3">
              <w:rPr>
                <w:b w:val="0"/>
                <w:sz w:val="20"/>
                <w:szCs w:val="20"/>
              </w:rPr>
              <w:t>aking changes to the current accreditation tiers to provide a lower level of accreditation for base accredited partners and increase the funding threshold available to them</w:t>
            </w:r>
          </w:p>
          <w:p w14:paraId="1B7ADDAA" w14:textId="6834E76F" w:rsidR="001764F8" w:rsidRPr="00CE21F5" w:rsidRDefault="001764F8" w:rsidP="001764F8">
            <w:pPr>
              <w:pStyle w:val="ListNumber3"/>
              <w:tabs>
                <w:tab w:val="clear" w:pos="1077"/>
              </w:tabs>
              <w:ind w:left="360" w:firstLine="0"/>
              <w:rPr>
                <w:bCs/>
              </w:rPr>
            </w:pPr>
          </w:p>
        </w:tc>
        <w:tc>
          <w:tcPr>
            <w:tcW w:w="1268" w:type="dxa"/>
            <w:shd w:val="clear" w:color="auto" w:fill="92D050"/>
          </w:tcPr>
          <w:p w14:paraId="53967C3A" w14:textId="76C09E52" w:rsidR="001764F8" w:rsidRPr="00C21B68" w:rsidRDefault="001764F8" w:rsidP="001764F8">
            <w:pPr>
              <w:numPr>
                <w:ilvl w:val="0"/>
                <w:numId w:val="0"/>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C21B68">
              <w:rPr>
                <w:rFonts w:cs="Arial"/>
                <w:sz w:val="20"/>
                <w:szCs w:val="20"/>
              </w:rPr>
              <w:t>Agree</w:t>
            </w:r>
          </w:p>
        </w:tc>
        <w:tc>
          <w:tcPr>
            <w:tcW w:w="3147" w:type="dxa"/>
          </w:tcPr>
          <w:p w14:paraId="2E9A600B" w14:textId="3C65E541" w:rsidR="001127DB" w:rsidRDefault="001127DB" w:rsidP="001764F8">
            <w:pPr>
              <w:numPr>
                <w:ilvl w:val="0"/>
                <w:numId w:val="0"/>
              </w:numPr>
              <w:cnfStyle w:val="000000000000" w:firstRow="0" w:lastRow="0" w:firstColumn="0" w:lastColumn="0" w:oddVBand="0" w:evenVBand="0" w:oddHBand="0" w:evenHBand="0" w:firstRowFirstColumn="0" w:firstRowLastColumn="0" w:lastRowFirstColumn="0" w:lastRowLastColumn="0"/>
              <w:rPr>
                <w:spacing w:val="-2"/>
                <w:sz w:val="20"/>
                <w:szCs w:val="20"/>
              </w:rPr>
            </w:pPr>
            <w:r>
              <w:rPr>
                <w:spacing w:val="-2"/>
                <w:sz w:val="20"/>
                <w:szCs w:val="20"/>
              </w:rPr>
              <w:t xml:space="preserve">DFAT agrees with this recommendation which will make the current accreditation system more </w:t>
            </w:r>
            <w:r w:rsidR="00FD6109">
              <w:rPr>
                <w:spacing w:val="-2"/>
                <w:sz w:val="20"/>
                <w:szCs w:val="20"/>
              </w:rPr>
              <w:t xml:space="preserve">proportional </w:t>
            </w:r>
            <w:r>
              <w:rPr>
                <w:spacing w:val="-2"/>
                <w:sz w:val="20"/>
                <w:szCs w:val="20"/>
              </w:rPr>
              <w:t xml:space="preserve">and explore opportunities for how </w:t>
            </w:r>
            <w:r w:rsidR="00FD6109">
              <w:rPr>
                <w:spacing w:val="-2"/>
                <w:sz w:val="20"/>
                <w:szCs w:val="20"/>
              </w:rPr>
              <w:t xml:space="preserve">it </w:t>
            </w:r>
            <w:r w:rsidR="00C46BBD">
              <w:rPr>
                <w:spacing w:val="-2"/>
                <w:sz w:val="20"/>
                <w:szCs w:val="20"/>
              </w:rPr>
              <w:t xml:space="preserve">can </w:t>
            </w:r>
            <w:r w:rsidRPr="008F4DF9">
              <w:rPr>
                <w:rFonts w:cs="Arial"/>
                <w:sz w:val="20"/>
                <w:szCs w:val="20"/>
              </w:rPr>
              <w:t>be better used to promote risk-informed programming, locally led development and innovation.</w:t>
            </w:r>
            <w:r w:rsidRPr="00D30381">
              <w:rPr>
                <w:rFonts w:cs="Arial"/>
                <w:sz w:val="20"/>
                <w:szCs w:val="20"/>
              </w:rPr>
              <w:t xml:space="preserve"> </w:t>
            </w:r>
            <w:r>
              <w:rPr>
                <w:spacing w:val="-2"/>
                <w:sz w:val="20"/>
                <w:szCs w:val="20"/>
              </w:rPr>
              <w:t xml:space="preserve"> </w:t>
            </w:r>
          </w:p>
          <w:p w14:paraId="7F804733" w14:textId="5382BD23" w:rsidR="001764F8" w:rsidRPr="00777B9B" w:rsidRDefault="00F55C21" w:rsidP="00C967CE">
            <w:pPr>
              <w:numPr>
                <w:ilvl w:val="0"/>
                <w:numId w:val="0"/>
              </w:numPr>
              <w:cnfStyle w:val="000000000000" w:firstRow="0" w:lastRow="0" w:firstColumn="0" w:lastColumn="0" w:oddVBand="0" w:evenVBand="0" w:oddHBand="0" w:evenHBand="0" w:firstRowFirstColumn="0" w:firstRowLastColumn="0" w:lastRowFirstColumn="0" w:lastRowLastColumn="0"/>
              <w:rPr>
                <w:rFonts w:cs="Arial"/>
                <w:sz w:val="20"/>
                <w:szCs w:val="20"/>
              </w:rPr>
            </w:pPr>
            <w:r>
              <w:rPr>
                <w:spacing w:val="-2"/>
                <w:sz w:val="20"/>
                <w:szCs w:val="20"/>
              </w:rPr>
              <w:t>A</w:t>
            </w:r>
            <w:r w:rsidRPr="00F55C21">
              <w:rPr>
                <w:spacing w:val="-2"/>
                <w:sz w:val="20"/>
                <w:szCs w:val="20"/>
              </w:rPr>
              <w:t>s part of the</w:t>
            </w:r>
            <w:r w:rsidR="001127DB">
              <w:rPr>
                <w:spacing w:val="-2"/>
                <w:sz w:val="20"/>
                <w:szCs w:val="20"/>
              </w:rPr>
              <w:t xml:space="preserve"> </w:t>
            </w:r>
            <w:r w:rsidRPr="00F55C21">
              <w:rPr>
                <w:spacing w:val="-2"/>
                <w:sz w:val="20"/>
                <w:szCs w:val="20"/>
              </w:rPr>
              <w:t>government’s election commitment to the ANCP</w:t>
            </w:r>
            <w:r w:rsidR="00CC5EB0">
              <w:rPr>
                <w:spacing w:val="-2"/>
                <w:sz w:val="20"/>
                <w:szCs w:val="20"/>
              </w:rPr>
              <w:t xml:space="preserve"> </w:t>
            </w:r>
            <w:r w:rsidR="00E75DC5">
              <w:rPr>
                <w:spacing w:val="-2"/>
                <w:sz w:val="20"/>
                <w:szCs w:val="20"/>
              </w:rPr>
              <w:t xml:space="preserve">and </w:t>
            </w:r>
            <w:r w:rsidR="001127DB">
              <w:rPr>
                <w:spacing w:val="-2"/>
                <w:sz w:val="20"/>
                <w:szCs w:val="20"/>
              </w:rPr>
              <w:t>announced in the 2002-23 October budget</w:t>
            </w:r>
            <w:r w:rsidR="00264FD2">
              <w:rPr>
                <w:spacing w:val="-2"/>
                <w:sz w:val="20"/>
                <w:szCs w:val="20"/>
              </w:rPr>
              <w:t xml:space="preserve"> (</w:t>
            </w:r>
            <w:r w:rsidR="00157935">
              <w:rPr>
                <w:spacing w:val="-2"/>
                <w:sz w:val="20"/>
                <w:szCs w:val="20"/>
              </w:rPr>
              <w:t>$30 million over four years)</w:t>
            </w:r>
            <w:r w:rsidR="001127DB">
              <w:rPr>
                <w:spacing w:val="-2"/>
                <w:sz w:val="20"/>
                <w:szCs w:val="20"/>
              </w:rPr>
              <w:t xml:space="preserve">, </w:t>
            </w:r>
            <w:r w:rsidR="00B65986">
              <w:rPr>
                <w:spacing w:val="-2"/>
                <w:sz w:val="20"/>
                <w:szCs w:val="20"/>
              </w:rPr>
              <w:t xml:space="preserve">the minimum grant to each accredited </w:t>
            </w:r>
            <w:r w:rsidR="0045470E">
              <w:rPr>
                <w:spacing w:val="-2"/>
                <w:sz w:val="20"/>
                <w:szCs w:val="20"/>
              </w:rPr>
              <w:t>A</w:t>
            </w:r>
            <w:r w:rsidR="00B65986">
              <w:rPr>
                <w:spacing w:val="-2"/>
                <w:sz w:val="20"/>
                <w:szCs w:val="20"/>
              </w:rPr>
              <w:t>NGO will increase by $100,000</w:t>
            </w:r>
            <w:r w:rsidR="00CC5EB0">
              <w:rPr>
                <w:spacing w:val="-2"/>
                <w:sz w:val="20"/>
                <w:szCs w:val="20"/>
              </w:rPr>
              <w:t xml:space="preserve"> in 2022-23.</w:t>
            </w:r>
            <w:r w:rsidR="0003080D">
              <w:rPr>
                <w:rFonts w:cs="Arial"/>
                <w:sz w:val="20"/>
                <w:szCs w:val="20"/>
              </w:rPr>
              <w:t xml:space="preserve"> </w:t>
            </w:r>
          </w:p>
        </w:tc>
        <w:tc>
          <w:tcPr>
            <w:tcW w:w="3509" w:type="dxa"/>
          </w:tcPr>
          <w:p w14:paraId="2B72A00E" w14:textId="1E405025" w:rsidR="001764F8" w:rsidRPr="003C524C" w:rsidRDefault="005328FF" w:rsidP="003C524C">
            <w:pPr>
              <w:numPr>
                <w:ilvl w:val="0"/>
                <w:numId w:val="0"/>
              </w:numPr>
              <w:cnfStyle w:val="000000000000" w:firstRow="0" w:lastRow="0" w:firstColumn="0" w:lastColumn="0" w:oddVBand="0" w:evenVBand="0" w:oddHBand="0" w:evenHBand="0" w:firstRowFirstColumn="0" w:firstRowLastColumn="0" w:lastRowFirstColumn="0" w:lastRowLastColumn="0"/>
              <w:rPr>
                <w:rFonts w:cs="Arial"/>
                <w:iCs/>
                <w:sz w:val="20"/>
                <w:szCs w:val="20"/>
              </w:rPr>
            </w:pPr>
            <w:r w:rsidRPr="003C524C">
              <w:rPr>
                <w:rFonts w:cs="Arial"/>
                <w:iCs/>
                <w:sz w:val="20"/>
                <w:szCs w:val="20"/>
              </w:rPr>
              <w:t xml:space="preserve">NPQ </w:t>
            </w:r>
            <w:r w:rsidR="001764F8" w:rsidRPr="003C524C">
              <w:rPr>
                <w:rFonts w:cs="Arial"/>
                <w:iCs/>
                <w:sz w:val="20"/>
                <w:szCs w:val="20"/>
              </w:rPr>
              <w:t xml:space="preserve">will undertake a refresh of </w:t>
            </w:r>
            <w:r w:rsidR="00C46BBD">
              <w:rPr>
                <w:rFonts w:cs="Arial"/>
                <w:iCs/>
                <w:sz w:val="20"/>
                <w:szCs w:val="20"/>
              </w:rPr>
              <w:t xml:space="preserve">the </w:t>
            </w:r>
            <w:r w:rsidR="001764F8" w:rsidRPr="003C524C">
              <w:rPr>
                <w:rFonts w:cs="Arial"/>
                <w:iCs/>
                <w:sz w:val="20"/>
                <w:szCs w:val="20"/>
              </w:rPr>
              <w:t xml:space="preserve">ANCP </w:t>
            </w:r>
            <w:r w:rsidR="00DE2758">
              <w:rPr>
                <w:rFonts w:cs="Arial"/>
                <w:iCs/>
                <w:sz w:val="20"/>
                <w:szCs w:val="20"/>
              </w:rPr>
              <w:t>A</w:t>
            </w:r>
            <w:r w:rsidR="001764F8" w:rsidRPr="003C524C">
              <w:rPr>
                <w:rFonts w:cs="Arial"/>
                <w:iCs/>
                <w:sz w:val="20"/>
                <w:szCs w:val="20"/>
              </w:rPr>
              <w:t xml:space="preserve">ccreditation and </w:t>
            </w:r>
            <w:r w:rsidR="00DE2758">
              <w:rPr>
                <w:rFonts w:cs="Arial"/>
                <w:iCs/>
                <w:sz w:val="20"/>
                <w:szCs w:val="20"/>
              </w:rPr>
              <w:t>F</w:t>
            </w:r>
            <w:r w:rsidR="001764F8" w:rsidRPr="003C524C">
              <w:rPr>
                <w:rFonts w:cs="Arial"/>
                <w:iCs/>
                <w:sz w:val="20"/>
                <w:szCs w:val="20"/>
              </w:rPr>
              <w:t xml:space="preserve">unding </w:t>
            </w:r>
            <w:r w:rsidR="00DE2758">
              <w:rPr>
                <w:rFonts w:cs="Arial"/>
                <w:iCs/>
                <w:sz w:val="20"/>
                <w:szCs w:val="20"/>
              </w:rPr>
              <w:t>P</w:t>
            </w:r>
            <w:r w:rsidR="001764F8" w:rsidRPr="003C524C">
              <w:rPr>
                <w:rFonts w:cs="Arial"/>
                <w:iCs/>
                <w:sz w:val="20"/>
                <w:szCs w:val="20"/>
              </w:rPr>
              <w:t>olic</w:t>
            </w:r>
            <w:r w:rsidR="0080363D">
              <w:rPr>
                <w:rFonts w:cs="Arial"/>
                <w:iCs/>
                <w:sz w:val="20"/>
                <w:szCs w:val="20"/>
              </w:rPr>
              <w:t>y</w:t>
            </w:r>
            <w:r w:rsidR="009F4433">
              <w:rPr>
                <w:rFonts w:cs="Arial"/>
                <w:iCs/>
                <w:sz w:val="20"/>
                <w:szCs w:val="20"/>
              </w:rPr>
              <w:t xml:space="preserve"> in early 2023</w:t>
            </w:r>
            <w:r w:rsidR="00FD34E0">
              <w:rPr>
                <w:rFonts w:cs="Arial"/>
                <w:iCs/>
                <w:sz w:val="20"/>
                <w:szCs w:val="20"/>
              </w:rPr>
              <w:t>.</w:t>
            </w:r>
            <w:r w:rsidR="00A7512D">
              <w:rPr>
                <w:rFonts w:cs="Arial"/>
                <w:iCs/>
                <w:sz w:val="20"/>
                <w:szCs w:val="20"/>
              </w:rPr>
              <w:t xml:space="preserve"> </w:t>
            </w:r>
            <w:r w:rsidR="009F4433">
              <w:rPr>
                <w:rFonts w:cs="Arial"/>
                <w:iCs/>
                <w:sz w:val="20"/>
                <w:szCs w:val="20"/>
              </w:rPr>
              <w:t xml:space="preserve">The refresh will </w:t>
            </w:r>
            <w:r w:rsidR="00AF55B8">
              <w:rPr>
                <w:rFonts w:cs="Arial"/>
                <w:iCs/>
                <w:sz w:val="20"/>
                <w:szCs w:val="20"/>
              </w:rPr>
              <w:t xml:space="preserve">respond to </w:t>
            </w:r>
            <w:r w:rsidR="00C46BBD">
              <w:rPr>
                <w:rFonts w:cs="Arial"/>
                <w:iCs/>
                <w:sz w:val="20"/>
                <w:szCs w:val="20"/>
              </w:rPr>
              <w:t xml:space="preserve">the </w:t>
            </w:r>
            <w:r w:rsidR="00AF55B8">
              <w:rPr>
                <w:rFonts w:cs="Arial"/>
                <w:iCs/>
                <w:sz w:val="20"/>
                <w:szCs w:val="20"/>
              </w:rPr>
              <w:t xml:space="preserve">findings of the evaluation. </w:t>
            </w:r>
            <w:r w:rsidR="009F4433">
              <w:rPr>
                <w:rFonts w:cs="Arial"/>
                <w:iCs/>
                <w:sz w:val="20"/>
                <w:szCs w:val="20"/>
              </w:rPr>
              <w:t xml:space="preserve">Work has begun on the Terms of Reference, which will be further developed in consultation with DPC and CDC. </w:t>
            </w:r>
            <w:r w:rsidR="00A7512D">
              <w:rPr>
                <w:rFonts w:cs="Arial"/>
                <w:iCs/>
                <w:sz w:val="20"/>
                <w:szCs w:val="20"/>
              </w:rPr>
              <w:t xml:space="preserve">The </w:t>
            </w:r>
            <w:r w:rsidR="00596994">
              <w:rPr>
                <w:rFonts w:cs="Arial"/>
                <w:iCs/>
                <w:sz w:val="20"/>
                <w:szCs w:val="20"/>
              </w:rPr>
              <w:t>A</w:t>
            </w:r>
            <w:r w:rsidR="00A7512D">
              <w:rPr>
                <w:rFonts w:cs="Arial"/>
                <w:iCs/>
                <w:sz w:val="20"/>
                <w:szCs w:val="20"/>
              </w:rPr>
              <w:t>ccreditation refresh will</w:t>
            </w:r>
            <w:r w:rsidR="008E2DC5" w:rsidRPr="003C524C">
              <w:rPr>
                <w:rFonts w:cs="Arial"/>
                <w:iCs/>
                <w:sz w:val="20"/>
                <w:szCs w:val="20"/>
              </w:rPr>
              <w:t xml:space="preserve"> </w:t>
            </w:r>
            <w:r w:rsidR="00C13099" w:rsidRPr="003C524C">
              <w:rPr>
                <w:rFonts w:cs="Arial"/>
                <w:iCs/>
                <w:sz w:val="20"/>
                <w:szCs w:val="20"/>
              </w:rPr>
              <w:t>identify</w:t>
            </w:r>
            <w:r w:rsidR="008E2DC5" w:rsidRPr="003C524C">
              <w:rPr>
                <w:rFonts w:cs="Arial"/>
                <w:iCs/>
                <w:sz w:val="20"/>
                <w:szCs w:val="20"/>
              </w:rPr>
              <w:t xml:space="preserve"> adaptations</w:t>
            </w:r>
            <w:r w:rsidR="009523C5" w:rsidRPr="003C524C">
              <w:rPr>
                <w:rFonts w:cs="Arial"/>
                <w:iCs/>
                <w:sz w:val="20"/>
                <w:szCs w:val="20"/>
              </w:rPr>
              <w:t xml:space="preserve"> </w:t>
            </w:r>
            <w:r w:rsidR="00C13099" w:rsidRPr="003C524C">
              <w:rPr>
                <w:rFonts w:cs="Arial"/>
                <w:iCs/>
                <w:sz w:val="20"/>
                <w:szCs w:val="20"/>
              </w:rPr>
              <w:t>that can</w:t>
            </w:r>
            <w:r w:rsidR="003C524C" w:rsidRPr="003C524C">
              <w:rPr>
                <w:rFonts w:cs="Arial"/>
                <w:iCs/>
                <w:sz w:val="20"/>
                <w:szCs w:val="20"/>
              </w:rPr>
              <w:t xml:space="preserve"> </w:t>
            </w:r>
            <w:r w:rsidR="00A506C0" w:rsidRPr="003C524C">
              <w:rPr>
                <w:rFonts w:cs="Arial"/>
                <w:iCs/>
                <w:sz w:val="20"/>
                <w:szCs w:val="20"/>
              </w:rPr>
              <w:t>d</w:t>
            </w:r>
            <w:r w:rsidR="001764F8" w:rsidRPr="003C524C">
              <w:rPr>
                <w:rFonts w:cs="Arial"/>
                <w:iCs/>
                <w:sz w:val="20"/>
                <w:szCs w:val="20"/>
              </w:rPr>
              <w:t xml:space="preserve">eliver an accreditation </w:t>
            </w:r>
            <w:r w:rsidR="00562990">
              <w:rPr>
                <w:rFonts w:cs="Arial"/>
                <w:iCs/>
                <w:sz w:val="20"/>
                <w:szCs w:val="20"/>
              </w:rPr>
              <w:t xml:space="preserve">and funding </w:t>
            </w:r>
            <w:r w:rsidR="001764F8" w:rsidRPr="003C524C">
              <w:rPr>
                <w:rFonts w:cs="Arial"/>
                <w:iCs/>
                <w:sz w:val="20"/>
                <w:szCs w:val="20"/>
              </w:rPr>
              <w:t>system that promote</w:t>
            </w:r>
            <w:r w:rsidR="00DB2812">
              <w:rPr>
                <w:rFonts w:cs="Arial"/>
                <w:iCs/>
                <w:sz w:val="20"/>
                <w:szCs w:val="20"/>
              </w:rPr>
              <w:t>s</w:t>
            </w:r>
            <w:r w:rsidR="001764F8" w:rsidRPr="003C524C">
              <w:rPr>
                <w:rFonts w:cs="Arial"/>
                <w:iCs/>
                <w:sz w:val="20"/>
                <w:szCs w:val="20"/>
              </w:rPr>
              <w:t xml:space="preserve"> and enable</w:t>
            </w:r>
            <w:r w:rsidR="00DB2812">
              <w:rPr>
                <w:rFonts w:cs="Arial"/>
                <w:iCs/>
                <w:sz w:val="20"/>
                <w:szCs w:val="20"/>
              </w:rPr>
              <w:t>s</w:t>
            </w:r>
            <w:r w:rsidR="001764F8" w:rsidRPr="0012592F">
              <w:rPr>
                <w:rFonts w:cs="Arial"/>
                <w:sz w:val="20"/>
                <w:szCs w:val="20"/>
              </w:rPr>
              <w:t>:</w:t>
            </w:r>
          </w:p>
          <w:p w14:paraId="315E5A14" w14:textId="6CA511D0" w:rsidR="001127DB" w:rsidRPr="00CB30EF" w:rsidRDefault="001764F8" w:rsidP="00CB30EF">
            <w:pPr>
              <w:pStyle w:val="Default"/>
              <w:numPr>
                <w:ilvl w:val="0"/>
                <w:numId w:val="20"/>
              </w:numPr>
              <w:ind w:left="417"/>
              <w:cnfStyle w:val="000000000000" w:firstRow="0" w:lastRow="0" w:firstColumn="0" w:lastColumn="0" w:oddVBand="0" w:evenVBand="0" w:oddHBand="0" w:evenHBand="0" w:firstRowFirstColumn="0" w:firstRowLastColumn="0" w:lastRowFirstColumn="0" w:lastRowLastColumn="0"/>
              <w:rPr>
                <w:sz w:val="20"/>
                <w:szCs w:val="20"/>
              </w:rPr>
            </w:pPr>
            <w:r w:rsidRPr="004F7F11">
              <w:rPr>
                <w:sz w:val="20"/>
                <w:szCs w:val="20"/>
              </w:rPr>
              <w:t xml:space="preserve">a </w:t>
            </w:r>
            <w:r w:rsidR="001345E0" w:rsidRPr="004F7F11">
              <w:rPr>
                <w:sz w:val="20"/>
                <w:szCs w:val="20"/>
              </w:rPr>
              <w:t>t</w:t>
            </w:r>
            <w:r w:rsidRPr="004F7F11">
              <w:rPr>
                <w:sz w:val="20"/>
                <w:szCs w:val="20"/>
              </w:rPr>
              <w:t>ier</w:t>
            </w:r>
            <w:r w:rsidR="001345E0" w:rsidRPr="004F7F11">
              <w:rPr>
                <w:sz w:val="20"/>
                <w:szCs w:val="20"/>
              </w:rPr>
              <w:t>ed</w:t>
            </w:r>
            <w:r w:rsidR="009F4433">
              <w:rPr>
                <w:sz w:val="20"/>
                <w:szCs w:val="20"/>
              </w:rPr>
              <w:t xml:space="preserve"> or differentiated </w:t>
            </w:r>
            <w:r w:rsidRPr="004F7F11">
              <w:rPr>
                <w:sz w:val="20"/>
                <w:szCs w:val="20"/>
              </w:rPr>
              <w:t xml:space="preserve">approach </w:t>
            </w:r>
            <w:r w:rsidR="009F4433">
              <w:rPr>
                <w:sz w:val="20"/>
                <w:szCs w:val="20"/>
              </w:rPr>
              <w:t xml:space="preserve">to </w:t>
            </w:r>
            <w:r w:rsidR="001127DB" w:rsidRPr="00CB30EF">
              <w:rPr>
                <w:sz w:val="20"/>
                <w:szCs w:val="20"/>
              </w:rPr>
              <w:t xml:space="preserve">accreditation informed by </w:t>
            </w:r>
            <w:r w:rsidR="009F4433">
              <w:rPr>
                <w:sz w:val="20"/>
                <w:szCs w:val="20"/>
              </w:rPr>
              <w:t xml:space="preserve">funding </w:t>
            </w:r>
            <w:r w:rsidR="00942B58">
              <w:rPr>
                <w:sz w:val="20"/>
                <w:szCs w:val="20"/>
              </w:rPr>
              <w:t>thresholds</w:t>
            </w:r>
            <w:r w:rsidR="009F4433">
              <w:rPr>
                <w:sz w:val="20"/>
                <w:szCs w:val="20"/>
              </w:rPr>
              <w:t xml:space="preserve"> and </w:t>
            </w:r>
            <w:r w:rsidR="00B65986" w:rsidRPr="00CB30EF">
              <w:rPr>
                <w:sz w:val="20"/>
                <w:szCs w:val="20"/>
              </w:rPr>
              <w:t>NGO</w:t>
            </w:r>
            <w:r w:rsidR="001127DB" w:rsidRPr="00CB30EF">
              <w:rPr>
                <w:sz w:val="20"/>
                <w:szCs w:val="20"/>
              </w:rPr>
              <w:t xml:space="preserve"> risk profiles</w:t>
            </w:r>
          </w:p>
          <w:p w14:paraId="7F599054" w14:textId="77777777" w:rsidR="001751A2" w:rsidRDefault="001764F8" w:rsidP="001751A2">
            <w:pPr>
              <w:pStyle w:val="Default"/>
              <w:numPr>
                <w:ilvl w:val="0"/>
                <w:numId w:val="20"/>
              </w:numPr>
              <w:ind w:left="417"/>
              <w:cnfStyle w:val="000000000000" w:firstRow="0" w:lastRow="0" w:firstColumn="0" w:lastColumn="0" w:oddVBand="0" w:evenVBand="0" w:oddHBand="0" w:evenHBand="0" w:firstRowFirstColumn="0" w:firstRowLastColumn="0" w:lastRowFirstColumn="0" w:lastRowLastColumn="0"/>
              <w:rPr>
                <w:sz w:val="20"/>
                <w:szCs w:val="20"/>
              </w:rPr>
            </w:pPr>
            <w:r w:rsidRPr="004F7F11">
              <w:rPr>
                <w:sz w:val="20"/>
                <w:szCs w:val="20"/>
              </w:rPr>
              <w:t>locally led development</w:t>
            </w:r>
            <w:r w:rsidR="002C5BEB">
              <w:rPr>
                <w:sz w:val="20"/>
                <w:szCs w:val="20"/>
              </w:rPr>
              <w:t xml:space="preserve"> and inno</w:t>
            </w:r>
            <w:r w:rsidR="00B40848">
              <w:rPr>
                <w:sz w:val="20"/>
                <w:szCs w:val="20"/>
              </w:rPr>
              <w:t>vation</w:t>
            </w:r>
          </w:p>
          <w:p w14:paraId="1C14978A" w14:textId="6A66A875" w:rsidR="001345E0" w:rsidRPr="001751A2" w:rsidRDefault="001764F8" w:rsidP="001751A2">
            <w:pPr>
              <w:pStyle w:val="Default"/>
              <w:numPr>
                <w:ilvl w:val="0"/>
                <w:numId w:val="20"/>
              </w:numPr>
              <w:ind w:left="417"/>
              <w:cnfStyle w:val="000000000000" w:firstRow="0" w:lastRow="0" w:firstColumn="0" w:lastColumn="0" w:oddVBand="0" w:evenVBand="0" w:oddHBand="0" w:evenHBand="0" w:firstRowFirstColumn="0" w:firstRowLastColumn="0" w:lastRowFirstColumn="0" w:lastRowLastColumn="0"/>
              <w:rPr>
                <w:sz w:val="20"/>
                <w:szCs w:val="20"/>
              </w:rPr>
            </w:pPr>
            <w:r w:rsidRPr="001751A2">
              <w:rPr>
                <w:sz w:val="20"/>
                <w:szCs w:val="20"/>
              </w:rPr>
              <w:t>alignment with international good practice</w:t>
            </w:r>
            <w:r w:rsidR="00B65986" w:rsidRPr="001751A2">
              <w:rPr>
                <w:sz w:val="20"/>
                <w:szCs w:val="20"/>
              </w:rPr>
              <w:t xml:space="preserve"> </w:t>
            </w:r>
          </w:p>
          <w:p w14:paraId="4BA7BA9C" w14:textId="77777777" w:rsidR="001751A2" w:rsidRDefault="001751A2" w:rsidP="00E318C8">
            <w:pPr>
              <w:pStyle w:val="ListParagraph"/>
              <w:spacing w:before="0" w:after="0"/>
              <w:ind w:left="164"/>
              <w:contextualSpacing w:val="0"/>
              <w:cnfStyle w:val="000000000000" w:firstRow="0" w:lastRow="0" w:firstColumn="0" w:lastColumn="0" w:oddVBand="0" w:evenVBand="0" w:oddHBand="0" w:evenHBand="0" w:firstRowFirstColumn="0" w:firstRowLastColumn="0" w:lastRowFirstColumn="0" w:lastRowLastColumn="0"/>
              <w:rPr>
                <w:iCs/>
              </w:rPr>
            </w:pPr>
          </w:p>
          <w:p w14:paraId="18A445F5" w14:textId="256CF18A" w:rsidR="004916FA" w:rsidRDefault="002F5486" w:rsidP="00E318C8">
            <w:pPr>
              <w:pStyle w:val="ListParagraph"/>
              <w:spacing w:before="0" w:after="0"/>
              <w:ind w:left="164"/>
              <w:contextualSpacing w:val="0"/>
              <w:cnfStyle w:val="000000000000" w:firstRow="0" w:lastRow="0" w:firstColumn="0" w:lastColumn="0" w:oddVBand="0" w:evenVBand="0" w:oddHBand="0" w:evenHBand="0" w:firstRowFirstColumn="0" w:firstRowLastColumn="0" w:lastRowFirstColumn="0" w:lastRowLastColumn="0"/>
              <w:rPr>
                <w:rFonts w:ascii="Arial" w:hAnsi="Arial"/>
                <w:iCs/>
              </w:rPr>
            </w:pPr>
            <w:r w:rsidRPr="00DE6B40">
              <w:rPr>
                <w:rFonts w:ascii="Arial" w:hAnsi="Arial"/>
                <w:iCs/>
              </w:rPr>
              <w:t>Funding Polic</w:t>
            </w:r>
            <w:r w:rsidR="008E1F82" w:rsidRPr="00DE6B40">
              <w:rPr>
                <w:rFonts w:ascii="Arial" w:hAnsi="Arial"/>
                <w:iCs/>
              </w:rPr>
              <w:t>y re</w:t>
            </w:r>
            <w:r w:rsidR="00E75DC5">
              <w:rPr>
                <w:rFonts w:ascii="Arial" w:hAnsi="Arial"/>
                <w:iCs/>
              </w:rPr>
              <w:t>fresh</w:t>
            </w:r>
            <w:r w:rsidR="008E1F82" w:rsidRPr="00DE6B40">
              <w:rPr>
                <w:rFonts w:ascii="Arial" w:hAnsi="Arial"/>
                <w:iCs/>
              </w:rPr>
              <w:t xml:space="preserve"> </w:t>
            </w:r>
            <w:r w:rsidR="00FC24F2">
              <w:rPr>
                <w:rFonts w:ascii="Arial" w:hAnsi="Arial"/>
                <w:iCs/>
              </w:rPr>
              <w:t xml:space="preserve">scope </w:t>
            </w:r>
            <w:r w:rsidR="008E1F82" w:rsidRPr="00DE6B40">
              <w:rPr>
                <w:rFonts w:ascii="Arial" w:hAnsi="Arial"/>
                <w:iCs/>
              </w:rPr>
              <w:t xml:space="preserve">to be addressed at recommendation </w:t>
            </w:r>
            <w:r w:rsidR="004916FA" w:rsidRPr="00DE6B40">
              <w:rPr>
                <w:rFonts w:ascii="Arial" w:hAnsi="Arial"/>
                <w:iCs/>
              </w:rPr>
              <w:t>R1.3</w:t>
            </w:r>
          </w:p>
          <w:p w14:paraId="5F7B0755" w14:textId="273FAAA1" w:rsidR="008B7FAA" w:rsidRDefault="008B7FAA" w:rsidP="00E318C8">
            <w:pPr>
              <w:pStyle w:val="ListParagraph"/>
              <w:spacing w:before="0" w:after="0"/>
              <w:ind w:left="164"/>
              <w:contextualSpacing w:val="0"/>
              <w:cnfStyle w:val="000000000000" w:firstRow="0" w:lastRow="0" w:firstColumn="0" w:lastColumn="0" w:oddVBand="0" w:evenVBand="0" w:oddHBand="0" w:evenHBand="0" w:firstRowFirstColumn="0" w:firstRowLastColumn="0" w:lastRowFirstColumn="0" w:lastRowLastColumn="0"/>
              <w:rPr>
                <w:rFonts w:ascii="Arial" w:hAnsi="Arial"/>
                <w:iCs/>
              </w:rPr>
            </w:pPr>
          </w:p>
          <w:p w14:paraId="5081A852" w14:textId="594F7DF6" w:rsidR="008B7FAA" w:rsidRPr="00DE6B40" w:rsidRDefault="008B7FAA" w:rsidP="00E318C8">
            <w:pPr>
              <w:pStyle w:val="ListParagraph"/>
              <w:spacing w:before="0" w:after="0"/>
              <w:ind w:left="164"/>
              <w:contextualSpacing w:val="0"/>
              <w:cnfStyle w:val="000000000000" w:firstRow="0" w:lastRow="0" w:firstColumn="0" w:lastColumn="0" w:oddVBand="0" w:evenVBand="0" w:oddHBand="0" w:evenHBand="0" w:firstRowFirstColumn="0" w:firstRowLastColumn="0" w:lastRowFirstColumn="0" w:lastRowLastColumn="0"/>
              <w:rPr>
                <w:rFonts w:ascii="Arial" w:hAnsi="Arial"/>
                <w:iCs/>
              </w:rPr>
            </w:pPr>
            <w:r>
              <w:rPr>
                <w:rFonts w:ascii="Arial" w:hAnsi="Arial"/>
                <w:iCs/>
              </w:rPr>
              <w:t xml:space="preserve">TORs will be available on the </w:t>
            </w:r>
            <w:r w:rsidR="00E327B2">
              <w:rPr>
                <w:rFonts w:ascii="Arial" w:hAnsi="Arial"/>
                <w:iCs/>
              </w:rPr>
              <w:t xml:space="preserve">DFAT </w:t>
            </w:r>
            <w:r>
              <w:rPr>
                <w:rFonts w:ascii="Arial" w:hAnsi="Arial"/>
                <w:iCs/>
              </w:rPr>
              <w:t>website in the first quarter of 2023</w:t>
            </w:r>
          </w:p>
          <w:p w14:paraId="30727DC6" w14:textId="55DDB312" w:rsidR="00D10708" w:rsidRDefault="004916FA" w:rsidP="00E318C8">
            <w:pPr>
              <w:pStyle w:val="ListParagraph"/>
              <w:spacing w:before="0" w:after="0"/>
              <w:ind w:left="164"/>
              <w:contextualSpacing w:val="0"/>
              <w:cnfStyle w:val="000000000000" w:firstRow="0" w:lastRow="0" w:firstColumn="0" w:lastColumn="0" w:oddVBand="0" w:evenVBand="0" w:oddHBand="0" w:evenHBand="0" w:firstRowFirstColumn="0" w:firstRowLastColumn="0" w:lastRowFirstColumn="0" w:lastRowLastColumn="0"/>
              <w:rPr>
                <w:iCs/>
              </w:rPr>
            </w:pPr>
            <w:r>
              <w:rPr>
                <w:iCs/>
              </w:rPr>
              <w:t xml:space="preserve"> </w:t>
            </w:r>
          </w:p>
          <w:p w14:paraId="52B02DFE" w14:textId="2B6C7548" w:rsidR="001764F8" w:rsidRPr="00ED43ED" w:rsidRDefault="001764F8" w:rsidP="005E5FB2">
            <w:pPr>
              <w:pStyle w:val="ListParagraph"/>
              <w:spacing w:before="0" w:after="0"/>
              <w:ind w:left="164"/>
              <w:contextualSpacing w:val="0"/>
              <w:cnfStyle w:val="000000000000" w:firstRow="0" w:lastRow="0" w:firstColumn="0" w:lastColumn="0" w:oddVBand="0" w:evenVBand="0" w:oddHBand="0" w:evenHBand="0" w:firstRowFirstColumn="0" w:firstRowLastColumn="0" w:lastRowFirstColumn="0" w:lastRowLastColumn="0"/>
              <w:rPr>
                <w:rFonts w:ascii="Arial" w:hAnsi="Arial"/>
                <w:i/>
              </w:rPr>
            </w:pPr>
          </w:p>
        </w:tc>
        <w:tc>
          <w:tcPr>
            <w:tcW w:w="1606" w:type="dxa"/>
          </w:tcPr>
          <w:p w14:paraId="4F7D9B0C" w14:textId="02B9151C" w:rsidR="00810C6F" w:rsidRDefault="005B78DA" w:rsidP="001764F8">
            <w:pPr>
              <w:numPr>
                <w:ilvl w:val="0"/>
                <w:numId w:val="0"/>
              </w:numPr>
              <w:cnfStyle w:val="000000000000" w:firstRow="0" w:lastRow="0" w:firstColumn="0" w:lastColumn="0" w:oddVBand="0" w:evenVBand="0" w:oddHBand="0" w:evenHBand="0" w:firstRowFirstColumn="0" w:firstRowLastColumn="0" w:lastRowFirstColumn="0" w:lastRowLastColumn="0"/>
              <w:rPr>
                <w:rFonts w:cs="Arial"/>
                <w:iCs/>
                <w:sz w:val="20"/>
                <w:szCs w:val="20"/>
              </w:rPr>
            </w:pPr>
            <w:r>
              <w:rPr>
                <w:rFonts w:cs="Arial"/>
                <w:iCs/>
                <w:sz w:val="20"/>
                <w:szCs w:val="20"/>
              </w:rPr>
              <w:t>January – June 2023</w:t>
            </w:r>
          </w:p>
          <w:p w14:paraId="28DA8CB0" w14:textId="61140EE3" w:rsidR="00810C6F" w:rsidRPr="00810C6F" w:rsidRDefault="00810C6F" w:rsidP="001764F8">
            <w:pPr>
              <w:numPr>
                <w:ilvl w:val="0"/>
                <w:numId w:val="0"/>
              </w:numPr>
              <w:cnfStyle w:val="000000000000" w:firstRow="0" w:lastRow="0" w:firstColumn="0" w:lastColumn="0" w:oddVBand="0" w:evenVBand="0" w:oddHBand="0" w:evenHBand="0" w:firstRowFirstColumn="0" w:firstRowLastColumn="0" w:lastRowFirstColumn="0" w:lastRowLastColumn="0"/>
              <w:rPr>
                <w:rFonts w:cs="Arial"/>
                <w:i/>
                <w:sz w:val="20"/>
                <w:szCs w:val="20"/>
              </w:rPr>
            </w:pPr>
          </w:p>
        </w:tc>
      </w:tr>
      <w:tr w:rsidR="008E353F" w14:paraId="605826F7" w14:textId="4708AF74" w:rsidTr="00AF55B8">
        <w:tc>
          <w:tcPr>
            <w:cnfStyle w:val="001000000000" w:firstRow="0" w:lastRow="0" w:firstColumn="1" w:lastColumn="0" w:oddVBand="0" w:evenVBand="0" w:oddHBand="0" w:evenHBand="0" w:firstRowFirstColumn="0" w:firstRowLastColumn="0" w:lastRowFirstColumn="0" w:lastRowLastColumn="0"/>
            <w:tcW w:w="4418" w:type="dxa"/>
            <w:shd w:val="clear" w:color="auto" w:fill="FFFFFF" w:themeFill="background1"/>
          </w:tcPr>
          <w:p w14:paraId="11FF6497" w14:textId="0F6F091C" w:rsidR="001764F8" w:rsidRDefault="001764F8" w:rsidP="00AF20D8">
            <w:pPr>
              <w:pStyle w:val="ListNumber3"/>
              <w:tabs>
                <w:tab w:val="clear" w:pos="1077"/>
              </w:tabs>
              <w:ind w:left="597" w:hanging="237"/>
            </w:pPr>
            <w:bookmarkStart w:id="6" w:name="_Hlk122528724"/>
            <w:r>
              <w:rPr>
                <w:b w:val="0"/>
                <w:sz w:val="20"/>
                <w:szCs w:val="20"/>
              </w:rPr>
              <w:lastRenderedPageBreak/>
              <w:t>b.</w:t>
            </w:r>
            <w:r w:rsidR="0007614B">
              <w:rPr>
                <w:b w:val="0"/>
                <w:sz w:val="20"/>
                <w:szCs w:val="20"/>
              </w:rPr>
              <w:t xml:space="preserve"> </w:t>
            </w:r>
            <w:r w:rsidR="00982D35">
              <w:rPr>
                <w:b w:val="0"/>
                <w:sz w:val="20"/>
                <w:szCs w:val="20"/>
              </w:rPr>
              <w:t>m</w:t>
            </w:r>
            <w:r w:rsidRPr="00415CA3">
              <w:rPr>
                <w:b w:val="0"/>
                <w:sz w:val="20"/>
                <w:szCs w:val="20"/>
              </w:rPr>
              <w:t>aking it explicit with all development partners that full accreditation is an acceptable standard of due diligence and should apply across all DFAT funding arrangements with ANGOs</w:t>
            </w:r>
          </w:p>
        </w:tc>
        <w:tc>
          <w:tcPr>
            <w:tcW w:w="1268" w:type="dxa"/>
            <w:shd w:val="clear" w:color="auto" w:fill="FFC000" w:themeFill="accent4"/>
          </w:tcPr>
          <w:p w14:paraId="0DC2A7F6" w14:textId="14BC7646" w:rsidR="001764F8" w:rsidRPr="000F6001" w:rsidRDefault="005B78DA" w:rsidP="001764F8">
            <w:pPr>
              <w:numPr>
                <w:ilvl w:val="0"/>
                <w:numId w:val="0"/>
              </w:num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Pr>
                <w:rFonts w:cs="Arial"/>
                <w:color w:val="auto"/>
                <w:sz w:val="20"/>
                <w:szCs w:val="20"/>
              </w:rPr>
              <w:t xml:space="preserve">Agree in </w:t>
            </w:r>
            <w:r w:rsidR="00AF55B8">
              <w:rPr>
                <w:rFonts w:cs="Arial"/>
                <w:color w:val="auto"/>
                <w:sz w:val="20"/>
                <w:szCs w:val="20"/>
              </w:rPr>
              <w:t>p</w:t>
            </w:r>
            <w:r>
              <w:rPr>
                <w:rFonts w:cs="Arial"/>
                <w:color w:val="auto"/>
                <w:sz w:val="20"/>
                <w:szCs w:val="20"/>
              </w:rPr>
              <w:t>art</w:t>
            </w:r>
          </w:p>
        </w:tc>
        <w:tc>
          <w:tcPr>
            <w:tcW w:w="3147" w:type="dxa"/>
            <w:shd w:val="clear" w:color="auto" w:fill="FFFFFF" w:themeFill="background1"/>
          </w:tcPr>
          <w:p w14:paraId="4A3BF35F" w14:textId="77777777" w:rsidR="00B23609" w:rsidRDefault="00DD075B" w:rsidP="0007614B">
            <w:pPr>
              <w:numPr>
                <w:ilvl w:val="0"/>
                <w:numId w:val="0"/>
              </w:num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This recommendation is already being implemented</w:t>
            </w:r>
            <w:r w:rsidR="009B31F5">
              <w:rPr>
                <w:rFonts w:cs="Arial"/>
                <w:sz w:val="20"/>
                <w:szCs w:val="20"/>
              </w:rPr>
              <w:t xml:space="preserve"> within DFAT</w:t>
            </w:r>
            <w:r w:rsidR="00782500">
              <w:rPr>
                <w:rFonts w:cs="Arial"/>
                <w:sz w:val="20"/>
                <w:szCs w:val="20"/>
              </w:rPr>
              <w:t xml:space="preserve"> </w:t>
            </w:r>
            <w:r w:rsidR="001A2E86">
              <w:rPr>
                <w:rFonts w:cs="Arial"/>
                <w:sz w:val="20"/>
                <w:szCs w:val="20"/>
              </w:rPr>
              <w:t>to the extent possible</w:t>
            </w:r>
            <w:r w:rsidR="005053DE">
              <w:rPr>
                <w:rFonts w:cs="Arial"/>
                <w:sz w:val="20"/>
                <w:szCs w:val="20"/>
              </w:rPr>
              <w:t xml:space="preserve">. </w:t>
            </w:r>
            <w:r w:rsidR="001764F8" w:rsidRPr="00706F6F">
              <w:rPr>
                <w:rFonts w:cs="Arial"/>
                <w:sz w:val="20"/>
                <w:szCs w:val="20"/>
              </w:rPr>
              <w:t xml:space="preserve">DFAT’s </w:t>
            </w:r>
            <w:r w:rsidR="001127DB">
              <w:rPr>
                <w:rFonts w:cs="Arial"/>
                <w:sz w:val="20"/>
                <w:szCs w:val="20"/>
              </w:rPr>
              <w:t>D</w:t>
            </w:r>
            <w:r w:rsidR="001764F8" w:rsidRPr="00706F6F">
              <w:rPr>
                <w:rFonts w:cs="Arial"/>
                <w:sz w:val="20"/>
                <w:szCs w:val="20"/>
              </w:rPr>
              <w:t xml:space="preserve">ue </w:t>
            </w:r>
            <w:r w:rsidR="001127DB">
              <w:rPr>
                <w:rFonts w:cs="Arial"/>
                <w:sz w:val="20"/>
                <w:szCs w:val="20"/>
              </w:rPr>
              <w:t>D</w:t>
            </w:r>
            <w:r w:rsidR="001764F8" w:rsidRPr="00706F6F">
              <w:rPr>
                <w:rFonts w:cs="Arial"/>
                <w:sz w:val="20"/>
                <w:szCs w:val="20"/>
              </w:rPr>
              <w:t xml:space="preserve">iligence </w:t>
            </w:r>
            <w:r w:rsidR="001127DB">
              <w:rPr>
                <w:rFonts w:cs="Arial"/>
                <w:sz w:val="20"/>
                <w:szCs w:val="20"/>
              </w:rPr>
              <w:t>F</w:t>
            </w:r>
            <w:r w:rsidR="001764F8" w:rsidRPr="00706F6F">
              <w:rPr>
                <w:rFonts w:cs="Arial"/>
                <w:sz w:val="20"/>
                <w:szCs w:val="20"/>
              </w:rPr>
              <w:t xml:space="preserve">ramework makes </w:t>
            </w:r>
            <w:r w:rsidR="00E57BC3">
              <w:rPr>
                <w:rFonts w:cs="Arial"/>
                <w:sz w:val="20"/>
                <w:szCs w:val="20"/>
              </w:rPr>
              <w:t xml:space="preserve">it </w:t>
            </w:r>
            <w:r w:rsidR="001764F8" w:rsidRPr="00706F6F">
              <w:rPr>
                <w:rFonts w:cs="Arial"/>
                <w:sz w:val="20"/>
                <w:szCs w:val="20"/>
              </w:rPr>
              <w:t xml:space="preserve">clear that a due diligence assessment is not required when </w:t>
            </w:r>
            <w:r w:rsidR="00BE63EB">
              <w:rPr>
                <w:rFonts w:cs="Arial"/>
                <w:sz w:val="20"/>
                <w:szCs w:val="20"/>
              </w:rPr>
              <w:t xml:space="preserve">directly contracting </w:t>
            </w:r>
            <w:r w:rsidR="001764F8" w:rsidRPr="00706F6F">
              <w:rPr>
                <w:rFonts w:cs="Arial"/>
                <w:sz w:val="20"/>
                <w:szCs w:val="20"/>
              </w:rPr>
              <w:t xml:space="preserve">an accredited ANGO. </w:t>
            </w:r>
          </w:p>
          <w:p w14:paraId="7FB23732" w14:textId="34F9414F" w:rsidR="001764F8" w:rsidRPr="008007C3" w:rsidRDefault="001764F8" w:rsidP="0007614B">
            <w:pPr>
              <w:numPr>
                <w:ilvl w:val="0"/>
                <w:numId w:val="0"/>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706F6F">
              <w:rPr>
                <w:rFonts w:cs="Arial"/>
                <w:sz w:val="20"/>
                <w:szCs w:val="20"/>
              </w:rPr>
              <w:t xml:space="preserve">DFAT </w:t>
            </w:r>
            <w:r w:rsidR="008F00E3">
              <w:rPr>
                <w:rFonts w:cs="Arial"/>
                <w:sz w:val="20"/>
                <w:szCs w:val="20"/>
              </w:rPr>
              <w:t>cannot</w:t>
            </w:r>
            <w:r w:rsidRPr="00706F6F">
              <w:rPr>
                <w:rFonts w:cs="Arial"/>
                <w:sz w:val="20"/>
                <w:szCs w:val="20"/>
              </w:rPr>
              <w:t xml:space="preserve"> </w:t>
            </w:r>
            <w:r w:rsidR="00542FFC">
              <w:rPr>
                <w:rFonts w:cs="Arial"/>
                <w:sz w:val="20"/>
                <w:szCs w:val="20"/>
              </w:rPr>
              <w:t>pre</w:t>
            </w:r>
            <w:r w:rsidR="000A4B6F">
              <w:rPr>
                <w:rFonts w:cs="Arial"/>
                <w:sz w:val="20"/>
                <w:szCs w:val="20"/>
              </w:rPr>
              <w:t>scribe</w:t>
            </w:r>
            <w:r w:rsidRPr="00706F6F">
              <w:rPr>
                <w:rFonts w:cs="Arial"/>
                <w:sz w:val="20"/>
                <w:szCs w:val="20"/>
              </w:rPr>
              <w:t xml:space="preserve"> to all </w:t>
            </w:r>
            <w:r w:rsidR="00BE63EB">
              <w:rPr>
                <w:rFonts w:cs="Arial"/>
                <w:sz w:val="20"/>
                <w:szCs w:val="20"/>
              </w:rPr>
              <w:t xml:space="preserve"> </w:t>
            </w:r>
            <w:r w:rsidR="00252EBE" w:rsidRPr="00706F6F">
              <w:rPr>
                <w:rFonts w:cs="Arial"/>
                <w:sz w:val="20"/>
                <w:szCs w:val="20"/>
              </w:rPr>
              <w:t xml:space="preserve"> </w:t>
            </w:r>
            <w:r w:rsidR="00A44E7E">
              <w:rPr>
                <w:rFonts w:cs="Arial"/>
                <w:sz w:val="20"/>
                <w:szCs w:val="20"/>
              </w:rPr>
              <w:t xml:space="preserve">development </w:t>
            </w:r>
            <w:r w:rsidR="00B23609">
              <w:rPr>
                <w:rFonts w:cs="Arial"/>
                <w:sz w:val="20"/>
                <w:szCs w:val="20"/>
              </w:rPr>
              <w:t>providers</w:t>
            </w:r>
            <w:r w:rsidR="00A44E7E">
              <w:rPr>
                <w:rFonts w:cs="Arial"/>
                <w:sz w:val="20"/>
                <w:szCs w:val="20"/>
              </w:rPr>
              <w:t xml:space="preserve"> </w:t>
            </w:r>
            <w:r w:rsidR="002A6BE6">
              <w:rPr>
                <w:rFonts w:cs="Arial"/>
                <w:sz w:val="20"/>
                <w:szCs w:val="20"/>
              </w:rPr>
              <w:t>(</w:t>
            </w:r>
            <w:proofErr w:type="spellStart"/>
            <w:proofErr w:type="gramStart"/>
            <w:r w:rsidR="002A6BE6">
              <w:rPr>
                <w:rFonts w:cs="Arial"/>
                <w:sz w:val="20"/>
                <w:szCs w:val="20"/>
              </w:rPr>
              <w:t>e,g</w:t>
            </w:r>
            <w:proofErr w:type="spellEnd"/>
            <w:r w:rsidR="002A6BE6">
              <w:rPr>
                <w:rFonts w:cs="Arial"/>
                <w:sz w:val="20"/>
                <w:szCs w:val="20"/>
              </w:rPr>
              <w:t>.</w:t>
            </w:r>
            <w:proofErr w:type="gramEnd"/>
            <w:r w:rsidRPr="00706F6F">
              <w:rPr>
                <w:rFonts w:cs="Arial"/>
                <w:sz w:val="20"/>
                <w:szCs w:val="20"/>
              </w:rPr>
              <w:t xml:space="preserve"> </w:t>
            </w:r>
            <w:r w:rsidR="00124E1B">
              <w:rPr>
                <w:rFonts w:cs="Arial"/>
                <w:sz w:val="20"/>
                <w:szCs w:val="20"/>
              </w:rPr>
              <w:t xml:space="preserve">managing </w:t>
            </w:r>
            <w:r w:rsidRPr="00706F6F">
              <w:rPr>
                <w:rFonts w:cs="Arial"/>
                <w:sz w:val="20"/>
                <w:szCs w:val="20"/>
              </w:rPr>
              <w:t>contractors, multilaterals) what level of due diligence is acceptable when entering into an agreement with an ANGO</w:t>
            </w:r>
            <w:r w:rsidR="002A6BE6">
              <w:rPr>
                <w:rFonts w:cs="Arial"/>
                <w:sz w:val="20"/>
                <w:szCs w:val="20"/>
              </w:rPr>
              <w:t xml:space="preserve">. </w:t>
            </w:r>
            <w:r w:rsidR="004D677F">
              <w:rPr>
                <w:rFonts w:cs="Arial"/>
                <w:sz w:val="20"/>
                <w:szCs w:val="20"/>
              </w:rPr>
              <w:t xml:space="preserve">Where </w:t>
            </w:r>
            <w:r w:rsidR="00014FF6">
              <w:rPr>
                <w:rFonts w:cs="Arial"/>
                <w:sz w:val="20"/>
                <w:szCs w:val="20"/>
              </w:rPr>
              <w:t>a</w:t>
            </w:r>
            <w:r w:rsidR="004D677F">
              <w:rPr>
                <w:rFonts w:cs="Arial"/>
                <w:sz w:val="20"/>
                <w:szCs w:val="20"/>
              </w:rPr>
              <w:t xml:space="preserve"> contractual arrangement is between a </w:t>
            </w:r>
            <w:r w:rsidR="00014FF6">
              <w:rPr>
                <w:rFonts w:cs="Arial"/>
                <w:sz w:val="20"/>
                <w:szCs w:val="20"/>
              </w:rPr>
              <w:t>provider and an ANGO, d</w:t>
            </w:r>
            <w:r w:rsidR="00271FCC">
              <w:rPr>
                <w:rFonts w:cs="Arial"/>
                <w:sz w:val="20"/>
                <w:szCs w:val="20"/>
              </w:rPr>
              <w:t>ue diligence requirements are</w:t>
            </w:r>
            <w:r w:rsidRPr="00706F6F">
              <w:rPr>
                <w:rFonts w:cs="Arial"/>
                <w:sz w:val="20"/>
                <w:szCs w:val="20"/>
              </w:rPr>
              <w:t xml:space="preserve"> a matter for each </w:t>
            </w:r>
            <w:r w:rsidR="00A44E7E">
              <w:rPr>
                <w:rFonts w:cs="Arial"/>
                <w:sz w:val="20"/>
                <w:szCs w:val="20"/>
              </w:rPr>
              <w:t xml:space="preserve">development </w:t>
            </w:r>
            <w:r w:rsidRPr="00706F6F">
              <w:rPr>
                <w:rFonts w:cs="Arial"/>
                <w:sz w:val="20"/>
                <w:szCs w:val="20"/>
              </w:rPr>
              <w:t>provider</w:t>
            </w:r>
            <w:r w:rsidR="00ED2CBD">
              <w:rPr>
                <w:rFonts w:cs="Arial"/>
                <w:sz w:val="20"/>
                <w:szCs w:val="20"/>
              </w:rPr>
              <w:t>,</w:t>
            </w:r>
            <w:r w:rsidRPr="00706F6F">
              <w:rPr>
                <w:rFonts w:cs="Arial"/>
                <w:sz w:val="20"/>
                <w:szCs w:val="20"/>
              </w:rPr>
              <w:t xml:space="preserve"> consistent with their own policies in relatio</w:t>
            </w:r>
            <w:r w:rsidR="00F16792">
              <w:rPr>
                <w:rFonts w:cs="Arial"/>
                <w:sz w:val="20"/>
                <w:szCs w:val="20"/>
              </w:rPr>
              <w:t xml:space="preserve">n </w:t>
            </w:r>
            <w:r w:rsidR="009D4F68" w:rsidRPr="00706F6F">
              <w:rPr>
                <w:rFonts w:cs="Arial"/>
                <w:sz w:val="20"/>
                <w:szCs w:val="20"/>
              </w:rPr>
              <w:t>to due diligence, procurement</w:t>
            </w:r>
            <w:r w:rsidR="009D4F68">
              <w:rPr>
                <w:rFonts w:cs="Arial"/>
                <w:sz w:val="20"/>
                <w:szCs w:val="20"/>
              </w:rPr>
              <w:t xml:space="preserve"> and </w:t>
            </w:r>
            <w:r w:rsidR="009D4F68" w:rsidRPr="00706F6F">
              <w:rPr>
                <w:rFonts w:cs="Arial"/>
                <w:sz w:val="20"/>
                <w:szCs w:val="20"/>
              </w:rPr>
              <w:t>risk management</w:t>
            </w:r>
            <w:r w:rsidR="009D4F68">
              <w:rPr>
                <w:rFonts w:cs="Arial"/>
                <w:sz w:val="20"/>
                <w:szCs w:val="20"/>
              </w:rPr>
              <w:t>.</w:t>
            </w:r>
          </w:p>
        </w:tc>
        <w:tc>
          <w:tcPr>
            <w:tcW w:w="3509" w:type="dxa"/>
            <w:shd w:val="clear" w:color="auto" w:fill="FFFFFF" w:themeFill="background1"/>
          </w:tcPr>
          <w:p w14:paraId="63A231AA" w14:textId="34677C7A" w:rsidR="001764F8" w:rsidRPr="000F6001" w:rsidRDefault="00851E1D" w:rsidP="003617C6">
            <w:pPr>
              <w:pStyle w:val="ListBullet"/>
              <w:numPr>
                <w:ilvl w:val="0"/>
                <w:numId w:val="0"/>
              </w:numPr>
              <w:ind w:left="8" w:hanging="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DFAT will continue to encourage, where possible, use of ANCP accreditation as an acceptable form of due diligence when contracting an ANGO directly. </w:t>
            </w:r>
          </w:p>
        </w:tc>
        <w:tc>
          <w:tcPr>
            <w:tcW w:w="1606" w:type="dxa"/>
            <w:shd w:val="clear" w:color="auto" w:fill="FFFFFF" w:themeFill="background1"/>
          </w:tcPr>
          <w:p w14:paraId="333FC0D2" w14:textId="3A30AF80" w:rsidR="001764F8" w:rsidRPr="00777B9B" w:rsidRDefault="00851E1D" w:rsidP="001764F8">
            <w:pPr>
              <w:pStyle w:val="ListBullet"/>
              <w:numPr>
                <w:ilvl w:val="0"/>
                <w:numId w:val="0"/>
              </w:numPr>
              <w:ind w:left="360" w:hanging="3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Ongoing</w:t>
            </w:r>
          </w:p>
        </w:tc>
      </w:tr>
      <w:bookmarkEnd w:id="6"/>
      <w:tr w:rsidR="008E353F" w14:paraId="2BB7CAE7" w14:textId="77777777" w:rsidTr="006F4DA4">
        <w:tc>
          <w:tcPr>
            <w:cnfStyle w:val="001000000000" w:firstRow="0" w:lastRow="0" w:firstColumn="1" w:lastColumn="0" w:oddVBand="0" w:evenVBand="0" w:oddHBand="0" w:evenHBand="0" w:firstRowFirstColumn="0" w:firstRowLastColumn="0" w:lastRowFirstColumn="0" w:lastRowLastColumn="0"/>
            <w:tcW w:w="4418" w:type="dxa"/>
            <w:shd w:val="clear" w:color="auto" w:fill="auto"/>
          </w:tcPr>
          <w:p w14:paraId="71B97AED" w14:textId="77777777" w:rsidR="004F7F11" w:rsidRPr="0032400A" w:rsidRDefault="004F7F11" w:rsidP="004F7F11">
            <w:pPr>
              <w:pStyle w:val="ListNumber3"/>
              <w:tabs>
                <w:tab w:val="clear" w:pos="1077"/>
              </w:tabs>
              <w:ind w:left="0" w:firstLine="0"/>
              <w:rPr>
                <w:sz w:val="20"/>
                <w:szCs w:val="20"/>
              </w:rPr>
            </w:pPr>
            <w:r w:rsidRPr="0032400A">
              <w:rPr>
                <w:sz w:val="20"/>
                <w:szCs w:val="20"/>
              </w:rPr>
              <w:t>R1.3</w:t>
            </w:r>
            <w:r w:rsidRPr="0032400A">
              <w:rPr>
                <w:sz w:val="20"/>
                <w:szCs w:val="20"/>
              </w:rPr>
              <w:tab/>
              <w:t>Flexible and adaptive multi-year funding and grant making</w:t>
            </w:r>
          </w:p>
          <w:p w14:paraId="73ADBEEB" w14:textId="69D2C552" w:rsidR="004F7F11" w:rsidRPr="0032400A" w:rsidRDefault="004F7F11" w:rsidP="004F7F11">
            <w:pPr>
              <w:pStyle w:val="ListNumber3"/>
              <w:tabs>
                <w:tab w:val="clear" w:pos="1077"/>
              </w:tabs>
              <w:ind w:left="0" w:firstLine="0"/>
              <w:rPr>
                <w:b w:val="0"/>
                <w:bCs/>
                <w:sz w:val="20"/>
                <w:szCs w:val="20"/>
              </w:rPr>
            </w:pPr>
            <w:r w:rsidRPr="0032400A">
              <w:rPr>
                <w:b w:val="0"/>
                <w:bCs/>
                <w:sz w:val="20"/>
                <w:szCs w:val="20"/>
              </w:rPr>
              <w:t>Exploring workflow improvements and rationalisation of business processes to reduce transaction costs while maintaining flexibility as a central feature of the modality including:</w:t>
            </w:r>
          </w:p>
          <w:p w14:paraId="6B824211" w14:textId="0964ADDF" w:rsidR="004F7F11" w:rsidRPr="000F6001" w:rsidRDefault="008B5EA3" w:rsidP="000F6001">
            <w:pPr>
              <w:pStyle w:val="ListNumber3"/>
              <w:tabs>
                <w:tab w:val="clear" w:pos="1077"/>
              </w:tabs>
              <w:ind w:left="739" w:hanging="284"/>
              <w:rPr>
                <w:b w:val="0"/>
                <w:sz w:val="20"/>
                <w:szCs w:val="20"/>
              </w:rPr>
            </w:pPr>
            <w:r w:rsidRPr="00E64061">
              <w:rPr>
                <w:b w:val="0"/>
                <w:sz w:val="20"/>
                <w:szCs w:val="20"/>
              </w:rPr>
              <w:lastRenderedPageBreak/>
              <w:t xml:space="preserve">a. </w:t>
            </w:r>
            <w:r w:rsidR="005B78DA">
              <w:rPr>
                <w:b w:val="0"/>
                <w:sz w:val="20"/>
                <w:szCs w:val="20"/>
              </w:rPr>
              <w:t xml:space="preserve"> </w:t>
            </w:r>
            <w:r w:rsidR="004F7F11" w:rsidRPr="00E64061">
              <w:rPr>
                <w:b w:val="0"/>
                <w:sz w:val="20"/>
                <w:szCs w:val="20"/>
              </w:rPr>
              <w:t>Revising the Funding Policy to ensure that funding arrangements align with any new accredita</w:t>
            </w:r>
            <w:r w:rsidR="004F7F11" w:rsidRPr="005B78DA">
              <w:rPr>
                <w:b w:val="0"/>
                <w:sz w:val="20"/>
                <w:szCs w:val="20"/>
              </w:rPr>
              <w:t xml:space="preserve">tion system and include structural changes to address the increased costs of doing </w:t>
            </w:r>
            <w:r w:rsidR="00195CB6" w:rsidRPr="005B78DA">
              <w:rPr>
                <w:b w:val="0"/>
                <w:sz w:val="20"/>
                <w:szCs w:val="20"/>
              </w:rPr>
              <w:t>business</w:t>
            </w:r>
            <w:r w:rsidR="004F7F11" w:rsidRPr="005B78DA">
              <w:rPr>
                <w:b w:val="0"/>
                <w:sz w:val="20"/>
                <w:szCs w:val="20"/>
              </w:rPr>
              <w:t>,</w:t>
            </w:r>
            <w:r w:rsidR="005716E0" w:rsidRPr="005B78DA">
              <w:rPr>
                <w:b w:val="0"/>
                <w:sz w:val="20"/>
                <w:szCs w:val="20"/>
              </w:rPr>
              <w:t xml:space="preserve"> </w:t>
            </w:r>
            <w:r w:rsidR="004F7F11" w:rsidRPr="005B78DA">
              <w:rPr>
                <w:b w:val="0"/>
                <w:sz w:val="20"/>
                <w:szCs w:val="20"/>
              </w:rPr>
              <w:t>inequities amongst ANGOs</w:t>
            </w:r>
            <w:r w:rsidR="008C207D" w:rsidRPr="005B78DA">
              <w:rPr>
                <w:b w:val="0"/>
                <w:sz w:val="20"/>
                <w:szCs w:val="20"/>
              </w:rPr>
              <w:t xml:space="preserve"> </w:t>
            </w:r>
            <w:r w:rsidR="004F7F11" w:rsidRPr="005B78DA">
              <w:rPr>
                <w:b w:val="0"/>
                <w:sz w:val="20"/>
                <w:szCs w:val="20"/>
              </w:rPr>
              <w:t xml:space="preserve">and enable ANGOs to use good practice civil society funding practices such as increased </w:t>
            </w:r>
            <w:r w:rsidR="004F7F11" w:rsidRPr="005A004E">
              <w:rPr>
                <w:b w:val="0"/>
                <w:sz w:val="20"/>
                <w:szCs w:val="20"/>
              </w:rPr>
              <w:t>management overhead, provision for unrestricted resources for local partners such as management overhead and/or core funds</w:t>
            </w:r>
            <w:r w:rsidR="00CD419F" w:rsidRPr="005A004E">
              <w:rPr>
                <w:b w:val="0"/>
                <w:sz w:val="20"/>
                <w:szCs w:val="20"/>
              </w:rPr>
              <w:t>.</w:t>
            </w:r>
          </w:p>
          <w:p w14:paraId="52394CD6" w14:textId="6F8D0631" w:rsidR="00C1594D" w:rsidRDefault="004F7F11" w:rsidP="000F6001">
            <w:pPr>
              <w:numPr>
                <w:ilvl w:val="2"/>
                <w:numId w:val="1"/>
              </w:numPr>
              <w:tabs>
                <w:tab w:val="clear" w:pos="647"/>
                <w:tab w:val="num" w:pos="314"/>
                <w:tab w:val="num" w:pos="357"/>
              </w:tabs>
              <w:rPr>
                <w:sz w:val="20"/>
                <w:szCs w:val="20"/>
              </w:rPr>
            </w:pPr>
            <w:r w:rsidRPr="005A004E">
              <w:rPr>
                <w:b w:val="0"/>
                <w:sz w:val="20"/>
                <w:szCs w:val="20"/>
              </w:rPr>
              <w:t>Shift to a 3- to 4-year funding cycle by streamlining key business processes such as annual work planning and budgeting processes - by presentation - which focus on dialogue between implementing partners and DFAT Posts at</w:t>
            </w:r>
            <w:r w:rsidRPr="00C36EE4">
              <w:rPr>
                <w:b w:val="0"/>
                <w:sz w:val="20"/>
                <w:szCs w:val="20"/>
              </w:rPr>
              <w:t xml:space="preserve"> the country level</w:t>
            </w:r>
          </w:p>
        </w:tc>
        <w:tc>
          <w:tcPr>
            <w:tcW w:w="1268" w:type="dxa"/>
            <w:shd w:val="clear" w:color="auto" w:fill="92D050"/>
          </w:tcPr>
          <w:p w14:paraId="7B4599C9" w14:textId="3EF261A7" w:rsidR="00C1594D" w:rsidRDefault="004F7F11" w:rsidP="001764F8">
            <w:pPr>
              <w:numPr>
                <w:ilvl w:val="0"/>
                <w:numId w:val="0"/>
              </w:num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lastRenderedPageBreak/>
              <w:t>Agree</w:t>
            </w:r>
            <w:r w:rsidR="00A44E7E">
              <w:rPr>
                <w:rFonts w:cs="Arial"/>
                <w:sz w:val="20"/>
                <w:szCs w:val="20"/>
              </w:rPr>
              <w:t xml:space="preserve"> </w:t>
            </w:r>
          </w:p>
        </w:tc>
        <w:tc>
          <w:tcPr>
            <w:tcW w:w="3147" w:type="dxa"/>
            <w:shd w:val="clear" w:color="auto" w:fill="auto"/>
          </w:tcPr>
          <w:p w14:paraId="3829B160" w14:textId="13034E7E" w:rsidR="00C1594D" w:rsidRDefault="00477B20" w:rsidP="00AE1DEF">
            <w:pPr>
              <w:pStyle w:val="Defaul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DFAT </w:t>
            </w:r>
            <w:r w:rsidR="00D6076B">
              <w:rPr>
                <w:sz w:val="20"/>
                <w:szCs w:val="20"/>
              </w:rPr>
              <w:t xml:space="preserve">agrees with this recommendation which will streamline business processes </w:t>
            </w:r>
            <w:r w:rsidR="005B65FE">
              <w:rPr>
                <w:sz w:val="20"/>
                <w:szCs w:val="20"/>
              </w:rPr>
              <w:t>to</w:t>
            </w:r>
            <w:r w:rsidR="00FC45BD">
              <w:rPr>
                <w:sz w:val="20"/>
                <w:szCs w:val="20"/>
              </w:rPr>
              <w:t xml:space="preserve"> </w:t>
            </w:r>
            <w:r w:rsidR="00B018AF">
              <w:rPr>
                <w:sz w:val="20"/>
                <w:szCs w:val="20"/>
              </w:rPr>
              <w:t>open</w:t>
            </w:r>
            <w:r w:rsidR="00C46BBD">
              <w:rPr>
                <w:sz w:val="20"/>
                <w:szCs w:val="20"/>
              </w:rPr>
              <w:t xml:space="preserve"> </w:t>
            </w:r>
            <w:r w:rsidR="00B018AF">
              <w:rPr>
                <w:sz w:val="20"/>
                <w:szCs w:val="20"/>
              </w:rPr>
              <w:t>up space for strategic dialogue with ANCP partners and bilateral program</w:t>
            </w:r>
            <w:r w:rsidR="00FD6109">
              <w:rPr>
                <w:sz w:val="20"/>
                <w:szCs w:val="20"/>
              </w:rPr>
              <w:t>s</w:t>
            </w:r>
            <w:r w:rsidR="00FC45BD">
              <w:rPr>
                <w:sz w:val="20"/>
                <w:szCs w:val="20"/>
              </w:rPr>
              <w:t xml:space="preserve">, as well as explore how the </w:t>
            </w:r>
            <w:r w:rsidR="006866AA">
              <w:rPr>
                <w:sz w:val="20"/>
                <w:szCs w:val="20"/>
              </w:rPr>
              <w:t>ANCP</w:t>
            </w:r>
            <w:r w:rsidR="004C61C2">
              <w:rPr>
                <w:sz w:val="20"/>
                <w:szCs w:val="20"/>
              </w:rPr>
              <w:t xml:space="preserve"> </w:t>
            </w:r>
            <w:r w:rsidR="004C61C2">
              <w:rPr>
                <w:sz w:val="20"/>
                <w:szCs w:val="20"/>
              </w:rPr>
              <w:lastRenderedPageBreak/>
              <w:t>funding can be made more equitable</w:t>
            </w:r>
            <w:r w:rsidR="00113DA5">
              <w:rPr>
                <w:sz w:val="20"/>
                <w:szCs w:val="20"/>
              </w:rPr>
              <w:t xml:space="preserve">, including </w:t>
            </w:r>
            <w:r w:rsidR="002D4FAA">
              <w:rPr>
                <w:sz w:val="20"/>
                <w:szCs w:val="20"/>
              </w:rPr>
              <w:t>to better</w:t>
            </w:r>
            <w:r w:rsidR="00113DA5">
              <w:rPr>
                <w:sz w:val="20"/>
                <w:szCs w:val="20"/>
              </w:rPr>
              <w:t xml:space="preserve"> support local </w:t>
            </w:r>
            <w:r w:rsidR="008C207D">
              <w:rPr>
                <w:sz w:val="20"/>
                <w:szCs w:val="20"/>
              </w:rPr>
              <w:t>civil society</w:t>
            </w:r>
            <w:r w:rsidR="00113DA5">
              <w:rPr>
                <w:sz w:val="20"/>
                <w:szCs w:val="20"/>
              </w:rPr>
              <w:t>.</w:t>
            </w:r>
          </w:p>
        </w:tc>
        <w:tc>
          <w:tcPr>
            <w:tcW w:w="3509" w:type="dxa"/>
            <w:shd w:val="clear" w:color="auto" w:fill="auto"/>
          </w:tcPr>
          <w:p w14:paraId="0D70CF52" w14:textId="5637EB1C" w:rsidR="004F7F11" w:rsidRDefault="008B5EA3" w:rsidP="004F7F11">
            <w:pPr>
              <w:pStyle w:val="Defaul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An</w:t>
            </w:r>
            <w:r w:rsidR="004F7F11">
              <w:rPr>
                <w:sz w:val="20"/>
                <w:szCs w:val="20"/>
              </w:rPr>
              <w:t xml:space="preserve"> ANCP </w:t>
            </w:r>
            <w:r w:rsidR="00A44E7E">
              <w:rPr>
                <w:sz w:val="20"/>
                <w:szCs w:val="20"/>
              </w:rPr>
              <w:t>F</w:t>
            </w:r>
            <w:r w:rsidR="004F7F11">
              <w:rPr>
                <w:sz w:val="20"/>
                <w:szCs w:val="20"/>
              </w:rPr>
              <w:t xml:space="preserve">unding </w:t>
            </w:r>
            <w:r w:rsidR="00A44E7E">
              <w:rPr>
                <w:sz w:val="20"/>
                <w:szCs w:val="20"/>
              </w:rPr>
              <w:t>P</w:t>
            </w:r>
            <w:r w:rsidR="004F7F11">
              <w:rPr>
                <w:sz w:val="20"/>
                <w:szCs w:val="20"/>
              </w:rPr>
              <w:t xml:space="preserve">olicy </w:t>
            </w:r>
            <w:r>
              <w:rPr>
                <w:sz w:val="20"/>
                <w:szCs w:val="20"/>
              </w:rPr>
              <w:t xml:space="preserve">refresh </w:t>
            </w:r>
            <w:r w:rsidR="004F7F11">
              <w:rPr>
                <w:sz w:val="20"/>
                <w:szCs w:val="20"/>
              </w:rPr>
              <w:t xml:space="preserve">will be undertaken in conjunction with the </w:t>
            </w:r>
            <w:r w:rsidR="00596994">
              <w:rPr>
                <w:sz w:val="20"/>
                <w:szCs w:val="20"/>
              </w:rPr>
              <w:t>A</w:t>
            </w:r>
            <w:r w:rsidR="004F7F11">
              <w:rPr>
                <w:sz w:val="20"/>
                <w:szCs w:val="20"/>
              </w:rPr>
              <w:t>ccreditation refresh</w:t>
            </w:r>
            <w:r w:rsidR="00844FCA">
              <w:rPr>
                <w:sz w:val="20"/>
                <w:szCs w:val="20"/>
              </w:rPr>
              <w:t>,</w:t>
            </w:r>
            <w:r w:rsidR="004F7F11">
              <w:rPr>
                <w:sz w:val="20"/>
                <w:szCs w:val="20"/>
              </w:rPr>
              <w:t xml:space="preserve"> </w:t>
            </w:r>
            <w:r>
              <w:rPr>
                <w:sz w:val="20"/>
                <w:szCs w:val="20"/>
              </w:rPr>
              <w:t xml:space="preserve">and </w:t>
            </w:r>
            <w:r w:rsidR="004F7F11">
              <w:rPr>
                <w:sz w:val="20"/>
                <w:szCs w:val="20"/>
              </w:rPr>
              <w:t xml:space="preserve">will explore the following: </w:t>
            </w:r>
          </w:p>
          <w:p w14:paraId="07B2A612" w14:textId="5F4921A7" w:rsidR="005A004E" w:rsidRDefault="005A004E" w:rsidP="004F7F11">
            <w:pPr>
              <w:pStyle w:val="Default"/>
              <w:numPr>
                <w:ilvl w:val="0"/>
                <w:numId w:val="20"/>
              </w:numPr>
              <w:ind w:left="417"/>
              <w:cnfStyle w:val="000000000000" w:firstRow="0" w:lastRow="0" w:firstColumn="0" w:lastColumn="0" w:oddVBand="0" w:evenVBand="0" w:oddHBand="0" w:evenHBand="0" w:firstRowFirstColumn="0" w:firstRowLastColumn="0" w:lastRowFirstColumn="0" w:lastRowLastColumn="0"/>
              <w:rPr>
                <w:sz w:val="20"/>
                <w:szCs w:val="20"/>
              </w:rPr>
            </w:pPr>
            <w:bookmarkStart w:id="7" w:name="_Hlk122531497"/>
            <w:r>
              <w:rPr>
                <w:sz w:val="20"/>
                <w:szCs w:val="20"/>
              </w:rPr>
              <w:t xml:space="preserve">how the Funding Policy can </w:t>
            </w:r>
            <w:r w:rsidRPr="00E64061">
              <w:rPr>
                <w:sz w:val="20"/>
                <w:szCs w:val="20"/>
              </w:rPr>
              <w:t>align with any new accredita</w:t>
            </w:r>
            <w:r w:rsidRPr="005B78DA">
              <w:rPr>
                <w:sz w:val="20"/>
                <w:szCs w:val="20"/>
              </w:rPr>
              <w:t>tion system</w:t>
            </w:r>
            <w:r>
              <w:rPr>
                <w:sz w:val="20"/>
                <w:szCs w:val="20"/>
              </w:rPr>
              <w:t xml:space="preserve">, including </w:t>
            </w:r>
            <w:r w:rsidRPr="005B78DA">
              <w:rPr>
                <w:sz w:val="20"/>
                <w:szCs w:val="20"/>
              </w:rPr>
              <w:t>address</w:t>
            </w:r>
            <w:r>
              <w:rPr>
                <w:sz w:val="20"/>
                <w:szCs w:val="20"/>
              </w:rPr>
              <w:t>ing</w:t>
            </w:r>
            <w:r w:rsidRPr="005B78DA">
              <w:rPr>
                <w:sz w:val="20"/>
                <w:szCs w:val="20"/>
              </w:rPr>
              <w:t xml:space="preserve"> </w:t>
            </w:r>
            <w:r w:rsidRPr="005B78DA">
              <w:rPr>
                <w:sz w:val="20"/>
                <w:szCs w:val="20"/>
              </w:rPr>
              <w:lastRenderedPageBreak/>
              <w:t>the increased costs of doing business</w:t>
            </w:r>
            <w:r>
              <w:rPr>
                <w:sz w:val="20"/>
                <w:szCs w:val="20"/>
              </w:rPr>
              <w:t xml:space="preserve"> and </w:t>
            </w:r>
            <w:r w:rsidRPr="005B78DA">
              <w:rPr>
                <w:sz w:val="20"/>
                <w:szCs w:val="20"/>
              </w:rPr>
              <w:t>inequities amongst ANGOs</w:t>
            </w:r>
            <w:r>
              <w:rPr>
                <w:sz w:val="20"/>
                <w:szCs w:val="20"/>
              </w:rPr>
              <w:t>,</w:t>
            </w:r>
            <w:r w:rsidRPr="005B78DA">
              <w:rPr>
                <w:sz w:val="20"/>
                <w:szCs w:val="20"/>
              </w:rPr>
              <w:t xml:space="preserve"> and enabl</w:t>
            </w:r>
            <w:r>
              <w:rPr>
                <w:sz w:val="20"/>
                <w:szCs w:val="20"/>
              </w:rPr>
              <w:t>ing</w:t>
            </w:r>
            <w:r w:rsidRPr="005B78DA">
              <w:rPr>
                <w:sz w:val="20"/>
                <w:szCs w:val="20"/>
              </w:rPr>
              <w:t xml:space="preserve"> ANGOs </w:t>
            </w:r>
            <w:r>
              <w:rPr>
                <w:sz w:val="20"/>
                <w:szCs w:val="20"/>
              </w:rPr>
              <w:t xml:space="preserve">to </w:t>
            </w:r>
            <w:r w:rsidRPr="005B78DA">
              <w:rPr>
                <w:sz w:val="20"/>
                <w:szCs w:val="20"/>
              </w:rPr>
              <w:t>use good practice civil society funding practices</w:t>
            </w:r>
          </w:p>
          <w:p w14:paraId="512EB45B" w14:textId="4B4632A3" w:rsidR="004F7F11" w:rsidRDefault="009B649B" w:rsidP="004F7F11">
            <w:pPr>
              <w:pStyle w:val="Default"/>
              <w:numPr>
                <w:ilvl w:val="0"/>
                <w:numId w:val="20"/>
              </w:numPr>
              <w:ind w:left="417"/>
              <w:cnfStyle w:val="000000000000" w:firstRow="0" w:lastRow="0" w:firstColumn="0" w:lastColumn="0" w:oddVBand="0" w:evenVBand="0" w:oddHBand="0" w:evenHBand="0" w:firstRowFirstColumn="0" w:firstRowLastColumn="0" w:lastRowFirstColumn="0" w:lastRowLastColumn="0"/>
              <w:rPr>
                <w:sz w:val="20"/>
                <w:szCs w:val="20"/>
              </w:rPr>
            </w:pPr>
            <w:r w:rsidRPr="009B649B">
              <w:rPr>
                <w:sz w:val="20"/>
                <w:szCs w:val="20"/>
              </w:rPr>
              <w:t xml:space="preserve">whether </w:t>
            </w:r>
            <w:r w:rsidR="00C46BBD">
              <w:rPr>
                <w:sz w:val="20"/>
                <w:szCs w:val="20"/>
              </w:rPr>
              <w:t>the Recognised Development Expenditure (</w:t>
            </w:r>
            <w:r w:rsidRPr="009B649B">
              <w:rPr>
                <w:sz w:val="20"/>
                <w:szCs w:val="20"/>
              </w:rPr>
              <w:t>RDE</w:t>
            </w:r>
            <w:r w:rsidR="00C46BBD">
              <w:rPr>
                <w:sz w:val="20"/>
                <w:szCs w:val="20"/>
              </w:rPr>
              <w:t>)</w:t>
            </w:r>
            <w:r w:rsidRPr="009B649B">
              <w:rPr>
                <w:sz w:val="20"/>
                <w:szCs w:val="20"/>
              </w:rPr>
              <w:t xml:space="preserve"> approach can be adapted and/or explore </w:t>
            </w:r>
            <w:r w:rsidR="004F7F11">
              <w:rPr>
                <w:sz w:val="20"/>
                <w:szCs w:val="20"/>
              </w:rPr>
              <w:t xml:space="preserve">workable alternatives that are more equitable and support local civil society </w:t>
            </w:r>
          </w:p>
          <w:bookmarkEnd w:id="7"/>
          <w:p w14:paraId="29631319" w14:textId="21D33E7E" w:rsidR="004F7F11" w:rsidRDefault="004F7F11" w:rsidP="004F7F11">
            <w:pPr>
              <w:pStyle w:val="Default"/>
              <w:numPr>
                <w:ilvl w:val="0"/>
                <w:numId w:val="20"/>
              </w:numPr>
              <w:ind w:left="417"/>
              <w:cnfStyle w:val="000000000000" w:firstRow="0" w:lastRow="0" w:firstColumn="0" w:lastColumn="0" w:oddVBand="0" w:evenVBand="0" w:oddHBand="0" w:evenHBand="0" w:firstRowFirstColumn="0" w:firstRowLastColumn="0" w:lastRowFirstColumn="0" w:lastRowLastColumn="0"/>
              <w:rPr>
                <w:sz w:val="20"/>
                <w:szCs w:val="20"/>
              </w:rPr>
            </w:pPr>
            <w:r w:rsidRPr="004F7F11">
              <w:rPr>
                <w:sz w:val="20"/>
                <w:szCs w:val="20"/>
              </w:rPr>
              <w:t xml:space="preserve">how the </w:t>
            </w:r>
            <w:r w:rsidR="00780202">
              <w:rPr>
                <w:sz w:val="20"/>
                <w:szCs w:val="20"/>
              </w:rPr>
              <w:t xml:space="preserve">ANCP </w:t>
            </w:r>
            <w:r w:rsidRPr="004F7F11">
              <w:rPr>
                <w:sz w:val="20"/>
                <w:szCs w:val="20"/>
              </w:rPr>
              <w:t xml:space="preserve">funding approach can </w:t>
            </w:r>
            <w:r w:rsidR="00FE67FE" w:rsidRPr="00FE67FE">
              <w:rPr>
                <w:sz w:val="20"/>
                <w:szCs w:val="20"/>
              </w:rPr>
              <w:t xml:space="preserve">pilot innovations in financing such as creating opportunities for </w:t>
            </w:r>
            <w:r w:rsidR="00A44E7E" w:rsidRPr="004F7F11">
              <w:rPr>
                <w:sz w:val="20"/>
                <w:szCs w:val="20"/>
              </w:rPr>
              <w:t xml:space="preserve">humanitarian-development-peace </w:t>
            </w:r>
            <w:r w:rsidR="00FB5C8E">
              <w:rPr>
                <w:sz w:val="20"/>
                <w:szCs w:val="20"/>
              </w:rPr>
              <w:t>n</w:t>
            </w:r>
            <w:r w:rsidR="00FE67FE" w:rsidRPr="00FE67FE">
              <w:rPr>
                <w:sz w:val="20"/>
                <w:szCs w:val="20"/>
              </w:rPr>
              <w:t>exus programming</w:t>
            </w:r>
            <w:r w:rsidR="00B70221">
              <w:rPr>
                <w:sz w:val="20"/>
                <w:szCs w:val="20"/>
              </w:rPr>
              <w:t xml:space="preserve"> and</w:t>
            </w:r>
            <w:r w:rsidR="00FE67FE" w:rsidRPr="00FE67FE">
              <w:rPr>
                <w:sz w:val="20"/>
                <w:szCs w:val="20"/>
              </w:rPr>
              <w:t xml:space="preserve"> </w:t>
            </w:r>
            <w:r w:rsidRPr="004F7F11">
              <w:rPr>
                <w:sz w:val="20"/>
                <w:szCs w:val="20"/>
              </w:rPr>
              <w:t>locally</w:t>
            </w:r>
            <w:r w:rsidR="00637851">
              <w:rPr>
                <w:sz w:val="20"/>
                <w:szCs w:val="20"/>
              </w:rPr>
              <w:t xml:space="preserve"> </w:t>
            </w:r>
            <w:r w:rsidRPr="004F7F11">
              <w:rPr>
                <w:sz w:val="20"/>
                <w:szCs w:val="20"/>
              </w:rPr>
              <w:t xml:space="preserve">led development </w:t>
            </w:r>
          </w:p>
          <w:p w14:paraId="3286855F" w14:textId="3BE8AF39" w:rsidR="00C1594D" w:rsidRPr="004F7F11" w:rsidRDefault="004F7F11" w:rsidP="00C46BBD">
            <w:pPr>
              <w:pStyle w:val="Default"/>
              <w:numPr>
                <w:ilvl w:val="0"/>
                <w:numId w:val="20"/>
              </w:numPr>
              <w:ind w:left="417"/>
              <w:cnfStyle w:val="000000000000" w:firstRow="0" w:lastRow="0" w:firstColumn="0" w:lastColumn="0" w:oddVBand="0" w:evenVBand="0" w:oddHBand="0" w:evenHBand="0" w:firstRowFirstColumn="0" w:firstRowLastColumn="0" w:lastRowFirstColumn="0" w:lastRowLastColumn="0"/>
              <w:rPr>
                <w:sz w:val="20"/>
                <w:szCs w:val="20"/>
              </w:rPr>
            </w:pPr>
            <w:r w:rsidRPr="004F7F11">
              <w:rPr>
                <w:sz w:val="20"/>
                <w:szCs w:val="20"/>
              </w:rPr>
              <w:t>how a</w:t>
            </w:r>
            <w:r w:rsidR="00BB57EA">
              <w:rPr>
                <w:sz w:val="20"/>
                <w:szCs w:val="20"/>
              </w:rPr>
              <w:t xml:space="preserve"> revised funding policy can support a</w:t>
            </w:r>
            <w:r w:rsidR="00456751">
              <w:rPr>
                <w:sz w:val="20"/>
                <w:szCs w:val="20"/>
              </w:rPr>
              <w:t xml:space="preserve"> </w:t>
            </w:r>
            <w:r w:rsidRPr="004F7F11">
              <w:rPr>
                <w:sz w:val="20"/>
                <w:szCs w:val="20"/>
              </w:rPr>
              <w:t>multi-</w:t>
            </w:r>
            <w:r w:rsidR="00165CB9">
              <w:rPr>
                <w:sz w:val="20"/>
                <w:szCs w:val="20"/>
              </w:rPr>
              <w:t xml:space="preserve">year </w:t>
            </w:r>
            <w:r w:rsidRPr="004F7F11">
              <w:rPr>
                <w:sz w:val="20"/>
                <w:szCs w:val="20"/>
              </w:rPr>
              <w:t xml:space="preserve">funding model </w:t>
            </w:r>
          </w:p>
        </w:tc>
        <w:tc>
          <w:tcPr>
            <w:tcW w:w="1606" w:type="dxa"/>
            <w:shd w:val="clear" w:color="auto" w:fill="auto"/>
          </w:tcPr>
          <w:p w14:paraId="6DB74AA7" w14:textId="35BA8C98" w:rsidR="00C1594D" w:rsidRPr="00777B9B" w:rsidRDefault="009F4433" w:rsidP="001D6F80">
            <w:pPr>
              <w:pStyle w:val="ListBullet"/>
              <w:numPr>
                <w:ilvl w:val="0"/>
                <w:numId w:val="0"/>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January – June 2023</w:t>
            </w:r>
          </w:p>
        </w:tc>
      </w:tr>
      <w:tr w:rsidR="008B525B" w14:paraId="3BC05160" w14:textId="77777777" w:rsidTr="00A44E7E">
        <w:tc>
          <w:tcPr>
            <w:cnfStyle w:val="001000000000" w:firstRow="0" w:lastRow="0" w:firstColumn="1" w:lastColumn="0" w:oddVBand="0" w:evenVBand="0" w:oddHBand="0" w:evenHBand="0" w:firstRowFirstColumn="0" w:firstRowLastColumn="0" w:lastRowFirstColumn="0" w:lastRowLastColumn="0"/>
            <w:tcW w:w="4418" w:type="dxa"/>
          </w:tcPr>
          <w:p w14:paraId="5ACA3954" w14:textId="29699F0B" w:rsidR="001764F8" w:rsidRPr="0032400A" w:rsidRDefault="00201E24" w:rsidP="004F7F11">
            <w:pPr>
              <w:pStyle w:val="ListNumber3"/>
              <w:tabs>
                <w:tab w:val="clear" w:pos="1077"/>
              </w:tabs>
              <w:ind w:left="589" w:hanging="283"/>
              <w:rPr>
                <w:b w:val="0"/>
                <w:bCs/>
                <w:sz w:val="20"/>
                <w:szCs w:val="20"/>
              </w:rPr>
            </w:pPr>
            <w:r>
              <w:rPr>
                <w:b w:val="0"/>
                <w:bCs/>
                <w:sz w:val="20"/>
                <w:szCs w:val="20"/>
              </w:rPr>
              <w:t xml:space="preserve">c </w:t>
            </w:r>
            <w:r w:rsidR="004F7F11">
              <w:rPr>
                <w:b w:val="0"/>
                <w:bCs/>
                <w:sz w:val="20"/>
                <w:szCs w:val="20"/>
              </w:rPr>
              <w:t xml:space="preserve">  </w:t>
            </w:r>
            <w:r w:rsidR="00B34BFF">
              <w:rPr>
                <w:b w:val="0"/>
                <w:bCs/>
                <w:sz w:val="20"/>
                <w:szCs w:val="20"/>
              </w:rPr>
              <w:t>e</w:t>
            </w:r>
            <w:r w:rsidR="001764F8" w:rsidRPr="0032400A">
              <w:rPr>
                <w:b w:val="0"/>
                <w:bCs/>
                <w:sz w:val="20"/>
                <w:szCs w:val="20"/>
              </w:rPr>
              <w:t>xplor</w:t>
            </w:r>
            <w:r w:rsidR="00B34BFF">
              <w:rPr>
                <w:b w:val="0"/>
                <w:bCs/>
                <w:sz w:val="20"/>
                <w:szCs w:val="20"/>
              </w:rPr>
              <w:t>ing</w:t>
            </w:r>
            <w:r w:rsidR="001764F8" w:rsidRPr="0032400A">
              <w:rPr>
                <w:b w:val="0"/>
                <w:bCs/>
                <w:sz w:val="20"/>
                <w:szCs w:val="20"/>
              </w:rPr>
              <w:t xml:space="preserve"> and test</w:t>
            </w:r>
            <w:r w:rsidR="00B34BFF">
              <w:rPr>
                <w:b w:val="0"/>
                <w:bCs/>
                <w:sz w:val="20"/>
                <w:szCs w:val="20"/>
              </w:rPr>
              <w:t>ing</w:t>
            </w:r>
            <w:r w:rsidR="001764F8" w:rsidRPr="0032400A">
              <w:rPr>
                <w:b w:val="0"/>
                <w:bCs/>
                <w:sz w:val="20"/>
                <w:szCs w:val="20"/>
              </w:rPr>
              <w:t xml:space="preserve"> how the ANCP modality</w:t>
            </w:r>
            <w:r w:rsidR="00FB5C8E">
              <w:rPr>
                <w:b w:val="0"/>
                <w:bCs/>
                <w:sz w:val="20"/>
                <w:szCs w:val="20"/>
              </w:rPr>
              <w:t xml:space="preserve"> </w:t>
            </w:r>
            <w:r w:rsidR="001764F8" w:rsidRPr="0032400A">
              <w:rPr>
                <w:b w:val="0"/>
                <w:bCs/>
                <w:sz w:val="20"/>
                <w:szCs w:val="20"/>
              </w:rPr>
              <w:t>can better support key issues at the nexus of stabilisation and resilience, through more adaptive program cycle management, risk informed design and through testing the feasibility of a crisis modifier.</w:t>
            </w:r>
          </w:p>
          <w:p w14:paraId="2F296C96" w14:textId="3D262CB4" w:rsidR="001764F8" w:rsidRPr="0032400A" w:rsidRDefault="00201E24" w:rsidP="00201E24">
            <w:pPr>
              <w:pStyle w:val="ListNumber3"/>
              <w:tabs>
                <w:tab w:val="clear" w:pos="1077"/>
              </w:tabs>
              <w:ind w:left="455" w:hanging="283"/>
              <w:rPr>
                <w:sz w:val="20"/>
                <w:szCs w:val="20"/>
              </w:rPr>
            </w:pPr>
            <w:r>
              <w:rPr>
                <w:b w:val="0"/>
                <w:bCs/>
                <w:sz w:val="20"/>
                <w:szCs w:val="20"/>
              </w:rPr>
              <w:t xml:space="preserve"> </w:t>
            </w:r>
            <w:r w:rsidR="001764F8" w:rsidRPr="0032400A">
              <w:rPr>
                <w:b w:val="0"/>
                <w:bCs/>
                <w:sz w:val="20"/>
                <w:szCs w:val="20"/>
              </w:rPr>
              <w:t>d</w:t>
            </w:r>
            <w:r>
              <w:rPr>
                <w:b w:val="0"/>
                <w:bCs/>
                <w:sz w:val="20"/>
                <w:szCs w:val="20"/>
              </w:rPr>
              <w:t xml:space="preserve">. </w:t>
            </w:r>
            <w:r w:rsidR="00B34BFF">
              <w:rPr>
                <w:b w:val="0"/>
                <w:bCs/>
                <w:sz w:val="20"/>
                <w:szCs w:val="20"/>
              </w:rPr>
              <w:t>e</w:t>
            </w:r>
            <w:r w:rsidR="001764F8" w:rsidRPr="0032400A">
              <w:rPr>
                <w:b w:val="0"/>
                <w:bCs/>
                <w:sz w:val="20"/>
                <w:szCs w:val="20"/>
              </w:rPr>
              <w:t>xplor</w:t>
            </w:r>
            <w:r w:rsidR="00B34BFF">
              <w:rPr>
                <w:b w:val="0"/>
                <w:bCs/>
                <w:sz w:val="20"/>
                <w:szCs w:val="20"/>
              </w:rPr>
              <w:t>ing</w:t>
            </w:r>
            <w:r w:rsidR="001764F8" w:rsidRPr="0032400A">
              <w:rPr>
                <w:b w:val="0"/>
                <w:bCs/>
                <w:sz w:val="20"/>
                <w:szCs w:val="20"/>
              </w:rPr>
              <w:t xml:space="preserve"> how risk informed programming practices can be integrated into the modality and partnering approach</w:t>
            </w:r>
            <w:r w:rsidR="00B34BFF">
              <w:rPr>
                <w:b w:val="0"/>
                <w:bCs/>
                <w:sz w:val="20"/>
                <w:szCs w:val="20"/>
              </w:rPr>
              <w:t>,</w:t>
            </w:r>
          </w:p>
        </w:tc>
        <w:tc>
          <w:tcPr>
            <w:tcW w:w="1268" w:type="dxa"/>
            <w:shd w:val="clear" w:color="auto" w:fill="FFC000"/>
          </w:tcPr>
          <w:p w14:paraId="633770B6" w14:textId="78256BD1" w:rsidR="001764F8" w:rsidRPr="00137C22" w:rsidRDefault="001764F8" w:rsidP="001764F8">
            <w:pPr>
              <w:numPr>
                <w:ilvl w:val="0"/>
                <w:numId w:val="0"/>
              </w:num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Agree</w:t>
            </w:r>
            <w:r w:rsidR="00A44E7E">
              <w:rPr>
                <w:rFonts w:cs="Arial"/>
                <w:sz w:val="20"/>
                <w:szCs w:val="20"/>
              </w:rPr>
              <w:t xml:space="preserve"> in part</w:t>
            </w:r>
          </w:p>
        </w:tc>
        <w:tc>
          <w:tcPr>
            <w:tcW w:w="3147" w:type="dxa"/>
          </w:tcPr>
          <w:p w14:paraId="1E92F11A" w14:textId="5F0FF823" w:rsidR="00547F52" w:rsidRDefault="00441164" w:rsidP="007963BF">
            <w:pPr>
              <w:numPr>
                <w:ilvl w:val="0"/>
                <w:numId w:val="0"/>
              </w:num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DFAT acknowledges that</w:t>
            </w:r>
            <w:r w:rsidRPr="002670A9">
              <w:rPr>
                <w:rFonts w:cs="Arial"/>
                <w:sz w:val="20"/>
                <w:szCs w:val="20"/>
              </w:rPr>
              <w:t xml:space="preserve"> risk informed programming (distinct from risk management) can serve to </w:t>
            </w:r>
            <w:r w:rsidR="009C39FA" w:rsidRPr="002670A9">
              <w:rPr>
                <w:rFonts w:cs="Arial"/>
                <w:sz w:val="20"/>
                <w:szCs w:val="20"/>
              </w:rPr>
              <w:t>address root causes</w:t>
            </w:r>
            <w:r w:rsidR="00555B06">
              <w:rPr>
                <w:rFonts w:cs="Arial"/>
                <w:sz w:val="20"/>
                <w:szCs w:val="20"/>
              </w:rPr>
              <w:t xml:space="preserve"> and</w:t>
            </w:r>
            <w:r w:rsidR="009C39FA" w:rsidRPr="002670A9">
              <w:rPr>
                <w:rFonts w:cs="Arial"/>
                <w:sz w:val="20"/>
                <w:szCs w:val="20"/>
              </w:rPr>
              <w:t xml:space="preserve"> </w:t>
            </w:r>
            <w:r w:rsidRPr="002670A9">
              <w:rPr>
                <w:rFonts w:cs="Arial"/>
                <w:sz w:val="20"/>
                <w:szCs w:val="20"/>
              </w:rPr>
              <w:t xml:space="preserve">strengthen resilience to shocks </w:t>
            </w:r>
            <w:r w:rsidR="0031523C">
              <w:rPr>
                <w:rFonts w:cs="Arial"/>
                <w:sz w:val="20"/>
                <w:szCs w:val="20"/>
              </w:rPr>
              <w:t>in the development</w:t>
            </w:r>
            <w:r w:rsidR="00B23609">
              <w:rPr>
                <w:rStyle w:val="CommentReference"/>
                <w:rFonts w:asciiTheme="minorHAnsi" w:hAnsiTheme="minorHAnsi"/>
                <w:color w:val="auto"/>
              </w:rPr>
              <w:t>-</w:t>
            </w:r>
            <w:r w:rsidR="00B23609" w:rsidRPr="00B23609">
              <w:rPr>
                <w:rFonts w:cs="Arial"/>
                <w:sz w:val="20"/>
                <w:szCs w:val="20"/>
              </w:rPr>
              <w:t>hu</w:t>
            </w:r>
            <w:r w:rsidR="00054F7B">
              <w:rPr>
                <w:rFonts w:cs="Arial"/>
                <w:sz w:val="20"/>
                <w:szCs w:val="20"/>
              </w:rPr>
              <w:t>manitarian</w:t>
            </w:r>
            <w:r w:rsidR="00FB5C8E">
              <w:rPr>
                <w:rFonts w:cs="Arial"/>
                <w:sz w:val="20"/>
                <w:szCs w:val="20"/>
              </w:rPr>
              <w:t>-</w:t>
            </w:r>
            <w:r w:rsidR="00054F7B">
              <w:rPr>
                <w:rFonts w:cs="Arial"/>
                <w:sz w:val="20"/>
                <w:szCs w:val="20"/>
              </w:rPr>
              <w:t>peace nexus.</w:t>
            </w:r>
            <w:r w:rsidR="00E44CBB">
              <w:rPr>
                <w:rFonts w:cs="Arial"/>
                <w:sz w:val="20"/>
                <w:szCs w:val="20"/>
              </w:rPr>
              <w:t xml:space="preserve"> </w:t>
            </w:r>
            <w:r w:rsidR="005F09DF">
              <w:rPr>
                <w:rFonts w:cs="Arial"/>
                <w:sz w:val="20"/>
                <w:szCs w:val="20"/>
              </w:rPr>
              <w:t>T</w:t>
            </w:r>
            <w:r w:rsidR="00517203">
              <w:rPr>
                <w:rFonts w:cs="Arial"/>
                <w:sz w:val="20"/>
                <w:szCs w:val="20"/>
              </w:rPr>
              <w:t xml:space="preserve">hese types of approaches </w:t>
            </w:r>
            <w:r w:rsidR="007A4ADF">
              <w:rPr>
                <w:rFonts w:cs="Arial"/>
                <w:sz w:val="20"/>
                <w:szCs w:val="20"/>
              </w:rPr>
              <w:t xml:space="preserve">are </w:t>
            </w:r>
            <w:r w:rsidR="00F708C8">
              <w:rPr>
                <w:rFonts w:cs="Arial"/>
                <w:sz w:val="20"/>
                <w:szCs w:val="20"/>
              </w:rPr>
              <w:t xml:space="preserve">already </w:t>
            </w:r>
            <w:r w:rsidR="007A4ADF">
              <w:rPr>
                <w:rFonts w:cs="Arial"/>
                <w:sz w:val="20"/>
                <w:szCs w:val="20"/>
              </w:rPr>
              <w:t xml:space="preserve">being tested in </w:t>
            </w:r>
            <w:r w:rsidR="00F708C8">
              <w:rPr>
                <w:rFonts w:cs="Arial"/>
                <w:sz w:val="20"/>
                <w:szCs w:val="20"/>
              </w:rPr>
              <w:t>some of DFAT’s investments</w:t>
            </w:r>
            <w:r w:rsidR="0041061D">
              <w:rPr>
                <w:rFonts w:cs="Arial"/>
                <w:sz w:val="20"/>
                <w:szCs w:val="20"/>
              </w:rPr>
              <w:t xml:space="preserve">.  Lessons from risk-informed programming </w:t>
            </w:r>
            <w:r w:rsidR="0041061D">
              <w:rPr>
                <w:rFonts w:cs="Arial"/>
                <w:sz w:val="20"/>
                <w:szCs w:val="20"/>
              </w:rPr>
              <w:lastRenderedPageBreak/>
              <w:t xml:space="preserve">in other </w:t>
            </w:r>
            <w:r w:rsidR="00CD086A">
              <w:rPr>
                <w:rFonts w:cs="Arial"/>
                <w:sz w:val="20"/>
                <w:szCs w:val="20"/>
              </w:rPr>
              <w:t xml:space="preserve">DFAT </w:t>
            </w:r>
            <w:r w:rsidR="0041061D">
              <w:rPr>
                <w:rFonts w:cs="Arial"/>
                <w:sz w:val="20"/>
                <w:szCs w:val="20"/>
              </w:rPr>
              <w:t xml:space="preserve">investments </w:t>
            </w:r>
            <w:r w:rsidR="002A2ECA">
              <w:rPr>
                <w:rFonts w:cs="Arial"/>
                <w:sz w:val="20"/>
                <w:szCs w:val="20"/>
              </w:rPr>
              <w:t xml:space="preserve">will be used to </w:t>
            </w:r>
            <w:r w:rsidR="0041061D">
              <w:rPr>
                <w:rFonts w:cs="Arial"/>
                <w:sz w:val="20"/>
                <w:szCs w:val="20"/>
              </w:rPr>
              <w:t>inform how the ANCP</w:t>
            </w:r>
            <w:r w:rsidR="00B23609">
              <w:rPr>
                <w:rFonts w:cs="Arial"/>
                <w:sz w:val="20"/>
                <w:szCs w:val="20"/>
              </w:rPr>
              <w:t xml:space="preserve"> can integrate such approaches.</w:t>
            </w:r>
          </w:p>
          <w:p w14:paraId="60EBD520" w14:textId="5B7103AF" w:rsidR="00FB5C8E" w:rsidRPr="00ED2B34" w:rsidRDefault="0041061D" w:rsidP="000B79D3">
            <w:pPr>
              <w:numPr>
                <w:ilvl w:val="0"/>
                <w:numId w:val="0"/>
              </w:numPr>
              <w:cnfStyle w:val="000000000000" w:firstRow="0" w:lastRow="0" w:firstColumn="0" w:lastColumn="0" w:oddVBand="0" w:evenVBand="0" w:oddHBand="0" w:evenHBand="0" w:firstRowFirstColumn="0" w:firstRowLastColumn="0" w:lastRowFirstColumn="0" w:lastRowLastColumn="0"/>
              <w:rPr>
                <w:sz w:val="20"/>
                <w:szCs w:val="20"/>
              </w:rPr>
            </w:pPr>
            <w:r w:rsidRPr="00AE1DEF">
              <w:rPr>
                <w:sz w:val="20"/>
                <w:szCs w:val="20"/>
              </w:rPr>
              <w:t>Application of risk</w:t>
            </w:r>
            <w:r>
              <w:rPr>
                <w:sz w:val="20"/>
                <w:szCs w:val="20"/>
              </w:rPr>
              <w:t>-</w:t>
            </w:r>
            <w:r w:rsidRPr="00AE1DEF">
              <w:rPr>
                <w:sz w:val="20"/>
                <w:szCs w:val="20"/>
              </w:rPr>
              <w:t xml:space="preserve">informed </w:t>
            </w:r>
            <w:r>
              <w:rPr>
                <w:sz w:val="20"/>
                <w:szCs w:val="20"/>
              </w:rPr>
              <w:t>programming</w:t>
            </w:r>
            <w:r w:rsidRPr="00AE1DEF">
              <w:rPr>
                <w:sz w:val="20"/>
                <w:szCs w:val="20"/>
              </w:rPr>
              <w:t xml:space="preserve"> will need to consider </w:t>
            </w:r>
            <w:r w:rsidRPr="0041061D">
              <w:rPr>
                <w:rFonts w:cs="Arial"/>
                <w:iCs/>
                <w:sz w:val="20"/>
                <w:szCs w:val="20"/>
              </w:rPr>
              <w:t xml:space="preserve">how ANCP can balance tensions between managing risk and compliance requirements in difficult environments with a commitment to </w:t>
            </w:r>
            <w:r w:rsidR="006958A8">
              <w:rPr>
                <w:rFonts w:cs="Arial"/>
                <w:iCs/>
                <w:sz w:val="20"/>
                <w:szCs w:val="20"/>
              </w:rPr>
              <w:t xml:space="preserve">progressing reforms in </w:t>
            </w:r>
            <w:r w:rsidRPr="0041061D">
              <w:rPr>
                <w:rFonts w:cs="Arial"/>
                <w:iCs/>
                <w:sz w:val="20"/>
                <w:szCs w:val="20"/>
              </w:rPr>
              <w:t>locally led development and addressing root causes and strengthening</w:t>
            </w:r>
            <w:r w:rsidRPr="00CD086A">
              <w:rPr>
                <w:rFonts w:cs="Arial"/>
                <w:iCs/>
                <w:sz w:val="20"/>
                <w:szCs w:val="20"/>
              </w:rPr>
              <w:t xml:space="preserve"> resilience to shocks in the development-humanitarian-peace</w:t>
            </w:r>
            <w:r w:rsidRPr="0041061D">
              <w:rPr>
                <w:rFonts w:cs="Arial"/>
                <w:iCs/>
                <w:sz w:val="20"/>
                <w:szCs w:val="20"/>
              </w:rPr>
              <w:t xml:space="preserve"> nexus</w:t>
            </w:r>
            <w:r w:rsidR="000B79D3">
              <w:rPr>
                <w:rFonts w:cs="Arial"/>
                <w:iCs/>
                <w:sz w:val="20"/>
                <w:szCs w:val="20"/>
              </w:rPr>
              <w:t>.</w:t>
            </w:r>
          </w:p>
        </w:tc>
        <w:tc>
          <w:tcPr>
            <w:tcW w:w="3509" w:type="dxa"/>
          </w:tcPr>
          <w:p w14:paraId="23A06A2E" w14:textId="6E57F9DB" w:rsidR="002030BF" w:rsidRDefault="00FB1651" w:rsidP="00E73516">
            <w:pPr>
              <w:cnfStyle w:val="000000000000" w:firstRow="0" w:lastRow="0" w:firstColumn="0" w:lastColumn="0" w:oddVBand="0" w:evenVBand="0" w:oddHBand="0" w:evenHBand="0" w:firstRowFirstColumn="0" w:firstRowLastColumn="0" w:lastRowFirstColumn="0" w:lastRowLastColumn="0"/>
              <w:rPr>
                <w:rFonts w:cs="Arial"/>
                <w:iCs/>
                <w:sz w:val="20"/>
                <w:szCs w:val="20"/>
              </w:rPr>
            </w:pPr>
            <w:r w:rsidRPr="002160AB">
              <w:rPr>
                <w:rFonts w:cs="Arial"/>
                <w:iCs/>
                <w:sz w:val="20"/>
                <w:szCs w:val="20"/>
              </w:rPr>
              <w:lastRenderedPageBreak/>
              <w:t xml:space="preserve">NPQ will </w:t>
            </w:r>
            <w:r w:rsidR="008D2103" w:rsidRPr="002160AB">
              <w:rPr>
                <w:rFonts w:cs="Arial"/>
                <w:iCs/>
                <w:sz w:val="20"/>
                <w:szCs w:val="20"/>
              </w:rPr>
              <w:t xml:space="preserve">work with </w:t>
            </w:r>
            <w:r w:rsidR="00712B8F" w:rsidRPr="002160AB">
              <w:rPr>
                <w:rFonts w:cs="Arial"/>
                <w:iCs/>
                <w:sz w:val="20"/>
                <w:szCs w:val="20"/>
              </w:rPr>
              <w:t>relevant areas in</w:t>
            </w:r>
            <w:r w:rsidR="00A4632D">
              <w:rPr>
                <w:rFonts w:cs="Arial"/>
                <w:iCs/>
                <w:sz w:val="20"/>
                <w:szCs w:val="20"/>
              </w:rPr>
              <w:t xml:space="preserve"> the</w:t>
            </w:r>
            <w:r w:rsidR="00712B8F" w:rsidRPr="002160AB">
              <w:rPr>
                <w:rFonts w:cs="Arial"/>
                <w:iCs/>
                <w:sz w:val="20"/>
                <w:szCs w:val="20"/>
              </w:rPr>
              <w:t xml:space="preserve"> </w:t>
            </w:r>
            <w:r w:rsidR="00C46BBD">
              <w:rPr>
                <w:rFonts w:cs="Arial"/>
                <w:iCs/>
                <w:sz w:val="20"/>
                <w:szCs w:val="20"/>
              </w:rPr>
              <w:t>Development Effectiveness and</w:t>
            </w:r>
            <w:r w:rsidR="00A4632D">
              <w:rPr>
                <w:rFonts w:cs="Arial"/>
                <w:iCs/>
                <w:sz w:val="20"/>
                <w:szCs w:val="20"/>
              </w:rPr>
              <w:t xml:space="preserve"> Enabling Division</w:t>
            </w:r>
            <w:r w:rsidR="0041061D">
              <w:rPr>
                <w:rFonts w:cs="Arial"/>
                <w:iCs/>
                <w:sz w:val="20"/>
                <w:szCs w:val="20"/>
              </w:rPr>
              <w:t xml:space="preserve"> and H</w:t>
            </w:r>
            <w:r w:rsidR="00A4632D">
              <w:rPr>
                <w:rFonts w:cs="Arial"/>
                <w:iCs/>
                <w:sz w:val="20"/>
                <w:szCs w:val="20"/>
              </w:rPr>
              <w:t xml:space="preserve">umanitarian Division </w:t>
            </w:r>
            <w:r w:rsidR="005A004E">
              <w:rPr>
                <w:rFonts w:cs="Arial"/>
                <w:iCs/>
                <w:sz w:val="20"/>
                <w:szCs w:val="20"/>
              </w:rPr>
              <w:t xml:space="preserve">and </w:t>
            </w:r>
            <w:r w:rsidR="00C46BBD">
              <w:rPr>
                <w:rFonts w:cs="Arial"/>
                <w:iCs/>
                <w:sz w:val="20"/>
                <w:szCs w:val="20"/>
              </w:rPr>
              <w:t xml:space="preserve">the </w:t>
            </w:r>
            <w:r w:rsidR="005A004E">
              <w:rPr>
                <w:rFonts w:cs="Arial"/>
                <w:iCs/>
                <w:sz w:val="20"/>
                <w:szCs w:val="20"/>
              </w:rPr>
              <w:t xml:space="preserve">DPC </w:t>
            </w:r>
            <w:r w:rsidR="00994DB7" w:rsidRPr="002160AB">
              <w:rPr>
                <w:rFonts w:cs="Arial"/>
                <w:iCs/>
                <w:sz w:val="20"/>
                <w:szCs w:val="20"/>
              </w:rPr>
              <w:t xml:space="preserve">to </w:t>
            </w:r>
            <w:r w:rsidRPr="002160AB">
              <w:rPr>
                <w:rFonts w:cs="Arial"/>
                <w:iCs/>
                <w:sz w:val="20"/>
                <w:szCs w:val="20"/>
              </w:rPr>
              <w:t xml:space="preserve">explore opportunities </w:t>
            </w:r>
            <w:r w:rsidR="003F368F" w:rsidRPr="002160AB">
              <w:rPr>
                <w:rFonts w:cs="Arial"/>
                <w:iCs/>
                <w:sz w:val="20"/>
                <w:szCs w:val="20"/>
              </w:rPr>
              <w:t xml:space="preserve">to </w:t>
            </w:r>
            <w:r w:rsidR="00E73516" w:rsidRPr="002160AB">
              <w:rPr>
                <w:rFonts w:cs="Arial"/>
                <w:iCs/>
                <w:sz w:val="20"/>
                <w:szCs w:val="20"/>
              </w:rPr>
              <w:t xml:space="preserve">test </w:t>
            </w:r>
            <w:r w:rsidR="003F368F" w:rsidRPr="002160AB">
              <w:rPr>
                <w:rFonts w:cs="Arial"/>
                <w:iCs/>
                <w:sz w:val="20"/>
                <w:szCs w:val="20"/>
              </w:rPr>
              <w:t xml:space="preserve">risk informed </w:t>
            </w:r>
            <w:r w:rsidR="00724580">
              <w:rPr>
                <w:rFonts w:cs="Arial"/>
                <w:iCs/>
                <w:sz w:val="20"/>
                <w:szCs w:val="20"/>
              </w:rPr>
              <w:t xml:space="preserve">programming </w:t>
            </w:r>
            <w:r w:rsidR="00422297" w:rsidRPr="002160AB">
              <w:rPr>
                <w:rFonts w:cs="Arial"/>
                <w:iCs/>
                <w:sz w:val="20"/>
                <w:szCs w:val="20"/>
              </w:rPr>
              <w:t>within the ANCP</w:t>
            </w:r>
            <w:r w:rsidR="00606717" w:rsidRPr="002160AB">
              <w:rPr>
                <w:rFonts w:cs="Arial"/>
                <w:iCs/>
                <w:sz w:val="20"/>
                <w:szCs w:val="20"/>
              </w:rPr>
              <w:t xml:space="preserve">, drawing on the lessons learned from </w:t>
            </w:r>
            <w:r w:rsidR="00E7147D">
              <w:rPr>
                <w:rFonts w:cs="Arial"/>
                <w:iCs/>
                <w:sz w:val="20"/>
                <w:szCs w:val="20"/>
              </w:rPr>
              <w:t xml:space="preserve">investments such as </w:t>
            </w:r>
            <w:r w:rsidR="00130171">
              <w:rPr>
                <w:rFonts w:cs="Arial"/>
                <w:iCs/>
                <w:sz w:val="20"/>
                <w:szCs w:val="20"/>
              </w:rPr>
              <w:t xml:space="preserve">the </w:t>
            </w:r>
            <w:r w:rsidR="00606717" w:rsidRPr="002160AB">
              <w:rPr>
                <w:rFonts w:cs="Arial"/>
                <w:iCs/>
                <w:sz w:val="20"/>
                <w:szCs w:val="20"/>
              </w:rPr>
              <w:t>A</w:t>
            </w:r>
            <w:r w:rsidR="00130171">
              <w:rPr>
                <w:rFonts w:cs="Arial"/>
                <w:iCs/>
                <w:sz w:val="20"/>
                <w:szCs w:val="20"/>
              </w:rPr>
              <w:t xml:space="preserve">ustralian </w:t>
            </w:r>
            <w:r w:rsidR="00606717" w:rsidRPr="002160AB">
              <w:rPr>
                <w:rFonts w:cs="Arial"/>
                <w:iCs/>
                <w:sz w:val="20"/>
                <w:szCs w:val="20"/>
              </w:rPr>
              <w:t>H</w:t>
            </w:r>
            <w:r w:rsidR="00E1403F">
              <w:rPr>
                <w:rFonts w:cs="Arial"/>
                <w:iCs/>
                <w:sz w:val="20"/>
                <w:szCs w:val="20"/>
              </w:rPr>
              <w:t xml:space="preserve">umanitarian </w:t>
            </w:r>
            <w:r w:rsidR="00606717" w:rsidRPr="002160AB">
              <w:rPr>
                <w:rFonts w:cs="Arial"/>
                <w:iCs/>
                <w:sz w:val="20"/>
                <w:szCs w:val="20"/>
              </w:rPr>
              <w:t>P</w:t>
            </w:r>
            <w:r w:rsidR="00E1403F">
              <w:rPr>
                <w:rFonts w:cs="Arial"/>
                <w:iCs/>
                <w:sz w:val="20"/>
                <w:szCs w:val="20"/>
              </w:rPr>
              <w:t xml:space="preserve">artnership </w:t>
            </w:r>
            <w:r w:rsidR="00606717" w:rsidRPr="002160AB">
              <w:rPr>
                <w:rFonts w:cs="Arial"/>
                <w:iCs/>
                <w:sz w:val="20"/>
                <w:szCs w:val="20"/>
              </w:rPr>
              <w:t>and Australia Assists</w:t>
            </w:r>
            <w:r w:rsidR="007B361F" w:rsidRPr="002160AB">
              <w:rPr>
                <w:rFonts w:cs="Arial"/>
                <w:iCs/>
                <w:sz w:val="20"/>
                <w:szCs w:val="20"/>
              </w:rPr>
              <w:t>.</w:t>
            </w:r>
            <w:r w:rsidR="0051126F">
              <w:rPr>
                <w:rFonts w:cs="Arial"/>
                <w:iCs/>
                <w:sz w:val="20"/>
                <w:szCs w:val="20"/>
              </w:rPr>
              <w:t xml:space="preserve"> This will be considered </w:t>
            </w:r>
            <w:r w:rsidR="0069628B">
              <w:rPr>
                <w:rFonts w:cs="Arial"/>
                <w:iCs/>
                <w:sz w:val="20"/>
                <w:szCs w:val="20"/>
              </w:rPr>
              <w:t xml:space="preserve">and informed by the </w:t>
            </w:r>
            <w:r w:rsidR="00C46BBD">
              <w:rPr>
                <w:rFonts w:cs="Arial"/>
                <w:iCs/>
                <w:sz w:val="20"/>
                <w:szCs w:val="20"/>
              </w:rPr>
              <w:lastRenderedPageBreak/>
              <w:t>A</w:t>
            </w:r>
            <w:r w:rsidR="0051126F">
              <w:rPr>
                <w:rFonts w:cs="Arial"/>
                <w:iCs/>
                <w:sz w:val="20"/>
                <w:szCs w:val="20"/>
              </w:rPr>
              <w:t>ccreditation refresh</w:t>
            </w:r>
            <w:r w:rsidR="0069628B">
              <w:rPr>
                <w:rFonts w:cs="Arial"/>
                <w:iCs/>
                <w:sz w:val="20"/>
                <w:szCs w:val="20"/>
              </w:rPr>
              <w:t xml:space="preserve"> and will be </w:t>
            </w:r>
            <w:r w:rsidR="00596994">
              <w:rPr>
                <w:rFonts w:cs="Arial"/>
                <w:iCs/>
                <w:sz w:val="20"/>
                <w:szCs w:val="20"/>
              </w:rPr>
              <w:t>considered</w:t>
            </w:r>
            <w:r w:rsidR="0069628B">
              <w:rPr>
                <w:rFonts w:cs="Arial"/>
                <w:iCs/>
                <w:sz w:val="20"/>
                <w:szCs w:val="20"/>
              </w:rPr>
              <w:t xml:space="preserve"> as part of strengthening the partnership approach</w:t>
            </w:r>
            <w:r w:rsidR="0051126F">
              <w:rPr>
                <w:rFonts w:cs="Arial"/>
                <w:iCs/>
                <w:sz w:val="20"/>
                <w:szCs w:val="20"/>
              </w:rPr>
              <w:t xml:space="preserve">. </w:t>
            </w:r>
            <w:r w:rsidR="007B361F" w:rsidRPr="002160AB">
              <w:rPr>
                <w:rFonts w:cs="Arial"/>
                <w:iCs/>
                <w:sz w:val="20"/>
                <w:szCs w:val="20"/>
              </w:rPr>
              <w:t xml:space="preserve"> </w:t>
            </w:r>
            <w:r w:rsidR="00A97E1E" w:rsidRPr="002160AB">
              <w:rPr>
                <w:rFonts w:cs="Arial"/>
                <w:iCs/>
                <w:sz w:val="20"/>
                <w:szCs w:val="20"/>
              </w:rPr>
              <w:t>This analysis</w:t>
            </w:r>
            <w:r w:rsidR="00482323" w:rsidRPr="002160AB">
              <w:rPr>
                <w:rFonts w:cs="Arial"/>
                <w:iCs/>
                <w:sz w:val="20"/>
                <w:szCs w:val="20"/>
              </w:rPr>
              <w:t xml:space="preserve"> </w:t>
            </w:r>
            <w:r w:rsidR="00A97E1E" w:rsidRPr="002160AB">
              <w:rPr>
                <w:rFonts w:cs="Arial"/>
                <w:iCs/>
                <w:sz w:val="20"/>
                <w:szCs w:val="20"/>
              </w:rPr>
              <w:t>will</w:t>
            </w:r>
            <w:r w:rsidR="0041061D">
              <w:rPr>
                <w:rFonts w:cs="Arial"/>
                <w:iCs/>
                <w:sz w:val="20"/>
                <w:szCs w:val="20"/>
              </w:rPr>
              <w:t xml:space="preserve"> also</w:t>
            </w:r>
            <w:r w:rsidR="00A97E1E" w:rsidRPr="002160AB">
              <w:rPr>
                <w:rFonts w:cs="Arial"/>
                <w:iCs/>
                <w:sz w:val="20"/>
                <w:szCs w:val="20"/>
              </w:rPr>
              <w:t xml:space="preserve"> </w:t>
            </w:r>
            <w:r w:rsidR="0041061D">
              <w:rPr>
                <w:rFonts w:cs="Arial"/>
                <w:iCs/>
                <w:sz w:val="20"/>
                <w:szCs w:val="20"/>
              </w:rPr>
              <w:t xml:space="preserve">consider </w:t>
            </w:r>
            <w:r w:rsidR="00CD086A">
              <w:rPr>
                <w:rFonts w:cs="Arial"/>
                <w:iCs/>
                <w:sz w:val="20"/>
                <w:szCs w:val="20"/>
              </w:rPr>
              <w:t>how this type of programming can be best balanced with DFAT’s legislative requirements</w:t>
            </w:r>
            <w:r w:rsidR="009A492E">
              <w:rPr>
                <w:rFonts w:cs="Arial"/>
                <w:iCs/>
                <w:sz w:val="20"/>
                <w:szCs w:val="20"/>
              </w:rPr>
              <w:t xml:space="preserve"> </w:t>
            </w:r>
            <w:r w:rsidR="0051126F">
              <w:rPr>
                <w:rFonts w:cs="Arial"/>
                <w:iCs/>
                <w:sz w:val="20"/>
                <w:szCs w:val="20"/>
              </w:rPr>
              <w:t xml:space="preserve">related to </w:t>
            </w:r>
            <w:r w:rsidR="00CD086A">
              <w:rPr>
                <w:rFonts w:cs="Arial"/>
                <w:iCs/>
                <w:sz w:val="20"/>
                <w:szCs w:val="20"/>
              </w:rPr>
              <w:t>risk management and safeguards</w:t>
            </w:r>
            <w:r w:rsidR="00272EA6">
              <w:rPr>
                <w:rFonts w:cs="Arial"/>
                <w:iCs/>
                <w:sz w:val="20"/>
                <w:szCs w:val="20"/>
              </w:rPr>
              <w:t>,</w:t>
            </w:r>
            <w:r w:rsidR="004137FB">
              <w:rPr>
                <w:rFonts w:cs="Arial"/>
                <w:iCs/>
                <w:sz w:val="20"/>
                <w:szCs w:val="20"/>
              </w:rPr>
              <w:t xml:space="preserve"> and</w:t>
            </w:r>
            <w:r w:rsidR="00272EA6">
              <w:rPr>
                <w:rFonts w:cs="Arial"/>
                <w:iCs/>
                <w:sz w:val="20"/>
                <w:szCs w:val="20"/>
              </w:rPr>
              <w:t xml:space="preserve"> how to</w:t>
            </w:r>
            <w:r w:rsidR="004137FB">
              <w:rPr>
                <w:rFonts w:cs="Arial"/>
                <w:iCs/>
                <w:sz w:val="20"/>
                <w:szCs w:val="20"/>
              </w:rPr>
              <w:t xml:space="preserve"> </w:t>
            </w:r>
            <w:r w:rsidR="00864423">
              <w:rPr>
                <w:rFonts w:cs="Arial"/>
                <w:iCs/>
                <w:sz w:val="20"/>
                <w:szCs w:val="20"/>
              </w:rPr>
              <w:t>utilis</w:t>
            </w:r>
            <w:r w:rsidR="00272EA6">
              <w:rPr>
                <w:rFonts w:cs="Arial"/>
                <w:iCs/>
                <w:sz w:val="20"/>
                <w:szCs w:val="20"/>
              </w:rPr>
              <w:t>e</w:t>
            </w:r>
            <w:r w:rsidR="00864423">
              <w:rPr>
                <w:rFonts w:cs="Arial"/>
                <w:iCs/>
                <w:sz w:val="20"/>
                <w:szCs w:val="20"/>
              </w:rPr>
              <w:t xml:space="preserve"> the </w:t>
            </w:r>
            <w:r w:rsidR="004137FB">
              <w:rPr>
                <w:rFonts w:cs="Arial"/>
                <w:iCs/>
                <w:sz w:val="20"/>
                <w:szCs w:val="20"/>
              </w:rPr>
              <w:t xml:space="preserve">current flexibility </w:t>
            </w:r>
            <w:r w:rsidR="00864423">
              <w:rPr>
                <w:rFonts w:cs="Arial"/>
                <w:iCs/>
                <w:sz w:val="20"/>
                <w:szCs w:val="20"/>
              </w:rPr>
              <w:t xml:space="preserve">that exists </w:t>
            </w:r>
            <w:r w:rsidR="004137FB">
              <w:rPr>
                <w:rFonts w:cs="Arial"/>
                <w:iCs/>
                <w:sz w:val="20"/>
                <w:szCs w:val="20"/>
              </w:rPr>
              <w:t xml:space="preserve">in ANCP </w:t>
            </w:r>
            <w:r w:rsidR="00864423">
              <w:rPr>
                <w:rFonts w:cs="Arial"/>
                <w:iCs/>
                <w:sz w:val="20"/>
                <w:szCs w:val="20"/>
              </w:rPr>
              <w:t>to expand on adaptive programming.</w:t>
            </w:r>
          </w:p>
          <w:p w14:paraId="5F86963F" w14:textId="3835D2CD" w:rsidR="00277598" w:rsidRDefault="00277598" w:rsidP="00277598">
            <w:pPr>
              <w:numPr>
                <w:ilvl w:val="0"/>
                <w:numId w:val="0"/>
              </w:numPr>
              <w:cnfStyle w:val="000000000000" w:firstRow="0" w:lastRow="0" w:firstColumn="0" w:lastColumn="0" w:oddVBand="0" w:evenVBand="0" w:oddHBand="0" w:evenHBand="0" w:firstRowFirstColumn="0" w:firstRowLastColumn="0" w:lastRowFirstColumn="0" w:lastRowLastColumn="0"/>
              <w:rPr>
                <w:rFonts w:cs="Arial"/>
                <w:iCs/>
                <w:sz w:val="20"/>
                <w:szCs w:val="20"/>
              </w:rPr>
            </w:pPr>
          </w:p>
          <w:p w14:paraId="6F97E825" w14:textId="77777777" w:rsidR="00BF7716" w:rsidRPr="002160AB" w:rsidRDefault="00BF7716" w:rsidP="00E73516">
            <w:pPr>
              <w:cnfStyle w:val="000000000000" w:firstRow="0" w:lastRow="0" w:firstColumn="0" w:lastColumn="0" w:oddVBand="0" w:evenVBand="0" w:oddHBand="0" w:evenHBand="0" w:firstRowFirstColumn="0" w:firstRowLastColumn="0" w:lastRowFirstColumn="0" w:lastRowLastColumn="0"/>
              <w:rPr>
                <w:rFonts w:cs="Arial"/>
                <w:iCs/>
                <w:sz w:val="20"/>
                <w:szCs w:val="20"/>
              </w:rPr>
            </w:pPr>
          </w:p>
          <w:p w14:paraId="525C12C0" w14:textId="648F72C0" w:rsidR="00AE486F" w:rsidRPr="00D25131" w:rsidRDefault="00AE486F" w:rsidP="0046058F">
            <w:pPr>
              <w:spacing w:before="0" w:after="0"/>
              <w:cnfStyle w:val="000000000000" w:firstRow="0" w:lastRow="0" w:firstColumn="0" w:lastColumn="0" w:oddVBand="0" w:evenVBand="0" w:oddHBand="0" w:evenHBand="0" w:firstRowFirstColumn="0" w:firstRowLastColumn="0" w:lastRowFirstColumn="0" w:lastRowLastColumn="0"/>
              <w:rPr>
                <w:rFonts w:cs="Arial"/>
                <w:i/>
                <w:iCs/>
                <w:sz w:val="20"/>
                <w:szCs w:val="20"/>
              </w:rPr>
            </w:pPr>
          </w:p>
        </w:tc>
        <w:tc>
          <w:tcPr>
            <w:tcW w:w="1606" w:type="dxa"/>
          </w:tcPr>
          <w:p w14:paraId="31483FB2" w14:textId="3B243EAC" w:rsidR="001764F8" w:rsidRPr="00637851" w:rsidRDefault="0009640F" w:rsidP="001764F8">
            <w:pPr>
              <w:numPr>
                <w:ilvl w:val="0"/>
                <w:numId w:val="0"/>
              </w:numPr>
              <w:cnfStyle w:val="000000000000" w:firstRow="0" w:lastRow="0" w:firstColumn="0" w:lastColumn="0" w:oddVBand="0" w:evenVBand="0" w:oddHBand="0" w:evenHBand="0" w:firstRowFirstColumn="0" w:firstRowLastColumn="0" w:lastRowFirstColumn="0" w:lastRowLastColumn="0"/>
              <w:rPr>
                <w:rFonts w:cs="Arial"/>
                <w:iCs/>
                <w:sz w:val="20"/>
                <w:szCs w:val="20"/>
              </w:rPr>
            </w:pPr>
            <w:r>
              <w:rPr>
                <w:rFonts w:cs="Arial"/>
                <w:iCs/>
                <w:sz w:val="20"/>
                <w:szCs w:val="20"/>
              </w:rPr>
              <w:lastRenderedPageBreak/>
              <w:t>Commence</w:t>
            </w:r>
            <w:r w:rsidR="00F236FA">
              <w:rPr>
                <w:rFonts w:cs="Arial"/>
                <w:iCs/>
                <w:sz w:val="20"/>
                <w:szCs w:val="20"/>
              </w:rPr>
              <w:t xml:space="preserve"> </w:t>
            </w:r>
            <w:r w:rsidR="005A004E">
              <w:rPr>
                <w:rFonts w:cs="Arial"/>
                <w:iCs/>
                <w:sz w:val="20"/>
                <w:szCs w:val="20"/>
              </w:rPr>
              <w:t xml:space="preserve">in </w:t>
            </w:r>
            <w:r w:rsidR="00825445" w:rsidRPr="00637851">
              <w:rPr>
                <w:rFonts w:cs="Arial"/>
                <w:iCs/>
                <w:sz w:val="20"/>
                <w:szCs w:val="20"/>
              </w:rPr>
              <w:t>2023</w:t>
            </w:r>
          </w:p>
        </w:tc>
      </w:tr>
      <w:tr w:rsidR="008B525B" w14:paraId="7BFA4A6D" w14:textId="77777777" w:rsidTr="0007614B">
        <w:tc>
          <w:tcPr>
            <w:cnfStyle w:val="001000000000" w:firstRow="0" w:lastRow="0" w:firstColumn="1" w:lastColumn="0" w:oddVBand="0" w:evenVBand="0" w:oddHBand="0" w:evenHBand="0" w:firstRowFirstColumn="0" w:firstRowLastColumn="0" w:lastRowFirstColumn="0" w:lastRowLastColumn="0"/>
            <w:tcW w:w="4418" w:type="dxa"/>
          </w:tcPr>
          <w:p w14:paraId="18D914C8" w14:textId="0A2520F3" w:rsidR="001764F8" w:rsidRPr="005A56C1" w:rsidRDefault="001764F8" w:rsidP="001764F8">
            <w:pPr>
              <w:pStyle w:val="ListNumber3"/>
              <w:tabs>
                <w:tab w:val="clear" w:pos="1077"/>
              </w:tabs>
              <w:ind w:left="0" w:firstLine="0"/>
              <w:rPr>
                <w:sz w:val="20"/>
                <w:szCs w:val="20"/>
              </w:rPr>
            </w:pPr>
            <w:r w:rsidRPr="005A56C1">
              <w:rPr>
                <w:sz w:val="20"/>
                <w:szCs w:val="20"/>
              </w:rPr>
              <w:t>R1.4</w:t>
            </w:r>
            <w:r w:rsidRPr="005A56C1">
              <w:rPr>
                <w:sz w:val="20"/>
                <w:szCs w:val="20"/>
              </w:rPr>
              <w:tab/>
              <w:t>Monitoring, Evaluation and Learning</w:t>
            </w:r>
          </w:p>
          <w:p w14:paraId="605421AE" w14:textId="144D0969" w:rsidR="001764F8" w:rsidRDefault="001764F8" w:rsidP="001764F8">
            <w:pPr>
              <w:pStyle w:val="ListNumber3"/>
              <w:numPr>
                <w:ilvl w:val="2"/>
                <w:numId w:val="1"/>
              </w:numPr>
              <w:rPr>
                <w:bCs/>
                <w:sz w:val="20"/>
                <w:szCs w:val="20"/>
              </w:rPr>
            </w:pPr>
            <w:r w:rsidRPr="005A56C1">
              <w:rPr>
                <w:b w:val="0"/>
                <w:bCs/>
                <w:sz w:val="20"/>
                <w:szCs w:val="20"/>
              </w:rPr>
              <w:t xml:space="preserve">Reorienting the </w:t>
            </w:r>
            <w:r w:rsidR="00CB723B" w:rsidRPr="00CB723B">
              <w:rPr>
                <w:b w:val="0"/>
                <w:bCs/>
                <w:sz w:val="20"/>
                <w:szCs w:val="20"/>
              </w:rPr>
              <w:t>monitoring, evaluation and learning</w:t>
            </w:r>
            <w:r w:rsidR="00CB723B">
              <w:rPr>
                <w:sz w:val="20"/>
                <w:szCs w:val="20"/>
              </w:rPr>
              <w:t xml:space="preserve"> (</w:t>
            </w:r>
            <w:r w:rsidRPr="005A56C1">
              <w:rPr>
                <w:b w:val="0"/>
                <w:bCs/>
                <w:sz w:val="20"/>
                <w:szCs w:val="20"/>
              </w:rPr>
              <w:t>MEL</w:t>
            </w:r>
            <w:r w:rsidR="00CB723B">
              <w:rPr>
                <w:b w:val="0"/>
                <w:bCs/>
                <w:sz w:val="20"/>
                <w:szCs w:val="20"/>
              </w:rPr>
              <w:t xml:space="preserve">) </w:t>
            </w:r>
            <w:r w:rsidRPr="005A56C1">
              <w:rPr>
                <w:b w:val="0"/>
                <w:bCs/>
                <w:sz w:val="20"/>
                <w:szCs w:val="20"/>
              </w:rPr>
              <w:t xml:space="preserve">system to reflect the modality logic (theory of change and theory of action) more accurately, focussing MEL against a results chain that aligns with the modality’s sphere of control and influence </w:t>
            </w:r>
          </w:p>
          <w:p w14:paraId="291A6082" w14:textId="1979E35F" w:rsidR="001764F8" w:rsidRPr="005A56C1" w:rsidRDefault="001764F8" w:rsidP="001764F8">
            <w:pPr>
              <w:pStyle w:val="ListNumber3"/>
              <w:numPr>
                <w:ilvl w:val="2"/>
                <w:numId w:val="1"/>
              </w:numPr>
              <w:rPr>
                <w:b w:val="0"/>
                <w:bCs/>
                <w:sz w:val="20"/>
                <w:szCs w:val="20"/>
              </w:rPr>
            </w:pPr>
            <w:r w:rsidRPr="005A56C1">
              <w:rPr>
                <w:b w:val="0"/>
                <w:bCs/>
                <w:sz w:val="20"/>
                <w:szCs w:val="20"/>
              </w:rPr>
              <w:t>Increase budget allocations for the ANCP's MEL system and consider whether alternative resou</w:t>
            </w:r>
            <w:r>
              <w:rPr>
                <w:b w:val="0"/>
                <w:bCs/>
                <w:sz w:val="20"/>
                <w:szCs w:val="20"/>
              </w:rPr>
              <w:t>r</w:t>
            </w:r>
            <w:r w:rsidRPr="005A56C1">
              <w:rPr>
                <w:b w:val="0"/>
                <w:bCs/>
                <w:sz w:val="20"/>
                <w:szCs w:val="20"/>
              </w:rPr>
              <w:t>cing arrangements for the technical input and management of the ANCP MEL system will result in greater dividends.</w:t>
            </w:r>
          </w:p>
        </w:tc>
        <w:tc>
          <w:tcPr>
            <w:tcW w:w="1268" w:type="dxa"/>
            <w:shd w:val="clear" w:color="auto" w:fill="92D050"/>
          </w:tcPr>
          <w:p w14:paraId="73F514C5" w14:textId="37D657DF" w:rsidR="001764F8" w:rsidRPr="00137C22" w:rsidRDefault="001764F8" w:rsidP="001764F8">
            <w:pPr>
              <w:numPr>
                <w:ilvl w:val="0"/>
                <w:numId w:val="0"/>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137C22">
              <w:rPr>
                <w:rFonts w:cs="Arial"/>
                <w:sz w:val="20"/>
                <w:szCs w:val="20"/>
              </w:rPr>
              <w:t>Agree</w:t>
            </w:r>
          </w:p>
        </w:tc>
        <w:tc>
          <w:tcPr>
            <w:tcW w:w="3147" w:type="dxa"/>
          </w:tcPr>
          <w:p w14:paraId="4BD1E853" w14:textId="4D6DD0A2" w:rsidR="00BA06C7" w:rsidRPr="00264FDD" w:rsidRDefault="00E774DF" w:rsidP="00264FDD">
            <w:pPr>
              <w:numPr>
                <w:ilvl w:val="0"/>
                <w:numId w:val="0"/>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DFAT </w:t>
            </w:r>
            <w:r w:rsidR="00CD086A">
              <w:rPr>
                <w:rFonts w:cs="Arial"/>
                <w:sz w:val="20"/>
                <w:szCs w:val="20"/>
              </w:rPr>
              <w:t>agrees</w:t>
            </w:r>
            <w:r w:rsidR="0007406C">
              <w:rPr>
                <w:rFonts w:cs="Arial"/>
                <w:sz w:val="20"/>
                <w:szCs w:val="20"/>
              </w:rPr>
              <w:t xml:space="preserve"> that</w:t>
            </w:r>
            <w:r w:rsidR="00CD086A">
              <w:rPr>
                <w:rFonts w:cs="Arial"/>
                <w:sz w:val="20"/>
                <w:szCs w:val="20"/>
              </w:rPr>
              <w:t xml:space="preserve"> the recommended reforms to the ANCP MEL system will enable </w:t>
            </w:r>
            <w:r w:rsidR="0007406C">
              <w:rPr>
                <w:rFonts w:cs="Arial"/>
                <w:sz w:val="20"/>
                <w:szCs w:val="20"/>
              </w:rPr>
              <w:t>better reporting of outcomes</w:t>
            </w:r>
            <w:r w:rsidR="004E72C4">
              <w:rPr>
                <w:rFonts w:cs="Arial"/>
                <w:sz w:val="20"/>
                <w:szCs w:val="20"/>
              </w:rPr>
              <w:t xml:space="preserve"> </w:t>
            </w:r>
            <w:r w:rsidR="0007406C">
              <w:rPr>
                <w:rFonts w:cs="Arial"/>
                <w:sz w:val="20"/>
                <w:szCs w:val="20"/>
              </w:rPr>
              <w:t xml:space="preserve">and contribute to </w:t>
            </w:r>
            <w:r w:rsidR="00B23609">
              <w:rPr>
                <w:rFonts w:cs="Arial"/>
                <w:sz w:val="20"/>
                <w:szCs w:val="20"/>
              </w:rPr>
              <w:t xml:space="preserve">strategic two-way sharing of learning </w:t>
            </w:r>
            <w:r w:rsidR="0007406C">
              <w:rPr>
                <w:rFonts w:cs="Arial"/>
                <w:sz w:val="20"/>
                <w:szCs w:val="20"/>
              </w:rPr>
              <w:t>between DFAT and ANCP partners.</w:t>
            </w:r>
            <w:r w:rsidR="004E72C4">
              <w:rPr>
                <w:rFonts w:cs="Arial"/>
                <w:sz w:val="20"/>
                <w:szCs w:val="20"/>
              </w:rPr>
              <w:t xml:space="preserve"> </w:t>
            </w:r>
            <w:r w:rsidR="008E353F">
              <w:rPr>
                <w:rFonts w:cs="Arial"/>
                <w:sz w:val="20"/>
                <w:szCs w:val="20"/>
              </w:rPr>
              <w:t xml:space="preserve">DFAT notes that reforms to the ANCP MEL system will need to also consider </w:t>
            </w:r>
            <w:r w:rsidR="008B525B">
              <w:rPr>
                <w:rFonts w:cs="Arial"/>
                <w:sz w:val="20"/>
                <w:szCs w:val="20"/>
              </w:rPr>
              <w:t xml:space="preserve">annual corporate </w:t>
            </w:r>
            <w:r w:rsidR="008E353F">
              <w:rPr>
                <w:rFonts w:cs="Arial"/>
                <w:sz w:val="20"/>
                <w:szCs w:val="20"/>
              </w:rPr>
              <w:t xml:space="preserve">requirements under DFAT’s new performance assessment framework, </w:t>
            </w:r>
            <w:r w:rsidR="008B525B">
              <w:rPr>
                <w:rFonts w:cs="Arial"/>
                <w:sz w:val="20"/>
                <w:szCs w:val="20"/>
              </w:rPr>
              <w:t xml:space="preserve">which will accompany </w:t>
            </w:r>
            <w:r w:rsidR="008E353F">
              <w:rPr>
                <w:rFonts w:cs="Arial"/>
                <w:sz w:val="20"/>
                <w:szCs w:val="20"/>
              </w:rPr>
              <w:t>the new international development policy.</w:t>
            </w:r>
          </w:p>
          <w:p w14:paraId="1C2AB697" w14:textId="0E65925A" w:rsidR="0007337F" w:rsidRPr="0028090F" w:rsidRDefault="006703BB" w:rsidP="00684F03">
            <w:pPr>
              <w:numPr>
                <w:ilvl w:val="0"/>
                <w:numId w:val="0"/>
              </w:num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lastRenderedPageBreak/>
              <w:t>DFAT a</w:t>
            </w:r>
            <w:r w:rsidR="0000725D">
              <w:rPr>
                <w:rFonts w:cs="Arial"/>
                <w:sz w:val="20"/>
                <w:szCs w:val="20"/>
              </w:rPr>
              <w:t>gree</w:t>
            </w:r>
            <w:r>
              <w:rPr>
                <w:rFonts w:cs="Arial"/>
                <w:sz w:val="20"/>
                <w:szCs w:val="20"/>
              </w:rPr>
              <w:t xml:space="preserve">s that some of these reforms </w:t>
            </w:r>
            <w:r w:rsidR="004B6E42">
              <w:rPr>
                <w:rFonts w:cs="Arial"/>
                <w:sz w:val="20"/>
                <w:szCs w:val="20"/>
              </w:rPr>
              <w:t>will</w:t>
            </w:r>
            <w:r>
              <w:rPr>
                <w:rFonts w:cs="Arial"/>
                <w:sz w:val="20"/>
                <w:szCs w:val="20"/>
              </w:rPr>
              <w:t xml:space="preserve"> require </w:t>
            </w:r>
            <w:r w:rsidR="008F3B9C">
              <w:rPr>
                <w:rFonts w:cs="Arial"/>
                <w:sz w:val="20"/>
                <w:szCs w:val="20"/>
              </w:rPr>
              <w:t xml:space="preserve">additional </w:t>
            </w:r>
            <w:r w:rsidR="00C46BBD">
              <w:rPr>
                <w:rFonts w:cs="Arial"/>
                <w:sz w:val="20"/>
                <w:szCs w:val="20"/>
              </w:rPr>
              <w:t xml:space="preserve">resources </w:t>
            </w:r>
            <w:r w:rsidR="00365D94">
              <w:rPr>
                <w:rFonts w:cs="Arial"/>
                <w:sz w:val="20"/>
                <w:szCs w:val="20"/>
              </w:rPr>
              <w:t xml:space="preserve">and </w:t>
            </w:r>
            <w:r w:rsidR="009C746F">
              <w:rPr>
                <w:rFonts w:cs="Arial"/>
                <w:sz w:val="20"/>
                <w:szCs w:val="20"/>
              </w:rPr>
              <w:t xml:space="preserve">access to </w:t>
            </w:r>
            <w:r>
              <w:rPr>
                <w:rFonts w:cs="Arial"/>
                <w:sz w:val="20"/>
                <w:szCs w:val="20"/>
              </w:rPr>
              <w:t>specialist technical MEL capability</w:t>
            </w:r>
            <w:r w:rsidR="009C746F">
              <w:rPr>
                <w:rFonts w:cs="Arial"/>
                <w:sz w:val="20"/>
                <w:szCs w:val="20"/>
              </w:rPr>
              <w:t>.</w:t>
            </w:r>
            <w:r w:rsidR="0069628B">
              <w:rPr>
                <w:rFonts w:cs="Arial"/>
                <w:sz w:val="20"/>
                <w:szCs w:val="20"/>
              </w:rPr>
              <w:t xml:space="preserve"> </w:t>
            </w:r>
          </w:p>
        </w:tc>
        <w:tc>
          <w:tcPr>
            <w:tcW w:w="3509" w:type="dxa"/>
          </w:tcPr>
          <w:p w14:paraId="67A997FC" w14:textId="23DF229F" w:rsidR="00F20DF1" w:rsidRDefault="008674AA" w:rsidP="00A94967">
            <w:pPr>
              <w:numPr>
                <w:ilvl w:val="0"/>
                <w:numId w:val="0"/>
              </w:numPr>
              <w:cnfStyle w:val="000000000000" w:firstRow="0" w:lastRow="0" w:firstColumn="0" w:lastColumn="0" w:oddVBand="0" w:evenVBand="0" w:oddHBand="0" w:evenHBand="0" w:firstRowFirstColumn="0" w:firstRowLastColumn="0" w:lastRowFirstColumn="0" w:lastRowLastColumn="0"/>
              <w:rPr>
                <w:sz w:val="20"/>
                <w:szCs w:val="20"/>
              </w:rPr>
            </w:pPr>
            <w:r w:rsidRPr="00684F03">
              <w:rPr>
                <w:sz w:val="20"/>
                <w:szCs w:val="20"/>
              </w:rPr>
              <w:lastRenderedPageBreak/>
              <w:t xml:space="preserve">Reforms </w:t>
            </w:r>
            <w:r w:rsidR="001F13FE" w:rsidRPr="00684F03">
              <w:rPr>
                <w:sz w:val="20"/>
                <w:szCs w:val="20"/>
              </w:rPr>
              <w:t>to</w:t>
            </w:r>
            <w:r w:rsidRPr="00684F03">
              <w:rPr>
                <w:sz w:val="20"/>
                <w:szCs w:val="20"/>
              </w:rPr>
              <w:t xml:space="preserve"> the MEL system will be considered as part of the </w:t>
            </w:r>
            <w:r w:rsidR="0007406C">
              <w:rPr>
                <w:sz w:val="20"/>
                <w:szCs w:val="20"/>
              </w:rPr>
              <w:t>move</w:t>
            </w:r>
            <w:r w:rsidRPr="00684F03">
              <w:rPr>
                <w:sz w:val="20"/>
                <w:szCs w:val="20"/>
              </w:rPr>
              <w:t xml:space="preserve"> to</w:t>
            </w:r>
            <w:r w:rsidR="00495295" w:rsidRPr="00684F03">
              <w:rPr>
                <w:sz w:val="20"/>
                <w:szCs w:val="20"/>
              </w:rPr>
              <w:t xml:space="preserve"> </w:t>
            </w:r>
            <w:r w:rsidR="001F13FE" w:rsidRPr="00684F03">
              <w:rPr>
                <w:sz w:val="20"/>
                <w:szCs w:val="20"/>
              </w:rPr>
              <w:t xml:space="preserve">multi-year funding and a </w:t>
            </w:r>
            <w:r w:rsidRPr="00684F03">
              <w:rPr>
                <w:sz w:val="20"/>
                <w:szCs w:val="20"/>
              </w:rPr>
              <w:t xml:space="preserve">more strategic partnership approach. This will include a </w:t>
            </w:r>
            <w:r w:rsidR="00B8226E" w:rsidRPr="00684F03">
              <w:rPr>
                <w:sz w:val="20"/>
                <w:szCs w:val="20"/>
              </w:rPr>
              <w:t xml:space="preserve">shift from monitoring </w:t>
            </w:r>
            <w:r w:rsidR="00760185">
              <w:rPr>
                <w:sz w:val="20"/>
                <w:szCs w:val="20"/>
              </w:rPr>
              <w:t xml:space="preserve">to </w:t>
            </w:r>
            <w:r w:rsidR="00685A8B">
              <w:rPr>
                <w:sz w:val="20"/>
                <w:szCs w:val="20"/>
              </w:rPr>
              <w:t xml:space="preserve">an increased </w:t>
            </w:r>
            <w:r w:rsidR="004B24CD" w:rsidRPr="00684F03">
              <w:rPr>
                <w:sz w:val="20"/>
                <w:szCs w:val="20"/>
              </w:rPr>
              <w:t xml:space="preserve">evaluative </w:t>
            </w:r>
            <w:r w:rsidR="00685A8B">
              <w:rPr>
                <w:sz w:val="20"/>
                <w:szCs w:val="20"/>
              </w:rPr>
              <w:t xml:space="preserve">approach and </w:t>
            </w:r>
            <w:r w:rsidR="00B92BCA">
              <w:rPr>
                <w:sz w:val="20"/>
                <w:szCs w:val="20"/>
              </w:rPr>
              <w:t xml:space="preserve">development of </w:t>
            </w:r>
            <w:r w:rsidR="00DE10DC" w:rsidRPr="00684F03">
              <w:rPr>
                <w:sz w:val="20"/>
                <w:szCs w:val="20"/>
              </w:rPr>
              <w:t xml:space="preserve">a </w:t>
            </w:r>
            <w:r w:rsidR="00A94967" w:rsidRPr="00684F03">
              <w:rPr>
                <w:sz w:val="20"/>
                <w:szCs w:val="20"/>
              </w:rPr>
              <w:t xml:space="preserve">shared agenda for strategic learning between DFAT and ANGOs </w:t>
            </w:r>
            <w:r w:rsidR="00B92BCA">
              <w:rPr>
                <w:sz w:val="20"/>
                <w:szCs w:val="20"/>
              </w:rPr>
              <w:t xml:space="preserve">to </w:t>
            </w:r>
            <w:r w:rsidR="00A94967" w:rsidRPr="00684F03">
              <w:rPr>
                <w:sz w:val="20"/>
                <w:szCs w:val="20"/>
              </w:rPr>
              <w:t xml:space="preserve">address issues of mutual </w:t>
            </w:r>
            <w:r w:rsidR="005C4157">
              <w:rPr>
                <w:sz w:val="20"/>
                <w:szCs w:val="20"/>
              </w:rPr>
              <w:t xml:space="preserve">focus </w:t>
            </w:r>
            <w:r w:rsidR="00A94967" w:rsidRPr="00684F03">
              <w:rPr>
                <w:sz w:val="20"/>
                <w:szCs w:val="20"/>
              </w:rPr>
              <w:t>and bring evidence to policy dialogue.</w:t>
            </w:r>
          </w:p>
          <w:p w14:paraId="5D8509AC" w14:textId="16859113" w:rsidR="003F6990" w:rsidRDefault="00E17724" w:rsidP="00E32079">
            <w:pPr>
              <w:numPr>
                <w:ilvl w:val="0"/>
                <w:numId w:val="0"/>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The </w:t>
            </w:r>
            <w:r w:rsidR="0070048E">
              <w:rPr>
                <w:sz w:val="20"/>
                <w:szCs w:val="20"/>
              </w:rPr>
              <w:t xml:space="preserve">responsibility for </w:t>
            </w:r>
            <w:r>
              <w:rPr>
                <w:sz w:val="20"/>
                <w:szCs w:val="20"/>
              </w:rPr>
              <w:t>oversight of the ANCP ME</w:t>
            </w:r>
            <w:r w:rsidR="00375C59">
              <w:rPr>
                <w:sz w:val="20"/>
                <w:szCs w:val="20"/>
              </w:rPr>
              <w:t>L</w:t>
            </w:r>
            <w:r>
              <w:rPr>
                <w:sz w:val="20"/>
                <w:szCs w:val="20"/>
              </w:rPr>
              <w:t xml:space="preserve"> system will </w:t>
            </w:r>
            <w:r w:rsidR="00375C59">
              <w:rPr>
                <w:sz w:val="20"/>
                <w:szCs w:val="20"/>
              </w:rPr>
              <w:t xml:space="preserve">remain </w:t>
            </w:r>
            <w:r w:rsidR="00ED36DB">
              <w:rPr>
                <w:sz w:val="20"/>
                <w:szCs w:val="20"/>
              </w:rPr>
              <w:t>with DFAT</w:t>
            </w:r>
            <w:r w:rsidR="00EC2436">
              <w:rPr>
                <w:sz w:val="20"/>
                <w:szCs w:val="20"/>
              </w:rPr>
              <w:t xml:space="preserve">. </w:t>
            </w:r>
            <w:r w:rsidR="008C1D8F">
              <w:rPr>
                <w:sz w:val="20"/>
                <w:szCs w:val="20"/>
              </w:rPr>
              <w:t xml:space="preserve">NPQ </w:t>
            </w:r>
            <w:r w:rsidR="0051126F">
              <w:rPr>
                <w:sz w:val="20"/>
                <w:szCs w:val="20"/>
              </w:rPr>
              <w:t>will increase</w:t>
            </w:r>
            <w:r w:rsidR="00C46BBD">
              <w:rPr>
                <w:sz w:val="20"/>
                <w:szCs w:val="20"/>
              </w:rPr>
              <w:t xml:space="preserve"> resources</w:t>
            </w:r>
            <w:r w:rsidR="0051126F">
              <w:rPr>
                <w:sz w:val="20"/>
                <w:szCs w:val="20"/>
              </w:rPr>
              <w:t xml:space="preserve"> for the MEL system to </w:t>
            </w:r>
            <w:r w:rsidR="00CD28C9">
              <w:rPr>
                <w:sz w:val="20"/>
                <w:szCs w:val="20"/>
              </w:rPr>
              <w:t>implement</w:t>
            </w:r>
            <w:r w:rsidR="00F20DF1">
              <w:rPr>
                <w:sz w:val="20"/>
                <w:szCs w:val="20"/>
              </w:rPr>
              <w:t xml:space="preserve"> </w:t>
            </w:r>
            <w:r w:rsidR="00190C89">
              <w:rPr>
                <w:sz w:val="20"/>
                <w:szCs w:val="20"/>
              </w:rPr>
              <w:lastRenderedPageBreak/>
              <w:t>strategies for accessing technical input to inform</w:t>
            </w:r>
            <w:r w:rsidR="007B08AE">
              <w:rPr>
                <w:sz w:val="20"/>
                <w:szCs w:val="20"/>
              </w:rPr>
              <w:t xml:space="preserve"> MEL</w:t>
            </w:r>
            <w:r w:rsidR="00190C89">
              <w:rPr>
                <w:sz w:val="20"/>
                <w:szCs w:val="20"/>
              </w:rPr>
              <w:t xml:space="preserve"> </w:t>
            </w:r>
            <w:r w:rsidR="009947B2">
              <w:rPr>
                <w:sz w:val="20"/>
                <w:szCs w:val="20"/>
              </w:rPr>
              <w:t>reforms</w:t>
            </w:r>
            <w:r w:rsidR="00020A5C">
              <w:rPr>
                <w:sz w:val="20"/>
                <w:szCs w:val="20"/>
              </w:rPr>
              <w:t xml:space="preserve"> and undertake regular thematic and geographic evaluations</w:t>
            </w:r>
            <w:r w:rsidR="0007406C">
              <w:rPr>
                <w:sz w:val="20"/>
                <w:szCs w:val="20"/>
              </w:rPr>
              <w:t>.</w:t>
            </w:r>
            <w:r w:rsidR="003F6990">
              <w:rPr>
                <w:sz w:val="20"/>
                <w:szCs w:val="20"/>
              </w:rPr>
              <w:t xml:space="preserve"> </w:t>
            </w:r>
          </w:p>
          <w:p w14:paraId="2DAB7D6C" w14:textId="5130F071" w:rsidR="00427676" w:rsidRPr="0049348D" w:rsidRDefault="008B525B" w:rsidP="00E32079">
            <w:pPr>
              <w:numPr>
                <w:ilvl w:val="0"/>
                <w:numId w:val="0"/>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NPQ</w:t>
            </w:r>
            <w:r>
              <w:rPr>
                <w:rFonts w:cs="Arial"/>
                <w:sz w:val="20"/>
                <w:szCs w:val="20"/>
              </w:rPr>
              <w:t xml:space="preserve"> will also consider any resource implications for NGOs in shifting from a monitoring to an </w:t>
            </w:r>
            <w:r w:rsidR="00F236FA">
              <w:rPr>
                <w:rFonts w:cs="Arial"/>
                <w:sz w:val="20"/>
                <w:szCs w:val="20"/>
              </w:rPr>
              <w:t>enhanced</w:t>
            </w:r>
            <w:r>
              <w:rPr>
                <w:rFonts w:cs="Arial"/>
                <w:sz w:val="20"/>
                <w:szCs w:val="20"/>
              </w:rPr>
              <w:t xml:space="preserve"> evaluative approach.</w:t>
            </w:r>
          </w:p>
        </w:tc>
        <w:tc>
          <w:tcPr>
            <w:tcW w:w="1606" w:type="dxa"/>
          </w:tcPr>
          <w:p w14:paraId="6AD13CF0" w14:textId="6C5955BF" w:rsidR="00E32079" w:rsidRDefault="00E32079" w:rsidP="001764F8">
            <w:pPr>
              <w:numPr>
                <w:ilvl w:val="0"/>
                <w:numId w:val="0"/>
              </w:numPr>
              <w:cnfStyle w:val="000000000000" w:firstRow="0" w:lastRow="0" w:firstColumn="0" w:lastColumn="0" w:oddVBand="0" w:evenVBand="0" w:oddHBand="0" w:evenHBand="0" w:firstRowFirstColumn="0" w:firstRowLastColumn="0" w:lastRowFirstColumn="0" w:lastRowLastColumn="0"/>
              <w:rPr>
                <w:rFonts w:cs="Arial"/>
                <w:iCs/>
                <w:sz w:val="20"/>
                <w:szCs w:val="20"/>
              </w:rPr>
            </w:pPr>
            <w:r>
              <w:rPr>
                <w:rFonts w:cs="Arial"/>
                <w:iCs/>
                <w:sz w:val="20"/>
                <w:szCs w:val="20"/>
              </w:rPr>
              <w:lastRenderedPageBreak/>
              <w:t xml:space="preserve">Begin MEL reforms as part of </w:t>
            </w:r>
            <w:r w:rsidR="004E72C4">
              <w:rPr>
                <w:rFonts w:cs="Arial"/>
                <w:iCs/>
                <w:sz w:val="20"/>
                <w:szCs w:val="20"/>
              </w:rPr>
              <w:t xml:space="preserve">the redesign to </w:t>
            </w:r>
            <w:r>
              <w:rPr>
                <w:rFonts w:cs="Arial"/>
                <w:iCs/>
                <w:sz w:val="20"/>
                <w:szCs w:val="20"/>
              </w:rPr>
              <w:t>multiyear funding in the first half of 2023.</w:t>
            </w:r>
          </w:p>
          <w:p w14:paraId="5832B264" w14:textId="77777777" w:rsidR="00E32079" w:rsidRDefault="00E32079" w:rsidP="001764F8">
            <w:pPr>
              <w:numPr>
                <w:ilvl w:val="0"/>
                <w:numId w:val="0"/>
              </w:numPr>
              <w:cnfStyle w:val="000000000000" w:firstRow="0" w:lastRow="0" w:firstColumn="0" w:lastColumn="0" w:oddVBand="0" w:evenVBand="0" w:oddHBand="0" w:evenHBand="0" w:firstRowFirstColumn="0" w:firstRowLastColumn="0" w:lastRowFirstColumn="0" w:lastRowLastColumn="0"/>
              <w:rPr>
                <w:rFonts w:cs="Arial"/>
                <w:iCs/>
                <w:sz w:val="20"/>
                <w:szCs w:val="20"/>
              </w:rPr>
            </w:pPr>
          </w:p>
          <w:p w14:paraId="6381C539" w14:textId="62C6DBB7" w:rsidR="001764F8" w:rsidRPr="00637851" w:rsidRDefault="00E32079" w:rsidP="001764F8">
            <w:pPr>
              <w:numPr>
                <w:ilvl w:val="0"/>
                <w:numId w:val="0"/>
              </w:numPr>
              <w:cnfStyle w:val="000000000000" w:firstRow="0" w:lastRow="0" w:firstColumn="0" w:lastColumn="0" w:oddVBand="0" w:evenVBand="0" w:oddHBand="0" w:evenHBand="0" w:firstRowFirstColumn="0" w:firstRowLastColumn="0" w:lastRowFirstColumn="0" w:lastRowLastColumn="0"/>
              <w:rPr>
                <w:rFonts w:cs="Arial"/>
                <w:iCs/>
                <w:sz w:val="20"/>
                <w:szCs w:val="20"/>
              </w:rPr>
            </w:pPr>
            <w:r>
              <w:rPr>
                <w:rFonts w:cs="Arial"/>
                <w:iCs/>
                <w:sz w:val="20"/>
                <w:szCs w:val="20"/>
              </w:rPr>
              <w:t xml:space="preserve">Continue in </w:t>
            </w:r>
            <w:r w:rsidR="00574471" w:rsidRPr="00637851">
              <w:rPr>
                <w:rFonts w:cs="Arial"/>
                <w:iCs/>
                <w:sz w:val="20"/>
                <w:szCs w:val="20"/>
              </w:rPr>
              <w:t>2023</w:t>
            </w:r>
            <w:r w:rsidR="00B844FE" w:rsidRPr="00637851">
              <w:rPr>
                <w:rFonts w:cs="Arial"/>
                <w:iCs/>
                <w:sz w:val="20"/>
                <w:szCs w:val="20"/>
              </w:rPr>
              <w:t xml:space="preserve"> </w:t>
            </w:r>
            <w:r>
              <w:rPr>
                <w:rFonts w:cs="Arial"/>
                <w:iCs/>
                <w:sz w:val="20"/>
                <w:szCs w:val="20"/>
              </w:rPr>
              <w:t>–</w:t>
            </w:r>
            <w:r w:rsidR="002A7004" w:rsidRPr="00637851">
              <w:rPr>
                <w:rFonts w:cs="Arial"/>
                <w:iCs/>
                <w:sz w:val="20"/>
                <w:szCs w:val="20"/>
              </w:rPr>
              <w:t xml:space="preserve"> 24</w:t>
            </w:r>
            <w:r>
              <w:rPr>
                <w:rFonts w:cs="Arial"/>
                <w:iCs/>
                <w:sz w:val="20"/>
                <w:szCs w:val="20"/>
              </w:rPr>
              <w:t xml:space="preserve"> as </w:t>
            </w:r>
            <w:r w:rsidR="004E72C4">
              <w:rPr>
                <w:rFonts w:cs="Arial"/>
                <w:iCs/>
                <w:sz w:val="20"/>
                <w:szCs w:val="20"/>
              </w:rPr>
              <w:t xml:space="preserve">part of implementation of a </w:t>
            </w:r>
            <w:r>
              <w:rPr>
                <w:rFonts w:cs="Arial"/>
                <w:iCs/>
                <w:sz w:val="20"/>
                <w:szCs w:val="20"/>
              </w:rPr>
              <w:t xml:space="preserve">strategic </w:t>
            </w:r>
            <w:r>
              <w:rPr>
                <w:rFonts w:cs="Arial"/>
                <w:iCs/>
                <w:sz w:val="20"/>
                <w:szCs w:val="20"/>
              </w:rPr>
              <w:lastRenderedPageBreak/>
              <w:t>partnership approach.</w:t>
            </w:r>
          </w:p>
          <w:p w14:paraId="26F7656A" w14:textId="31793F50" w:rsidR="002A7004" w:rsidRPr="002A7004" w:rsidRDefault="002A7004" w:rsidP="001764F8">
            <w:pPr>
              <w:numPr>
                <w:ilvl w:val="0"/>
                <w:numId w:val="0"/>
              </w:numPr>
              <w:cnfStyle w:val="000000000000" w:firstRow="0" w:lastRow="0" w:firstColumn="0" w:lastColumn="0" w:oddVBand="0" w:evenVBand="0" w:oddHBand="0" w:evenHBand="0" w:firstRowFirstColumn="0" w:firstRowLastColumn="0" w:lastRowFirstColumn="0" w:lastRowLastColumn="0"/>
              <w:rPr>
                <w:rFonts w:cs="Arial"/>
                <w:i/>
              </w:rPr>
            </w:pPr>
          </w:p>
        </w:tc>
      </w:tr>
    </w:tbl>
    <w:p w14:paraId="114CFCDF" w14:textId="392502F6" w:rsidR="0007614B" w:rsidRDefault="0007614B" w:rsidP="00E32079">
      <w:pPr>
        <w:numPr>
          <w:ilvl w:val="0"/>
          <w:numId w:val="0"/>
        </w:numPr>
      </w:pPr>
    </w:p>
    <w:p w14:paraId="5BEF7CE5" w14:textId="6961DBAE" w:rsidR="005B0E07" w:rsidRDefault="005B0E07" w:rsidP="00E32079">
      <w:pPr>
        <w:numPr>
          <w:ilvl w:val="0"/>
          <w:numId w:val="0"/>
        </w:numPr>
        <w:rPr>
          <w:b/>
          <w:bCs/>
        </w:rPr>
      </w:pPr>
      <w:r w:rsidRPr="005B0E07">
        <w:rPr>
          <w:b/>
          <w:bCs/>
        </w:rPr>
        <w:t>Recommendation 2</w:t>
      </w:r>
    </w:p>
    <w:tbl>
      <w:tblPr>
        <w:tblStyle w:val="TableGrid"/>
        <w:tblW w:w="0" w:type="auto"/>
        <w:tblLook w:val="04A0" w:firstRow="1" w:lastRow="0" w:firstColumn="1" w:lastColumn="0" w:noHBand="0" w:noVBand="1"/>
      </w:tblPr>
      <w:tblGrid>
        <w:gridCol w:w="4418"/>
        <w:gridCol w:w="1268"/>
        <w:gridCol w:w="3147"/>
        <w:gridCol w:w="3509"/>
        <w:gridCol w:w="1606"/>
      </w:tblGrid>
      <w:tr w:rsidR="005B0E07" w:rsidRPr="009C205D" w14:paraId="6320D506" w14:textId="77777777" w:rsidTr="002B7445">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418" w:type="dxa"/>
            <w:shd w:val="clear" w:color="auto" w:fill="2F5496" w:themeFill="accent1" w:themeFillShade="BF"/>
          </w:tcPr>
          <w:p w14:paraId="232F3604" w14:textId="77777777" w:rsidR="005B0E07" w:rsidRPr="009C205D" w:rsidRDefault="005B0E07" w:rsidP="002B7445">
            <w:pPr>
              <w:numPr>
                <w:ilvl w:val="0"/>
                <w:numId w:val="0"/>
              </w:numPr>
              <w:rPr>
                <w:rFonts w:cs="Arial"/>
                <w:color w:val="FFFFFF" w:themeColor="background1"/>
              </w:rPr>
            </w:pPr>
            <w:r w:rsidRPr="009C205D">
              <w:rPr>
                <w:color w:val="FFFFFF" w:themeColor="background1"/>
              </w:rPr>
              <w:t>Recommendation</w:t>
            </w:r>
          </w:p>
        </w:tc>
        <w:tc>
          <w:tcPr>
            <w:tcW w:w="1268" w:type="dxa"/>
            <w:shd w:val="clear" w:color="auto" w:fill="2F5496" w:themeFill="accent1" w:themeFillShade="BF"/>
          </w:tcPr>
          <w:p w14:paraId="6537EDC6" w14:textId="77777777" w:rsidR="005B0E07" w:rsidRPr="009C205D" w:rsidRDefault="005B0E07" w:rsidP="002B7445">
            <w:pPr>
              <w:numPr>
                <w:ilvl w:val="0"/>
                <w:numId w:val="0"/>
              </w:numPr>
              <w:cnfStyle w:val="100000000000" w:firstRow="1" w:lastRow="0" w:firstColumn="0" w:lastColumn="0" w:oddVBand="0" w:evenVBand="0" w:oddHBand="0" w:evenHBand="0" w:firstRowFirstColumn="0" w:firstRowLastColumn="0" w:lastRowFirstColumn="0" w:lastRowLastColumn="0"/>
              <w:rPr>
                <w:color w:val="FFFFFF" w:themeColor="background1"/>
              </w:rPr>
            </w:pPr>
            <w:r w:rsidRPr="009C205D">
              <w:rPr>
                <w:color w:val="FFFFFF" w:themeColor="background1"/>
              </w:rPr>
              <w:t>Response</w:t>
            </w:r>
          </w:p>
        </w:tc>
        <w:tc>
          <w:tcPr>
            <w:tcW w:w="3147" w:type="dxa"/>
            <w:shd w:val="clear" w:color="auto" w:fill="2F5496" w:themeFill="accent1" w:themeFillShade="BF"/>
          </w:tcPr>
          <w:p w14:paraId="2DA9B938" w14:textId="77777777" w:rsidR="005B0E07" w:rsidRPr="009C205D" w:rsidRDefault="005B0E07" w:rsidP="002B7445">
            <w:pPr>
              <w:numPr>
                <w:ilvl w:val="0"/>
                <w:numId w:val="0"/>
              </w:num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rPr>
            </w:pPr>
            <w:r w:rsidRPr="009C205D">
              <w:rPr>
                <w:rFonts w:cs="Arial"/>
                <w:color w:val="FFFFFF" w:themeColor="background1"/>
              </w:rPr>
              <w:t>Explanation</w:t>
            </w:r>
          </w:p>
        </w:tc>
        <w:tc>
          <w:tcPr>
            <w:tcW w:w="3509" w:type="dxa"/>
            <w:shd w:val="clear" w:color="auto" w:fill="2F5496" w:themeFill="accent1" w:themeFillShade="BF"/>
          </w:tcPr>
          <w:p w14:paraId="63336F96" w14:textId="77777777" w:rsidR="005B0E07" w:rsidRPr="009C205D" w:rsidRDefault="005B0E07" w:rsidP="002B7445">
            <w:pPr>
              <w:numPr>
                <w:ilvl w:val="0"/>
                <w:numId w:val="0"/>
              </w:num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9C205D">
              <w:rPr>
                <w:rFonts w:cs="Arial"/>
                <w:color w:val="FFFFFF" w:themeColor="background1"/>
              </w:rPr>
              <w:t>Action plan</w:t>
            </w:r>
          </w:p>
        </w:tc>
        <w:tc>
          <w:tcPr>
            <w:tcW w:w="1606" w:type="dxa"/>
            <w:shd w:val="clear" w:color="auto" w:fill="2F5496" w:themeFill="accent1" w:themeFillShade="BF"/>
          </w:tcPr>
          <w:p w14:paraId="474CA9F4" w14:textId="77777777" w:rsidR="005B0E07" w:rsidRPr="009C205D" w:rsidRDefault="005B0E07" w:rsidP="002B7445">
            <w:pPr>
              <w:numPr>
                <w:ilvl w:val="0"/>
                <w:numId w:val="0"/>
              </w:num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9C205D">
              <w:rPr>
                <w:rFonts w:cs="Arial"/>
                <w:color w:val="FFFFFF" w:themeColor="background1"/>
              </w:rPr>
              <w:t>Timeframe</w:t>
            </w:r>
          </w:p>
        </w:tc>
      </w:tr>
      <w:tr w:rsidR="005B0E07" w:rsidRPr="00637851" w14:paraId="0CACD717" w14:textId="77777777" w:rsidTr="002B7445">
        <w:tc>
          <w:tcPr>
            <w:cnfStyle w:val="001000000000" w:firstRow="0" w:lastRow="0" w:firstColumn="1" w:lastColumn="0" w:oddVBand="0" w:evenVBand="0" w:oddHBand="0" w:evenHBand="0" w:firstRowFirstColumn="0" w:firstRowLastColumn="0" w:lastRowFirstColumn="0" w:lastRowLastColumn="0"/>
            <w:tcW w:w="4418" w:type="dxa"/>
            <w:shd w:val="clear" w:color="auto" w:fill="FFFFFF" w:themeFill="background1"/>
          </w:tcPr>
          <w:p w14:paraId="5681748D" w14:textId="77777777" w:rsidR="005B0E07" w:rsidRDefault="005B0E07" w:rsidP="002B7445">
            <w:pPr>
              <w:pStyle w:val="ListNumber3"/>
              <w:tabs>
                <w:tab w:val="clear" w:pos="1077"/>
              </w:tabs>
              <w:ind w:left="0" w:firstLine="0"/>
              <w:rPr>
                <w:bCs/>
                <w:sz w:val="20"/>
                <w:szCs w:val="20"/>
              </w:rPr>
            </w:pPr>
            <w:r w:rsidRPr="00490A3C">
              <w:rPr>
                <w:b w:val="0"/>
                <w:bCs/>
                <w:sz w:val="20"/>
                <w:szCs w:val="20"/>
              </w:rPr>
              <w:t xml:space="preserve">In order to create an enabling environment for the ANCP, DFAT </w:t>
            </w:r>
            <w:r>
              <w:rPr>
                <w:b w:val="0"/>
                <w:bCs/>
                <w:sz w:val="20"/>
                <w:szCs w:val="20"/>
              </w:rPr>
              <w:t>develop</w:t>
            </w:r>
            <w:r w:rsidRPr="00712B70">
              <w:rPr>
                <w:b w:val="0"/>
                <w:bCs/>
                <w:sz w:val="20"/>
                <w:szCs w:val="20"/>
              </w:rPr>
              <w:t xml:space="preserve"> a policy statement that assists to articulate the role of civil society in contributing to the Australian development program and</w:t>
            </w:r>
            <w:r w:rsidRPr="00490A3C">
              <w:rPr>
                <w:b w:val="0"/>
                <w:bCs/>
                <w:sz w:val="20"/>
                <w:szCs w:val="20"/>
              </w:rPr>
              <w:t xml:space="preserve"> more specifically:</w:t>
            </w:r>
          </w:p>
          <w:p w14:paraId="3F611E63" w14:textId="77777777" w:rsidR="005B0E07" w:rsidRPr="005252F2" w:rsidRDefault="005B0E07" w:rsidP="002B7445">
            <w:pPr>
              <w:pStyle w:val="ListNumber3"/>
              <w:tabs>
                <w:tab w:val="clear" w:pos="1077"/>
              </w:tabs>
              <w:ind w:left="314" w:hanging="283"/>
              <w:rPr>
                <w:bCs/>
                <w:sz w:val="20"/>
                <w:szCs w:val="20"/>
              </w:rPr>
            </w:pPr>
            <w:r w:rsidRPr="002C1BCE">
              <w:rPr>
                <w:b w:val="0"/>
                <w:bCs/>
                <w:sz w:val="20"/>
                <w:szCs w:val="20"/>
              </w:rPr>
              <w:t>a.</w:t>
            </w:r>
            <w:r>
              <w:rPr>
                <w:b w:val="0"/>
                <w:bCs/>
                <w:sz w:val="20"/>
                <w:szCs w:val="20"/>
              </w:rPr>
              <w:t xml:space="preserve">  </w:t>
            </w:r>
            <w:r w:rsidRPr="002C1BCE">
              <w:rPr>
                <w:b w:val="0"/>
                <w:bCs/>
                <w:sz w:val="20"/>
                <w:szCs w:val="20"/>
              </w:rPr>
              <w:t xml:space="preserve">position the ANCP’s contribution within this </w:t>
            </w:r>
          </w:p>
          <w:p w14:paraId="0BD79BA7" w14:textId="77777777" w:rsidR="005B0E07" w:rsidRPr="002C1BCE" w:rsidRDefault="005B0E07" w:rsidP="002B7445">
            <w:pPr>
              <w:pStyle w:val="ListNumber3"/>
              <w:tabs>
                <w:tab w:val="clear" w:pos="1077"/>
              </w:tabs>
              <w:ind w:left="314" w:hanging="283"/>
              <w:rPr>
                <w:b w:val="0"/>
                <w:bCs/>
                <w:sz w:val="20"/>
                <w:szCs w:val="20"/>
              </w:rPr>
            </w:pPr>
            <w:r w:rsidRPr="002C1BCE">
              <w:rPr>
                <w:b w:val="0"/>
                <w:bCs/>
                <w:sz w:val="20"/>
                <w:szCs w:val="20"/>
              </w:rPr>
              <w:t>b.</w:t>
            </w:r>
            <w:r>
              <w:rPr>
                <w:b w:val="0"/>
                <w:bCs/>
                <w:sz w:val="20"/>
                <w:szCs w:val="20"/>
              </w:rPr>
              <w:t xml:space="preserve">  </w:t>
            </w:r>
            <w:r w:rsidRPr="002C1BCE">
              <w:rPr>
                <w:b w:val="0"/>
                <w:bCs/>
                <w:sz w:val="20"/>
                <w:szCs w:val="20"/>
              </w:rPr>
              <w:t xml:space="preserve">articulate the link between DFAT’s civil society approach and locally led development including the role of local civil society and intermediaries </w:t>
            </w:r>
          </w:p>
          <w:p w14:paraId="697B076B" w14:textId="77777777" w:rsidR="005B0E07" w:rsidRPr="005A56C1" w:rsidRDefault="005B0E07" w:rsidP="002B7445">
            <w:pPr>
              <w:pStyle w:val="ListNumber3"/>
              <w:tabs>
                <w:tab w:val="clear" w:pos="1077"/>
              </w:tabs>
              <w:ind w:left="314" w:hanging="283"/>
              <w:rPr>
                <w:sz w:val="20"/>
                <w:szCs w:val="20"/>
              </w:rPr>
            </w:pPr>
            <w:r w:rsidRPr="002C1BCE">
              <w:rPr>
                <w:b w:val="0"/>
                <w:bCs/>
                <w:sz w:val="20"/>
                <w:szCs w:val="20"/>
              </w:rPr>
              <w:t>c.</w:t>
            </w:r>
            <w:r>
              <w:rPr>
                <w:b w:val="0"/>
                <w:bCs/>
                <w:sz w:val="20"/>
                <w:szCs w:val="20"/>
              </w:rPr>
              <w:t xml:space="preserve">  </w:t>
            </w:r>
            <w:r w:rsidRPr="002C1BCE">
              <w:rPr>
                <w:b w:val="0"/>
                <w:bCs/>
                <w:sz w:val="20"/>
                <w:szCs w:val="20"/>
              </w:rPr>
              <w:t>consider what the implications of locally led development and civil society partnership means for risk informed programming and risk management.</w:t>
            </w:r>
          </w:p>
        </w:tc>
        <w:tc>
          <w:tcPr>
            <w:tcW w:w="1268" w:type="dxa"/>
            <w:shd w:val="clear" w:color="auto" w:fill="92D050"/>
          </w:tcPr>
          <w:p w14:paraId="2FD88517" w14:textId="77777777" w:rsidR="005B0E07" w:rsidRPr="005C786F" w:rsidRDefault="005B0E07" w:rsidP="002B7445">
            <w:pPr>
              <w:numPr>
                <w:ilvl w:val="0"/>
                <w:numId w:val="0"/>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5C786F">
              <w:rPr>
                <w:rFonts w:cs="Arial"/>
                <w:sz w:val="20"/>
                <w:szCs w:val="20"/>
              </w:rPr>
              <w:t>Agree</w:t>
            </w:r>
          </w:p>
        </w:tc>
        <w:tc>
          <w:tcPr>
            <w:tcW w:w="3147" w:type="dxa"/>
          </w:tcPr>
          <w:p w14:paraId="20768871" w14:textId="77777777" w:rsidR="005B0E07" w:rsidRPr="00FE2F08" w:rsidRDefault="005B0E07" w:rsidP="002B7445">
            <w:pPr>
              <w:numPr>
                <w:ilvl w:val="0"/>
                <w:numId w:val="0"/>
              </w:num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 xml:space="preserve">The </w:t>
            </w:r>
            <w:r w:rsidRPr="00020A5C">
              <w:rPr>
                <w:rFonts w:cs="Arial"/>
                <w:sz w:val="20"/>
                <w:szCs w:val="20"/>
              </w:rPr>
              <w:t>Australian Government actively supports civil society through the development program, including their role in contributing to locally led development.  DFAT agrees with the evaluation that any policy statement on civil society is best addressed through the new international development policy.</w:t>
            </w:r>
          </w:p>
        </w:tc>
        <w:tc>
          <w:tcPr>
            <w:tcW w:w="3509" w:type="dxa"/>
          </w:tcPr>
          <w:p w14:paraId="7E5D1CA8" w14:textId="77777777" w:rsidR="005B0E07" w:rsidRDefault="005B0E07" w:rsidP="002B7445">
            <w:pPr>
              <w:numPr>
                <w:ilvl w:val="0"/>
                <w:numId w:val="0"/>
              </w:numPr>
              <w:cnfStyle w:val="000000000000" w:firstRow="0" w:lastRow="0" w:firstColumn="0" w:lastColumn="0" w:oddVBand="0" w:evenVBand="0" w:oddHBand="0" w:evenHBand="0" w:firstRowFirstColumn="0" w:firstRowLastColumn="0" w:lastRowFirstColumn="0" w:lastRowLastColumn="0"/>
              <w:rPr>
                <w:rFonts w:cs="Arial"/>
                <w:iCs/>
                <w:sz w:val="20"/>
                <w:szCs w:val="20"/>
              </w:rPr>
            </w:pPr>
            <w:r>
              <w:rPr>
                <w:sz w:val="20"/>
                <w:szCs w:val="20"/>
              </w:rPr>
              <w:t>T</w:t>
            </w:r>
            <w:r w:rsidRPr="00E26F08">
              <w:rPr>
                <w:sz w:val="20"/>
                <w:szCs w:val="20"/>
              </w:rPr>
              <w:t>he role of civil society in the Australian development program</w:t>
            </w:r>
            <w:r>
              <w:rPr>
                <w:sz w:val="20"/>
                <w:szCs w:val="20"/>
              </w:rPr>
              <w:t>, including the link between civil society and locally led development, will be considered in Australia’s</w:t>
            </w:r>
            <w:r>
              <w:rPr>
                <w:rFonts w:cs="Arial"/>
                <w:iCs/>
                <w:sz w:val="20"/>
                <w:szCs w:val="20"/>
              </w:rPr>
              <w:t xml:space="preserve"> new international development policy. Details on ANCP’s contribution to civil society and approach to locally led development will be provided in accompanying guidance notes and revised program design documents.</w:t>
            </w:r>
          </w:p>
          <w:p w14:paraId="55214F6B" w14:textId="77777777" w:rsidR="005B0E07" w:rsidRDefault="005B0E07" w:rsidP="002B7445">
            <w:pPr>
              <w:numPr>
                <w:ilvl w:val="0"/>
                <w:numId w:val="0"/>
              </w:numPr>
              <w:cnfStyle w:val="000000000000" w:firstRow="0" w:lastRow="0" w:firstColumn="0" w:lastColumn="0" w:oddVBand="0" w:evenVBand="0" w:oddHBand="0" w:evenHBand="0" w:firstRowFirstColumn="0" w:firstRowLastColumn="0" w:lastRowFirstColumn="0" w:lastRowLastColumn="0"/>
              <w:rPr>
                <w:rFonts w:cs="Arial"/>
                <w:iCs/>
                <w:sz w:val="20"/>
                <w:szCs w:val="20"/>
              </w:rPr>
            </w:pPr>
          </w:p>
          <w:p w14:paraId="79F09568" w14:textId="77777777" w:rsidR="005B0E07" w:rsidRPr="002F543A" w:rsidRDefault="005B0E07" w:rsidP="002B7445">
            <w:pPr>
              <w:numPr>
                <w:ilvl w:val="0"/>
                <w:numId w:val="0"/>
              </w:numPr>
              <w:cnfStyle w:val="000000000000" w:firstRow="0" w:lastRow="0" w:firstColumn="0" w:lastColumn="0" w:oddVBand="0" w:evenVBand="0" w:oddHBand="0" w:evenHBand="0" w:firstRowFirstColumn="0" w:firstRowLastColumn="0" w:lastRowFirstColumn="0" w:lastRowLastColumn="0"/>
              <w:rPr>
                <w:rFonts w:cs="Arial"/>
                <w:iCs/>
                <w:sz w:val="20"/>
                <w:szCs w:val="20"/>
              </w:rPr>
            </w:pPr>
          </w:p>
        </w:tc>
        <w:tc>
          <w:tcPr>
            <w:tcW w:w="1606" w:type="dxa"/>
          </w:tcPr>
          <w:p w14:paraId="1DA0B94F" w14:textId="77777777" w:rsidR="005B0E07" w:rsidRDefault="005B0E07" w:rsidP="002B7445">
            <w:pPr>
              <w:numPr>
                <w:ilvl w:val="0"/>
                <w:numId w:val="0"/>
              </w:numPr>
              <w:cnfStyle w:val="000000000000" w:firstRow="0" w:lastRow="0" w:firstColumn="0" w:lastColumn="0" w:oddVBand="0" w:evenVBand="0" w:oddHBand="0" w:evenHBand="0" w:firstRowFirstColumn="0" w:firstRowLastColumn="0" w:lastRowFirstColumn="0" w:lastRowLastColumn="0"/>
              <w:rPr>
                <w:rFonts w:cs="Arial"/>
                <w:iCs/>
                <w:sz w:val="20"/>
                <w:szCs w:val="20"/>
              </w:rPr>
            </w:pPr>
            <w:r w:rsidRPr="004949D2">
              <w:rPr>
                <w:rFonts w:cs="Arial"/>
                <w:iCs/>
                <w:sz w:val="20"/>
                <w:szCs w:val="20"/>
              </w:rPr>
              <w:t>New international development policy</w:t>
            </w:r>
            <w:r>
              <w:rPr>
                <w:rFonts w:cs="Arial"/>
                <w:iCs/>
                <w:sz w:val="20"/>
                <w:szCs w:val="20"/>
              </w:rPr>
              <w:t xml:space="preserve"> to be finalised in the first half of 2023.</w:t>
            </w:r>
          </w:p>
          <w:p w14:paraId="39F1CF5C" w14:textId="77777777" w:rsidR="005B0E07" w:rsidRPr="00637851" w:rsidRDefault="005B0E07" w:rsidP="002B7445">
            <w:pPr>
              <w:numPr>
                <w:ilvl w:val="0"/>
                <w:numId w:val="0"/>
              </w:numPr>
              <w:cnfStyle w:val="000000000000" w:firstRow="0" w:lastRow="0" w:firstColumn="0" w:lastColumn="0" w:oddVBand="0" w:evenVBand="0" w:oddHBand="0" w:evenHBand="0" w:firstRowFirstColumn="0" w:firstRowLastColumn="0" w:lastRowFirstColumn="0" w:lastRowLastColumn="0"/>
              <w:rPr>
                <w:rFonts w:cs="Arial"/>
                <w:i/>
                <w:sz w:val="20"/>
                <w:szCs w:val="20"/>
              </w:rPr>
            </w:pPr>
          </w:p>
        </w:tc>
      </w:tr>
    </w:tbl>
    <w:p w14:paraId="7DDC176D" w14:textId="77777777" w:rsidR="005B0E07" w:rsidRDefault="005B0E07" w:rsidP="00E32079">
      <w:pPr>
        <w:numPr>
          <w:ilvl w:val="0"/>
          <w:numId w:val="0"/>
        </w:numPr>
      </w:pPr>
    </w:p>
    <w:sectPr w:rsidR="005B0E07" w:rsidSect="002418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B731C" w14:textId="77777777" w:rsidR="00CF5DAA" w:rsidRDefault="00CF5DAA" w:rsidP="0024189A">
      <w:pPr>
        <w:spacing w:before="0" w:after="0" w:line="240" w:lineRule="auto"/>
      </w:pPr>
      <w:r>
        <w:separator/>
      </w:r>
    </w:p>
  </w:endnote>
  <w:endnote w:type="continuationSeparator" w:id="0">
    <w:p w14:paraId="23A2C888" w14:textId="77777777" w:rsidR="00CF5DAA" w:rsidRDefault="00CF5DAA" w:rsidP="0024189A">
      <w:pPr>
        <w:spacing w:before="0" w:after="0" w:line="240" w:lineRule="auto"/>
      </w:pPr>
      <w:r>
        <w:continuationSeparator/>
      </w:r>
    </w:p>
  </w:endnote>
  <w:endnote w:type="continuationNotice" w:id="1">
    <w:p w14:paraId="415F87BA" w14:textId="77777777" w:rsidR="00CF5DAA" w:rsidRDefault="00CF5DA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59DE" w14:textId="33F9CFB6" w:rsidR="0024189A" w:rsidRDefault="0024189A" w:rsidP="00AD19D4">
    <w:pPr>
      <w:pStyle w:val="Footer"/>
      <w:ind w:left="426"/>
    </w:pPr>
    <w:bookmarkStart w:id="2" w:name="_Toc501467383"/>
    <w:bookmarkStart w:id="3" w:name="_Toc501467444"/>
    <w:bookmarkStart w:id="4" w:name="_Toc505263396"/>
    <w:r>
      <w:ptab w:relativeTo="margin" w:alignment="right" w:leader="none"/>
    </w:r>
    <w:sdt>
      <w:sdtPr>
        <w:id w:val="16652116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97</w:t>
        </w:r>
        <w:r>
          <w:rPr>
            <w:noProof/>
          </w:rPr>
          <w:fldChar w:fldCharType="end"/>
        </w:r>
      </w:sdtContent>
    </w:sdt>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D3AD" w14:textId="77777777" w:rsidR="00CF5DAA" w:rsidRDefault="00CF5DAA" w:rsidP="0024189A">
      <w:pPr>
        <w:spacing w:before="0" w:after="0" w:line="240" w:lineRule="auto"/>
      </w:pPr>
      <w:r>
        <w:separator/>
      </w:r>
    </w:p>
  </w:footnote>
  <w:footnote w:type="continuationSeparator" w:id="0">
    <w:p w14:paraId="77288D65" w14:textId="77777777" w:rsidR="00CF5DAA" w:rsidRDefault="00CF5DAA" w:rsidP="0024189A">
      <w:pPr>
        <w:spacing w:before="0" w:after="0" w:line="240" w:lineRule="auto"/>
      </w:pPr>
      <w:r>
        <w:continuationSeparator/>
      </w:r>
    </w:p>
  </w:footnote>
  <w:footnote w:type="continuationNotice" w:id="1">
    <w:p w14:paraId="52B9997E" w14:textId="77777777" w:rsidR="00CF5DAA" w:rsidRDefault="00CF5DA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CC88" w14:textId="7655A514" w:rsidR="0024189A" w:rsidRDefault="0024189A">
    <w:pPr>
      <w:pStyle w:val="Header"/>
    </w:pPr>
    <w:r>
      <w:rPr>
        <w:b/>
        <w:noProof/>
        <w:sz w:val="28"/>
        <w:szCs w:val="28"/>
        <w:lang w:eastAsia="en-AU"/>
      </w:rPr>
      <w:drawing>
        <wp:inline distT="0" distB="0" distL="0" distR="0" wp14:anchorId="56FDE8F5" wp14:editId="7AEE354E">
          <wp:extent cx="3214800" cy="558000"/>
          <wp:effectExtent l="0" t="0" r="5080" b="0"/>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inline-logo_black.pn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3214800" cy="558000"/>
                  </a:xfrm>
                  <a:prstGeom prst="rect">
                    <a:avLst/>
                  </a:prstGeom>
                  <a:noFill/>
                  <a:ln>
                    <a:noFill/>
                  </a:ln>
                </pic:spPr>
              </pic:pic>
            </a:graphicData>
          </a:graphic>
        </wp:inline>
      </w:drawing>
    </w:r>
    <w:r>
      <w:rPr>
        <w:b/>
        <w:noProof/>
        <w:sz w:val="28"/>
        <w:szCs w:val="28"/>
        <w:lang w:eastAsia="en-AU"/>
      </w:rPr>
      <w:drawing>
        <wp:inline distT="0" distB="0" distL="0" distR="0" wp14:anchorId="56FDE8F5" wp14:editId="09FA17B0">
          <wp:extent cx="3214800" cy="558000"/>
          <wp:effectExtent l="0" t="0" r="5080" b="0"/>
          <wp:docPr id="4" name="Picture 4"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AT-inline-logo_black.pn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3214800" cy="558000"/>
                  </a:xfrm>
                  <a:prstGeom prst="rect">
                    <a:avLst/>
                  </a:prstGeom>
                  <a:noFill/>
                  <a:ln>
                    <a:noFill/>
                  </a:ln>
                </pic:spPr>
              </pic:pic>
            </a:graphicData>
          </a:graphic>
        </wp:inline>
      </w:drawing>
    </w:r>
  </w:p>
  <w:p w14:paraId="40603F45" w14:textId="77777777" w:rsidR="0024189A" w:rsidRDefault="0024189A" w:rsidP="002418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0A7D17"/>
    <w:multiLevelType w:val="hybridMultilevel"/>
    <w:tmpl w:val="724D3E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E5AEEA6C"/>
    <w:lvl w:ilvl="0">
      <w:start w:val="1"/>
      <w:numFmt w:val="decimal"/>
      <w:lvlText w:val="%1."/>
      <w:lvlJc w:val="left"/>
      <w:pPr>
        <w:tabs>
          <w:tab w:val="num" w:pos="926"/>
        </w:tabs>
        <w:ind w:left="926" w:hanging="360"/>
      </w:pPr>
    </w:lvl>
  </w:abstractNum>
  <w:abstractNum w:abstractNumId="2" w15:restartNumberingAfterBreak="0">
    <w:nsid w:val="0C4D0A3A"/>
    <w:multiLevelType w:val="multilevel"/>
    <w:tmpl w:val="D06C62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Normal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9115B4"/>
    <w:multiLevelType w:val="hybridMultilevel"/>
    <w:tmpl w:val="E5C07D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15:restartNumberingAfterBreak="0">
    <w:nsid w:val="1D4CD98F"/>
    <w:multiLevelType w:val="hybridMultilevel"/>
    <w:tmpl w:val="FFFFFFFF"/>
    <w:lvl w:ilvl="0" w:tplc="62408992">
      <w:start w:val="1"/>
      <w:numFmt w:val="bullet"/>
      <w:lvlText w:val=""/>
      <w:lvlJc w:val="left"/>
      <w:pPr>
        <w:ind w:left="720" w:hanging="360"/>
      </w:pPr>
      <w:rPr>
        <w:rFonts w:ascii="Symbol" w:hAnsi="Symbol" w:hint="default"/>
      </w:rPr>
    </w:lvl>
    <w:lvl w:ilvl="1" w:tplc="31B40C1C">
      <w:start w:val="1"/>
      <w:numFmt w:val="bullet"/>
      <w:lvlText w:val="o"/>
      <w:lvlJc w:val="left"/>
      <w:pPr>
        <w:ind w:left="1440" w:hanging="360"/>
      </w:pPr>
      <w:rPr>
        <w:rFonts w:ascii="Courier New" w:hAnsi="Courier New" w:hint="default"/>
      </w:rPr>
    </w:lvl>
    <w:lvl w:ilvl="2" w:tplc="F6F6D7B8">
      <w:start w:val="1"/>
      <w:numFmt w:val="bullet"/>
      <w:lvlText w:val=""/>
      <w:lvlJc w:val="left"/>
      <w:pPr>
        <w:ind w:left="2160" w:hanging="360"/>
      </w:pPr>
      <w:rPr>
        <w:rFonts w:ascii="Wingdings" w:hAnsi="Wingdings" w:hint="default"/>
      </w:rPr>
    </w:lvl>
    <w:lvl w:ilvl="3" w:tplc="4810E348">
      <w:start w:val="1"/>
      <w:numFmt w:val="bullet"/>
      <w:lvlText w:val=""/>
      <w:lvlJc w:val="left"/>
      <w:pPr>
        <w:ind w:left="2880" w:hanging="360"/>
      </w:pPr>
      <w:rPr>
        <w:rFonts w:ascii="Symbol" w:hAnsi="Symbol" w:hint="default"/>
      </w:rPr>
    </w:lvl>
    <w:lvl w:ilvl="4" w:tplc="D9423EA2">
      <w:start w:val="1"/>
      <w:numFmt w:val="bullet"/>
      <w:lvlText w:val="o"/>
      <w:lvlJc w:val="left"/>
      <w:pPr>
        <w:ind w:left="3600" w:hanging="360"/>
      </w:pPr>
      <w:rPr>
        <w:rFonts w:ascii="Courier New" w:hAnsi="Courier New" w:hint="default"/>
      </w:rPr>
    </w:lvl>
    <w:lvl w:ilvl="5" w:tplc="548AB274">
      <w:start w:val="1"/>
      <w:numFmt w:val="bullet"/>
      <w:lvlText w:val=""/>
      <w:lvlJc w:val="left"/>
      <w:pPr>
        <w:ind w:left="4320" w:hanging="360"/>
      </w:pPr>
      <w:rPr>
        <w:rFonts w:ascii="Wingdings" w:hAnsi="Wingdings" w:hint="default"/>
      </w:rPr>
    </w:lvl>
    <w:lvl w:ilvl="6" w:tplc="854C4C70">
      <w:start w:val="1"/>
      <w:numFmt w:val="bullet"/>
      <w:lvlText w:val=""/>
      <w:lvlJc w:val="left"/>
      <w:pPr>
        <w:ind w:left="5040" w:hanging="360"/>
      </w:pPr>
      <w:rPr>
        <w:rFonts w:ascii="Symbol" w:hAnsi="Symbol" w:hint="default"/>
      </w:rPr>
    </w:lvl>
    <w:lvl w:ilvl="7" w:tplc="BD0C0AB8">
      <w:start w:val="1"/>
      <w:numFmt w:val="bullet"/>
      <w:lvlText w:val="o"/>
      <w:lvlJc w:val="left"/>
      <w:pPr>
        <w:ind w:left="5760" w:hanging="360"/>
      </w:pPr>
      <w:rPr>
        <w:rFonts w:ascii="Courier New" w:hAnsi="Courier New" w:hint="default"/>
      </w:rPr>
    </w:lvl>
    <w:lvl w:ilvl="8" w:tplc="B628C48C">
      <w:start w:val="1"/>
      <w:numFmt w:val="bullet"/>
      <w:lvlText w:val=""/>
      <w:lvlJc w:val="left"/>
      <w:pPr>
        <w:ind w:left="6480" w:hanging="360"/>
      </w:pPr>
      <w:rPr>
        <w:rFonts w:ascii="Wingdings" w:hAnsi="Wingdings" w:hint="default"/>
      </w:rPr>
    </w:lvl>
  </w:abstractNum>
  <w:abstractNum w:abstractNumId="6" w15:restartNumberingAfterBreak="0">
    <w:nsid w:val="2BC9694D"/>
    <w:multiLevelType w:val="hybridMultilevel"/>
    <w:tmpl w:val="673CBF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1A41094"/>
    <w:multiLevelType w:val="hybridMultilevel"/>
    <w:tmpl w:val="8702CB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85F51A1"/>
    <w:multiLevelType w:val="multilevel"/>
    <w:tmpl w:val="12C6B480"/>
    <w:styleLink w:val="BulletList"/>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646" w:hanging="363"/>
      </w:pPr>
      <w:rPr>
        <w:rFonts w:ascii="Arial" w:hAnsi="Arial" w:hint="default"/>
        <w:color w:val="000000" w:themeColor="text1"/>
      </w:rPr>
    </w:lvl>
    <w:lvl w:ilvl="2">
      <w:start w:val="1"/>
      <w:numFmt w:val="bullet"/>
      <w:pStyle w:val="ListBullet3"/>
      <w:lvlText w:val="▪"/>
      <w:lvlJc w:val="left"/>
      <w:pPr>
        <w:ind w:left="1077" w:hanging="357"/>
      </w:pPr>
      <w:rPr>
        <w:rFonts w:ascii="Arial" w:hAnsi="Aria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2D770EB"/>
    <w:multiLevelType w:val="hybridMultilevel"/>
    <w:tmpl w:val="59AA6BDA"/>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E94BFC"/>
    <w:multiLevelType w:val="multilevel"/>
    <w:tmpl w:val="D2DAACD0"/>
    <w:lvl w:ilvl="0">
      <w:start w:val="1"/>
      <w:numFmt w:val="bullet"/>
      <w:lvlText w:val=""/>
      <w:lvlJc w:val="left"/>
      <w:pPr>
        <w:tabs>
          <w:tab w:val="num" w:pos="567"/>
        </w:tabs>
        <w:ind w:left="567" w:hanging="567"/>
      </w:pPr>
      <w:rPr>
        <w:rFonts w:ascii="Symbol" w:hAnsi="Symbol" w:hint="default"/>
        <w:color w:val="auto"/>
        <w:sz w:val="32"/>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1" w15:restartNumberingAfterBreak="0">
    <w:nsid w:val="4A0445F4"/>
    <w:multiLevelType w:val="multilevel"/>
    <w:tmpl w:val="F424BC4C"/>
    <w:styleLink w:val="Lists6"/>
    <w:lvl w:ilvl="0">
      <w:start w:val="1"/>
      <w:numFmt w:val="none"/>
      <w:pStyle w:val="Normal"/>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647"/>
        </w:tabs>
        <w:ind w:left="647"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4DDC2F99"/>
    <w:multiLevelType w:val="hybridMultilevel"/>
    <w:tmpl w:val="CF3E0B9E"/>
    <w:lvl w:ilvl="0" w:tplc="482AF13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EFE2319"/>
    <w:multiLevelType w:val="hybridMultilevel"/>
    <w:tmpl w:val="7576B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BD65DC"/>
    <w:multiLevelType w:val="hybridMultilevel"/>
    <w:tmpl w:val="38E046EE"/>
    <w:lvl w:ilvl="0" w:tplc="8084EE44">
      <w:start w:val="1"/>
      <w:numFmt w:val="decimal"/>
      <w:lvlText w:val="%1."/>
      <w:lvlJc w:val="left"/>
      <w:pPr>
        <w:ind w:left="360" w:hanging="360"/>
      </w:pPr>
      <w:rPr>
        <w:rFonts w:hint="default"/>
        <w:b w:val="0"/>
        <w:bCs w:val="0"/>
      </w:rPr>
    </w:lvl>
    <w:lvl w:ilvl="1" w:tplc="0C090019">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18B5CF9"/>
    <w:multiLevelType w:val="hybridMultilevel"/>
    <w:tmpl w:val="BDA01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634FE8"/>
    <w:multiLevelType w:val="multilevel"/>
    <w:tmpl w:val="B85C564E"/>
    <w:styleLink w:val="CurrentList2"/>
    <w:lvl w:ilvl="0">
      <w:start w:val="1"/>
      <w:numFmt w:val="bullet"/>
      <w:lvlText w:val=""/>
      <w:lvlJc w:val="left"/>
      <w:pPr>
        <w:ind w:left="357" w:hanging="357"/>
      </w:pPr>
      <w:rPr>
        <w:rFonts w:ascii="Symbol" w:hAnsi="Symbol" w:hint="default"/>
        <w:color w:val="E7E6E6" w:themeColor="background2"/>
      </w:rPr>
    </w:lvl>
    <w:lvl w:ilvl="1">
      <w:start w:val="1"/>
      <w:numFmt w:val="bullet"/>
      <w:lvlText w:val=""/>
      <w:lvlJc w:val="left"/>
      <w:pPr>
        <w:ind w:left="714" w:hanging="357"/>
      </w:pPr>
      <w:rPr>
        <w:rFonts w:ascii="Symbol" w:hAnsi="Symbol" w:hint="default"/>
        <w:color w:val="E7E6E6" w:themeColor="background2"/>
        <w:sz w:val="20"/>
      </w:rPr>
    </w:lvl>
    <w:lvl w:ilvl="2">
      <w:start w:val="1"/>
      <w:numFmt w:val="bullet"/>
      <w:lvlText w:val=""/>
      <w:lvlJc w:val="left"/>
      <w:pPr>
        <w:ind w:left="1072" w:hanging="358"/>
      </w:pPr>
      <w:rPr>
        <w:rFonts w:ascii="Wingdings" w:hAnsi="Wingdings" w:hint="default"/>
        <w:color w:val="E7E6E6" w:themeColor="background2"/>
        <w:sz w:val="12"/>
      </w:rPr>
    </w:lvl>
    <w:lvl w:ilvl="3">
      <w:start w:val="1"/>
      <w:numFmt w:val="bullet"/>
      <w:lvlText w:val="»"/>
      <w:lvlJc w:val="left"/>
      <w:pPr>
        <w:ind w:left="1429" w:hanging="357"/>
      </w:pPr>
      <w:rPr>
        <w:rFonts w:ascii="Arial" w:hAnsi="Arial" w:hint="default"/>
        <w:color w:val="E7E6E6" w:themeColor="background2"/>
        <w:sz w:val="12"/>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C41FD9"/>
    <w:multiLevelType w:val="hybridMultilevel"/>
    <w:tmpl w:val="001A303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0F82673"/>
    <w:multiLevelType w:val="hybridMultilevel"/>
    <w:tmpl w:val="5B44DD6E"/>
    <w:lvl w:ilvl="0" w:tplc="3DB47FC2">
      <w:start w:val="1"/>
      <w:numFmt w:val="bullet"/>
      <w:lvlText w:val=""/>
      <w:lvlJc w:val="left"/>
      <w:pPr>
        <w:ind w:left="360" w:hanging="360"/>
      </w:pPr>
      <w:rPr>
        <w:rFonts w:ascii="Symbol" w:hAnsi="Symbol" w:hint="default"/>
        <w:color w:val="E7E6E6" w:themeColor="background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8"/>
    <w:lvlOverride w:ilvl="0">
      <w:startOverride w:val="1"/>
      <w:lvl w:ilvl="0">
        <w:start w:val="1"/>
        <w:numFmt w:val="bullet"/>
        <w:pStyle w:val="ListBullet"/>
        <w:lvlText w:val=""/>
        <w:lvlJc w:val="left"/>
        <w:pPr>
          <w:ind w:left="360" w:hanging="360"/>
        </w:pPr>
        <w:rPr>
          <w:rFonts w:ascii="Symbol" w:hAnsi="Symbol" w:hint="default"/>
          <w:color w:val="000000" w:themeColor="text1"/>
        </w:rPr>
      </w:lvl>
    </w:lvlOverride>
    <w:lvlOverride w:ilvl="1">
      <w:startOverride w:val="1"/>
      <w:lvl w:ilvl="1">
        <w:start w:val="1"/>
        <w:numFmt w:val="bullet"/>
        <w:pStyle w:val="ListBullet2"/>
        <w:lvlText w:val="-"/>
        <w:lvlJc w:val="left"/>
        <w:pPr>
          <w:ind w:left="720" w:hanging="363"/>
        </w:pPr>
        <w:rPr>
          <w:rFonts w:ascii="Arial" w:hAnsi="Arial" w:hint="default"/>
          <w:color w:val="000000" w:themeColor="text1"/>
        </w:rPr>
      </w:lvl>
    </w:lvlOverride>
    <w:lvlOverride w:ilvl="2">
      <w:startOverride w:val="1"/>
      <w:lvl w:ilvl="2">
        <w:start w:val="1"/>
        <w:numFmt w:val="decimal"/>
        <w:pStyle w:val="ListBullet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4">
    <w:abstractNumId w:val="2"/>
  </w:num>
  <w:num w:numId="5">
    <w:abstractNumId w:val="17"/>
  </w:num>
  <w:num w:numId="6">
    <w:abstractNumId w:val="1"/>
  </w:num>
  <w:num w:numId="7">
    <w:abstractNumId w:val="12"/>
  </w:num>
  <w:num w:numId="8">
    <w:abstractNumId w:val="3"/>
  </w:num>
  <w:num w:numId="9">
    <w:abstractNumId w:val="9"/>
  </w:num>
  <w:num w:numId="10">
    <w:abstractNumId w:val="5"/>
  </w:num>
  <w:num w:numId="11">
    <w:abstractNumId w:val="7"/>
  </w:num>
  <w:num w:numId="12">
    <w:abstractNumId w:val="6"/>
  </w:num>
  <w:num w:numId="13">
    <w:abstractNumId w:val="4"/>
  </w:num>
  <w:num w:numId="14">
    <w:abstractNumId w:val="10"/>
  </w:num>
  <w:num w:numId="15">
    <w:abstractNumId w:val="18"/>
  </w:num>
  <w:num w:numId="16">
    <w:abstractNumId w:val="14"/>
  </w:num>
  <w:num w:numId="17">
    <w:abstractNumId w:val="16"/>
  </w:num>
  <w:num w:numId="18">
    <w:abstractNumId w:val="15"/>
  </w:num>
  <w:num w:numId="19">
    <w:abstractNumId w:val="0"/>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9A"/>
    <w:rsid w:val="0000302A"/>
    <w:rsid w:val="00005A6D"/>
    <w:rsid w:val="0000725D"/>
    <w:rsid w:val="0000764D"/>
    <w:rsid w:val="00007E1C"/>
    <w:rsid w:val="00011465"/>
    <w:rsid w:val="000114E2"/>
    <w:rsid w:val="0001226C"/>
    <w:rsid w:val="00014FF6"/>
    <w:rsid w:val="00016660"/>
    <w:rsid w:val="000203A6"/>
    <w:rsid w:val="00020A5C"/>
    <w:rsid w:val="00021BE1"/>
    <w:rsid w:val="00025DF2"/>
    <w:rsid w:val="00026206"/>
    <w:rsid w:val="0003080D"/>
    <w:rsid w:val="0003497F"/>
    <w:rsid w:val="00043D69"/>
    <w:rsid w:val="00046A35"/>
    <w:rsid w:val="000507A9"/>
    <w:rsid w:val="000511F9"/>
    <w:rsid w:val="00052E84"/>
    <w:rsid w:val="00054344"/>
    <w:rsid w:val="00054663"/>
    <w:rsid w:val="00054DE7"/>
    <w:rsid w:val="00054F7B"/>
    <w:rsid w:val="00055A12"/>
    <w:rsid w:val="000629EE"/>
    <w:rsid w:val="00062CA7"/>
    <w:rsid w:val="00063656"/>
    <w:rsid w:val="00067D92"/>
    <w:rsid w:val="0007337F"/>
    <w:rsid w:val="0007406C"/>
    <w:rsid w:val="00074F23"/>
    <w:rsid w:val="000756ED"/>
    <w:rsid w:val="0007614B"/>
    <w:rsid w:val="000802CF"/>
    <w:rsid w:val="00080B6A"/>
    <w:rsid w:val="000832D5"/>
    <w:rsid w:val="0009640F"/>
    <w:rsid w:val="00097BEE"/>
    <w:rsid w:val="000A3869"/>
    <w:rsid w:val="000A4B6F"/>
    <w:rsid w:val="000A4C31"/>
    <w:rsid w:val="000A67C3"/>
    <w:rsid w:val="000A7474"/>
    <w:rsid w:val="000B708F"/>
    <w:rsid w:val="000B731C"/>
    <w:rsid w:val="000B79D3"/>
    <w:rsid w:val="000C4562"/>
    <w:rsid w:val="000D0FC5"/>
    <w:rsid w:val="000D5970"/>
    <w:rsid w:val="000E2530"/>
    <w:rsid w:val="000E59AB"/>
    <w:rsid w:val="000E5C2F"/>
    <w:rsid w:val="000E73C6"/>
    <w:rsid w:val="000F6001"/>
    <w:rsid w:val="000F6EAA"/>
    <w:rsid w:val="000F79E6"/>
    <w:rsid w:val="00101B88"/>
    <w:rsid w:val="001063BB"/>
    <w:rsid w:val="001105AF"/>
    <w:rsid w:val="001107EA"/>
    <w:rsid w:val="00111614"/>
    <w:rsid w:val="001127DB"/>
    <w:rsid w:val="00113C26"/>
    <w:rsid w:val="00113DA5"/>
    <w:rsid w:val="00114BB0"/>
    <w:rsid w:val="00115E12"/>
    <w:rsid w:val="00116055"/>
    <w:rsid w:val="00117C3F"/>
    <w:rsid w:val="00120AC7"/>
    <w:rsid w:val="00122897"/>
    <w:rsid w:val="00122FE6"/>
    <w:rsid w:val="00124044"/>
    <w:rsid w:val="00124E1B"/>
    <w:rsid w:val="0012592F"/>
    <w:rsid w:val="001269D4"/>
    <w:rsid w:val="00130171"/>
    <w:rsid w:val="00130968"/>
    <w:rsid w:val="001320ED"/>
    <w:rsid w:val="001345E0"/>
    <w:rsid w:val="001372CA"/>
    <w:rsid w:val="00137C22"/>
    <w:rsid w:val="00140D95"/>
    <w:rsid w:val="0014332D"/>
    <w:rsid w:val="00147124"/>
    <w:rsid w:val="0014733C"/>
    <w:rsid w:val="001509D4"/>
    <w:rsid w:val="001578D9"/>
    <w:rsid w:val="00157935"/>
    <w:rsid w:val="001626BD"/>
    <w:rsid w:val="00165CB9"/>
    <w:rsid w:val="001669DF"/>
    <w:rsid w:val="00166B35"/>
    <w:rsid w:val="001751A2"/>
    <w:rsid w:val="001764F8"/>
    <w:rsid w:val="00177608"/>
    <w:rsid w:val="00185094"/>
    <w:rsid w:val="00185130"/>
    <w:rsid w:val="00190C4B"/>
    <w:rsid w:val="00190C89"/>
    <w:rsid w:val="001914BE"/>
    <w:rsid w:val="00191DE3"/>
    <w:rsid w:val="00191EAF"/>
    <w:rsid w:val="00192280"/>
    <w:rsid w:val="00192AE9"/>
    <w:rsid w:val="00193E17"/>
    <w:rsid w:val="00195CB6"/>
    <w:rsid w:val="00195CCD"/>
    <w:rsid w:val="001A021B"/>
    <w:rsid w:val="001A2E86"/>
    <w:rsid w:val="001A6531"/>
    <w:rsid w:val="001B2790"/>
    <w:rsid w:val="001B4418"/>
    <w:rsid w:val="001B6967"/>
    <w:rsid w:val="001D0FD1"/>
    <w:rsid w:val="001D32F9"/>
    <w:rsid w:val="001D67FD"/>
    <w:rsid w:val="001D6F80"/>
    <w:rsid w:val="001D793A"/>
    <w:rsid w:val="001E01C1"/>
    <w:rsid w:val="001E09AC"/>
    <w:rsid w:val="001E0E95"/>
    <w:rsid w:val="001E3B88"/>
    <w:rsid w:val="001E6A9D"/>
    <w:rsid w:val="001E7D99"/>
    <w:rsid w:val="001F13FE"/>
    <w:rsid w:val="001F3787"/>
    <w:rsid w:val="001F67AF"/>
    <w:rsid w:val="002018B7"/>
    <w:rsid w:val="00201E24"/>
    <w:rsid w:val="002029BB"/>
    <w:rsid w:val="002030BF"/>
    <w:rsid w:val="002034EA"/>
    <w:rsid w:val="00205151"/>
    <w:rsid w:val="0021025E"/>
    <w:rsid w:val="00214062"/>
    <w:rsid w:val="002160AB"/>
    <w:rsid w:val="00221578"/>
    <w:rsid w:val="00222E3E"/>
    <w:rsid w:val="00226D11"/>
    <w:rsid w:val="00230A33"/>
    <w:rsid w:val="00230F56"/>
    <w:rsid w:val="00233E56"/>
    <w:rsid w:val="002365D5"/>
    <w:rsid w:val="00241284"/>
    <w:rsid w:val="0024189A"/>
    <w:rsid w:val="00247B9B"/>
    <w:rsid w:val="002515C3"/>
    <w:rsid w:val="0025249F"/>
    <w:rsid w:val="00252EBE"/>
    <w:rsid w:val="00254B8A"/>
    <w:rsid w:val="00256296"/>
    <w:rsid w:val="002606EF"/>
    <w:rsid w:val="0026161B"/>
    <w:rsid w:val="002626E0"/>
    <w:rsid w:val="00262C3C"/>
    <w:rsid w:val="00262D0B"/>
    <w:rsid w:val="00262D81"/>
    <w:rsid w:val="00264FD2"/>
    <w:rsid w:val="00264FDD"/>
    <w:rsid w:val="00265DED"/>
    <w:rsid w:val="002670A9"/>
    <w:rsid w:val="00267917"/>
    <w:rsid w:val="00271270"/>
    <w:rsid w:val="00271FCC"/>
    <w:rsid w:val="00272EA6"/>
    <w:rsid w:val="00277533"/>
    <w:rsid w:val="00277598"/>
    <w:rsid w:val="0028090F"/>
    <w:rsid w:val="002826F4"/>
    <w:rsid w:val="00283909"/>
    <w:rsid w:val="00285949"/>
    <w:rsid w:val="0029408B"/>
    <w:rsid w:val="00297413"/>
    <w:rsid w:val="002A0A99"/>
    <w:rsid w:val="002A0ECE"/>
    <w:rsid w:val="002A2ECA"/>
    <w:rsid w:val="002A48B6"/>
    <w:rsid w:val="002A671D"/>
    <w:rsid w:val="002A690D"/>
    <w:rsid w:val="002A6BE6"/>
    <w:rsid w:val="002A7004"/>
    <w:rsid w:val="002A7E00"/>
    <w:rsid w:val="002B0D85"/>
    <w:rsid w:val="002B15AB"/>
    <w:rsid w:val="002B24AE"/>
    <w:rsid w:val="002B360D"/>
    <w:rsid w:val="002B605F"/>
    <w:rsid w:val="002C1BCE"/>
    <w:rsid w:val="002C4D17"/>
    <w:rsid w:val="002C5BEB"/>
    <w:rsid w:val="002D4FAA"/>
    <w:rsid w:val="002F29EA"/>
    <w:rsid w:val="002F543A"/>
    <w:rsid w:val="002F5486"/>
    <w:rsid w:val="002F7383"/>
    <w:rsid w:val="002F783E"/>
    <w:rsid w:val="00300EDF"/>
    <w:rsid w:val="00304DBF"/>
    <w:rsid w:val="003112F2"/>
    <w:rsid w:val="003128AA"/>
    <w:rsid w:val="0031307A"/>
    <w:rsid w:val="0031523C"/>
    <w:rsid w:val="00317E37"/>
    <w:rsid w:val="003201D2"/>
    <w:rsid w:val="0032400A"/>
    <w:rsid w:val="00324321"/>
    <w:rsid w:val="00325D72"/>
    <w:rsid w:val="00327F6F"/>
    <w:rsid w:val="0033016E"/>
    <w:rsid w:val="00331737"/>
    <w:rsid w:val="0033638C"/>
    <w:rsid w:val="00337B7A"/>
    <w:rsid w:val="00340B0E"/>
    <w:rsid w:val="003444FD"/>
    <w:rsid w:val="00346214"/>
    <w:rsid w:val="003533B5"/>
    <w:rsid w:val="00354B53"/>
    <w:rsid w:val="003561E0"/>
    <w:rsid w:val="003562FB"/>
    <w:rsid w:val="00357464"/>
    <w:rsid w:val="0036002A"/>
    <w:rsid w:val="003616F6"/>
    <w:rsid w:val="003617C6"/>
    <w:rsid w:val="00361B43"/>
    <w:rsid w:val="0036291F"/>
    <w:rsid w:val="00363A1C"/>
    <w:rsid w:val="00364557"/>
    <w:rsid w:val="00364C80"/>
    <w:rsid w:val="00365D94"/>
    <w:rsid w:val="003674D7"/>
    <w:rsid w:val="003676B3"/>
    <w:rsid w:val="003739A4"/>
    <w:rsid w:val="003750F7"/>
    <w:rsid w:val="00375C59"/>
    <w:rsid w:val="003776F3"/>
    <w:rsid w:val="003831F3"/>
    <w:rsid w:val="003866AC"/>
    <w:rsid w:val="00390BF5"/>
    <w:rsid w:val="003A2CD4"/>
    <w:rsid w:val="003A4B86"/>
    <w:rsid w:val="003A6013"/>
    <w:rsid w:val="003A6036"/>
    <w:rsid w:val="003B10FE"/>
    <w:rsid w:val="003B1C4C"/>
    <w:rsid w:val="003B252B"/>
    <w:rsid w:val="003B4986"/>
    <w:rsid w:val="003B664F"/>
    <w:rsid w:val="003B70AA"/>
    <w:rsid w:val="003B79CE"/>
    <w:rsid w:val="003C2629"/>
    <w:rsid w:val="003C524C"/>
    <w:rsid w:val="003C7419"/>
    <w:rsid w:val="003D1FA9"/>
    <w:rsid w:val="003D30D6"/>
    <w:rsid w:val="003E2AD4"/>
    <w:rsid w:val="003E52EA"/>
    <w:rsid w:val="003E6CD2"/>
    <w:rsid w:val="003E75F9"/>
    <w:rsid w:val="003E79D8"/>
    <w:rsid w:val="003F2C47"/>
    <w:rsid w:val="003F368F"/>
    <w:rsid w:val="003F68D9"/>
    <w:rsid w:val="003F6990"/>
    <w:rsid w:val="00405BF1"/>
    <w:rsid w:val="004105F6"/>
    <w:rsid w:val="0041061D"/>
    <w:rsid w:val="00411450"/>
    <w:rsid w:val="004137FB"/>
    <w:rsid w:val="00415CA3"/>
    <w:rsid w:val="00421523"/>
    <w:rsid w:val="00422297"/>
    <w:rsid w:val="00425401"/>
    <w:rsid w:val="00427676"/>
    <w:rsid w:val="00432E9C"/>
    <w:rsid w:val="00437153"/>
    <w:rsid w:val="004401A5"/>
    <w:rsid w:val="00441164"/>
    <w:rsid w:val="00443F24"/>
    <w:rsid w:val="004530C4"/>
    <w:rsid w:val="0045371C"/>
    <w:rsid w:val="0045470E"/>
    <w:rsid w:val="0045631B"/>
    <w:rsid w:val="00456515"/>
    <w:rsid w:val="00456751"/>
    <w:rsid w:val="0045711B"/>
    <w:rsid w:val="00457166"/>
    <w:rsid w:val="0046058F"/>
    <w:rsid w:val="00461251"/>
    <w:rsid w:val="0046420F"/>
    <w:rsid w:val="00464E49"/>
    <w:rsid w:val="00467C73"/>
    <w:rsid w:val="0047534E"/>
    <w:rsid w:val="00475401"/>
    <w:rsid w:val="00477B20"/>
    <w:rsid w:val="00480379"/>
    <w:rsid w:val="004822C0"/>
    <w:rsid w:val="00482323"/>
    <w:rsid w:val="00482C7B"/>
    <w:rsid w:val="00483271"/>
    <w:rsid w:val="00483C77"/>
    <w:rsid w:val="0048604B"/>
    <w:rsid w:val="00490A3C"/>
    <w:rsid w:val="00490B3D"/>
    <w:rsid w:val="00490DE4"/>
    <w:rsid w:val="004916FA"/>
    <w:rsid w:val="00491F95"/>
    <w:rsid w:val="00492AE5"/>
    <w:rsid w:val="0049348D"/>
    <w:rsid w:val="004937B0"/>
    <w:rsid w:val="004949D2"/>
    <w:rsid w:val="00495295"/>
    <w:rsid w:val="004A0689"/>
    <w:rsid w:val="004A1A3F"/>
    <w:rsid w:val="004A2CBB"/>
    <w:rsid w:val="004A2E71"/>
    <w:rsid w:val="004A2EFD"/>
    <w:rsid w:val="004A36F8"/>
    <w:rsid w:val="004A7496"/>
    <w:rsid w:val="004A7A54"/>
    <w:rsid w:val="004B24CD"/>
    <w:rsid w:val="004B6027"/>
    <w:rsid w:val="004B6E42"/>
    <w:rsid w:val="004C237A"/>
    <w:rsid w:val="004C5E08"/>
    <w:rsid w:val="004C60BF"/>
    <w:rsid w:val="004C61C2"/>
    <w:rsid w:val="004C67ED"/>
    <w:rsid w:val="004C7527"/>
    <w:rsid w:val="004D2E9A"/>
    <w:rsid w:val="004D4402"/>
    <w:rsid w:val="004D677F"/>
    <w:rsid w:val="004E092B"/>
    <w:rsid w:val="004E28B4"/>
    <w:rsid w:val="004E47A5"/>
    <w:rsid w:val="004E6EE1"/>
    <w:rsid w:val="004E72C4"/>
    <w:rsid w:val="004F01C9"/>
    <w:rsid w:val="004F25D2"/>
    <w:rsid w:val="004F42F1"/>
    <w:rsid w:val="004F6CDE"/>
    <w:rsid w:val="004F72A8"/>
    <w:rsid w:val="004F7F11"/>
    <w:rsid w:val="0050324B"/>
    <w:rsid w:val="005053DE"/>
    <w:rsid w:val="00507C4E"/>
    <w:rsid w:val="0051126F"/>
    <w:rsid w:val="005132A8"/>
    <w:rsid w:val="005165D1"/>
    <w:rsid w:val="00517203"/>
    <w:rsid w:val="00520417"/>
    <w:rsid w:val="00520BFA"/>
    <w:rsid w:val="0052114F"/>
    <w:rsid w:val="00523368"/>
    <w:rsid w:val="005252F2"/>
    <w:rsid w:val="00526B3B"/>
    <w:rsid w:val="0052770A"/>
    <w:rsid w:val="005328FF"/>
    <w:rsid w:val="005359BE"/>
    <w:rsid w:val="00535FDB"/>
    <w:rsid w:val="00537EDA"/>
    <w:rsid w:val="005401F7"/>
    <w:rsid w:val="005415D2"/>
    <w:rsid w:val="00541E7C"/>
    <w:rsid w:val="00542FFC"/>
    <w:rsid w:val="0054349F"/>
    <w:rsid w:val="00547F52"/>
    <w:rsid w:val="005543D8"/>
    <w:rsid w:val="00555B06"/>
    <w:rsid w:val="00557AD8"/>
    <w:rsid w:val="00561117"/>
    <w:rsid w:val="00562990"/>
    <w:rsid w:val="00562BC2"/>
    <w:rsid w:val="00563466"/>
    <w:rsid w:val="005649FD"/>
    <w:rsid w:val="00567882"/>
    <w:rsid w:val="005710E6"/>
    <w:rsid w:val="005716E0"/>
    <w:rsid w:val="005724F6"/>
    <w:rsid w:val="00574471"/>
    <w:rsid w:val="005749B8"/>
    <w:rsid w:val="00580539"/>
    <w:rsid w:val="00580DC2"/>
    <w:rsid w:val="00586AEF"/>
    <w:rsid w:val="00587004"/>
    <w:rsid w:val="005927CD"/>
    <w:rsid w:val="0059295C"/>
    <w:rsid w:val="00593D44"/>
    <w:rsid w:val="005951A5"/>
    <w:rsid w:val="0059599E"/>
    <w:rsid w:val="00595EBA"/>
    <w:rsid w:val="00596994"/>
    <w:rsid w:val="00596A56"/>
    <w:rsid w:val="00597CA0"/>
    <w:rsid w:val="005A004E"/>
    <w:rsid w:val="005A148D"/>
    <w:rsid w:val="005A56C1"/>
    <w:rsid w:val="005A6656"/>
    <w:rsid w:val="005A679E"/>
    <w:rsid w:val="005B0E07"/>
    <w:rsid w:val="005B3799"/>
    <w:rsid w:val="005B4DE1"/>
    <w:rsid w:val="005B5725"/>
    <w:rsid w:val="005B65FE"/>
    <w:rsid w:val="005B78DA"/>
    <w:rsid w:val="005C4157"/>
    <w:rsid w:val="005C557F"/>
    <w:rsid w:val="005C786F"/>
    <w:rsid w:val="005C7929"/>
    <w:rsid w:val="005D027B"/>
    <w:rsid w:val="005D1212"/>
    <w:rsid w:val="005D2C7F"/>
    <w:rsid w:val="005D42D3"/>
    <w:rsid w:val="005E113B"/>
    <w:rsid w:val="005E1CDF"/>
    <w:rsid w:val="005E3E93"/>
    <w:rsid w:val="005E4F19"/>
    <w:rsid w:val="005E5CE6"/>
    <w:rsid w:val="005E5EA9"/>
    <w:rsid w:val="005E5FB2"/>
    <w:rsid w:val="005F09DF"/>
    <w:rsid w:val="005F13ED"/>
    <w:rsid w:val="005F1E31"/>
    <w:rsid w:val="005F5034"/>
    <w:rsid w:val="005F5B7D"/>
    <w:rsid w:val="005F7379"/>
    <w:rsid w:val="00601F82"/>
    <w:rsid w:val="0060545C"/>
    <w:rsid w:val="00605826"/>
    <w:rsid w:val="00606717"/>
    <w:rsid w:val="00610B14"/>
    <w:rsid w:val="00612283"/>
    <w:rsid w:val="00613A31"/>
    <w:rsid w:val="00614307"/>
    <w:rsid w:val="00614A47"/>
    <w:rsid w:val="00617DC8"/>
    <w:rsid w:val="006211BC"/>
    <w:rsid w:val="006232C4"/>
    <w:rsid w:val="006242A5"/>
    <w:rsid w:val="006255D4"/>
    <w:rsid w:val="006356CA"/>
    <w:rsid w:val="006369A9"/>
    <w:rsid w:val="00637851"/>
    <w:rsid w:val="00637AE2"/>
    <w:rsid w:val="00651675"/>
    <w:rsid w:val="00652F61"/>
    <w:rsid w:val="006530B8"/>
    <w:rsid w:val="0065365B"/>
    <w:rsid w:val="006558DB"/>
    <w:rsid w:val="0066068A"/>
    <w:rsid w:val="00660944"/>
    <w:rsid w:val="00660EA8"/>
    <w:rsid w:val="00661E48"/>
    <w:rsid w:val="006629F9"/>
    <w:rsid w:val="006638DC"/>
    <w:rsid w:val="0066472E"/>
    <w:rsid w:val="006703BB"/>
    <w:rsid w:val="00672D1A"/>
    <w:rsid w:val="006770DD"/>
    <w:rsid w:val="00684F03"/>
    <w:rsid w:val="00685A8B"/>
    <w:rsid w:val="006866AA"/>
    <w:rsid w:val="00686F80"/>
    <w:rsid w:val="00691331"/>
    <w:rsid w:val="006917AD"/>
    <w:rsid w:val="00694E6C"/>
    <w:rsid w:val="006958A8"/>
    <w:rsid w:val="00695C7C"/>
    <w:rsid w:val="0069628B"/>
    <w:rsid w:val="00696BCD"/>
    <w:rsid w:val="006A1F46"/>
    <w:rsid w:val="006A2645"/>
    <w:rsid w:val="006A2E64"/>
    <w:rsid w:val="006A2EBE"/>
    <w:rsid w:val="006A3939"/>
    <w:rsid w:val="006A406F"/>
    <w:rsid w:val="006A4C83"/>
    <w:rsid w:val="006A6F1A"/>
    <w:rsid w:val="006B2BA8"/>
    <w:rsid w:val="006B5B9C"/>
    <w:rsid w:val="006C210D"/>
    <w:rsid w:val="006C2B58"/>
    <w:rsid w:val="006C4570"/>
    <w:rsid w:val="006C5130"/>
    <w:rsid w:val="006C63F8"/>
    <w:rsid w:val="006C7281"/>
    <w:rsid w:val="006D1F8E"/>
    <w:rsid w:val="006D3A24"/>
    <w:rsid w:val="006D5541"/>
    <w:rsid w:val="006D7F9F"/>
    <w:rsid w:val="006E1557"/>
    <w:rsid w:val="006E1E52"/>
    <w:rsid w:val="006E377F"/>
    <w:rsid w:val="006E4674"/>
    <w:rsid w:val="006E6568"/>
    <w:rsid w:val="006E715E"/>
    <w:rsid w:val="006F4DA4"/>
    <w:rsid w:val="006F6DB0"/>
    <w:rsid w:val="0070048E"/>
    <w:rsid w:val="00700C3E"/>
    <w:rsid w:val="007024AD"/>
    <w:rsid w:val="007028AA"/>
    <w:rsid w:val="0070459A"/>
    <w:rsid w:val="00706F6F"/>
    <w:rsid w:val="00707DF0"/>
    <w:rsid w:val="00710F6B"/>
    <w:rsid w:val="00712B70"/>
    <w:rsid w:val="00712B8F"/>
    <w:rsid w:val="00713251"/>
    <w:rsid w:val="0071330B"/>
    <w:rsid w:val="00714479"/>
    <w:rsid w:val="00715653"/>
    <w:rsid w:val="0071677E"/>
    <w:rsid w:val="007174D8"/>
    <w:rsid w:val="007208A9"/>
    <w:rsid w:val="007211AE"/>
    <w:rsid w:val="00724580"/>
    <w:rsid w:val="00724D51"/>
    <w:rsid w:val="007259B6"/>
    <w:rsid w:val="00730422"/>
    <w:rsid w:val="00735961"/>
    <w:rsid w:val="00736811"/>
    <w:rsid w:val="0074006C"/>
    <w:rsid w:val="00740224"/>
    <w:rsid w:val="00746D69"/>
    <w:rsid w:val="00747F91"/>
    <w:rsid w:val="0075413F"/>
    <w:rsid w:val="00757BEC"/>
    <w:rsid w:val="00760185"/>
    <w:rsid w:val="00760ADF"/>
    <w:rsid w:val="00764D34"/>
    <w:rsid w:val="0076773F"/>
    <w:rsid w:val="00770019"/>
    <w:rsid w:val="0077320A"/>
    <w:rsid w:val="00777B9B"/>
    <w:rsid w:val="00780021"/>
    <w:rsid w:val="00780202"/>
    <w:rsid w:val="007808E3"/>
    <w:rsid w:val="00781D34"/>
    <w:rsid w:val="007822F5"/>
    <w:rsid w:val="00782500"/>
    <w:rsid w:val="007838A9"/>
    <w:rsid w:val="00783968"/>
    <w:rsid w:val="00783DE8"/>
    <w:rsid w:val="00785217"/>
    <w:rsid w:val="007906F0"/>
    <w:rsid w:val="0079146D"/>
    <w:rsid w:val="007963BF"/>
    <w:rsid w:val="007A0089"/>
    <w:rsid w:val="007A4ADF"/>
    <w:rsid w:val="007A6A6A"/>
    <w:rsid w:val="007B08AE"/>
    <w:rsid w:val="007B11DA"/>
    <w:rsid w:val="007B2532"/>
    <w:rsid w:val="007B361F"/>
    <w:rsid w:val="007B378A"/>
    <w:rsid w:val="007C4A98"/>
    <w:rsid w:val="007C4AE0"/>
    <w:rsid w:val="007C6570"/>
    <w:rsid w:val="007D0EF8"/>
    <w:rsid w:val="007D5BFF"/>
    <w:rsid w:val="007D624C"/>
    <w:rsid w:val="007D64F9"/>
    <w:rsid w:val="007D6CB0"/>
    <w:rsid w:val="007E3DF4"/>
    <w:rsid w:val="007F5307"/>
    <w:rsid w:val="008007C3"/>
    <w:rsid w:val="0080215F"/>
    <w:rsid w:val="0080363D"/>
    <w:rsid w:val="00803641"/>
    <w:rsid w:val="00803A03"/>
    <w:rsid w:val="0081001B"/>
    <w:rsid w:val="00810C6F"/>
    <w:rsid w:val="00813D8A"/>
    <w:rsid w:val="00813F93"/>
    <w:rsid w:val="00814291"/>
    <w:rsid w:val="008178C1"/>
    <w:rsid w:val="00820339"/>
    <w:rsid w:val="0082460C"/>
    <w:rsid w:val="008249C1"/>
    <w:rsid w:val="008252A0"/>
    <w:rsid w:val="00825445"/>
    <w:rsid w:val="0082726D"/>
    <w:rsid w:val="0083270C"/>
    <w:rsid w:val="00835306"/>
    <w:rsid w:val="00835B5B"/>
    <w:rsid w:val="0083609C"/>
    <w:rsid w:val="008411D8"/>
    <w:rsid w:val="008419F6"/>
    <w:rsid w:val="00844DC3"/>
    <w:rsid w:val="00844FCA"/>
    <w:rsid w:val="00846DA9"/>
    <w:rsid w:val="008471A2"/>
    <w:rsid w:val="00851E1D"/>
    <w:rsid w:val="00852979"/>
    <w:rsid w:val="00861B3D"/>
    <w:rsid w:val="00864423"/>
    <w:rsid w:val="008674AA"/>
    <w:rsid w:val="00867798"/>
    <w:rsid w:val="00870EA5"/>
    <w:rsid w:val="008732FB"/>
    <w:rsid w:val="00877FA8"/>
    <w:rsid w:val="00881B28"/>
    <w:rsid w:val="00883ABD"/>
    <w:rsid w:val="00884AF5"/>
    <w:rsid w:val="0088696F"/>
    <w:rsid w:val="00892090"/>
    <w:rsid w:val="00894FD3"/>
    <w:rsid w:val="00897F9B"/>
    <w:rsid w:val="008A16D8"/>
    <w:rsid w:val="008A6391"/>
    <w:rsid w:val="008B0909"/>
    <w:rsid w:val="008B11EA"/>
    <w:rsid w:val="008B17F7"/>
    <w:rsid w:val="008B26FE"/>
    <w:rsid w:val="008B525B"/>
    <w:rsid w:val="008B5E00"/>
    <w:rsid w:val="008B5EA3"/>
    <w:rsid w:val="008B6894"/>
    <w:rsid w:val="008B7FAA"/>
    <w:rsid w:val="008C1D8F"/>
    <w:rsid w:val="008C207D"/>
    <w:rsid w:val="008C3F01"/>
    <w:rsid w:val="008C4B5B"/>
    <w:rsid w:val="008C4BA9"/>
    <w:rsid w:val="008C55A9"/>
    <w:rsid w:val="008C5897"/>
    <w:rsid w:val="008C5A92"/>
    <w:rsid w:val="008D2103"/>
    <w:rsid w:val="008D3128"/>
    <w:rsid w:val="008E0974"/>
    <w:rsid w:val="008E1F82"/>
    <w:rsid w:val="008E22A6"/>
    <w:rsid w:val="008E2DC5"/>
    <w:rsid w:val="008E353F"/>
    <w:rsid w:val="008F00E3"/>
    <w:rsid w:val="008F37D6"/>
    <w:rsid w:val="008F3B9C"/>
    <w:rsid w:val="008F4507"/>
    <w:rsid w:val="008F4D21"/>
    <w:rsid w:val="008F4DF9"/>
    <w:rsid w:val="008F55BC"/>
    <w:rsid w:val="008F57D4"/>
    <w:rsid w:val="00900E01"/>
    <w:rsid w:val="00901B32"/>
    <w:rsid w:val="00901B5F"/>
    <w:rsid w:val="009025E2"/>
    <w:rsid w:val="009121E2"/>
    <w:rsid w:val="00912853"/>
    <w:rsid w:val="00913A4B"/>
    <w:rsid w:val="0092715E"/>
    <w:rsid w:val="009315B3"/>
    <w:rsid w:val="00931820"/>
    <w:rsid w:val="00940F5D"/>
    <w:rsid w:val="00941184"/>
    <w:rsid w:val="00942B58"/>
    <w:rsid w:val="00943344"/>
    <w:rsid w:val="009436F4"/>
    <w:rsid w:val="009440AF"/>
    <w:rsid w:val="00944643"/>
    <w:rsid w:val="0094529A"/>
    <w:rsid w:val="00945359"/>
    <w:rsid w:val="00946117"/>
    <w:rsid w:val="00946207"/>
    <w:rsid w:val="009479AD"/>
    <w:rsid w:val="009523C5"/>
    <w:rsid w:val="009526FC"/>
    <w:rsid w:val="009551C0"/>
    <w:rsid w:val="009601B4"/>
    <w:rsid w:val="009677B1"/>
    <w:rsid w:val="00973544"/>
    <w:rsid w:val="009810C7"/>
    <w:rsid w:val="00982D35"/>
    <w:rsid w:val="009838B6"/>
    <w:rsid w:val="00983C5A"/>
    <w:rsid w:val="00986373"/>
    <w:rsid w:val="009947B2"/>
    <w:rsid w:val="00994DB7"/>
    <w:rsid w:val="00996574"/>
    <w:rsid w:val="009A21C5"/>
    <w:rsid w:val="009A353B"/>
    <w:rsid w:val="009A3D45"/>
    <w:rsid w:val="009A4271"/>
    <w:rsid w:val="009A46D5"/>
    <w:rsid w:val="009A492E"/>
    <w:rsid w:val="009A6849"/>
    <w:rsid w:val="009A71AF"/>
    <w:rsid w:val="009A7763"/>
    <w:rsid w:val="009B258B"/>
    <w:rsid w:val="009B26E1"/>
    <w:rsid w:val="009B31F5"/>
    <w:rsid w:val="009B649B"/>
    <w:rsid w:val="009C0C3B"/>
    <w:rsid w:val="009C205D"/>
    <w:rsid w:val="009C2077"/>
    <w:rsid w:val="009C39FA"/>
    <w:rsid w:val="009C3F03"/>
    <w:rsid w:val="009C59E6"/>
    <w:rsid w:val="009C6707"/>
    <w:rsid w:val="009C6F79"/>
    <w:rsid w:val="009C746F"/>
    <w:rsid w:val="009D0EA5"/>
    <w:rsid w:val="009D24CA"/>
    <w:rsid w:val="009D3A76"/>
    <w:rsid w:val="009D4F68"/>
    <w:rsid w:val="009D76A6"/>
    <w:rsid w:val="009E3F46"/>
    <w:rsid w:val="009E5844"/>
    <w:rsid w:val="009E7275"/>
    <w:rsid w:val="009F0357"/>
    <w:rsid w:val="009F2A6E"/>
    <w:rsid w:val="009F4433"/>
    <w:rsid w:val="009F49A0"/>
    <w:rsid w:val="009F4A5E"/>
    <w:rsid w:val="009F6186"/>
    <w:rsid w:val="00A0089D"/>
    <w:rsid w:val="00A00E26"/>
    <w:rsid w:val="00A05BAA"/>
    <w:rsid w:val="00A10442"/>
    <w:rsid w:val="00A11559"/>
    <w:rsid w:val="00A11FFB"/>
    <w:rsid w:val="00A169DC"/>
    <w:rsid w:val="00A16FEC"/>
    <w:rsid w:val="00A318ED"/>
    <w:rsid w:val="00A323C3"/>
    <w:rsid w:val="00A412CF"/>
    <w:rsid w:val="00A41E1E"/>
    <w:rsid w:val="00A42310"/>
    <w:rsid w:val="00A43C57"/>
    <w:rsid w:val="00A44E7E"/>
    <w:rsid w:val="00A44FFC"/>
    <w:rsid w:val="00A4632D"/>
    <w:rsid w:val="00A506C0"/>
    <w:rsid w:val="00A528D3"/>
    <w:rsid w:val="00A53FFA"/>
    <w:rsid w:val="00A545D5"/>
    <w:rsid w:val="00A57278"/>
    <w:rsid w:val="00A57F2D"/>
    <w:rsid w:val="00A60F59"/>
    <w:rsid w:val="00A62FA0"/>
    <w:rsid w:val="00A6361B"/>
    <w:rsid w:val="00A63C81"/>
    <w:rsid w:val="00A67559"/>
    <w:rsid w:val="00A6767C"/>
    <w:rsid w:val="00A720A0"/>
    <w:rsid w:val="00A744DB"/>
    <w:rsid w:val="00A7512D"/>
    <w:rsid w:val="00A80652"/>
    <w:rsid w:val="00A80668"/>
    <w:rsid w:val="00A80B3B"/>
    <w:rsid w:val="00A81BDA"/>
    <w:rsid w:val="00A85684"/>
    <w:rsid w:val="00A86D5F"/>
    <w:rsid w:val="00A91C54"/>
    <w:rsid w:val="00A94967"/>
    <w:rsid w:val="00A94D4A"/>
    <w:rsid w:val="00A95BFD"/>
    <w:rsid w:val="00A97E1E"/>
    <w:rsid w:val="00AA0483"/>
    <w:rsid w:val="00AA1BE4"/>
    <w:rsid w:val="00AA3071"/>
    <w:rsid w:val="00AA3326"/>
    <w:rsid w:val="00AA370B"/>
    <w:rsid w:val="00AA3971"/>
    <w:rsid w:val="00AA6A67"/>
    <w:rsid w:val="00AB3E3C"/>
    <w:rsid w:val="00AB6455"/>
    <w:rsid w:val="00AC001F"/>
    <w:rsid w:val="00AC0030"/>
    <w:rsid w:val="00AC0873"/>
    <w:rsid w:val="00AC6739"/>
    <w:rsid w:val="00AC7763"/>
    <w:rsid w:val="00AC7CE6"/>
    <w:rsid w:val="00AD19D4"/>
    <w:rsid w:val="00AD4607"/>
    <w:rsid w:val="00AD74DA"/>
    <w:rsid w:val="00AD7E0E"/>
    <w:rsid w:val="00AE1DEF"/>
    <w:rsid w:val="00AE20B6"/>
    <w:rsid w:val="00AE417A"/>
    <w:rsid w:val="00AE486F"/>
    <w:rsid w:val="00AF20D8"/>
    <w:rsid w:val="00AF3432"/>
    <w:rsid w:val="00AF4625"/>
    <w:rsid w:val="00AF55B8"/>
    <w:rsid w:val="00AF5894"/>
    <w:rsid w:val="00B0033B"/>
    <w:rsid w:val="00B00AB1"/>
    <w:rsid w:val="00B018AF"/>
    <w:rsid w:val="00B03CEA"/>
    <w:rsid w:val="00B1017B"/>
    <w:rsid w:val="00B126BA"/>
    <w:rsid w:val="00B16932"/>
    <w:rsid w:val="00B17709"/>
    <w:rsid w:val="00B2226E"/>
    <w:rsid w:val="00B23609"/>
    <w:rsid w:val="00B3082A"/>
    <w:rsid w:val="00B31BDE"/>
    <w:rsid w:val="00B33CB8"/>
    <w:rsid w:val="00B34BFF"/>
    <w:rsid w:val="00B36560"/>
    <w:rsid w:val="00B374BD"/>
    <w:rsid w:val="00B376A6"/>
    <w:rsid w:val="00B40848"/>
    <w:rsid w:val="00B44527"/>
    <w:rsid w:val="00B4608E"/>
    <w:rsid w:val="00B50AD9"/>
    <w:rsid w:val="00B55E1E"/>
    <w:rsid w:val="00B55E80"/>
    <w:rsid w:val="00B61F21"/>
    <w:rsid w:val="00B6354A"/>
    <w:rsid w:val="00B64531"/>
    <w:rsid w:val="00B64F15"/>
    <w:rsid w:val="00B65986"/>
    <w:rsid w:val="00B65B6A"/>
    <w:rsid w:val="00B66E79"/>
    <w:rsid w:val="00B70221"/>
    <w:rsid w:val="00B70709"/>
    <w:rsid w:val="00B7228A"/>
    <w:rsid w:val="00B8226E"/>
    <w:rsid w:val="00B833F8"/>
    <w:rsid w:val="00B844FE"/>
    <w:rsid w:val="00B85DE8"/>
    <w:rsid w:val="00B874A0"/>
    <w:rsid w:val="00B875D2"/>
    <w:rsid w:val="00B87911"/>
    <w:rsid w:val="00B90954"/>
    <w:rsid w:val="00B91349"/>
    <w:rsid w:val="00B92722"/>
    <w:rsid w:val="00B92BCA"/>
    <w:rsid w:val="00B94619"/>
    <w:rsid w:val="00B97038"/>
    <w:rsid w:val="00BA06C7"/>
    <w:rsid w:val="00BA43C1"/>
    <w:rsid w:val="00BA4C43"/>
    <w:rsid w:val="00BA6DBF"/>
    <w:rsid w:val="00BA7A8B"/>
    <w:rsid w:val="00BB0024"/>
    <w:rsid w:val="00BB0832"/>
    <w:rsid w:val="00BB2838"/>
    <w:rsid w:val="00BB4B54"/>
    <w:rsid w:val="00BB57EA"/>
    <w:rsid w:val="00BC1965"/>
    <w:rsid w:val="00BC4842"/>
    <w:rsid w:val="00BC7A90"/>
    <w:rsid w:val="00BC7E3B"/>
    <w:rsid w:val="00BD12DA"/>
    <w:rsid w:val="00BD2EF8"/>
    <w:rsid w:val="00BE0C94"/>
    <w:rsid w:val="00BE1544"/>
    <w:rsid w:val="00BE4670"/>
    <w:rsid w:val="00BE63EB"/>
    <w:rsid w:val="00BE727E"/>
    <w:rsid w:val="00BF74B4"/>
    <w:rsid w:val="00BF7716"/>
    <w:rsid w:val="00BF7FAA"/>
    <w:rsid w:val="00C047ED"/>
    <w:rsid w:val="00C0598D"/>
    <w:rsid w:val="00C13099"/>
    <w:rsid w:val="00C1594D"/>
    <w:rsid w:val="00C15D98"/>
    <w:rsid w:val="00C17746"/>
    <w:rsid w:val="00C17C18"/>
    <w:rsid w:val="00C21B68"/>
    <w:rsid w:val="00C225AE"/>
    <w:rsid w:val="00C23513"/>
    <w:rsid w:val="00C241C4"/>
    <w:rsid w:val="00C26EFB"/>
    <w:rsid w:val="00C32812"/>
    <w:rsid w:val="00C409E6"/>
    <w:rsid w:val="00C430DC"/>
    <w:rsid w:val="00C46281"/>
    <w:rsid w:val="00C46BBD"/>
    <w:rsid w:val="00C478F6"/>
    <w:rsid w:val="00C47A36"/>
    <w:rsid w:val="00C47B81"/>
    <w:rsid w:val="00C50391"/>
    <w:rsid w:val="00C50D13"/>
    <w:rsid w:val="00C55A0A"/>
    <w:rsid w:val="00C55E65"/>
    <w:rsid w:val="00C57DCA"/>
    <w:rsid w:val="00C60904"/>
    <w:rsid w:val="00C60EF4"/>
    <w:rsid w:val="00C61185"/>
    <w:rsid w:val="00C62B21"/>
    <w:rsid w:val="00C65F6A"/>
    <w:rsid w:val="00C6625D"/>
    <w:rsid w:val="00C7063C"/>
    <w:rsid w:val="00C70F63"/>
    <w:rsid w:val="00C71627"/>
    <w:rsid w:val="00C730E8"/>
    <w:rsid w:val="00C73C9F"/>
    <w:rsid w:val="00C75AA6"/>
    <w:rsid w:val="00C7749E"/>
    <w:rsid w:val="00C77C17"/>
    <w:rsid w:val="00C80E11"/>
    <w:rsid w:val="00C82885"/>
    <w:rsid w:val="00C85423"/>
    <w:rsid w:val="00C91449"/>
    <w:rsid w:val="00C91669"/>
    <w:rsid w:val="00C92082"/>
    <w:rsid w:val="00C935A8"/>
    <w:rsid w:val="00C9362E"/>
    <w:rsid w:val="00C946EA"/>
    <w:rsid w:val="00C967CE"/>
    <w:rsid w:val="00C97994"/>
    <w:rsid w:val="00CA3B74"/>
    <w:rsid w:val="00CA561E"/>
    <w:rsid w:val="00CA6E1B"/>
    <w:rsid w:val="00CB253D"/>
    <w:rsid w:val="00CB30EF"/>
    <w:rsid w:val="00CB4981"/>
    <w:rsid w:val="00CB5CD5"/>
    <w:rsid w:val="00CB61D4"/>
    <w:rsid w:val="00CB6BEF"/>
    <w:rsid w:val="00CB723B"/>
    <w:rsid w:val="00CC0FF3"/>
    <w:rsid w:val="00CC2E51"/>
    <w:rsid w:val="00CC5EB0"/>
    <w:rsid w:val="00CC7ACE"/>
    <w:rsid w:val="00CC7BCC"/>
    <w:rsid w:val="00CD086A"/>
    <w:rsid w:val="00CD28C9"/>
    <w:rsid w:val="00CD406B"/>
    <w:rsid w:val="00CD419F"/>
    <w:rsid w:val="00CD5816"/>
    <w:rsid w:val="00CD75DF"/>
    <w:rsid w:val="00CD7B9C"/>
    <w:rsid w:val="00CE0001"/>
    <w:rsid w:val="00CE603F"/>
    <w:rsid w:val="00CE605E"/>
    <w:rsid w:val="00CE7AB5"/>
    <w:rsid w:val="00CF0FC6"/>
    <w:rsid w:val="00CF3B45"/>
    <w:rsid w:val="00CF49CC"/>
    <w:rsid w:val="00CF4D57"/>
    <w:rsid w:val="00CF5DAA"/>
    <w:rsid w:val="00CF797F"/>
    <w:rsid w:val="00D02738"/>
    <w:rsid w:val="00D02921"/>
    <w:rsid w:val="00D02E48"/>
    <w:rsid w:val="00D040BF"/>
    <w:rsid w:val="00D068F6"/>
    <w:rsid w:val="00D0713F"/>
    <w:rsid w:val="00D10708"/>
    <w:rsid w:val="00D231DD"/>
    <w:rsid w:val="00D25131"/>
    <w:rsid w:val="00D26C11"/>
    <w:rsid w:val="00D2705A"/>
    <w:rsid w:val="00D30381"/>
    <w:rsid w:val="00D30AD5"/>
    <w:rsid w:val="00D30EC5"/>
    <w:rsid w:val="00D36ABF"/>
    <w:rsid w:val="00D425B3"/>
    <w:rsid w:val="00D50D3D"/>
    <w:rsid w:val="00D51C42"/>
    <w:rsid w:val="00D526A7"/>
    <w:rsid w:val="00D52782"/>
    <w:rsid w:val="00D52DD8"/>
    <w:rsid w:val="00D549E0"/>
    <w:rsid w:val="00D54A1A"/>
    <w:rsid w:val="00D55EFD"/>
    <w:rsid w:val="00D57623"/>
    <w:rsid w:val="00D6076B"/>
    <w:rsid w:val="00D63638"/>
    <w:rsid w:val="00D65CB1"/>
    <w:rsid w:val="00D729D4"/>
    <w:rsid w:val="00D73D29"/>
    <w:rsid w:val="00D753DF"/>
    <w:rsid w:val="00D7628A"/>
    <w:rsid w:val="00D767E7"/>
    <w:rsid w:val="00D76ED2"/>
    <w:rsid w:val="00D84C1B"/>
    <w:rsid w:val="00D85F4B"/>
    <w:rsid w:val="00D87926"/>
    <w:rsid w:val="00D91C3B"/>
    <w:rsid w:val="00D95332"/>
    <w:rsid w:val="00D95530"/>
    <w:rsid w:val="00D97F5F"/>
    <w:rsid w:val="00DA58CD"/>
    <w:rsid w:val="00DA69F6"/>
    <w:rsid w:val="00DB2812"/>
    <w:rsid w:val="00DB2B16"/>
    <w:rsid w:val="00DB387C"/>
    <w:rsid w:val="00DB47D6"/>
    <w:rsid w:val="00DB4891"/>
    <w:rsid w:val="00DC03FD"/>
    <w:rsid w:val="00DC0E50"/>
    <w:rsid w:val="00DC1846"/>
    <w:rsid w:val="00DC29A0"/>
    <w:rsid w:val="00DC7D97"/>
    <w:rsid w:val="00DD075B"/>
    <w:rsid w:val="00DD1EC0"/>
    <w:rsid w:val="00DD21DB"/>
    <w:rsid w:val="00DD41F8"/>
    <w:rsid w:val="00DD7BE1"/>
    <w:rsid w:val="00DE10DC"/>
    <w:rsid w:val="00DE2758"/>
    <w:rsid w:val="00DE2802"/>
    <w:rsid w:val="00DE465A"/>
    <w:rsid w:val="00DE6B40"/>
    <w:rsid w:val="00DE6E41"/>
    <w:rsid w:val="00DF08F8"/>
    <w:rsid w:val="00DF46DF"/>
    <w:rsid w:val="00DF604D"/>
    <w:rsid w:val="00DF694C"/>
    <w:rsid w:val="00DF6DA2"/>
    <w:rsid w:val="00E00489"/>
    <w:rsid w:val="00E00BBD"/>
    <w:rsid w:val="00E01254"/>
    <w:rsid w:val="00E05E3C"/>
    <w:rsid w:val="00E10821"/>
    <w:rsid w:val="00E1236E"/>
    <w:rsid w:val="00E1403F"/>
    <w:rsid w:val="00E14A54"/>
    <w:rsid w:val="00E1576C"/>
    <w:rsid w:val="00E15B18"/>
    <w:rsid w:val="00E17724"/>
    <w:rsid w:val="00E2036E"/>
    <w:rsid w:val="00E20A3C"/>
    <w:rsid w:val="00E24FF1"/>
    <w:rsid w:val="00E26F08"/>
    <w:rsid w:val="00E274DB"/>
    <w:rsid w:val="00E318C8"/>
    <w:rsid w:val="00E32079"/>
    <w:rsid w:val="00E327B2"/>
    <w:rsid w:val="00E341DC"/>
    <w:rsid w:val="00E349F6"/>
    <w:rsid w:val="00E36286"/>
    <w:rsid w:val="00E43127"/>
    <w:rsid w:val="00E4457E"/>
    <w:rsid w:val="00E44CBB"/>
    <w:rsid w:val="00E4583A"/>
    <w:rsid w:val="00E45D05"/>
    <w:rsid w:val="00E47B9E"/>
    <w:rsid w:val="00E52C00"/>
    <w:rsid w:val="00E57BC3"/>
    <w:rsid w:val="00E60423"/>
    <w:rsid w:val="00E60BB2"/>
    <w:rsid w:val="00E6137D"/>
    <w:rsid w:val="00E625C9"/>
    <w:rsid w:val="00E634E0"/>
    <w:rsid w:val="00E63857"/>
    <w:rsid w:val="00E63E71"/>
    <w:rsid w:val="00E64061"/>
    <w:rsid w:val="00E6588D"/>
    <w:rsid w:val="00E6719B"/>
    <w:rsid w:val="00E7114B"/>
    <w:rsid w:val="00E7147D"/>
    <w:rsid w:val="00E728BA"/>
    <w:rsid w:val="00E73516"/>
    <w:rsid w:val="00E75DC5"/>
    <w:rsid w:val="00E774DF"/>
    <w:rsid w:val="00E8358C"/>
    <w:rsid w:val="00E84973"/>
    <w:rsid w:val="00E90283"/>
    <w:rsid w:val="00EA3D0C"/>
    <w:rsid w:val="00EA6CE4"/>
    <w:rsid w:val="00EB5EF9"/>
    <w:rsid w:val="00EC1272"/>
    <w:rsid w:val="00EC1AFE"/>
    <w:rsid w:val="00EC1BDC"/>
    <w:rsid w:val="00EC2436"/>
    <w:rsid w:val="00EC3059"/>
    <w:rsid w:val="00EC45FF"/>
    <w:rsid w:val="00EC4872"/>
    <w:rsid w:val="00EC6E6C"/>
    <w:rsid w:val="00ED2B34"/>
    <w:rsid w:val="00ED2CBD"/>
    <w:rsid w:val="00ED36DB"/>
    <w:rsid w:val="00ED412F"/>
    <w:rsid w:val="00ED429A"/>
    <w:rsid w:val="00ED43ED"/>
    <w:rsid w:val="00EE2022"/>
    <w:rsid w:val="00EE4070"/>
    <w:rsid w:val="00EE4ED6"/>
    <w:rsid w:val="00EF0CEE"/>
    <w:rsid w:val="00EF2C22"/>
    <w:rsid w:val="00EF37DF"/>
    <w:rsid w:val="00F012E9"/>
    <w:rsid w:val="00F0731B"/>
    <w:rsid w:val="00F11B75"/>
    <w:rsid w:val="00F16792"/>
    <w:rsid w:val="00F20148"/>
    <w:rsid w:val="00F20DF1"/>
    <w:rsid w:val="00F21C35"/>
    <w:rsid w:val="00F236FA"/>
    <w:rsid w:val="00F254F5"/>
    <w:rsid w:val="00F27882"/>
    <w:rsid w:val="00F31C76"/>
    <w:rsid w:val="00F333ED"/>
    <w:rsid w:val="00F40442"/>
    <w:rsid w:val="00F4305E"/>
    <w:rsid w:val="00F43D7E"/>
    <w:rsid w:val="00F520A0"/>
    <w:rsid w:val="00F53E37"/>
    <w:rsid w:val="00F55C21"/>
    <w:rsid w:val="00F6425F"/>
    <w:rsid w:val="00F708C8"/>
    <w:rsid w:val="00F72D7F"/>
    <w:rsid w:val="00F72DCC"/>
    <w:rsid w:val="00F73340"/>
    <w:rsid w:val="00F7596B"/>
    <w:rsid w:val="00F7736A"/>
    <w:rsid w:val="00F776DC"/>
    <w:rsid w:val="00F80B9E"/>
    <w:rsid w:val="00F81414"/>
    <w:rsid w:val="00F84543"/>
    <w:rsid w:val="00F936C3"/>
    <w:rsid w:val="00F950FA"/>
    <w:rsid w:val="00F9510F"/>
    <w:rsid w:val="00FA1277"/>
    <w:rsid w:val="00FA1706"/>
    <w:rsid w:val="00FA3F01"/>
    <w:rsid w:val="00FA48B5"/>
    <w:rsid w:val="00FA4D44"/>
    <w:rsid w:val="00FB0115"/>
    <w:rsid w:val="00FB1651"/>
    <w:rsid w:val="00FB2674"/>
    <w:rsid w:val="00FB2F50"/>
    <w:rsid w:val="00FB5C8E"/>
    <w:rsid w:val="00FB7F9F"/>
    <w:rsid w:val="00FC24F2"/>
    <w:rsid w:val="00FC45BD"/>
    <w:rsid w:val="00FC5F37"/>
    <w:rsid w:val="00FC6403"/>
    <w:rsid w:val="00FD1110"/>
    <w:rsid w:val="00FD175D"/>
    <w:rsid w:val="00FD17BD"/>
    <w:rsid w:val="00FD34E0"/>
    <w:rsid w:val="00FD533D"/>
    <w:rsid w:val="00FD6109"/>
    <w:rsid w:val="00FE295A"/>
    <w:rsid w:val="00FE2F08"/>
    <w:rsid w:val="00FE4E48"/>
    <w:rsid w:val="00FE67FE"/>
    <w:rsid w:val="00FF3DEF"/>
    <w:rsid w:val="00FF4270"/>
    <w:rsid w:val="00FF461F"/>
    <w:rsid w:val="00FF483B"/>
    <w:rsid w:val="00FF50EF"/>
    <w:rsid w:val="00FF553D"/>
    <w:rsid w:val="00FF577C"/>
    <w:rsid w:val="00FF66A6"/>
    <w:rsid w:val="00FF77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5A3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iPriority="1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21B"/>
    <w:pPr>
      <w:numPr>
        <w:numId w:val="1"/>
      </w:numPr>
      <w:spacing w:before="120" w:after="120" w:line="264" w:lineRule="auto"/>
    </w:pPr>
    <w:rPr>
      <w:rFonts w:ascii="Arial" w:hAnsi="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6"/>
    <w:qFormat/>
    <w:rsid w:val="0024189A"/>
    <w:pPr>
      <w:numPr>
        <w:numId w:val="2"/>
      </w:numPr>
    </w:pPr>
    <w:rPr>
      <w:color w:val="000000" w:themeColor="text1"/>
    </w:rPr>
  </w:style>
  <w:style w:type="paragraph" w:styleId="ListBullet2">
    <w:name w:val="List Bullet 2"/>
    <w:basedOn w:val="Normal"/>
    <w:uiPriority w:val="16"/>
    <w:qFormat/>
    <w:rsid w:val="0024189A"/>
    <w:pPr>
      <w:numPr>
        <w:ilvl w:val="1"/>
        <w:numId w:val="2"/>
      </w:numPr>
      <w:ind w:left="720"/>
    </w:pPr>
    <w:rPr>
      <w:color w:val="000000" w:themeColor="text1"/>
    </w:rPr>
  </w:style>
  <w:style w:type="paragraph" w:styleId="ListNumber">
    <w:name w:val="List Number"/>
    <w:basedOn w:val="Normal"/>
    <w:uiPriority w:val="16"/>
    <w:qFormat/>
    <w:rsid w:val="0024189A"/>
    <w:pPr>
      <w:numPr>
        <w:numId w:val="0"/>
      </w:numPr>
      <w:tabs>
        <w:tab w:val="num" w:pos="357"/>
      </w:tabs>
      <w:ind w:left="357" w:hanging="357"/>
    </w:pPr>
  </w:style>
  <w:style w:type="paragraph" w:styleId="ListNumber2">
    <w:name w:val="List Number 2"/>
    <w:basedOn w:val="Normal"/>
    <w:uiPriority w:val="16"/>
    <w:qFormat/>
    <w:rsid w:val="0024189A"/>
    <w:pPr>
      <w:numPr>
        <w:numId w:val="0"/>
      </w:numPr>
      <w:tabs>
        <w:tab w:val="num" w:pos="720"/>
      </w:tabs>
      <w:ind w:left="720" w:hanging="363"/>
    </w:pPr>
  </w:style>
  <w:style w:type="paragraph" w:styleId="ListNumber3">
    <w:name w:val="List Number 3"/>
    <w:basedOn w:val="Normal"/>
    <w:link w:val="ListNumber3Char"/>
    <w:uiPriority w:val="16"/>
    <w:qFormat/>
    <w:rsid w:val="0024189A"/>
    <w:pPr>
      <w:numPr>
        <w:numId w:val="0"/>
      </w:numPr>
      <w:tabs>
        <w:tab w:val="num" w:pos="1077"/>
      </w:tabs>
      <w:ind w:left="1077" w:hanging="357"/>
    </w:pPr>
  </w:style>
  <w:style w:type="paragraph" w:styleId="Footer">
    <w:name w:val="footer"/>
    <w:basedOn w:val="Normal"/>
    <w:link w:val="FooterChar"/>
    <w:uiPriority w:val="99"/>
    <w:rsid w:val="0024189A"/>
    <w:pPr>
      <w:tabs>
        <w:tab w:val="right" w:pos="9639"/>
      </w:tabs>
      <w:spacing w:after="0" w:line="240" w:lineRule="auto"/>
      <w:contextualSpacing/>
    </w:pPr>
    <w:rPr>
      <w:rFonts w:asciiTheme="majorHAnsi" w:hAnsiTheme="majorHAnsi"/>
      <w:sz w:val="16"/>
    </w:rPr>
  </w:style>
  <w:style w:type="character" w:customStyle="1" w:styleId="FooterChar">
    <w:name w:val="Footer Char"/>
    <w:basedOn w:val="DefaultParagraphFont"/>
    <w:link w:val="Footer"/>
    <w:uiPriority w:val="99"/>
    <w:rsid w:val="0024189A"/>
    <w:rPr>
      <w:rFonts w:asciiTheme="majorHAnsi" w:hAnsiTheme="majorHAnsi"/>
      <w:color w:val="000000"/>
      <w:sz w:val="16"/>
    </w:rPr>
  </w:style>
  <w:style w:type="paragraph" w:styleId="ListBullet3">
    <w:name w:val="List Bullet 3"/>
    <w:basedOn w:val="Normal"/>
    <w:uiPriority w:val="16"/>
    <w:qFormat/>
    <w:rsid w:val="0024189A"/>
    <w:pPr>
      <w:numPr>
        <w:ilvl w:val="2"/>
        <w:numId w:val="2"/>
      </w:numPr>
      <w:ind w:left="720" w:hanging="363"/>
    </w:pPr>
    <w:rPr>
      <w:color w:val="000000" w:themeColor="text1"/>
    </w:rPr>
  </w:style>
  <w:style w:type="table" w:styleId="TableGrid">
    <w:name w:val="Table Grid"/>
    <w:basedOn w:val="TableNormal"/>
    <w:uiPriority w:val="59"/>
    <w:rsid w:val="0024189A"/>
    <w:pPr>
      <w:spacing w:before="120" w:after="120" w:line="264" w:lineRule="auto"/>
    </w:pPr>
    <w:rPr>
      <w:rFonts w:ascii="Arial" w:hAnsi="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style>
  <w:style w:type="paragraph" w:styleId="Header">
    <w:name w:val="header"/>
    <w:basedOn w:val="Normal"/>
    <w:link w:val="HeaderChar"/>
    <w:uiPriority w:val="99"/>
    <w:rsid w:val="0024189A"/>
    <w:pPr>
      <w:numPr>
        <w:numId w:val="0"/>
      </w:numPr>
      <w:tabs>
        <w:tab w:val="center" w:pos="4513"/>
        <w:tab w:val="right" w:pos="9026"/>
      </w:tabs>
      <w:spacing w:after="0"/>
      <w:jc w:val="right"/>
    </w:pPr>
    <w:rPr>
      <w:sz w:val="26"/>
    </w:rPr>
  </w:style>
  <w:style w:type="character" w:customStyle="1" w:styleId="HeaderChar">
    <w:name w:val="Header Char"/>
    <w:basedOn w:val="DefaultParagraphFont"/>
    <w:link w:val="Header"/>
    <w:uiPriority w:val="99"/>
    <w:rsid w:val="0024189A"/>
    <w:rPr>
      <w:rFonts w:ascii="Arial" w:hAnsi="Arial"/>
      <w:color w:val="000000"/>
      <w:sz w:val="26"/>
    </w:rPr>
  </w:style>
  <w:style w:type="paragraph" w:styleId="ListNumber4">
    <w:name w:val="List Number 4"/>
    <w:basedOn w:val="Normal"/>
    <w:uiPriority w:val="16"/>
    <w:semiHidden/>
    <w:qFormat/>
    <w:rsid w:val="0024189A"/>
    <w:pPr>
      <w:numPr>
        <w:numId w:val="0"/>
      </w:numPr>
      <w:tabs>
        <w:tab w:val="num" w:pos="1435"/>
      </w:tabs>
      <w:ind w:left="1435" w:hanging="358"/>
    </w:pPr>
  </w:style>
  <w:style w:type="character" w:styleId="FootnoteReference">
    <w:name w:val="footnote reference"/>
    <w:aliases w:val="Footnote,ftref,16 Point,Superscript 6 Point,fr,Footnote Ref in FtNote,SUPERS,(NECG) Footnote Reference,Ref,de nota al pie,Fußnotenzeichen DISS,FnR-ANZDEC,Footnote text,BVI fnr,FNRefe,footnote ref,Footnote Reference1,Footnote symbol,o"/>
    <w:basedOn w:val="DefaultParagraphFont"/>
    <w:uiPriority w:val="99"/>
    <w:qFormat/>
    <w:rsid w:val="0024189A"/>
    <w:rPr>
      <w:noProof w:val="0"/>
      <w:sz w:val="22"/>
      <w:vertAlign w:val="superscript"/>
      <w:lang w:val="en-AU"/>
    </w:rPr>
  </w:style>
  <w:style w:type="paragraph" w:styleId="FootnoteText">
    <w:name w:val="footnote text"/>
    <w:aliases w:val="(NECG) Footnote Text,ALTS FOOTNOTE,ALTS FOOTNOTE Char Char Char,single space,Fußnotentextf,fn,Schriftart: 9 pt,Schriftart: 10 pt,Schriftart: 8 pt,WB-Fußnotentext,Footnote Text2,Footnote Text11,ALTS FOOTNOTE11,ALTS FOOTNOTE2,f"/>
    <w:basedOn w:val="Normal"/>
    <w:link w:val="FootnoteTextChar"/>
    <w:uiPriority w:val="99"/>
    <w:qFormat/>
    <w:rsid w:val="0024189A"/>
    <w:pPr>
      <w:numPr>
        <w:numId w:val="0"/>
      </w:numPr>
      <w:tabs>
        <w:tab w:val="left" w:pos="425"/>
      </w:tabs>
      <w:spacing w:after="0"/>
      <w:ind w:left="425" w:hanging="425"/>
    </w:pPr>
    <w:rPr>
      <w:sz w:val="15"/>
    </w:rPr>
  </w:style>
  <w:style w:type="character" w:customStyle="1" w:styleId="FootnoteTextChar">
    <w:name w:val="Footnote Text Char"/>
    <w:aliases w:val="(NECG) Footnote Text Char,ALTS FOOTNOTE Char,ALTS FOOTNOTE Char Char Char Char,single space Char,Fußnotentextf Char,fn Char,Schriftart: 9 pt Char,Schriftart: 10 pt Char,Schriftart: 8 pt Char,WB-Fußnotentext Char,Footnote Text2 Char"/>
    <w:basedOn w:val="DefaultParagraphFont"/>
    <w:link w:val="FootnoteText"/>
    <w:uiPriority w:val="99"/>
    <w:rsid w:val="0024189A"/>
    <w:rPr>
      <w:rFonts w:ascii="Arial" w:hAnsi="Arial"/>
      <w:color w:val="000000"/>
      <w:sz w:val="15"/>
    </w:rPr>
  </w:style>
  <w:style w:type="numbering" w:customStyle="1" w:styleId="BulletList">
    <w:name w:val="Bullet List"/>
    <w:uiPriority w:val="99"/>
    <w:rsid w:val="0024189A"/>
    <w:pPr>
      <w:numPr>
        <w:numId w:val="2"/>
      </w:numPr>
    </w:pPr>
  </w:style>
  <w:style w:type="character" w:customStyle="1" w:styleId="ListNumber3Char">
    <w:name w:val="List Number 3 Char"/>
    <w:basedOn w:val="DefaultParagraphFont"/>
    <w:link w:val="ListNumber3"/>
    <w:uiPriority w:val="16"/>
    <w:rsid w:val="0024189A"/>
    <w:rPr>
      <w:rFonts w:ascii="Arial" w:hAnsi="Arial"/>
      <w:color w:val="000000"/>
    </w:rPr>
  </w:style>
  <w:style w:type="numbering" w:customStyle="1" w:styleId="Lists6">
    <w:name w:val="Lists6"/>
    <w:uiPriority w:val="99"/>
    <w:rsid w:val="0024189A"/>
    <w:pPr>
      <w:numPr>
        <w:numId w:val="1"/>
      </w:numPr>
    </w:pPr>
  </w:style>
  <w:style w:type="paragraph" w:styleId="ListParagraph">
    <w:name w:val="List Paragraph"/>
    <w:aliases w:val="Heading 2 + List Paragraph,NFP GP Bulleted List,Bullet Level 1,List Paragraph1,Recommendation,Body text,Figure_name,Numbered Indented Text,Bullet- First level,List NUmber,Listenabsatz1,lp1,List Paragraph11,NAST Quote,Bullet point,L,Dot pt"/>
    <w:basedOn w:val="Normal"/>
    <w:link w:val="ListParagraphChar"/>
    <w:uiPriority w:val="34"/>
    <w:qFormat/>
    <w:rsid w:val="005A56C1"/>
    <w:pPr>
      <w:numPr>
        <w:numId w:val="0"/>
      </w:numPr>
      <w:spacing w:line="240" w:lineRule="auto"/>
      <w:ind w:left="720"/>
      <w:contextualSpacing/>
    </w:pPr>
    <w:rPr>
      <w:rFonts w:ascii="Franklin Gothic Book" w:eastAsia="Times New Roman" w:hAnsi="Franklin Gothic Book" w:cs="Arial"/>
      <w:color w:val="auto"/>
      <w:sz w:val="20"/>
      <w:szCs w:val="20"/>
      <w:lang w:val="en-NZ"/>
    </w:rPr>
  </w:style>
  <w:style w:type="paragraph" w:customStyle="1" w:styleId="Normalnumbered">
    <w:name w:val="Normal (numbered)"/>
    <w:basedOn w:val="ListParagraph"/>
    <w:uiPriority w:val="99"/>
    <w:semiHidden/>
    <w:locked/>
    <w:rsid w:val="005A56C1"/>
    <w:pPr>
      <w:numPr>
        <w:ilvl w:val="2"/>
        <w:numId w:val="4"/>
      </w:numPr>
      <w:tabs>
        <w:tab w:val="num" w:pos="720"/>
      </w:tabs>
      <w:ind w:left="720" w:hanging="363"/>
      <w:contextualSpacing w:val="0"/>
    </w:pPr>
  </w:style>
  <w:style w:type="character" w:customStyle="1" w:styleId="ListParagraphChar">
    <w:name w:val="List Paragraph Char"/>
    <w:aliases w:val="Heading 2 + List Paragraph Char,NFP GP Bulleted List Char,Bullet Level 1 Char,List Paragraph1 Char,Recommendation Char,Body text Char,Figure_name Char,Numbered Indented Text Char,Bullet- First level Char,List NUmber Char,lp1 Char"/>
    <w:basedOn w:val="DefaultParagraphFont"/>
    <w:link w:val="ListParagraph"/>
    <w:uiPriority w:val="34"/>
    <w:qFormat/>
    <w:rsid w:val="005A56C1"/>
    <w:rPr>
      <w:rFonts w:ascii="Franklin Gothic Book" w:eastAsia="Times New Roman" w:hAnsi="Franklin Gothic Book" w:cs="Arial"/>
      <w:sz w:val="20"/>
      <w:szCs w:val="20"/>
      <w:lang w:val="en-NZ"/>
    </w:rPr>
  </w:style>
  <w:style w:type="paragraph" w:customStyle="1" w:styleId="TableText">
    <w:name w:val="Table Text"/>
    <w:qFormat/>
    <w:rsid w:val="00BE1544"/>
    <w:pPr>
      <w:tabs>
        <w:tab w:val="left" w:pos="567"/>
      </w:tabs>
      <w:spacing w:before="120" w:after="120" w:line="240" w:lineRule="auto"/>
    </w:pPr>
    <w:rPr>
      <w:rFonts w:ascii="Arial" w:eastAsia="Lucida Grande" w:hAnsi="Arial" w:cs="Times New Roman"/>
      <w:sz w:val="20"/>
      <w:szCs w:val="20"/>
      <w:lang w:val="en-US"/>
    </w:rPr>
  </w:style>
  <w:style w:type="paragraph" w:customStyle="1" w:styleId="Bullet1">
    <w:name w:val="Bullet 1"/>
    <w:basedOn w:val="ListParagraph"/>
    <w:qFormat/>
    <w:rsid w:val="001626BD"/>
    <w:pPr>
      <w:numPr>
        <w:numId w:val="13"/>
      </w:numPr>
      <w:spacing w:before="0" w:after="0"/>
    </w:pPr>
    <w:rPr>
      <w:rFonts w:asciiTheme="minorHAnsi" w:hAnsiTheme="minorHAnsi" w:cs="Times New Roman"/>
      <w:sz w:val="24"/>
      <w:szCs w:val="24"/>
      <w:lang w:val="en-AU"/>
    </w:rPr>
  </w:style>
  <w:style w:type="paragraph" w:customStyle="1" w:styleId="Bullet2">
    <w:name w:val="Bullet 2"/>
    <w:basedOn w:val="Bullet1"/>
    <w:qFormat/>
    <w:rsid w:val="001626BD"/>
    <w:pPr>
      <w:numPr>
        <w:ilvl w:val="1"/>
      </w:numPr>
    </w:pPr>
  </w:style>
  <w:style w:type="paragraph" w:customStyle="1" w:styleId="Bullet3">
    <w:name w:val="Bullet 3"/>
    <w:basedOn w:val="Bullet2"/>
    <w:qFormat/>
    <w:rsid w:val="001626BD"/>
    <w:pPr>
      <w:numPr>
        <w:ilvl w:val="2"/>
      </w:numPr>
    </w:pPr>
  </w:style>
  <w:style w:type="character" w:styleId="Strong">
    <w:name w:val="Strong"/>
    <w:basedOn w:val="DefaultParagraphFont"/>
    <w:uiPriority w:val="22"/>
    <w:rsid w:val="001626BD"/>
    <w:rPr>
      <w:b/>
      <w:bCs/>
    </w:rPr>
  </w:style>
  <w:style w:type="character" w:styleId="Hyperlink">
    <w:name w:val="Hyperlink"/>
    <w:basedOn w:val="DefaultParagraphFont"/>
    <w:uiPriority w:val="99"/>
    <w:rsid w:val="0071677E"/>
    <w:rPr>
      <w:color w:val="0563C1" w:themeColor="hyperlink"/>
      <w:u w:val="single"/>
    </w:rPr>
  </w:style>
  <w:style w:type="character" w:styleId="CommentReference">
    <w:name w:val="annotation reference"/>
    <w:basedOn w:val="DefaultParagraphFont"/>
    <w:uiPriority w:val="99"/>
    <w:semiHidden/>
    <w:unhideWhenUsed/>
    <w:rsid w:val="00130968"/>
    <w:rPr>
      <w:sz w:val="16"/>
      <w:szCs w:val="16"/>
    </w:rPr>
  </w:style>
  <w:style w:type="paragraph" w:styleId="CommentText">
    <w:name w:val="annotation text"/>
    <w:basedOn w:val="Normal"/>
    <w:link w:val="CommentTextChar"/>
    <w:uiPriority w:val="99"/>
    <w:unhideWhenUsed/>
    <w:rsid w:val="00130968"/>
    <w:pPr>
      <w:numPr>
        <w:numId w:val="0"/>
      </w:numPr>
      <w:spacing w:before="0" w:after="160"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130968"/>
    <w:rPr>
      <w:sz w:val="20"/>
      <w:szCs w:val="20"/>
    </w:rPr>
  </w:style>
  <w:style w:type="numbering" w:customStyle="1" w:styleId="CurrentList2">
    <w:name w:val="Current List2"/>
    <w:uiPriority w:val="99"/>
    <w:rsid w:val="000B708F"/>
    <w:pPr>
      <w:numPr>
        <w:numId w:val="17"/>
      </w:numPr>
    </w:pPr>
  </w:style>
  <w:style w:type="paragraph" w:customStyle="1" w:styleId="Default">
    <w:name w:val="Default"/>
    <w:rsid w:val="00C1594D"/>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3674D7"/>
    <w:pPr>
      <w:numPr>
        <w:numId w:val="1"/>
      </w:numPr>
      <w:spacing w:before="120" w:after="120"/>
    </w:pPr>
    <w:rPr>
      <w:rFonts w:ascii="Arial" w:hAnsi="Arial"/>
      <w:b/>
      <w:bCs/>
      <w:color w:val="000000"/>
    </w:rPr>
  </w:style>
  <w:style w:type="character" w:customStyle="1" w:styleId="CommentSubjectChar">
    <w:name w:val="Comment Subject Char"/>
    <w:basedOn w:val="CommentTextChar"/>
    <w:link w:val="CommentSubject"/>
    <w:uiPriority w:val="99"/>
    <w:semiHidden/>
    <w:rsid w:val="003674D7"/>
    <w:rPr>
      <w:rFonts w:ascii="Arial" w:hAnsi="Arial"/>
      <w:b/>
      <w:bCs/>
      <w:color w:val="000000"/>
      <w:sz w:val="20"/>
      <w:szCs w:val="20"/>
    </w:rPr>
  </w:style>
  <w:style w:type="character" w:styleId="UnresolvedMention">
    <w:name w:val="Unresolved Mention"/>
    <w:basedOn w:val="DefaultParagraphFont"/>
    <w:uiPriority w:val="99"/>
    <w:semiHidden/>
    <w:unhideWhenUsed/>
    <w:rsid w:val="00FB0115"/>
    <w:rPr>
      <w:color w:val="605E5C"/>
      <w:shd w:val="clear" w:color="auto" w:fill="E1DFDD"/>
    </w:rPr>
  </w:style>
  <w:style w:type="paragraph" w:styleId="Revision">
    <w:name w:val="Revision"/>
    <w:hidden/>
    <w:uiPriority w:val="99"/>
    <w:semiHidden/>
    <w:rsid w:val="006866AA"/>
    <w:pPr>
      <w:spacing w:after="0" w:line="240" w:lineRule="auto"/>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9912">
      <w:bodyDiv w:val="1"/>
      <w:marLeft w:val="0"/>
      <w:marRight w:val="0"/>
      <w:marTop w:val="0"/>
      <w:marBottom w:val="0"/>
      <w:divBdr>
        <w:top w:val="none" w:sz="0" w:space="0" w:color="auto"/>
        <w:left w:val="none" w:sz="0" w:space="0" w:color="auto"/>
        <w:bottom w:val="none" w:sz="0" w:space="0" w:color="auto"/>
        <w:right w:val="none" w:sz="0" w:space="0" w:color="auto"/>
      </w:divBdr>
    </w:div>
    <w:div w:id="243145208">
      <w:bodyDiv w:val="1"/>
      <w:marLeft w:val="0"/>
      <w:marRight w:val="0"/>
      <w:marTop w:val="0"/>
      <w:marBottom w:val="0"/>
      <w:divBdr>
        <w:top w:val="none" w:sz="0" w:space="0" w:color="auto"/>
        <w:left w:val="none" w:sz="0" w:space="0" w:color="auto"/>
        <w:bottom w:val="none" w:sz="0" w:space="0" w:color="auto"/>
        <w:right w:val="none" w:sz="0" w:space="0" w:color="auto"/>
      </w:divBdr>
    </w:div>
    <w:div w:id="705981562">
      <w:bodyDiv w:val="1"/>
      <w:marLeft w:val="0"/>
      <w:marRight w:val="0"/>
      <w:marTop w:val="0"/>
      <w:marBottom w:val="0"/>
      <w:divBdr>
        <w:top w:val="none" w:sz="0" w:space="0" w:color="auto"/>
        <w:left w:val="none" w:sz="0" w:space="0" w:color="auto"/>
        <w:bottom w:val="none" w:sz="0" w:space="0" w:color="auto"/>
        <w:right w:val="none" w:sz="0" w:space="0" w:color="auto"/>
      </w:divBdr>
    </w:div>
    <w:div w:id="728917129">
      <w:bodyDiv w:val="1"/>
      <w:marLeft w:val="0"/>
      <w:marRight w:val="0"/>
      <w:marTop w:val="0"/>
      <w:marBottom w:val="0"/>
      <w:divBdr>
        <w:top w:val="none" w:sz="0" w:space="0" w:color="auto"/>
        <w:left w:val="none" w:sz="0" w:space="0" w:color="auto"/>
        <w:bottom w:val="none" w:sz="0" w:space="0" w:color="auto"/>
        <w:right w:val="none" w:sz="0" w:space="0" w:color="auto"/>
      </w:divBdr>
    </w:div>
    <w:div w:id="15651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6865E-AEE8-402C-8F7C-957B8EB6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2083</Words>
  <Characters>12133</Characters>
  <Application>Microsoft Office Word</Application>
  <DocSecurity>0</DocSecurity>
  <Lines>470</Lines>
  <Paragraphs>87</Paragraphs>
  <ScaleCrop>false</ScaleCrop>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Evaluation of the Australian NGO Cooperation Program (ANCP) Management Response (December 2022)</dc:title>
  <dc:subject/>
  <dc:creator/>
  <cp:keywords>[SEC=OFFICIAL]</cp:keywords>
  <dc:description/>
  <cp:lastModifiedBy/>
  <cp:revision>1</cp:revision>
  <dcterms:created xsi:type="dcterms:W3CDTF">2023-01-03T00:24:00Z</dcterms:created>
  <dcterms:modified xsi:type="dcterms:W3CDTF">2023-01-03T00:24:00Z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FD65CB6ED4FF47BE820980F6966D67CC</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2023-01-03T00:24:55Z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933015698B3CC6A86F177C493D6CAEA8</vt:lpwstr>
  </property>
  <property fmtid="{D5CDD505-2E9C-101B-9397-08002B2CF9AE}" pid="21" name="PM_Hash_Salt">
    <vt:lpwstr>CE06A5E1F5668E27130D7C18EF25EB77</vt:lpwstr>
  </property>
  <property fmtid="{D5CDD505-2E9C-101B-9397-08002B2CF9AE}" pid="22" name="PM_Hash_SHA1">
    <vt:lpwstr>D9BFF319421D686AAD4EC12B835537F69767F9C4</vt:lpwstr>
  </property>
  <property fmtid="{D5CDD505-2E9C-101B-9397-08002B2CF9AE}" pid="23" name="PM_OriginatorUserAccountName_SHA256">
    <vt:lpwstr>3F6D732A650B4EC715B623E0D837FB2B96AB69551124ACFE30889A7938FDE719</vt:lpwstr>
  </property>
  <property fmtid="{D5CDD505-2E9C-101B-9397-08002B2CF9AE}" pid="24" name="PM_OriginatorDomainName_SHA256">
    <vt:lpwstr>6F3591835F3B2A8A025B00B5BA6418010DA3A17C9C26EA9C049FFD28039489A2</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Uuid">
    <vt:lpwstr>ABBFF5E2-9674-55C9-B08D-C9980002FD58</vt:lpwstr>
  </property>
  <property fmtid="{D5CDD505-2E9C-101B-9397-08002B2CF9AE}" pid="28" name="PMUuidVer">
    <vt:lpwstr>2022.1</vt:lpwstr>
  </property>
</Properties>
</file>