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A0A5A" w14:textId="77777777" w:rsidR="001376ED" w:rsidRPr="00C2225F" w:rsidRDefault="001376ED" w:rsidP="0087499B">
      <w:pPr>
        <w:spacing w:after="120"/>
        <w:rPr>
          <w:rFonts w:ascii="Times New Roman" w:hAnsi="Times New Roman" w:cs="Times New Roman"/>
          <w:b/>
          <w:color w:val="1F497D" w:themeColor="text2"/>
          <w:sz w:val="32"/>
          <w:lang w:val="en-AU"/>
        </w:rPr>
      </w:pPr>
      <w:bookmarkStart w:id="0" w:name="_GoBack"/>
      <w:bookmarkEnd w:id="0"/>
    </w:p>
    <w:p w14:paraId="579C8864" w14:textId="77777777" w:rsidR="001376ED" w:rsidRPr="00C2225F" w:rsidRDefault="001376ED" w:rsidP="0087499B">
      <w:pPr>
        <w:spacing w:after="120"/>
        <w:rPr>
          <w:rFonts w:ascii="Times New Roman" w:hAnsi="Times New Roman" w:cs="Times New Roman"/>
          <w:b/>
          <w:color w:val="1F497D" w:themeColor="text2"/>
          <w:sz w:val="32"/>
          <w:lang w:val="en-AU"/>
        </w:rPr>
      </w:pPr>
    </w:p>
    <w:p w14:paraId="1EF36D9A" w14:textId="77777777" w:rsidR="00D41326" w:rsidRPr="00C2225F" w:rsidRDefault="00D41326" w:rsidP="0087499B">
      <w:pPr>
        <w:spacing w:after="120"/>
        <w:rPr>
          <w:rFonts w:ascii="Times New Roman" w:hAnsi="Times New Roman" w:cs="Times New Roman"/>
          <w:b/>
          <w:color w:val="1F497D" w:themeColor="text2"/>
          <w:sz w:val="32"/>
          <w:lang w:val="en-AU"/>
        </w:rPr>
      </w:pPr>
    </w:p>
    <w:p w14:paraId="2B293E8B" w14:textId="77777777" w:rsidR="001376ED" w:rsidRPr="00C2225F" w:rsidRDefault="001376ED" w:rsidP="0087499B">
      <w:pPr>
        <w:spacing w:after="120"/>
        <w:rPr>
          <w:rFonts w:ascii="Times New Roman" w:hAnsi="Times New Roman" w:cs="Times New Roman"/>
          <w:b/>
          <w:color w:val="1F497D" w:themeColor="text2"/>
          <w:sz w:val="32"/>
          <w:lang w:val="en-AU"/>
        </w:rPr>
      </w:pPr>
    </w:p>
    <w:p w14:paraId="685128A5" w14:textId="77777777" w:rsidR="001376ED" w:rsidRPr="00C2225F" w:rsidRDefault="001376ED" w:rsidP="0087499B">
      <w:pPr>
        <w:spacing w:after="120"/>
        <w:rPr>
          <w:rFonts w:ascii="Times New Roman" w:hAnsi="Times New Roman" w:cs="Times New Roman"/>
          <w:b/>
          <w:color w:val="1F497D" w:themeColor="text2"/>
          <w:sz w:val="32"/>
          <w:lang w:val="en-AU"/>
        </w:rPr>
      </w:pPr>
    </w:p>
    <w:p w14:paraId="0C912D18" w14:textId="77777777" w:rsidR="001376ED" w:rsidRPr="00C2225F" w:rsidRDefault="001376ED" w:rsidP="0087499B">
      <w:pPr>
        <w:spacing w:after="120"/>
        <w:rPr>
          <w:rFonts w:ascii="Times New Roman" w:hAnsi="Times New Roman" w:cs="Times New Roman"/>
          <w:b/>
          <w:color w:val="1F497D" w:themeColor="text2"/>
          <w:sz w:val="32"/>
          <w:lang w:val="en-AU"/>
        </w:rPr>
      </w:pPr>
    </w:p>
    <w:p w14:paraId="387B9B74" w14:textId="77777777" w:rsidR="001376ED" w:rsidRPr="00C2225F" w:rsidRDefault="001376ED" w:rsidP="0087499B">
      <w:pPr>
        <w:spacing w:after="120"/>
        <w:rPr>
          <w:rFonts w:ascii="Times New Roman" w:hAnsi="Times New Roman" w:cs="Times New Roman"/>
          <w:b/>
          <w:color w:val="1F497D" w:themeColor="text2"/>
          <w:sz w:val="32"/>
          <w:lang w:val="en-AU"/>
        </w:rPr>
      </w:pPr>
    </w:p>
    <w:p w14:paraId="790791A5" w14:textId="77777777" w:rsidR="001376ED" w:rsidRPr="00C2225F" w:rsidRDefault="001376ED" w:rsidP="0087499B">
      <w:pPr>
        <w:spacing w:after="120"/>
        <w:rPr>
          <w:rFonts w:ascii="Times New Roman" w:hAnsi="Times New Roman" w:cs="Times New Roman"/>
          <w:b/>
          <w:color w:val="1F497D" w:themeColor="text2"/>
          <w:sz w:val="32"/>
          <w:lang w:val="en-AU"/>
        </w:rPr>
      </w:pPr>
    </w:p>
    <w:p w14:paraId="326B6559" w14:textId="77777777" w:rsidR="001376ED" w:rsidRPr="00C2225F" w:rsidRDefault="001376ED" w:rsidP="0087499B">
      <w:pPr>
        <w:spacing w:after="120"/>
        <w:rPr>
          <w:rFonts w:ascii="Times New Roman" w:hAnsi="Times New Roman" w:cs="Times New Roman"/>
          <w:b/>
          <w:color w:val="1F497D" w:themeColor="text2"/>
          <w:sz w:val="32"/>
          <w:lang w:val="en-AU"/>
        </w:rPr>
      </w:pPr>
    </w:p>
    <w:p w14:paraId="5D1BCB4A" w14:textId="77777777" w:rsidR="001376ED" w:rsidRPr="00C2225F" w:rsidRDefault="001376ED" w:rsidP="001376ED">
      <w:pPr>
        <w:spacing w:after="120"/>
        <w:jc w:val="right"/>
        <w:rPr>
          <w:rFonts w:ascii="Times New Roman" w:hAnsi="Times New Roman" w:cs="Times New Roman"/>
          <w:b/>
          <w:color w:val="1F497D" w:themeColor="text2"/>
          <w:sz w:val="32"/>
          <w:lang w:val="en-AU"/>
        </w:rPr>
      </w:pPr>
    </w:p>
    <w:p w14:paraId="411D4852" w14:textId="196DF8D0" w:rsidR="00F3162E" w:rsidRPr="000E5BF3" w:rsidRDefault="00F3162E" w:rsidP="00F3162E">
      <w:pPr>
        <w:spacing w:before="120" w:after="120"/>
        <w:jc w:val="right"/>
        <w:rPr>
          <w:rFonts w:ascii="Times New Roman" w:hAnsi="Times New Roman" w:cs="Times New Roman"/>
          <w:b/>
          <w:color w:val="1F497D" w:themeColor="text2"/>
          <w:sz w:val="32"/>
          <w:lang w:val="en-AU"/>
        </w:rPr>
      </w:pPr>
      <w:r w:rsidRPr="000E5BF3">
        <w:rPr>
          <w:rFonts w:ascii="Times New Roman" w:hAnsi="Times New Roman" w:cs="Times New Roman"/>
          <w:b/>
          <w:color w:val="1F497D" w:themeColor="text2"/>
          <w:sz w:val="32"/>
          <w:lang w:val="en-AU"/>
        </w:rPr>
        <w:t>AUSTRALIA’S FIFTH REPORT UNDER</w:t>
      </w:r>
      <w:r w:rsidR="00B73DA7">
        <w:rPr>
          <w:rFonts w:ascii="Times New Roman" w:hAnsi="Times New Roman" w:cs="Times New Roman"/>
          <w:b/>
          <w:color w:val="1F497D" w:themeColor="text2"/>
          <w:sz w:val="32"/>
          <w:lang w:val="en-AU"/>
        </w:rPr>
        <w:br/>
      </w:r>
      <w:r w:rsidRPr="000E5BF3">
        <w:rPr>
          <w:rFonts w:ascii="Times New Roman" w:hAnsi="Times New Roman" w:cs="Times New Roman"/>
          <w:b/>
          <w:color w:val="1F497D" w:themeColor="text2"/>
          <w:sz w:val="32"/>
          <w:lang w:val="en-AU"/>
        </w:rPr>
        <w:t>THE INTERNATIONAL COVENANT ON ECONOMIC,</w:t>
      </w:r>
      <w:r w:rsidR="00B73DA7">
        <w:rPr>
          <w:rFonts w:ascii="Times New Roman" w:hAnsi="Times New Roman" w:cs="Times New Roman"/>
          <w:b/>
          <w:color w:val="1F497D" w:themeColor="text2"/>
          <w:sz w:val="32"/>
          <w:lang w:val="en-AU"/>
        </w:rPr>
        <w:br/>
      </w:r>
      <w:r w:rsidRPr="000E5BF3">
        <w:rPr>
          <w:rFonts w:ascii="Times New Roman" w:hAnsi="Times New Roman" w:cs="Times New Roman"/>
          <w:b/>
          <w:color w:val="1F497D" w:themeColor="text2"/>
          <w:sz w:val="32"/>
          <w:lang w:val="en-AU"/>
        </w:rPr>
        <w:t>SOCIAL AND CULTURAL RIGHTS (ICESCR)</w:t>
      </w:r>
    </w:p>
    <w:p w14:paraId="1B6C3A9F" w14:textId="4252ED54" w:rsidR="00F3162E" w:rsidRPr="000E5BF3" w:rsidRDefault="00F3162E" w:rsidP="00F3162E">
      <w:pPr>
        <w:spacing w:before="120" w:after="120"/>
        <w:jc w:val="right"/>
        <w:rPr>
          <w:rFonts w:ascii="Times New Roman" w:hAnsi="Times New Roman" w:cs="Times New Roman"/>
          <w:b/>
          <w:color w:val="1F497D" w:themeColor="text2"/>
          <w:sz w:val="32"/>
          <w:lang w:val="en-AU"/>
        </w:rPr>
      </w:pPr>
      <w:r w:rsidRPr="000E5BF3">
        <w:rPr>
          <w:rFonts w:ascii="Times New Roman" w:hAnsi="Times New Roman" w:cs="Times New Roman"/>
          <w:b/>
          <w:color w:val="1F497D" w:themeColor="text2"/>
          <w:sz w:val="32"/>
          <w:lang w:val="en-AU"/>
        </w:rPr>
        <w:t>2010</w:t>
      </w:r>
      <w:r w:rsidR="0042608F">
        <w:rPr>
          <w:rFonts w:ascii="Times New Roman" w:hAnsi="Times New Roman" w:cs="Times New Roman"/>
          <w:b/>
          <w:color w:val="1F497D" w:themeColor="text2"/>
          <w:sz w:val="32"/>
          <w:lang w:val="en-AU"/>
        </w:rPr>
        <w:t>-</w:t>
      </w:r>
      <w:r w:rsidRPr="000E5BF3">
        <w:rPr>
          <w:rFonts w:ascii="Times New Roman" w:hAnsi="Times New Roman" w:cs="Times New Roman"/>
          <w:b/>
          <w:color w:val="1F497D" w:themeColor="text2"/>
          <w:sz w:val="32"/>
          <w:lang w:val="en-AU"/>
        </w:rPr>
        <w:t>2014</w:t>
      </w:r>
    </w:p>
    <w:p w14:paraId="2211AE85" w14:textId="77777777" w:rsidR="00F3162E" w:rsidRPr="000E5BF3" w:rsidRDefault="00F3162E" w:rsidP="00F3162E">
      <w:pPr>
        <w:spacing w:before="120" w:after="120"/>
        <w:jc w:val="right"/>
        <w:rPr>
          <w:rFonts w:ascii="Times New Roman" w:hAnsi="Times New Roman" w:cs="Times New Roman"/>
          <w:b/>
          <w:color w:val="1F497D" w:themeColor="text2"/>
          <w:sz w:val="32"/>
          <w:lang w:val="en-AU"/>
        </w:rPr>
      </w:pPr>
    </w:p>
    <w:p w14:paraId="1BD4FC79" w14:textId="7D395E69" w:rsidR="001376ED" w:rsidRPr="00C2225F" w:rsidRDefault="00F3162E" w:rsidP="00C2225F">
      <w:pPr>
        <w:spacing w:after="120"/>
        <w:jc w:val="right"/>
        <w:rPr>
          <w:rFonts w:ascii="Times New Roman" w:hAnsi="Times New Roman" w:cs="Times New Roman"/>
          <w:b/>
          <w:color w:val="1F497D" w:themeColor="text2"/>
          <w:sz w:val="32"/>
          <w:lang w:val="en-AU"/>
        </w:rPr>
      </w:pPr>
      <w:r>
        <w:rPr>
          <w:rFonts w:ascii="Times New Roman" w:hAnsi="Times New Roman" w:cs="Times New Roman"/>
          <w:b/>
          <w:color w:val="1F497D" w:themeColor="text2"/>
          <w:sz w:val="32"/>
          <w:lang w:val="en-AU"/>
        </w:rPr>
        <w:t>Appendix 1</w:t>
      </w:r>
    </w:p>
    <w:p w14:paraId="54E66421" w14:textId="2AEF153C" w:rsidR="001376ED" w:rsidRPr="00B73DA7" w:rsidRDefault="00B73DA7" w:rsidP="00C2225F">
      <w:pPr>
        <w:spacing w:after="120"/>
        <w:jc w:val="right"/>
        <w:rPr>
          <w:rFonts w:ascii="Times New Roman" w:hAnsi="Times New Roman" w:cs="Times New Roman"/>
          <w:b/>
          <w:color w:val="1F497D" w:themeColor="text2"/>
          <w:sz w:val="32"/>
          <w:lang w:val="en-AU"/>
        </w:rPr>
      </w:pPr>
      <w:r w:rsidRPr="00B73DA7">
        <w:rPr>
          <w:rFonts w:ascii="Times New Roman" w:hAnsi="Times New Roman" w:cs="Times New Roman"/>
          <w:b/>
          <w:color w:val="1F497D" w:themeColor="text2"/>
          <w:sz w:val="32"/>
          <w:lang w:val="en-AU"/>
        </w:rPr>
        <w:t>State and Territory Policy and Programming</w:t>
      </w:r>
    </w:p>
    <w:p w14:paraId="259C2C58" w14:textId="77777777" w:rsidR="0001067E" w:rsidRPr="00C2225F" w:rsidRDefault="0001067E" w:rsidP="00C2225F">
      <w:pPr>
        <w:spacing w:after="120"/>
        <w:jc w:val="right"/>
        <w:rPr>
          <w:rFonts w:ascii="Times New Roman" w:hAnsi="Times New Roman" w:cs="Times New Roman"/>
          <w:b/>
          <w:color w:val="1F497D" w:themeColor="text2"/>
          <w:sz w:val="32"/>
          <w:lang w:val="en-AU"/>
        </w:rPr>
      </w:pPr>
    </w:p>
    <w:p w14:paraId="735DE416" w14:textId="77777777" w:rsidR="0001067E" w:rsidRPr="00C2225F" w:rsidRDefault="0001067E" w:rsidP="00C2225F">
      <w:pPr>
        <w:spacing w:after="120"/>
        <w:jc w:val="right"/>
        <w:rPr>
          <w:rFonts w:ascii="Times New Roman" w:hAnsi="Times New Roman" w:cs="Times New Roman"/>
          <w:b/>
          <w:color w:val="1F497D" w:themeColor="text2"/>
          <w:sz w:val="32"/>
          <w:lang w:val="en-AU"/>
        </w:rPr>
      </w:pPr>
    </w:p>
    <w:p w14:paraId="74042211" w14:textId="77777777" w:rsidR="0001067E" w:rsidRPr="002C45F2" w:rsidRDefault="0001067E" w:rsidP="002C45F2">
      <w:pPr>
        <w:rPr>
          <w:rFonts w:eastAsiaTheme="majorEastAsia"/>
        </w:rPr>
      </w:pPr>
      <w:bookmarkStart w:id="1" w:name="_Toc371326779"/>
      <w:r w:rsidRPr="002C45F2">
        <w:br w:type="page"/>
      </w:r>
    </w:p>
    <w:p w14:paraId="3623461F" w14:textId="77777777" w:rsidR="0001067E" w:rsidRPr="00B73DA7" w:rsidRDefault="00D5679E" w:rsidP="00B01340">
      <w:pPr>
        <w:pStyle w:val="HeadingMajor"/>
        <w:rPr>
          <w:color w:val="1F497D" w:themeColor="text2"/>
        </w:rPr>
      </w:pPr>
      <w:bookmarkStart w:id="2" w:name="_Toc412043965"/>
      <w:bookmarkStart w:id="3" w:name="_Toc425850245"/>
      <w:bookmarkEnd w:id="1"/>
      <w:r w:rsidRPr="00B73DA7">
        <w:rPr>
          <w:color w:val="1F497D" w:themeColor="text2"/>
        </w:rPr>
        <w:lastRenderedPageBreak/>
        <w:t>Table of contents</w:t>
      </w:r>
      <w:bookmarkEnd w:id="2"/>
      <w:bookmarkEnd w:id="3"/>
    </w:p>
    <w:sdt>
      <w:sdtPr>
        <w:rPr>
          <w:rFonts w:asciiTheme="minorHAnsi" w:eastAsiaTheme="minorEastAsia" w:hAnsiTheme="minorHAnsi" w:cstheme="minorBidi"/>
          <w:b w:val="0"/>
          <w:bCs w:val="0"/>
          <w:caps w:val="0"/>
          <w:color w:val="auto"/>
          <w:sz w:val="24"/>
          <w:szCs w:val="24"/>
          <w:lang w:val="en-AU"/>
        </w:rPr>
        <w:id w:val="400021984"/>
        <w:docPartObj>
          <w:docPartGallery w:val="Table of Contents"/>
          <w:docPartUnique/>
        </w:docPartObj>
      </w:sdtPr>
      <w:sdtEndPr/>
      <w:sdtContent>
        <w:p w14:paraId="0245F4D3" w14:textId="77777777" w:rsidR="00D5679E" w:rsidRPr="00210BC7" w:rsidRDefault="00D5679E" w:rsidP="00A137ED">
          <w:pPr>
            <w:pStyle w:val="TOCHeading"/>
            <w:spacing w:before="0" w:line="240" w:lineRule="auto"/>
            <w:rPr>
              <w:rFonts w:asciiTheme="minorHAnsi" w:hAnsiTheme="minorHAnsi" w:cstheme="minorHAnsi"/>
              <w:color w:val="auto"/>
              <w:sz w:val="2"/>
              <w:szCs w:val="2"/>
              <w:lang w:val="en-AU"/>
            </w:rPr>
          </w:pPr>
        </w:p>
        <w:p w14:paraId="37D079C1" w14:textId="77777777" w:rsidR="00A137ED" w:rsidRDefault="003840AD" w:rsidP="00A137ED">
          <w:pPr>
            <w:pStyle w:val="TOC1"/>
            <w:tabs>
              <w:tab w:val="right" w:leader="dot" w:pos="9628"/>
            </w:tabs>
            <w:jc w:val="left"/>
            <w:rPr>
              <w:rFonts w:asciiTheme="minorHAnsi" w:hAnsiTheme="minorHAnsi"/>
              <w:b w:val="0"/>
              <w:caps w:val="0"/>
              <w:noProof/>
              <w:sz w:val="22"/>
              <w:u w:val="none"/>
              <w:lang w:val="en-AU" w:eastAsia="en-AU"/>
            </w:rPr>
          </w:pPr>
          <w:r>
            <w:rPr>
              <w:bCs/>
              <w:caps w:val="0"/>
              <w:lang w:val="en-AU"/>
            </w:rPr>
            <w:fldChar w:fldCharType="begin"/>
          </w:r>
          <w:r>
            <w:rPr>
              <w:bCs/>
              <w:caps w:val="0"/>
              <w:lang w:val="en-AU"/>
            </w:rPr>
            <w:instrText xml:space="preserve"> TOC \h \z \t "Heading Major,1,CERD Heading Minor 1,2,CERD Heading Minor 2,3,CERD Box Table Heading,4" </w:instrText>
          </w:r>
          <w:r>
            <w:rPr>
              <w:bCs/>
              <w:caps w:val="0"/>
              <w:lang w:val="en-AU"/>
            </w:rPr>
            <w:fldChar w:fldCharType="separate"/>
          </w:r>
          <w:hyperlink w:anchor="_Toc425850245" w:history="1">
            <w:r w:rsidR="00A137ED" w:rsidRPr="00466D85">
              <w:rPr>
                <w:rStyle w:val="Hyperlink"/>
                <w:noProof/>
              </w:rPr>
              <w:t>Table of contents</w:t>
            </w:r>
            <w:r w:rsidR="00A137ED">
              <w:rPr>
                <w:noProof/>
                <w:webHidden/>
              </w:rPr>
              <w:tab/>
            </w:r>
            <w:r w:rsidR="00A137ED">
              <w:rPr>
                <w:noProof/>
                <w:webHidden/>
              </w:rPr>
              <w:fldChar w:fldCharType="begin"/>
            </w:r>
            <w:r w:rsidR="00A137ED">
              <w:rPr>
                <w:noProof/>
                <w:webHidden/>
              </w:rPr>
              <w:instrText xml:space="preserve"> PAGEREF _Toc425850245 \h </w:instrText>
            </w:r>
            <w:r w:rsidR="00A137ED">
              <w:rPr>
                <w:noProof/>
                <w:webHidden/>
              </w:rPr>
            </w:r>
            <w:r w:rsidR="00A137ED">
              <w:rPr>
                <w:noProof/>
                <w:webHidden/>
              </w:rPr>
              <w:fldChar w:fldCharType="separate"/>
            </w:r>
            <w:r w:rsidR="009A25DE">
              <w:rPr>
                <w:noProof/>
                <w:webHidden/>
              </w:rPr>
              <w:t>2</w:t>
            </w:r>
            <w:r w:rsidR="00A137ED">
              <w:rPr>
                <w:noProof/>
                <w:webHidden/>
              </w:rPr>
              <w:fldChar w:fldCharType="end"/>
            </w:r>
          </w:hyperlink>
        </w:p>
        <w:p w14:paraId="53DBAAC4" w14:textId="77777777" w:rsidR="00A137ED" w:rsidRDefault="009A25DE" w:rsidP="00A137ED">
          <w:pPr>
            <w:pStyle w:val="TOC1"/>
            <w:tabs>
              <w:tab w:val="left" w:pos="480"/>
              <w:tab w:val="right" w:leader="dot" w:pos="9628"/>
            </w:tabs>
            <w:jc w:val="left"/>
            <w:rPr>
              <w:rFonts w:asciiTheme="minorHAnsi" w:hAnsiTheme="minorHAnsi"/>
              <w:b w:val="0"/>
              <w:caps w:val="0"/>
              <w:noProof/>
              <w:sz w:val="22"/>
              <w:u w:val="none"/>
              <w:lang w:val="en-AU" w:eastAsia="en-AU"/>
            </w:rPr>
          </w:pPr>
          <w:hyperlink w:anchor="_Toc425850246" w:history="1">
            <w:r w:rsidR="00A137ED" w:rsidRPr="00466D85">
              <w:rPr>
                <w:rStyle w:val="Hyperlink"/>
                <w:noProof/>
              </w:rPr>
              <w:t>I.</w:t>
            </w:r>
            <w:r w:rsidR="00A137ED">
              <w:rPr>
                <w:rFonts w:asciiTheme="minorHAnsi" w:hAnsiTheme="minorHAnsi"/>
                <w:b w:val="0"/>
                <w:caps w:val="0"/>
                <w:noProof/>
                <w:sz w:val="22"/>
                <w:u w:val="none"/>
                <w:lang w:val="en-AU" w:eastAsia="en-AU"/>
              </w:rPr>
              <w:tab/>
            </w:r>
            <w:r w:rsidR="00A137ED" w:rsidRPr="00466D85">
              <w:rPr>
                <w:rStyle w:val="Hyperlink"/>
                <w:noProof/>
              </w:rPr>
              <w:t>Introduction</w:t>
            </w:r>
            <w:r w:rsidR="00A137ED">
              <w:rPr>
                <w:noProof/>
                <w:webHidden/>
              </w:rPr>
              <w:tab/>
            </w:r>
            <w:r w:rsidR="00A137ED">
              <w:rPr>
                <w:noProof/>
                <w:webHidden/>
              </w:rPr>
              <w:fldChar w:fldCharType="begin"/>
            </w:r>
            <w:r w:rsidR="00A137ED">
              <w:rPr>
                <w:noProof/>
                <w:webHidden/>
              </w:rPr>
              <w:instrText xml:space="preserve"> PAGEREF _Toc425850246 \h </w:instrText>
            </w:r>
            <w:r w:rsidR="00A137ED">
              <w:rPr>
                <w:noProof/>
                <w:webHidden/>
              </w:rPr>
            </w:r>
            <w:r w:rsidR="00A137ED">
              <w:rPr>
                <w:noProof/>
                <w:webHidden/>
              </w:rPr>
              <w:fldChar w:fldCharType="separate"/>
            </w:r>
            <w:r>
              <w:rPr>
                <w:noProof/>
                <w:webHidden/>
              </w:rPr>
              <w:t>6</w:t>
            </w:r>
            <w:r w:rsidR="00A137ED">
              <w:rPr>
                <w:noProof/>
                <w:webHidden/>
              </w:rPr>
              <w:fldChar w:fldCharType="end"/>
            </w:r>
          </w:hyperlink>
        </w:p>
        <w:p w14:paraId="2D331040" w14:textId="77777777" w:rsidR="00A137ED" w:rsidRDefault="009A25DE" w:rsidP="00A137ED">
          <w:pPr>
            <w:pStyle w:val="TOC2"/>
            <w:rPr>
              <w:rFonts w:asciiTheme="minorHAnsi" w:hAnsiTheme="minorHAnsi"/>
              <w:noProof/>
              <w:sz w:val="22"/>
              <w:szCs w:val="22"/>
              <w:lang w:val="en-AU" w:eastAsia="en-AU"/>
            </w:rPr>
          </w:pPr>
          <w:hyperlink w:anchor="_Toc425850247" w:history="1">
            <w:r w:rsidR="00A137ED" w:rsidRPr="00466D85">
              <w:rPr>
                <w:rStyle w:val="Hyperlink"/>
                <w:noProof/>
              </w:rPr>
              <w:t>Purpose of this Appendix</w:t>
            </w:r>
            <w:r w:rsidR="00A137ED">
              <w:rPr>
                <w:noProof/>
                <w:webHidden/>
              </w:rPr>
              <w:tab/>
            </w:r>
            <w:r w:rsidR="00A137ED">
              <w:rPr>
                <w:noProof/>
                <w:webHidden/>
              </w:rPr>
              <w:fldChar w:fldCharType="begin"/>
            </w:r>
            <w:r w:rsidR="00A137ED">
              <w:rPr>
                <w:noProof/>
                <w:webHidden/>
              </w:rPr>
              <w:instrText xml:space="preserve"> PAGEREF _Toc425850247 \h </w:instrText>
            </w:r>
            <w:r w:rsidR="00A137ED">
              <w:rPr>
                <w:noProof/>
                <w:webHidden/>
              </w:rPr>
            </w:r>
            <w:r w:rsidR="00A137ED">
              <w:rPr>
                <w:noProof/>
                <w:webHidden/>
              </w:rPr>
              <w:fldChar w:fldCharType="separate"/>
            </w:r>
            <w:r>
              <w:rPr>
                <w:noProof/>
                <w:webHidden/>
              </w:rPr>
              <w:t>6</w:t>
            </w:r>
            <w:r w:rsidR="00A137ED">
              <w:rPr>
                <w:noProof/>
                <w:webHidden/>
              </w:rPr>
              <w:fldChar w:fldCharType="end"/>
            </w:r>
          </w:hyperlink>
        </w:p>
        <w:p w14:paraId="1B032212" w14:textId="77777777" w:rsidR="00A137ED" w:rsidRDefault="009A25DE" w:rsidP="00A137ED">
          <w:pPr>
            <w:pStyle w:val="TOC1"/>
            <w:tabs>
              <w:tab w:val="left" w:pos="480"/>
              <w:tab w:val="right" w:leader="dot" w:pos="9628"/>
            </w:tabs>
            <w:jc w:val="left"/>
            <w:rPr>
              <w:rFonts w:asciiTheme="minorHAnsi" w:hAnsiTheme="minorHAnsi"/>
              <w:b w:val="0"/>
              <w:caps w:val="0"/>
              <w:noProof/>
              <w:sz w:val="22"/>
              <w:u w:val="none"/>
              <w:lang w:val="en-AU" w:eastAsia="en-AU"/>
            </w:rPr>
          </w:pPr>
          <w:hyperlink w:anchor="_Toc425850248" w:history="1">
            <w:r w:rsidR="00A137ED" w:rsidRPr="00466D85">
              <w:rPr>
                <w:rStyle w:val="Hyperlink"/>
                <w:noProof/>
              </w:rPr>
              <w:t>II.</w:t>
            </w:r>
            <w:r w:rsidR="00A137ED">
              <w:rPr>
                <w:rFonts w:asciiTheme="minorHAnsi" w:hAnsiTheme="minorHAnsi"/>
                <w:b w:val="0"/>
                <w:caps w:val="0"/>
                <w:noProof/>
                <w:sz w:val="22"/>
                <w:u w:val="none"/>
                <w:lang w:val="en-AU" w:eastAsia="en-AU"/>
              </w:rPr>
              <w:tab/>
            </w:r>
            <w:r w:rsidR="00A137ED" w:rsidRPr="00466D85">
              <w:rPr>
                <w:rStyle w:val="Hyperlink"/>
                <w:noProof/>
              </w:rPr>
              <w:t>Response to the concluding observations and recommendations of the Committee on Economic, Social and Cultural Rights</w:t>
            </w:r>
            <w:r w:rsidR="00A137ED">
              <w:rPr>
                <w:noProof/>
                <w:webHidden/>
              </w:rPr>
              <w:tab/>
            </w:r>
            <w:r w:rsidR="00A137ED">
              <w:rPr>
                <w:noProof/>
                <w:webHidden/>
              </w:rPr>
              <w:fldChar w:fldCharType="begin"/>
            </w:r>
            <w:r w:rsidR="00A137ED">
              <w:rPr>
                <w:noProof/>
                <w:webHidden/>
              </w:rPr>
              <w:instrText xml:space="preserve"> PAGEREF _Toc425850248 \h </w:instrText>
            </w:r>
            <w:r w:rsidR="00A137ED">
              <w:rPr>
                <w:noProof/>
                <w:webHidden/>
              </w:rPr>
            </w:r>
            <w:r w:rsidR="00A137ED">
              <w:rPr>
                <w:noProof/>
                <w:webHidden/>
              </w:rPr>
              <w:fldChar w:fldCharType="separate"/>
            </w:r>
            <w:r>
              <w:rPr>
                <w:noProof/>
                <w:webHidden/>
              </w:rPr>
              <w:t>7</w:t>
            </w:r>
            <w:r w:rsidR="00A137ED">
              <w:rPr>
                <w:noProof/>
                <w:webHidden/>
              </w:rPr>
              <w:fldChar w:fldCharType="end"/>
            </w:r>
          </w:hyperlink>
        </w:p>
        <w:p w14:paraId="623ED691" w14:textId="77777777" w:rsidR="00A137ED" w:rsidRDefault="009A25DE" w:rsidP="00A137ED">
          <w:pPr>
            <w:pStyle w:val="TOC2"/>
            <w:rPr>
              <w:rFonts w:asciiTheme="minorHAnsi" w:hAnsiTheme="minorHAnsi"/>
              <w:noProof/>
              <w:sz w:val="22"/>
              <w:szCs w:val="22"/>
              <w:lang w:val="en-AU" w:eastAsia="en-AU"/>
            </w:rPr>
          </w:pPr>
          <w:hyperlink w:anchor="_Toc425850249" w:history="1">
            <w:r w:rsidR="00A137ED" w:rsidRPr="00466D85">
              <w:rPr>
                <w:rStyle w:val="Hyperlink"/>
                <w:noProof/>
                <w:lang w:eastAsia="en-US"/>
              </w:rPr>
              <w:t>Concluding Observation 17 - Gender Gap</w:t>
            </w:r>
            <w:r w:rsidR="00A137ED">
              <w:rPr>
                <w:noProof/>
                <w:webHidden/>
              </w:rPr>
              <w:tab/>
            </w:r>
            <w:r w:rsidR="00A137ED">
              <w:rPr>
                <w:noProof/>
                <w:webHidden/>
              </w:rPr>
              <w:fldChar w:fldCharType="begin"/>
            </w:r>
            <w:r w:rsidR="00A137ED">
              <w:rPr>
                <w:noProof/>
                <w:webHidden/>
              </w:rPr>
              <w:instrText xml:space="preserve"> PAGEREF _Toc425850249 \h </w:instrText>
            </w:r>
            <w:r w:rsidR="00A137ED">
              <w:rPr>
                <w:noProof/>
                <w:webHidden/>
              </w:rPr>
            </w:r>
            <w:r w:rsidR="00A137ED">
              <w:rPr>
                <w:noProof/>
                <w:webHidden/>
              </w:rPr>
              <w:fldChar w:fldCharType="separate"/>
            </w:r>
            <w:r>
              <w:rPr>
                <w:noProof/>
                <w:webHidden/>
              </w:rPr>
              <w:t>7</w:t>
            </w:r>
            <w:r w:rsidR="00A137ED">
              <w:rPr>
                <w:noProof/>
                <w:webHidden/>
              </w:rPr>
              <w:fldChar w:fldCharType="end"/>
            </w:r>
          </w:hyperlink>
        </w:p>
        <w:p w14:paraId="1FBA6433"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250" w:history="1">
            <w:r w:rsidR="00A137ED" w:rsidRPr="00466D85">
              <w:rPr>
                <w:rStyle w:val="Hyperlink"/>
                <w:noProof/>
              </w:rPr>
              <w:t>Australian Capital Territory</w:t>
            </w:r>
            <w:r w:rsidR="00A137ED">
              <w:rPr>
                <w:noProof/>
                <w:webHidden/>
              </w:rPr>
              <w:tab/>
            </w:r>
            <w:r w:rsidR="00A137ED">
              <w:rPr>
                <w:noProof/>
                <w:webHidden/>
              </w:rPr>
              <w:fldChar w:fldCharType="begin"/>
            </w:r>
            <w:r w:rsidR="00A137ED">
              <w:rPr>
                <w:noProof/>
                <w:webHidden/>
              </w:rPr>
              <w:instrText xml:space="preserve"> PAGEREF _Toc425850250 \h </w:instrText>
            </w:r>
            <w:r w:rsidR="00A137ED">
              <w:rPr>
                <w:noProof/>
                <w:webHidden/>
              </w:rPr>
            </w:r>
            <w:r w:rsidR="00A137ED">
              <w:rPr>
                <w:noProof/>
                <w:webHidden/>
              </w:rPr>
              <w:fldChar w:fldCharType="separate"/>
            </w:r>
            <w:r>
              <w:rPr>
                <w:noProof/>
                <w:webHidden/>
              </w:rPr>
              <w:t>7</w:t>
            </w:r>
            <w:r w:rsidR="00A137ED">
              <w:rPr>
                <w:noProof/>
                <w:webHidden/>
              </w:rPr>
              <w:fldChar w:fldCharType="end"/>
            </w:r>
          </w:hyperlink>
        </w:p>
        <w:p w14:paraId="4CA2C51B"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251" w:history="1">
            <w:r w:rsidR="00A137ED" w:rsidRPr="00466D85">
              <w:rPr>
                <w:rStyle w:val="Hyperlink"/>
                <w:noProof/>
              </w:rPr>
              <w:t>Queensland</w:t>
            </w:r>
            <w:r w:rsidR="00A137ED">
              <w:rPr>
                <w:noProof/>
                <w:webHidden/>
              </w:rPr>
              <w:tab/>
            </w:r>
            <w:r w:rsidR="00A137ED">
              <w:rPr>
                <w:noProof/>
                <w:webHidden/>
              </w:rPr>
              <w:fldChar w:fldCharType="begin"/>
            </w:r>
            <w:r w:rsidR="00A137ED">
              <w:rPr>
                <w:noProof/>
                <w:webHidden/>
              </w:rPr>
              <w:instrText xml:space="preserve"> PAGEREF _Toc425850251 \h </w:instrText>
            </w:r>
            <w:r w:rsidR="00A137ED">
              <w:rPr>
                <w:noProof/>
                <w:webHidden/>
              </w:rPr>
            </w:r>
            <w:r w:rsidR="00A137ED">
              <w:rPr>
                <w:noProof/>
                <w:webHidden/>
              </w:rPr>
              <w:fldChar w:fldCharType="separate"/>
            </w:r>
            <w:r>
              <w:rPr>
                <w:noProof/>
                <w:webHidden/>
              </w:rPr>
              <w:t>7</w:t>
            </w:r>
            <w:r w:rsidR="00A137ED">
              <w:rPr>
                <w:noProof/>
                <w:webHidden/>
              </w:rPr>
              <w:fldChar w:fldCharType="end"/>
            </w:r>
          </w:hyperlink>
        </w:p>
        <w:p w14:paraId="1B7068B7"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252" w:history="1">
            <w:r w:rsidR="00A137ED" w:rsidRPr="00466D85">
              <w:rPr>
                <w:rStyle w:val="Hyperlink"/>
                <w:noProof/>
              </w:rPr>
              <w:t>South Australia</w:t>
            </w:r>
            <w:r w:rsidR="00A137ED">
              <w:rPr>
                <w:noProof/>
                <w:webHidden/>
              </w:rPr>
              <w:tab/>
            </w:r>
            <w:r w:rsidR="00A137ED">
              <w:rPr>
                <w:noProof/>
                <w:webHidden/>
              </w:rPr>
              <w:fldChar w:fldCharType="begin"/>
            </w:r>
            <w:r w:rsidR="00A137ED">
              <w:rPr>
                <w:noProof/>
                <w:webHidden/>
              </w:rPr>
              <w:instrText xml:space="preserve"> PAGEREF _Toc425850252 \h </w:instrText>
            </w:r>
            <w:r w:rsidR="00A137ED">
              <w:rPr>
                <w:noProof/>
                <w:webHidden/>
              </w:rPr>
            </w:r>
            <w:r w:rsidR="00A137ED">
              <w:rPr>
                <w:noProof/>
                <w:webHidden/>
              </w:rPr>
              <w:fldChar w:fldCharType="separate"/>
            </w:r>
            <w:r>
              <w:rPr>
                <w:noProof/>
                <w:webHidden/>
              </w:rPr>
              <w:t>7</w:t>
            </w:r>
            <w:r w:rsidR="00A137ED">
              <w:rPr>
                <w:noProof/>
                <w:webHidden/>
              </w:rPr>
              <w:fldChar w:fldCharType="end"/>
            </w:r>
          </w:hyperlink>
        </w:p>
        <w:p w14:paraId="426DE808" w14:textId="77777777" w:rsidR="00A137ED" w:rsidRDefault="009A25DE" w:rsidP="00A137ED">
          <w:pPr>
            <w:pStyle w:val="TOC2"/>
            <w:rPr>
              <w:rFonts w:asciiTheme="minorHAnsi" w:hAnsiTheme="minorHAnsi"/>
              <w:noProof/>
              <w:sz w:val="22"/>
              <w:szCs w:val="22"/>
              <w:lang w:val="en-AU" w:eastAsia="en-AU"/>
            </w:rPr>
          </w:pPr>
          <w:hyperlink w:anchor="_Toc425850253" w:history="1">
            <w:r w:rsidR="00A137ED" w:rsidRPr="00466D85">
              <w:rPr>
                <w:rStyle w:val="Hyperlink"/>
                <w:noProof/>
              </w:rPr>
              <w:t>Concluding Observation 18 – Employment</w:t>
            </w:r>
            <w:r w:rsidR="00A137ED">
              <w:rPr>
                <w:noProof/>
                <w:webHidden/>
              </w:rPr>
              <w:tab/>
            </w:r>
            <w:r w:rsidR="00A137ED">
              <w:rPr>
                <w:noProof/>
                <w:webHidden/>
              </w:rPr>
              <w:fldChar w:fldCharType="begin"/>
            </w:r>
            <w:r w:rsidR="00A137ED">
              <w:rPr>
                <w:noProof/>
                <w:webHidden/>
              </w:rPr>
              <w:instrText xml:space="preserve"> PAGEREF _Toc425850253 \h </w:instrText>
            </w:r>
            <w:r w:rsidR="00A137ED">
              <w:rPr>
                <w:noProof/>
                <w:webHidden/>
              </w:rPr>
            </w:r>
            <w:r w:rsidR="00A137ED">
              <w:rPr>
                <w:noProof/>
                <w:webHidden/>
              </w:rPr>
              <w:fldChar w:fldCharType="separate"/>
            </w:r>
            <w:r>
              <w:rPr>
                <w:noProof/>
                <w:webHidden/>
              </w:rPr>
              <w:t>8</w:t>
            </w:r>
            <w:r w:rsidR="00A137ED">
              <w:rPr>
                <w:noProof/>
                <w:webHidden/>
              </w:rPr>
              <w:fldChar w:fldCharType="end"/>
            </w:r>
          </w:hyperlink>
        </w:p>
        <w:p w14:paraId="0D6B538D" w14:textId="77777777" w:rsidR="00A137ED" w:rsidRDefault="009A25DE" w:rsidP="00A137ED">
          <w:pPr>
            <w:pStyle w:val="TOC3"/>
            <w:tabs>
              <w:tab w:val="right" w:leader="dot" w:pos="9628"/>
            </w:tabs>
            <w:jc w:val="left"/>
            <w:rPr>
              <w:rFonts w:asciiTheme="minorHAnsi" w:hAnsiTheme="minorHAnsi"/>
              <w:noProof/>
              <w:sz w:val="22"/>
              <w:szCs w:val="22"/>
              <w:lang w:val="en-AU" w:eastAsia="en-AU"/>
            </w:rPr>
          </w:pPr>
          <w:hyperlink w:anchor="_Toc425850254" w:history="1">
            <w:r w:rsidR="00A137ED" w:rsidRPr="00466D85">
              <w:rPr>
                <w:rStyle w:val="Hyperlink"/>
                <w:noProof/>
              </w:rPr>
              <w:t>Employment Systems and Services</w:t>
            </w:r>
            <w:r w:rsidR="00A137ED">
              <w:rPr>
                <w:noProof/>
                <w:webHidden/>
              </w:rPr>
              <w:tab/>
            </w:r>
            <w:r w:rsidR="00A137ED">
              <w:rPr>
                <w:noProof/>
                <w:webHidden/>
              </w:rPr>
              <w:fldChar w:fldCharType="begin"/>
            </w:r>
            <w:r w:rsidR="00A137ED">
              <w:rPr>
                <w:noProof/>
                <w:webHidden/>
              </w:rPr>
              <w:instrText xml:space="preserve"> PAGEREF _Toc425850254 \h </w:instrText>
            </w:r>
            <w:r w:rsidR="00A137ED">
              <w:rPr>
                <w:noProof/>
                <w:webHidden/>
              </w:rPr>
            </w:r>
            <w:r w:rsidR="00A137ED">
              <w:rPr>
                <w:noProof/>
                <w:webHidden/>
              </w:rPr>
              <w:fldChar w:fldCharType="separate"/>
            </w:r>
            <w:r>
              <w:rPr>
                <w:noProof/>
                <w:webHidden/>
              </w:rPr>
              <w:t>8</w:t>
            </w:r>
            <w:r w:rsidR="00A137ED">
              <w:rPr>
                <w:noProof/>
                <w:webHidden/>
              </w:rPr>
              <w:fldChar w:fldCharType="end"/>
            </w:r>
          </w:hyperlink>
        </w:p>
        <w:p w14:paraId="6970F720"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255" w:history="1">
            <w:r w:rsidR="00A137ED" w:rsidRPr="00466D85">
              <w:rPr>
                <w:rStyle w:val="Hyperlink"/>
                <w:noProof/>
              </w:rPr>
              <w:t>Tasmania</w:t>
            </w:r>
            <w:r w:rsidR="00A137ED">
              <w:rPr>
                <w:noProof/>
                <w:webHidden/>
              </w:rPr>
              <w:tab/>
            </w:r>
            <w:r w:rsidR="00A137ED">
              <w:rPr>
                <w:noProof/>
                <w:webHidden/>
              </w:rPr>
              <w:fldChar w:fldCharType="begin"/>
            </w:r>
            <w:r w:rsidR="00A137ED">
              <w:rPr>
                <w:noProof/>
                <w:webHidden/>
              </w:rPr>
              <w:instrText xml:space="preserve"> PAGEREF _Toc425850255 \h </w:instrText>
            </w:r>
            <w:r w:rsidR="00A137ED">
              <w:rPr>
                <w:noProof/>
                <w:webHidden/>
              </w:rPr>
            </w:r>
            <w:r w:rsidR="00A137ED">
              <w:rPr>
                <w:noProof/>
                <w:webHidden/>
              </w:rPr>
              <w:fldChar w:fldCharType="separate"/>
            </w:r>
            <w:r>
              <w:rPr>
                <w:noProof/>
                <w:webHidden/>
              </w:rPr>
              <w:t>8</w:t>
            </w:r>
            <w:r w:rsidR="00A137ED">
              <w:rPr>
                <w:noProof/>
                <w:webHidden/>
              </w:rPr>
              <w:fldChar w:fldCharType="end"/>
            </w:r>
          </w:hyperlink>
        </w:p>
        <w:p w14:paraId="2DC57B97"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256" w:history="1">
            <w:r w:rsidR="00A137ED" w:rsidRPr="00466D85">
              <w:rPr>
                <w:rStyle w:val="Hyperlink"/>
                <w:noProof/>
              </w:rPr>
              <w:t>Western Australia</w:t>
            </w:r>
            <w:r w:rsidR="00A137ED">
              <w:rPr>
                <w:noProof/>
                <w:webHidden/>
              </w:rPr>
              <w:tab/>
            </w:r>
            <w:r w:rsidR="00A137ED">
              <w:rPr>
                <w:noProof/>
                <w:webHidden/>
              </w:rPr>
              <w:fldChar w:fldCharType="begin"/>
            </w:r>
            <w:r w:rsidR="00A137ED">
              <w:rPr>
                <w:noProof/>
                <w:webHidden/>
              </w:rPr>
              <w:instrText xml:space="preserve"> PAGEREF _Toc425850256 \h </w:instrText>
            </w:r>
            <w:r w:rsidR="00A137ED">
              <w:rPr>
                <w:noProof/>
                <w:webHidden/>
              </w:rPr>
            </w:r>
            <w:r w:rsidR="00A137ED">
              <w:rPr>
                <w:noProof/>
                <w:webHidden/>
              </w:rPr>
              <w:fldChar w:fldCharType="separate"/>
            </w:r>
            <w:r>
              <w:rPr>
                <w:noProof/>
                <w:webHidden/>
              </w:rPr>
              <w:t>8</w:t>
            </w:r>
            <w:r w:rsidR="00A137ED">
              <w:rPr>
                <w:noProof/>
                <w:webHidden/>
              </w:rPr>
              <w:fldChar w:fldCharType="end"/>
            </w:r>
          </w:hyperlink>
        </w:p>
        <w:p w14:paraId="0C231817" w14:textId="77777777" w:rsidR="00A137ED" w:rsidRDefault="009A25DE" w:rsidP="00A137ED">
          <w:pPr>
            <w:pStyle w:val="TOC3"/>
            <w:tabs>
              <w:tab w:val="right" w:leader="dot" w:pos="9628"/>
            </w:tabs>
            <w:jc w:val="left"/>
            <w:rPr>
              <w:rFonts w:asciiTheme="minorHAnsi" w:hAnsiTheme="minorHAnsi"/>
              <w:noProof/>
              <w:sz w:val="22"/>
              <w:szCs w:val="22"/>
              <w:lang w:val="en-AU" w:eastAsia="en-AU"/>
            </w:rPr>
          </w:pPr>
          <w:hyperlink w:anchor="_Toc425850257" w:history="1">
            <w:r w:rsidR="00A137ED" w:rsidRPr="00466D85">
              <w:rPr>
                <w:rStyle w:val="Hyperlink"/>
                <w:noProof/>
                <w:lang w:eastAsia="en-US"/>
              </w:rPr>
              <w:t>Indigenous Australians</w:t>
            </w:r>
            <w:r w:rsidR="00A137ED">
              <w:rPr>
                <w:noProof/>
                <w:webHidden/>
              </w:rPr>
              <w:tab/>
            </w:r>
            <w:r w:rsidR="00A137ED">
              <w:rPr>
                <w:noProof/>
                <w:webHidden/>
              </w:rPr>
              <w:fldChar w:fldCharType="begin"/>
            </w:r>
            <w:r w:rsidR="00A137ED">
              <w:rPr>
                <w:noProof/>
                <w:webHidden/>
              </w:rPr>
              <w:instrText xml:space="preserve"> PAGEREF _Toc425850257 \h </w:instrText>
            </w:r>
            <w:r w:rsidR="00A137ED">
              <w:rPr>
                <w:noProof/>
                <w:webHidden/>
              </w:rPr>
            </w:r>
            <w:r w:rsidR="00A137ED">
              <w:rPr>
                <w:noProof/>
                <w:webHidden/>
              </w:rPr>
              <w:fldChar w:fldCharType="separate"/>
            </w:r>
            <w:r>
              <w:rPr>
                <w:noProof/>
                <w:webHidden/>
              </w:rPr>
              <w:t>8</w:t>
            </w:r>
            <w:r w:rsidR="00A137ED">
              <w:rPr>
                <w:noProof/>
                <w:webHidden/>
              </w:rPr>
              <w:fldChar w:fldCharType="end"/>
            </w:r>
          </w:hyperlink>
        </w:p>
        <w:p w14:paraId="395FE1BA"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258" w:history="1">
            <w:r w:rsidR="00A137ED" w:rsidRPr="00466D85">
              <w:rPr>
                <w:rStyle w:val="Hyperlink"/>
                <w:noProof/>
              </w:rPr>
              <w:t>Australian Capital Territory</w:t>
            </w:r>
            <w:r w:rsidR="00A137ED">
              <w:rPr>
                <w:noProof/>
                <w:webHidden/>
              </w:rPr>
              <w:tab/>
            </w:r>
            <w:r w:rsidR="00A137ED">
              <w:rPr>
                <w:noProof/>
                <w:webHidden/>
              </w:rPr>
              <w:fldChar w:fldCharType="begin"/>
            </w:r>
            <w:r w:rsidR="00A137ED">
              <w:rPr>
                <w:noProof/>
                <w:webHidden/>
              </w:rPr>
              <w:instrText xml:space="preserve"> PAGEREF _Toc425850258 \h </w:instrText>
            </w:r>
            <w:r w:rsidR="00A137ED">
              <w:rPr>
                <w:noProof/>
                <w:webHidden/>
              </w:rPr>
            </w:r>
            <w:r w:rsidR="00A137ED">
              <w:rPr>
                <w:noProof/>
                <w:webHidden/>
              </w:rPr>
              <w:fldChar w:fldCharType="separate"/>
            </w:r>
            <w:r>
              <w:rPr>
                <w:noProof/>
                <w:webHidden/>
              </w:rPr>
              <w:t>8</w:t>
            </w:r>
            <w:r w:rsidR="00A137ED">
              <w:rPr>
                <w:noProof/>
                <w:webHidden/>
              </w:rPr>
              <w:fldChar w:fldCharType="end"/>
            </w:r>
          </w:hyperlink>
        </w:p>
        <w:p w14:paraId="2E637F54"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259" w:history="1">
            <w:r w:rsidR="00A137ED" w:rsidRPr="00466D85">
              <w:rPr>
                <w:rStyle w:val="Hyperlink"/>
                <w:noProof/>
              </w:rPr>
              <w:t>New South Wales</w:t>
            </w:r>
            <w:r w:rsidR="00A137ED">
              <w:rPr>
                <w:noProof/>
                <w:webHidden/>
              </w:rPr>
              <w:tab/>
            </w:r>
            <w:r w:rsidR="00A137ED">
              <w:rPr>
                <w:noProof/>
                <w:webHidden/>
              </w:rPr>
              <w:fldChar w:fldCharType="begin"/>
            </w:r>
            <w:r w:rsidR="00A137ED">
              <w:rPr>
                <w:noProof/>
                <w:webHidden/>
              </w:rPr>
              <w:instrText xml:space="preserve"> PAGEREF _Toc425850259 \h </w:instrText>
            </w:r>
            <w:r w:rsidR="00A137ED">
              <w:rPr>
                <w:noProof/>
                <w:webHidden/>
              </w:rPr>
            </w:r>
            <w:r w:rsidR="00A137ED">
              <w:rPr>
                <w:noProof/>
                <w:webHidden/>
              </w:rPr>
              <w:fldChar w:fldCharType="separate"/>
            </w:r>
            <w:r>
              <w:rPr>
                <w:noProof/>
                <w:webHidden/>
              </w:rPr>
              <w:t>10</w:t>
            </w:r>
            <w:r w:rsidR="00A137ED">
              <w:rPr>
                <w:noProof/>
                <w:webHidden/>
              </w:rPr>
              <w:fldChar w:fldCharType="end"/>
            </w:r>
          </w:hyperlink>
        </w:p>
        <w:p w14:paraId="3A187C6D"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260" w:history="1">
            <w:r w:rsidR="00A137ED" w:rsidRPr="00466D85">
              <w:rPr>
                <w:rStyle w:val="Hyperlink"/>
                <w:noProof/>
              </w:rPr>
              <w:t>Northern Territory</w:t>
            </w:r>
            <w:r w:rsidR="00A137ED">
              <w:rPr>
                <w:noProof/>
                <w:webHidden/>
              </w:rPr>
              <w:tab/>
            </w:r>
            <w:r w:rsidR="00A137ED">
              <w:rPr>
                <w:noProof/>
                <w:webHidden/>
              </w:rPr>
              <w:fldChar w:fldCharType="begin"/>
            </w:r>
            <w:r w:rsidR="00A137ED">
              <w:rPr>
                <w:noProof/>
                <w:webHidden/>
              </w:rPr>
              <w:instrText xml:space="preserve"> PAGEREF _Toc425850260 \h </w:instrText>
            </w:r>
            <w:r w:rsidR="00A137ED">
              <w:rPr>
                <w:noProof/>
                <w:webHidden/>
              </w:rPr>
            </w:r>
            <w:r w:rsidR="00A137ED">
              <w:rPr>
                <w:noProof/>
                <w:webHidden/>
              </w:rPr>
              <w:fldChar w:fldCharType="separate"/>
            </w:r>
            <w:r>
              <w:rPr>
                <w:noProof/>
                <w:webHidden/>
              </w:rPr>
              <w:t>10</w:t>
            </w:r>
            <w:r w:rsidR="00A137ED">
              <w:rPr>
                <w:noProof/>
                <w:webHidden/>
              </w:rPr>
              <w:fldChar w:fldCharType="end"/>
            </w:r>
          </w:hyperlink>
        </w:p>
        <w:p w14:paraId="586A434E"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261" w:history="1">
            <w:r w:rsidR="00A137ED" w:rsidRPr="00466D85">
              <w:rPr>
                <w:rStyle w:val="Hyperlink"/>
                <w:noProof/>
              </w:rPr>
              <w:t>Queensland</w:t>
            </w:r>
            <w:r w:rsidR="00A137ED">
              <w:rPr>
                <w:noProof/>
                <w:webHidden/>
              </w:rPr>
              <w:tab/>
            </w:r>
            <w:r w:rsidR="00A137ED">
              <w:rPr>
                <w:noProof/>
                <w:webHidden/>
              </w:rPr>
              <w:fldChar w:fldCharType="begin"/>
            </w:r>
            <w:r w:rsidR="00A137ED">
              <w:rPr>
                <w:noProof/>
                <w:webHidden/>
              </w:rPr>
              <w:instrText xml:space="preserve"> PAGEREF _Toc425850261 \h </w:instrText>
            </w:r>
            <w:r w:rsidR="00A137ED">
              <w:rPr>
                <w:noProof/>
                <w:webHidden/>
              </w:rPr>
            </w:r>
            <w:r w:rsidR="00A137ED">
              <w:rPr>
                <w:noProof/>
                <w:webHidden/>
              </w:rPr>
              <w:fldChar w:fldCharType="separate"/>
            </w:r>
            <w:r>
              <w:rPr>
                <w:noProof/>
                <w:webHidden/>
              </w:rPr>
              <w:t>10</w:t>
            </w:r>
            <w:r w:rsidR="00A137ED">
              <w:rPr>
                <w:noProof/>
                <w:webHidden/>
              </w:rPr>
              <w:fldChar w:fldCharType="end"/>
            </w:r>
          </w:hyperlink>
        </w:p>
        <w:p w14:paraId="7FA4DBC7"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262" w:history="1">
            <w:r w:rsidR="00A137ED" w:rsidRPr="00466D85">
              <w:rPr>
                <w:rStyle w:val="Hyperlink"/>
                <w:noProof/>
              </w:rPr>
              <w:t>Tasmania</w:t>
            </w:r>
            <w:r w:rsidR="00A137ED">
              <w:rPr>
                <w:noProof/>
                <w:webHidden/>
              </w:rPr>
              <w:tab/>
            </w:r>
            <w:r w:rsidR="00A137ED">
              <w:rPr>
                <w:noProof/>
                <w:webHidden/>
              </w:rPr>
              <w:fldChar w:fldCharType="begin"/>
            </w:r>
            <w:r w:rsidR="00A137ED">
              <w:rPr>
                <w:noProof/>
                <w:webHidden/>
              </w:rPr>
              <w:instrText xml:space="preserve"> PAGEREF _Toc425850262 \h </w:instrText>
            </w:r>
            <w:r w:rsidR="00A137ED">
              <w:rPr>
                <w:noProof/>
                <w:webHidden/>
              </w:rPr>
            </w:r>
            <w:r w:rsidR="00A137ED">
              <w:rPr>
                <w:noProof/>
                <w:webHidden/>
              </w:rPr>
              <w:fldChar w:fldCharType="separate"/>
            </w:r>
            <w:r>
              <w:rPr>
                <w:noProof/>
                <w:webHidden/>
              </w:rPr>
              <w:t>11</w:t>
            </w:r>
            <w:r w:rsidR="00A137ED">
              <w:rPr>
                <w:noProof/>
                <w:webHidden/>
              </w:rPr>
              <w:fldChar w:fldCharType="end"/>
            </w:r>
          </w:hyperlink>
        </w:p>
        <w:p w14:paraId="72905654"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263" w:history="1">
            <w:r w:rsidR="00A137ED" w:rsidRPr="00466D85">
              <w:rPr>
                <w:rStyle w:val="Hyperlink"/>
                <w:noProof/>
              </w:rPr>
              <w:t>Victoria</w:t>
            </w:r>
            <w:r w:rsidR="00A137ED">
              <w:rPr>
                <w:noProof/>
                <w:webHidden/>
              </w:rPr>
              <w:tab/>
            </w:r>
            <w:r w:rsidR="00A137ED">
              <w:rPr>
                <w:noProof/>
                <w:webHidden/>
              </w:rPr>
              <w:fldChar w:fldCharType="begin"/>
            </w:r>
            <w:r w:rsidR="00A137ED">
              <w:rPr>
                <w:noProof/>
                <w:webHidden/>
              </w:rPr>
              <w:instrText xml:space="preserve"> PAGEREF _Toc425850263 \h </w:instrText>
            </w:r>
            <w:r w:rsidR="00A137ED">
              <w:rPr>
                <w:noProof/>
                <w:webHidden/>
              </w:rPr>
            </w:r>
            <w:r w:rsidR="00A137ED">
              <w:rPr>
                <w:noProof/>
                <w:webHidden/>
              </w:rPr>
              <w:fldChar w:fldCharType="separate"/>
            </w:r>
            <w:r>
              <w:rPr>
                <w:noProof/>
                <w:webHidden/>
              </w:rPr>
              <w:t>11</w:t>
            </w:r>
            <w:r w:rsidR="00A137ED">
              <w:rPr>
                <w:noProof/>
                <w:webHidden/>
              </w:rPr>
              <w:fldChar w:fldCharType="end"/>
            </w:r>
          </w:hyperlink>
        </w:p>
        <w:p w14:paraId="264CCA14"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264" w:history="1">
            <w:r w:rsidR="00A137ED" w:rsidRPr="00466D85">
              <w:rPr>
                <w:rStyle w:val="Hyperlink"/>
                <w:noProof/>
              </w:rPr>
              <w:t>Western Australia</w:t>
            </w:r>
            <w:r w:rsidR="00A137ED">
              <w:rPr>
                <w:noProof/>
                <w:webHidden/>
              </w:rPr>
              <w:tab/>
            </w:r>
            <w:r w:rsidR="00A137ED">
              <w:rPr>
                <w:noProof/>
                <w:webHidden/>
              </w:rPr>
              <w:fldChar w:fldCharType="begin"/>
            </w:r>
            <w:r w:rsidR="00A137ED">
              <w:rPr>
                <w:noProof/>
                <w:webHidden/>
              </w:rPr>
              <w:instrText xml:space="preserve"> PAGEREF _Toc425850264 \h </w:instrText>
            </w:r>
            <w:r w:rsidR="00A137ED">
              <w:rPr>
                <w:noProof/>
                <w:webHidden/>
              </w:rPr>
            </w:r>
            <w:r w:rsidR="00A137ED">
              <w:rPr>
                <w:noProof/>
                <w:webHidden/>
              </w:rPr>
              <w:fldChar w:fldCharType="separate"/>
            </w:r>
            <w:r>
              <w:rPr>
                <w:noProof/>
                <w:webHidden/>
              </w:rPr>
              <w:t>12</w:t>
            </w:r>
            <w:r w:rsidR="00A137ED">
              <w:rPr>
                <w:noProof/>
                <w:webHidden/>
              </w:rPr>
              <w:fldChar w:fldCharType="end"/>
            </w:r>
          </w:hyperlink>
        </w:p>
        <w:p w14:paraId="6AF13AF4" w14:textId="77777777" w:rsidR="00A137ED" w:rsidRDefault="009A25DE" w:rsidP="00A137ED">
          <w:pPr>
            <w:pStyle w:val="TOC3"/>
            <w:tabs>
              <w:tab w:val="right" w:leader="dot" w:pos="9628"/>
            </w:tabs>
            <w:jc w:val="left"/>
            <w:rPr>
              <w:rFonts w:asciiTheme="minorHAnsi" w:hAnsiTheme="minorHAnsi"/>
              <w:noProof/>
              <w:sz w:val="22"/>
              <w:szCs w:val="22"/>
              <w:lang w:val="en-AU" w:eastAsia="en-AU"/>
            </w:rPr>
          </w:pPr>
          <w:hyperlink w:anchor="_Toc425850265" w:history="1">
            <w:r w:rsidR="00A137ED" w:rsidRPr="00466D85">
              <w:rPr>
                <w:rStyle w:val="Hyperlink"/>
                <w:noProof/>
              </w:rPr>
              <w:t>Asylum Seekers and Migrants</w:t>
            </w:r>
            <w:r w:rsidR="00A137ED">
              <w:rPr>
                <w:noProof/>
                <w:webHidden/>
              </w:rPr>
              <w:tab/>
            </w:r>
            <w:r w:rsidR="00A137ED">
              <w:rPr>
                <w:noProof/>
                <w:webHidden/>
              </w:rPr>
              <w:fldChar w:fldCharType="begin"/>
            </w:r>
            <w:r w:rsidR="00A137ED">
              <w:rPr>
                <w:noProof/>
                <w:webHidden/>
              </w:rPr>
              <w:instrText xml:space="preserve"> PAGEREF _Toc425850265 \h </w:instrText>
            </w:r>
            <w:r w:rsidR="00A137ED">
              <w:rPr>
                <w:noProof/>
                <w:webHidden/>
              </w:rPr>
            </w:r>
            <w:r w:rsidR="00A137ED">
              <w:rPr>
                <w:noProof/>
                <w:webHidden/>
              </w:rPr>
              <w:fldChar w:fldCharType="separate"/>
            </w:r>
            <w:r>
              <w:rPr>
                <w:noProof/>
                <w:webHidden/>
              </w:rPr>
              <w:t>12</w:t>
            </w:r>
            <w:r w:rsidR="00A137ED">
              <w:rPr>
                <w:noProof/>
                <w:webHidden/>
              </w:rPr>
              <w:fldChar w:fldCharType="end"/>
            </w:r>
          </w:hyperlink>
        </w:p>
        <w:p w14:paraId="436F8CBD"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266" w:history="1">
            <w:r w:rsidR="00A137ED" w:rsidRPr="00466D85">
              <w:rPr>
                <w:rStyle w:val="Hyperlink"/>
                <w:noProof/>
              </w:rPr>
              <w:t>Northern Territory</w:t>
            </w:r>
            <w:r w:rsidR="00A137ED">
              <w:rPr>
                <w:noProof/>
                <w:webHidden/>
              </w:rPr>
              <w:tab/>
            </w:r>
            <w:r w:rsidR="00A137ED">
              <w:rPr>
                <w:noProof/>
                <w:webHidden/>
              </w:rPr>
              <w:fldChar w:fldCharType="begin"/>
            </w:r>
            <w:r w:rsidR="00A137ED">
              <w:rPr>
                <w:noProof/>
                <w:webHidden/>
              </w:rPr>
              <w:instrText xml:space="preserve"> PAGEREF _Toc425850266 \h </w:instrText>
            </w:r>
            <w:r w:rsidR="00A137ED">
              <w:rPr>
                <w:noProof/>
                <w:webHidden/>
              </w:rPr>
            </w:r>
            <w:r w:rsidR="00A137ED">
              <w:rPr>
                <w:noProof/>
                <w:webHidden/>
              </w:rPr>
              <w:fldChar w:fldCharType="separate"/>
            </w:r>
            <w:r>
              <w:rPr>
                <w:noProof/>
                <w:webHidden/>
              </w:rPr>
              <w:t>12</w:t>
            </w:r>
            <w:r w:rsidR="00A137ED">
              <w:rPr>
                <w:noProof/>
                <w:webHidden/>
              </w:rPr>
              <w:fldChar w:fldCharType="end"/>
            </w:r>
          </w:hyperlink>
        </w:p>
        <w:p w14:paraId="2977104B"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267" w:history="1">
            <w:r w:rsidR="00A137ED" w:rsidRPr="00466D85">
              <w:rPr>
                <w:rStyle w:val="Hyperlink"/>
                <w:noProof/>
              </w:rPr>
              <w:t>Queensland</w:t>
            </w:r>
            <w:r w:rsidR="00A137ED">
              <w:rPr>
                <w:noProof/>
                <w:webHidden/>
              </w:rPr>
              <w:tab/>
            </w:r>
            <w:r w:rsidR="00A137ED">
              <w:rPr>
                <w:noProof/>
                <w:webHidden/>
              </w:rPr>
              <w:fldChar w:fldCharType="begin"/>
            </w:r>
            <w:r w:rsidR="00A137ED">
              <w:rPr>
                <w:noProof/>
                <w:webHidden/>
              </w:rPr>
              <w:instrText xml:space="preserve"> PAGEREF _Toc425850267 \h </w:instrText>
            </w:r>
            <w:r w:rsidR="00A137ED">
              <w:rPr>
                <w:noProof/>
                <w:webHidden/>
              </w:rPr>
            </w:r>
            <w:r w:rsidR="00A137ED">
              <w:rPr>
                <w:noProof/>
                <w:webHidden/>
              </w:rPr>
              <w:fldChar w:fldCharType="separate"/>
            </w:r>
            <w:r>
              <w:rPr>
                <w:noProof/>
                <w:webHidden/>
              </w:rPr>
              <w:t>12</w:t>
            </w:r>
            <w:r w:rsidR="00A137ED">
              <w:rPr>
                <w:noProof/>
                <w:webHidden/>
              </w:rPr>
              <w:fldChar w:fldCharType="end"/>
            </w:r>
          </w:hyperlink>
        </w:p>
        <w:p w14:paraId="57B8DAB9"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268" w:history="1">
            <w:r w:rsidR="00A137ED" w:rsidRPr="00466D85">
              <w:rPr>
                <w:rStyle w:val="Hyperlink"/>
                <w:noProof/>
              </w:rPr>
              <w:t>Tasmania</w:t>
            </w:r>
            <w:r w:rsidR="00A137ED">
              <w:rPr>
                <w:noProof/>
                <w:webHidden/>
              </w:rPr>
              <w:tab/>
            </w:r>
            <w:r w:rsidR="00A137ED">
              <w:rPr>
                <w:noProof/>
                <w:webHidden/>
              </w:rPr>
              <w:fldChar w:fldCharType="begin"/>
            </w:r>
            <w:r w:rsidR="00A137ED">
              <w:rPr>
                <w:noProof/>
                <w:webHidden/>
              </w:rPr>
              <w:instrText xml:space="preserve"> PAGEREF _Toc425850268 \h </w:instrText>
            </w:r>
            <w:r w:rsidR="00A137ED">
              <w:rPr>
                <w:noProof/>
                <w:webHidden/>
              </w:rPr>
            </w:r>
            <w:r w:rsidR="00A137ED">
              <w:rPr>
                <w:noProof/>
                <w:webHidden/>
              </w:rPr>
              <w:fldChar w:fldCharType="separate"/>
            </w:r>
            <w:r>
              <w:rPr>
                <w:noProof/>
                <w:webHidden/>
              </w:rPr>
              <w:t>13</w:t>
            </w:r>
            <w:r w:rsidR="00A137ED">
              <w:rPr>
                <w:noProof/>
                <w:webHidden/>
              </w:rPr>
              <w:fldChar w:fldCharType="end"/>
            </w:r>
          </w:hyperlink>
        </w:p>
        <w:p w14:paraId="69ABBE00"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269" w:history="1">
            <w:r w:rsidR="00A137ED" w:rsidRPr="00466D85">
              <w:rPr>
                <w:rStyle w:val="Hyperlink"/>
                <w:noProof/>
              </w:rPr>
              <w:t>Western Australia</w:t>
            </w:r>
            <w:r w:rsidR="00A137ED">
              <w:rPr>
                <w:noProof/>
                <w:webHidden/>
              </w:rPr>
              <w:tab/>
            </w:r>
            <w:r w:rsidR="00A137ED">
              <w:rPr>
                <w:noProof/>
                <w:webHidden/>
              </w:rPr>
              <w:fldChar w:fldCharType="begin"/>
            </w:r>
            <w:r w:rsidR="00A137ED">
              <w:rPr>
                <w:noProof/>
                <w:webHidden/>
              </w:rPr>
              <w:instrText xml:space="preserve"> PAGEREF _Toc425850269 \h </w:instrText>
            </w:r>
            <w:r w:rsidR="00A137ED">
              <w:rPr>
                <w:noProof/>
                <w:webHidden/>
              </w:rPr>
            </w:r>
            <w:r w:rsidR="00A137ED">
              <w:rPr>
                <w:noProof/>
                <w:webHidden/>
              </w:rPr>
              <w:fldChar w:fldCharType="separate"/>
            </w:r>
            <w:r>
              <w:rPr>
                <w:noProof/>
                <w:webHidden/>
              </w:rPr>
              <w:t>13</w:t>
            </w:r>
            <w:r w:rsidR="00A137ED">
              <w:rPr>
                <w:noProof/>
                <w:webHidden/>
              </w:rPr>
              <w:fldChar w:fldCharType="end"/>
            </w:r>
          </w:hyperlink>
        </w:p>
        <w:p w14:paraId="7CA4FB2F" w14:textId="77777777" w:rsidR="00A137ED" w:rsidRDefault="009A25DE" w:rsidP="00A137ED">
          <w:pPr>
            <w:pStyle w:val="TOC3"/>
            <w:tabs>
              <w:tab w:val="right" w:leader="dot" w:pos="9628"/>
            </w:tabs>
            <w:jc w:val="left"/>
            <w:rPr>
              <w:rFonts w:asciiTheme="minorHAnsi" w:hAnsiTheme="minorHAnsi"/>
              <w:noProof/>
              <w:sz w:val="22"/>
              <w:szCs w:val="22"/>
              <w:lang w:val="en-AU" w:eastAsia="en-AU"/>
            </w:rPr>
          </w:pPr>
          <w:hyperlink w:anchor="_Toc425850270" w:history="1">
            <w:r w:rsidR="00A137ED" w:rsidRPr="00466D85">
              <w:rPr>
                <w:rStyle w:val="Hyperlink"/>
                <w:noProof/>
                <w:lang w:eastAsia="en-US"/>
              </w:rPr>
              <w:t>Persons with Disabilities</w:t>
            </w:r>
            <w:r w:rsidR="00A137ED">
              <w:rPr>
                <w:noProof/>
                <w:webHidden/>
              </w:rPr>
              <w:tab/>
            </w:r>
            <w:r w:rsidR="00A137ED">
              <w:rPr>
                <w:noProof/>
                <w:webHidden/>
              </w:rPr>
              <w:fldChar w:fldCharType="begin"/>
            </w:r>
            <w:r w:rsidR="00A137ED">
              <w:rPr>
                <w:noProof/>
                <w:webHidden/>
              </w:rPr>
              <w:instrText xml:space="preserve"> PAGEREF _Toc425850270 \h </w:instrText>
            </w:r>
            <w:r w:rsidR="00A137ED">
              <w:rPr>
                <w:noProof/>
                <w:webHidden/>
              </w:rPr>
            </w:r>
            <w:r w:rsidR="00A137ED">
              <w:rPr>
                <w:noProof/>
                <w:webHidden/>
              </w:rPr>
              <w:fldChar w:fldCharType="separate"/>
            </w:r>
            <w:r>
              <w:rPr>
                <w:noProof/>
                <w:webHidden/>
              </w:rPr>
              <w:t>13</w:t>
            </w:r>
            <w:r w:rsidR="00A137ED">
              <w:rPr>
                <w:noProof/>
                <w:webHidden/>
              </w:rPr>
              <w:fldChar w:fldCharType="end"/>
            </w:r>
          </w:hyperlink>
        </w:p>
        <w:p w14:paraId="60453D92"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271" w:history="1">
            <w:r w:rsidR="00A137ED" w:rsidRPr="00466D85">
              <w:rPr>
                <w:rStyle w:val="Hyperlink"/>
                <w:noProof/>
              </w:rPr>
              <w:t>New South Wales</w:t>
            </w:r>
            <w:r w:rsidR="00A137ED">
              <w:rPr>
                <w:noProof/>
                <w:webHidden/>
              </w:rPr>
              <w:tab/>
            </w:r>
            <w:r w:rsidR="00A137ED">
              <w:rPr>
                <w:noProof/>
                <w:webHidden/>
              </w:rPr>
              <w:fldChar w:fldCharType="begin"/>
            </w:r>
            <w:r w:rsidR="00A137ED">
              <w:rPr>
                <w:noProof/>
                <w:webHidden/>
              </w:rPr>
              <w:instrText xml:space="preserve"> PAGEREF _Toc425850271 \h </w:instrText>
            </w:r>
            <w:r w:rsidR="00A137ED">
              <w:rPr>
                <w:noProof/>
                <w:webHidden/>
              </w:rPr>
            </w:r>
            <w:r w:rsidR="00A137ED">
              <w:rPr>
                <w:noProof/>
                <w:webHidden/>
              </w:rPr>
              <w:fldChar w:fldCharType="separate"/>
            </w:r>
            <w:r>
              <w:rPr>
                <w:noProof/>
                <w:webHidden/>
              </w:rPr>
              <w:t>13</w:t>
            </w:r>
            <w:r w:rsidR="00A137ED">
              <w:rPr>
                <w:noProof/>
                <w:webHidden/>
              </w:rPr>
              <w:fldChar w:fldCharType="end"/>
            </w:r>
          </w:hyperlink>
        </w:p>
        <w:p w14:paraId="5B5801D9"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272" w:history="1">
            <w:r w:rsidR="00A137ED" w:rsidRPr="00466D85">
              <w:rPr>
                <w:rStyle w:val="Hyperlink"/>
                <w:noProof/>
              </w:rPr>
              <w:t>Northern Territory</w:t>
            </w:r>
            <w:r w:rsidR="00A137ED">
              <w:rPr>
                <w:noProof/>
                <w:webHidden/>
              </w:rPr>
              <w:tab/>
            </w:r>
            <w:r w:rsidR="00A137ED">
              <w:rPr>
                <w:noProof/>
                <w:webHidden/>
              </w:rPr>
              <w:fldChar w:fldCharType="begin"/>
            </w:r>
            <w:r w:rsidR="00A137ED">
              <w:rPr>
                <w:noProof/>
                <w:webHidden/>
              </w:rPr>
              <w:instrText xml:space="preserve"> PAGEREF _Toc425850272 \h </w:instrText>
            </w:r>
            <w:r w:rsidR="00A137ED">
              <w:rPr>
                <w:noProof/>
                <w:webHidden/>
              </w:rPr>
            </w:r>
            <w:r w:rsidR="00A137ED">
              <w:rPr>
                <w:noProof/>
                <w:webHidden/>
              </w:rPr>
              <w:fldChar w:fldCharType="separate"/>
            </w:r>
            <w:r>
              <w:rPr>
                <w:noProof/>
                <w:webHidden/>
              </w:rPr>
              <w:t>13</w:t>
            </w:r>
            <w:r w:rsidR="00A137ED">
              <w:rPr>
                <w:noProof/>
                <w:webHidden/>
              </w:rPr>
              <w:fldChar w:fldCharType="end"/>
            </w:r>
          </w:hyperlink>
        </w:p>
        <w:p w14:paraId="5A4BCCAE"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273" w:history="1">
            <w:r w:rsidR="00A137ED" w:rsidRPr="00466D85">
              <w:rPr>
                <w:rStyle w:val="Hyperlink"/>
                <w:noProof/>
              </w:rPr>
              <w:t>Tasmania</w:t>
            </w:r>
            <w:r w:rsidR="00A137ED">
              <w:rPr>
                <w:noProof/>
                <w:webHidden/>
              </w:rPr>
              <w:tab/>
            </w:r>
            <w:r w:rsidR="00A137ED">
              <w:rPr>
                <w:noProof/>
                <w:webHidden/>
              </w:rPr>
              <w:fldChar w:fldCharType="begin"/>
            </w:r>
            <w:r w:rsidR="00A137ED">
              <w:rPr>
                <w:noProof/>
                <w:webHidden/>
              </w:rPr>
              <w:instrText xml:space="preserve"> PAGEREF _Toc425850273 \h </w:instrText>
            </w:r>
            <w:r w:rsidR="00A137ED">
              <w:rPr>
                <w:noProof/>
                <w:webHidden/>
              </w:rPr>
            </w:r>
            <w:r w:rsidR="00A137ED">
              <w:rPr>
                <w:noProof/>
                <w:webHidden/>
              </w:rPr>
              <w:fldChar w:fldCharType="separate"/>
            </w:r>
            <w:r>
              <w:rPr>
                <w:noProof/>
                <w:webHidden/>
              </w:rPr>
              <w:t>13</w:t>
            </w:r>
            <w:r w:rsidR="00A137ED">
              <w:rPr>
                <w:noProof/>
                <w:webHidden/>
              </w:rPr>
              <w:fldChar w:fldCharType="end"/>
            </w:r>
          </w:hyperlink>
        </w:p>
        <w:p w14:paraId="28F809CD"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274" w:history="1">
            <w:r w:rsidR="00A137ED" w:rsidRPr="00466D85">
              <w:rPr>
                <w:rStyle w:val="Hyperlink"/>
                <w:noProof/>
              </w:rPr>
              <w:t>Western Australia</w:t>
            </w:r>
            <w:r w:rsidR="00A137ED">
              <w:rPr>
                <w:noProof/>
                <w:webHidden/>
              </w:rPr>
              <w:tab/>
            </w:r>
            <w:r w:rsidR="00A137ED">
              <w:rPr>
                <w:noProof/>
                <w:webHidden/>
              </w:rPr>
              <w:fldChar w:fldCharType="begin"/>
            </w:r>
            <w:r w:rsidR="00A137ED">
              <w:rPr>
                <w:noProof/>
                <w:webHidden/>
              </w:rPr>
              <w:instrText xml:space="preserve"> PAGEREF _Toc425850274 \h </w:instrText>
            </w:r>
            <w:r w:rsidR="00A137ED">
              <w:rPr>
                <w:noProof/>
                <w:webHidden/>
              </w:rPr>
            </w:r>
            <w:r w:rsidR="00A137ED">
              <w:rPr>
                <w:noProof/>
                <w:webHidden/>
              </w:rPr>
              <w:fldChar w:fldCharType="separate"/>
            </w:r>
            <w:r>
              <w:rPr>
                <w:noProof/>
                <w:webHidden/>
              </w:rPr>
              <w:t>13</w:t>
            </w:r>
            <w:r w:rsidR="00A137ED">
              <w:rPr>
                <w:noProof/>
                <w:webHidden/>
              </w:rPr>
              <w:fldChar w:fldCharType="end"/>
            </w:r>
          </w:hyperlink>
        </w:p>
        <w:p w14:paraId="4E9CC81A" w14:textId="77777777" w:rsidR="00A137ED" w:rsidRDefault="009A25DE" w:rsidP="00A137ED">
          <w:pPr>
            <w:pStyle w:val="TOC2"/>
            <w:rPr>
              <w:rFonts w:asciiTheme="minorHAnsi" w:hAnsiTheme="minorHAnsi"/>
              <w:noProof/>
              <w:sz w:val="22"/>
              <w:szCs w:val="22"/>
              <w:lang w:val="en-AU" w:eastAsia="en-AU"/>
            </w:rPr>
          </w:pPr>
          <w:hyperlink w:anchor="_Toc425850275" w:history="1">
            <w:r w:rsidR="00A137ED" w:rsidRPr="00466D85">
              <w:rPr>
                <w:rStyle w:val="Hyperlink"/>
                <w:noProof/>
                <w:lang w:eastAsia="en-US"/>
              </w:rPr>
              <w:t>Concluding Observation 22 – Domestic Violence</w:t>
            </w:r>
            <w:r w:rsidR="00A137ED">
              <w:rPr>
                <w:noProof/>
                <w:webHidden/>
              </w:rPr>
              <w:tab/>
            </w:r>
            <w:r w:rsidR="00A137ED">
              <w:rPr>
                <w:noProof/>
                <w:webHidden/>
              </w:rPr>
              <w:fldChar w:fldCharType="begin"/>
            </w:r>
            <w:r w:rsidR="00A137ED">
              <w:rPr>
                <w:noProof/>
                <w:webHidden/>
              </w:rPr>
              <w:instrText xml:space="preserve"> PAGEREF _Toc425850275 \h </w:instrText>
            </w:r>
            <w:r w:rsidR="00A137ED">
              <w:rPr>
                <w:noProof/>
                <w:webHidden/>
              </w:rPr>
            </w:r>
            <w:r w:rsidR="00A137ED">
              <w:rPr>
                <w:noProof/>
                <w:webHidden/>
              </w:rPr>
              <w:fldChar w:fldCharType="separate"/>
            </w:r>
            <w:r>
              <w:rPr>
                <w:noProof/>
                <w:webHidden/>
              </w:rPr>
              <w:t>14</w:t>
            </w:r>
            <w:r w:rsidR="00A137ED">
              <w:rPr>
                <w:noProof/>
                <w:webHidden/>
              </w:rPr>
              <w:fldChar w:fldCharType="end"/>
            </w:r>
          </w:hyperlink>
        </w:p>
        <w:p w14:paraId="6FB563FC"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276" w:history="1">
            <w:r w:rsidR="00A137ED" w:rsidRPr="00466D85">
              <w:rPr>
                <w:rStyle w:val="Hyperlink"/>
                <w:noProof/>
              </w:rPr>
              <w:t>Australian Capital Territory</w:t>
            </w:r>
            <w:r w:rsidR="00A137ED">
              <w:rPr>
                <w:noProof/>
                <w:webHidden/>
              </w:rPr>
              <w:tab/>
            </w:r>
            <w:r w:rsidR="00A137ED">
              <w:rPr>
                <w:noProof/>
                <w:webHidden/>
              </w:rPr>
              <w:fldChar w:fldCharType="begin"/>
            </w:r>
            <w:r w:rsidR="00A137ED">
              <w:rPr>
                <w:noProof/>
                <w:webHidden/>
              </w:rPr>
              <w:instrText xml:space="preserve"> PAGEREF _Toc425850276 \h </w:instrText>
            </w:r>
            <w:r w:rsidR="00A137ED">
              <w:rPr>
                <w:noProof/>
                <w:webHidden/>
              </w:rPr>
            </w:r>
            <w:r w:rsidR="00A137ED">
              <w:rPr>
                <w:noProof/>
                <w:webHidden/>
              </w:rPr>
              <w:fldChar w:fldCharType="separate"/>
            </w:r>
            <w:r>
              <w:rPr>
                <w:noProof/>
                <w:webHidden/>
              </w:rPr>
              <w:t>14</w:t>
            </w:r>
            <w:r w:rsidR="00A137ED">
              <w:rPr>
                <w:noProof/>
                <w:webHidden/>
              </w:rPr>
              <w:fldChar w:fldCharType="end"/>
            </w:r>
          </w:hyperlink>
        </w:p>
        <w:p w14:paraId="1CC9B2E2"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277" w:history="1">
            <w:r w:rsidR="00A137ED" w:rsidRPr="00466D85">
              <w:rPr>
                <w:rStyle w:val="Hyperlink"/>
                <w:noProof/>
              </w:rPr>
              <w:t>New South Wales</w:t>
            </w:r>
            <w:r w:rsidR="00A137ED">
              <w:rPr>
                <w:noProof/>
                <w:webHidden/>
              </w:rPr>
              <w:tab/>
            </w:r>
            <w:r w:rsidR="00A137ED">
              <w:rPr>
                <w:noProof/>
                <w:webHidden/>
              </w:rPr>
              <w:fldChar w:fldCharType="begin"/>
            </w:r>
            <w:r w:rsidR="00A137ED">
              <w:rPr>
                <w:noProof/>
                <w:webHidden/>
              </w:rPr>
              <w:instrText xml:space="preserve"> PAGEREF _Toc425850277 \h </w:instrText>
            </w:r>
            <w:r w:rsidR="00A137ED">
              <w:rPr>
                <w:noProof/>
                <w:webHidden/>
              </w:rPr>
            </w:r>
            <w:r w:rsidR="00A137ED">
              <w:rPr>
                <w:noProof/>
                <w:webHidden/>
              </w:rPr>
              <w:fldChar w:fldCharType="separate"/>
            </w:r>
            <w:r>
              <w:rPr>
                <w:noProof/>
                <w:webHidden/>
              </w:rPr>
              <w:t>14</w:t>
            </w:r>
            <w:r w:rsidR="00A137ED">
              <w:rPr>
                <w:noProof/>
                <w:webHidden/>
              </w:rPr>
              <w:fldChar w:fldCharType="end"/>
            </w:r>
          </w:hyperlink>
        </w:p>
        <w:p w14:paraId="00E05701"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278" w:history="1">
            <w:r w:rsidR="00A137ED" w:rsidRPr="00466D85">
              <w:rPr>
                <w:rStyle w:val="Hyperlink"/>
                <w:noProof/>
              </w:rPr>
              <w:t>Northern Territory</w:t>
            </w:r>
            <w:r w:rsidR="00A137ED">
              <w:rPr>
                <w:noProof/>
                <w:webHidden/>
              </w:rPr>
              <w:tab/>
            </w:r>
            <w:r w:rsidR="00A137ED">
              <w:rPr>
                <w:noProof/>
                <w:webHidden/>
              </w:rPr>
              <w:fldChar w:fldCharType="begin"/>
            </w:r>
            <w:r w:rsidR="00A137ED">
              <w:rPr>
                <w:noProof/>
                <w:webHidden/>
              </w:rPr>
              <w:instrText xml:space="preserve"> PAGEREF _Toc425850278 \h </w:instrText>
            </w:r>
            <w:r w:rsidR="00A137ED">
              <w:rPr>
                <w:noProof/>
                <w:webHidden/>
              </w:rPr>
            </w:r>
            <w:r w:rsidR="00A137ED">
              <w:rPr>
                <w:noProof/>
                <w:webHidden/>
              </w:rPr>
              <w:fldChar w:fldCharType="separate"/>
            </w:r>
            <w:r>
              <w:rPr>
                <w:noProof/>
                <w:webHidden/>
              </w:rPr>
              <w:t>15</w:t>
            </w:r>
            <w:r w:rsidR="00A137ED">
              <w:rPr>
                <w:noProof/>
                <w:webHidden/>
              </w:rPr>
              <w:fldChar w:fldCharType="end"/>
            </w:r>
          </w:hyperlink>
        </w:p>
        <w:p w14:paraId="39767F1B"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279" w:history="1">
            <w:r w:rsidR="00A137ED" w:rsidRPr="00466D85">
              <w:rPr>
                <w:rStyle w:val="Hyperlink"/>
                <w:noProof/>
              </w:rPr>
              <w:t>Queensland</w:t>
            </w:r>
            <w:r w:rsidR="00A137ED">
              <w:rPr>
                <w:noProof/>
                <w:webHidden/>
              </w:rPr>
              <w:tab/>
            </w:r>
            <w:r w:rsidR="00A137ED">
              <w:rPr>
                <w:noProof/>
                <w:webHidden/>
              </w:rPr>
              <w:fldChar w:fldCharType="begin"/>
            </w:r>
            <w:r w:rsidR="00A137ED">
              <w:rPr>
                <w:noProof/>
                <w:webHidden/>
              </w:rPr>
              <w:instrText xml:space="preserve"> PAGEREF _Toc425850279 \h </w:instrText>
            </w:r>
            <w:r w:rsidR="00A137ED">
              <w:rPr>
                <w:noProof/>
                <w:webHidden/>
              </w:rPr>
            </w:r>
            <w:r w:rsidR="00A137ED">
              <w:rPr>
                <w:noProof/>
                <w:webHidden/>
              </w:rPr>
              <w:fldChar w:fldCharType="separate"/>
            </w:r>
            <w:r>
              <w:rPr>
                <w:noProof/>
                <w:webHidden/>
              </w:rPr>
              <w:t>16</w:t>
            </w:r>
            <w:r w:rsidR="00A137ED">
              <w:rPr>
                <w:noProof/>
                <w:webHidden/>
              </w:rPr>
              <w:fldChar w:fldCharType="end"/>
            </w:r>
          </w:hyperlink>
        </w:p>
        <w:p w14:paraId="11F6FC10"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280" w:history="1">
            <w:r w:rsidR="00A137ED" w:rsidRPr="00466D85">
              <w:rPr>
                <w:rStyle w:val="Hyperlink"/>
                <w:noProof/>
              </w:rPr>
              <w:t>South Australia</w:t>
            </w:r>
            <w:r w:rsidR="00A137ED">
              <w:rPr>
                <w:noProof/>
                <w:webHidden/>
              </w:rPr>
              <w:tab/>
            </w:r>
            <w:r w:rsidR="00A137ED">
              <w:rPr>
                <w:noProof/>
                <w:webHidden/>
              </w:rPr>
              <w:fldChar w:fldCharType="begin"/>
            </w:r>
            <w:r w:rsidR="00A137ED">
              <w:rPr>
                <w:noProof/>
                <w:webHidden/>
              </w:rPr>
              <w:instrText xml:space="preserve"> PAGEREF _Toc425850280 \h </w:instrText>
            </w:r>
            <w:r w:rsidR="00A137ED">
              <w:rPr>
                <w:noProof/>
                <w:webHidden/>
              </w:rPr>
            </w:r>
            <w:r w:rsidR="00A137ED">
              <w:rPr>
                <w:noProof/>
                <w:webHidden/>
              </w:rPr>
              <w:fldChar w:fldCharType="separate"/>
            </w:r>
            <w:r>
              <w:rPr>
                <w:noProof/>
                <w:webHidden/>
              </w:rPr>
              <w:t>17</w:t>
            </w:r>
            <w:r w:rsidR="00A137ED">
              <w:rPr>
                <w:noProof/>
                <w:webHidden/>
              </w:rPr>
              <w:fldChar w:fldCharType="end"/>
            </w:r>
          </w:hyperlink>
        </w:p>
        <w:p w14:paraId="4B30BB2B"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281" w:history="1">
            <w:r w:rsidR="00A137ED" w:rsidRPr="00466D85">
              <w:rPr>
                <w:rStyle w:val="Hyperlink"/>
                <w:noProof/>
              </w:rPr>
              <w:t>Tasmania</w:t>
            </w:r>
            <w:r w:rsidR="00A137ED">
              <w:rPr>
                <w:noProof/>
                <w:webHidden/>
              </w:rPr>
              <w:tab/>
            </w:r>
            <w:r w:rsidR="00A137ED">
              <w:rPr>
                <w:noProof/>
                <w:webHidden/>
              </w:rPr>
              <w:fldChar w:fldCharType="begin"/>
            </w:r>
            <w:r w:rsidR="00A137ED">
              <w:rPr>
                <w:noProof/>
                <w:webHidden/>
              </w:rPr>
              <w:instrText xml:space="preserve"> PAGEREF _Toc425850281 \h </w:instrText>
            </w:r>
            <w:r w:rsidR="00A137ED">
              <w:rPr>
                <w:noProof/>
                <w:webHidden/>
              </w:rPr>
            </w:r>
            <w:r w:rsidR="00A137ED">
              <w:rPr>
                <w:noProof/>
                <w:webHidden/>
              </w:rPr>
              <w:fldChar w:fldCharType="separate"/>
            </w:r>
            <w:r>
              <w:rPr>
                <w:noProof/>
                <w:webHidden/>
              </w:rPr>
              <w:t>19</w:t>
            </w:r>
            <w:r w:rsidR="00A137ED">
              <w:rPr>
                <w:noProof/>
                <w:webHidden/>
              </w:rPr>
              <w:fldChar w:fldCharType="end"/>
            </w:r>
          </w:hyperlink>
        </w:p>
        <w:p w14:paraId="278933CB"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282" w:history="1">
            <w:r w:rsidR="00A137ED" w:rsidRPr="00466D85">
              <w:rPr>
                <w:rStyle w:val="Hyperlink"/>
                <w:noProof/>
              </w:rPr>
              <w:t>Victoria</w:t>
            </w:r>
            <w:r w:rsidR="00A137ED">
              <w:rPr>
                <w:noProof/>
                <w:webHidden/>
              </w:rPr>
              <w:tab/>
            </w:r>
            <w:r w:rsidR="00A137ED">
              <w:rPr>
                <w:noProof/>
                <w:webHidden/>
              </w:rPr>
              <w:fldChar w:fldCharType="begin"/>
            </w:r>
            <w:r w:rsidR="00A137ED">
              <w:rPr>
                <w:noProof/>
                <w:webHidden/>
              </w:rPr>
              <w:instrText xml:space="preserve"> PAGEREF _Toc425850282 \h </w:instrText>
            </w:r>
            <w:r w:rsidR="00A137ED">
              <w:rPr>
                <w:noProof/>
                <w:webHidden/>
              </w:rPr>
            </w:r>
            <w:r w:rsidR="00A137ED">
              <w:rPr>
                <w:noProof/>
                <w:webHidden/>
              </w:rPr>
              <w:fldChar w:fldCharType="separate"/>
            </w:r>
            <w:r>
              <w:rPr>
                <w:noProof/>
                <w:webHidden/>
              </w:rPr>
              <w:t>20</w:t>
            </w:r>
            <w:r w:rsidR="00A137ED">
              <w:rPr>
                <w:noProof/>
                <w:webHidden/>
              </w:rPr>
              <w:fldChar w:fldCharType="end"/>
            </w:r>
          </w:hyperlink>
        </w:p>
        <w:p w14:paraId="5594BE0C"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283" w:history="1">
            <w:r w:rsidR="00A137ED" w:rsidRPr="00466D85">
              <w:rPr>
                <w:rStyle w:val="Hyperlink"/>
                <w:noProof/>
              </w:rPr>
              <w:t>Western Australia</w:t>
            </w:r>
            <w:r w:rsidR="00A137ED">
              <w:rPr>
                <w:noProof/>
                <w:webHidden/>
              </w:rPr>
              <w:tab/>
            </w:r>
            <w:r w:rsidR="00A137ED">
              <w:rPr>
                <w:noProof/>
                <w:webHidden/>
              </w:rPr>
              <w:fldChar w:fldCharType="begin"/>
            </w:r>
            <w:r w:rsidR="00A137ED">
              <w:rPr>
                <w:noProof/>
                <w:webHidden/>
              </w:rPr>
              <w:instrText xml:space="preserve"> PAGEREF _Toc425850283 \h </w:instrText>
            </w:r>
            <w:r w:rsidR="00A137ED">
              <w:rPr>
                <w:noProof/>
                <w:webHidden/>
              </w:rPr>
            </w:r>
            <w:r w:rsidR="00A137ED">
              <w:rPr>
                <w:noProof/>
                <w:webHidden/>
              </w:rPr>
              <w:fldChar w:fldCharType="separate"/>
            </w:r>
            <w:r>
              <w:rPr>
                <w:noProof/>
                <w:webHidden/>
              </w:rPr>
              <w:t>21</w:t>
            </w:r>
            <w:r w:rsidR="00A137ED">
              <w:rPr>
                <w:noProof/>
                <w:webHidden/>
              </w:rPr>
              <w:fldChar w:fldCharType="end"/>
            </w:r>
          </w:hyperlink>
        </w:p>
        <w:p w14:paraId="464BC141" w14:textId="77777777" w:rsidR="00A137ED" w:rsidRDefault="009A25DE" w:rsidP="00A137ED">
          <w:pPr>
            <w:pStyle w:val="TOC2"/>
            <w:rPr>
              <w:rFonts w:asciiTheme="minorHAnsi" w:hAnsiTheme="minorHAnsi"/>
              <w:noProof/>
              <w:sz w:val="22"/>
              <w:szCs w:val="22"/>
              <w:lang w:val="en-AU" w:eastAsia="en-AU"/>
            </w:rPr>
          </w:pPr>
          <w:hyperlink w:anchor="_Toc425850284" w:history="1">
            <w:r w:rsidR="00A137ED" w:rsidRPr="00466D85">
              <w:rPr>
                <w:rStyle w:val="Hyperlink"/>
                <w:noProof/>
                <w:lang w:eastAsia="en-US"/>
              </w:rPr>
              <w:t>Concluding Observation 26 - Homelessness</w:t>
            </w:r>
            <w:r w:rsidR="00A137ED">
              <w:rPr>
                <w:noProof/>
                <w:webHidden/>
              </w:rPr>
              <w:tab/>
            </w:r>
            <w:r w:rsidR="00A137ED">
              <w:rPr>
                <w:noProof/>
                <w:webHidden/>
              </w:rPr>
              <w:fldChar w:fldCharType="begin"/>
            </w:r>
            <w:r w:rsidR="00A137ED">
              <w:rPr>
                <w:noProof/>
                <w:webHidden/>
              </w:rPr>
              <w:instrText xml:space="preserve"> PAGEREF _Toc425850284 \h </w:instrText>
            </w:r>
            <w:r w:rsidR="00A137ED">
              <w:rPr>
                <w:noProof/>
                <w:webHidden/>
              </w:rPr>
            </w:r>
            <w:r w:rsidR="00A137ED">
              <w:rPr>
                <w:noProof/>
                <w:webHidden/>
              </w:rPr>
              <w:fldChar w:fldCharType="separate"/>
            </w:r>
            <w:r>
              <w:rPr>
                <w:noProof/>
                <w:webHidden/>
              </w:rPr>
              <w:t>21</w:t>
            </w:r>
            <w:r w:rsidR="00A137ED">
              <w:rPr>
                <w:noProof/>
                <w:webHidden/>
              </w:rPr>
              <w:fldChar w:fldCharType="end"/>
            </w:r>
          </w:hyperlink>
        </w:p>
        <w:p w14:paraId="6341ADDB" w14:textId="77777777" w:rsidR="00A137ED" w:rsidRDefault="009A25DE" w:rsidP="00A137ED">
          <w:pPr>
            <w:pStyle w:val="TOC3"/>
            <w:tabs>
              <w:tab w:val="right" w:leader="dot" w:pos="9628"/>
            </w:tabs>
            <w:jc w:val="left"/>
            <w:rPr>
              <w:rFonts w:asciiTheme="minorHAnsi" w:hAnsiTheme="minorHAnsi"/>
              <w:noProof/>
              <w:sz w:val="22"/>
              <w:szCs w:val="22"/>
              <w:lang w:val="en-AU" w:eastAsia="en-AU"/>
            </w:rPr>
          </w:pPr>
          <w:hyperlink w:anchor="_Toc425850285" w:history="1">
            <w:r w:rsidR="00A137ED" w:rsidRPr="00466D85">
              <w:rPr>
                <w:rStyle w:val="Hyperlink"/>
                <w:noProof/>
              </w:rPr>
              <w:t>Housing and Homelessness</w:t>
            </w:r>
            <w:r w:rsidR="00A137ED">
              <w:rPr>
                <w:noProof/>
                <w:webHidden/>
              </w:rPr>
              <w:tab/>
            </w:r>
            <w:r w:rsidR="00A137ED">
              <w:rPr>
                <w:noProof/>
                <w:webHidden/>
              </w:rPr>
              <w:fldChar w:fldCharType="begin"/>
            </w:r>
            <w:r w:rsidR="00A137ED">
              <w:rPr>
                <w:noProof/>
                <w:webHidden/>
              </w:rPr>
              <w:instrText xml:space="preserve"> PAGEREF _Toc425850285 \h </w:instrText>
            </w:r>
            <w:r w:rsidR="00A137ED">
              <w:rPr>
                <w:noProof/>
                <w:webHidden/>
              </w:rPr>
            </w:r>
            <w:r w:rsidR="00A137ED">
              <w:rPr>
                <w:noProof/>
                <w:webHidden/>
              </w:rPr>
              <w:fldChar w:fldCharType="separate"/>
            </w:r>
            <w:r>
              <w:rPr>
                <w:noProof/>
                <w:webHidden/>
              </w:rPr>
              <w:t>21</w:t>
            </w:r>
            <w:r w:rsidR="00A137ED">
              <w:rPr>
                <w:noProof/>
                <w:webHidden/>
              </w:rPr>
              <w:fldChar w:fldCharType="end"/>
            </w:r>
          </w:hyperlink>
        </w:p>
        <w:p w14:paraId="69B7A331"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286" w:history="1">
            <w:r w:rsidR="00A137ED" w:rsidRPr="00466D85">
              <w:rPr>
                <w:rStyle w:val="Hyperlink"/>
                <w:noProof/>
              </w:rPr>
              <w:t>Australian Capital Territory</w:t>
            </w:r>
            <w:r w:rsidR="00A137ED">
              <w:rPr>
                <w:noProof/>
                <w:webHidden/>
              </w:rPr>
              <w:tab/>
            </w:r>
            <w:r w:rsidR="00A137ED">
              <w:rPr>
                <w:noProof/>
                <w:webHidden/>
              </w:rPr>
              <w:fldChar w:fldCharType="begin"/>
            </w:r>
            <w:r w:rsidR="00A137ED">
              <w:rPr>
                <w:noProof/>
                <w:webHidden/>
              </w:rPr>
              <w:instrText xml:space="preserve"> PAGEREF _Toc425850286 \h </w:instrText>
            </w:r>
            <w:r w:rsidR="00A137ED">
              <w:rPr>
                <w:noProof/>
                <w:webHidden/>
              </w:rPr>
            </w:r>
            <w:r w:rsidR="00A137ED">
              <w:rPr>
                <w:noProof/>
                <w:webHidden/>
              </w:rPr>
              <w:fldChar w:fldCharType="separate"/>
            </w:r>
            <w:r>
              <w:rPr>
                <w:noProof/>
                <w:webHidden/>
              </w:rPr>
              <w:t>21</w:t>
            </w:r>
            <w:r w:rsidR="00A137ED">
              <w:rPr>
                <w:noProof/>
                <w:webHidden/>
              </w:rPr>
              <w:fldChar w:fldCharType="end"/>
            </w:r>
          </w:hyperlink>
        </w:p>
        <w:p w14:paraId="44FC7993"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287" w:history="1">
            <w:r w:rsidR="00A137ED" w:rsidRPr="00466D85">
              <w:rPr>
                <w:rStyle w:val="Hyperlink"/>
                <w:noProof/>
              </w:rPr>
              <w:t>New South Wales</w:t>
            </w:r>
            <w:r w:rsidR="00A137ED">
              <w:rPr>
                <w:noProof/>
                <w:webHidden/>
              </w:rPr>
              <w:tab/>
            </w:r>
            <w:r w:rsidR="00A137ED">
              <w:rPr>
                <w:noProof/>
                <w:webHidden/>
              </w:rPr>
              <w:fldChar w:fldCharType="begin"/>
            </w:r>
            <w:r w:rsidR="00A137ED">
              <w:rPr>
                <w:noProof/>
                <w:webHidden/>
              </w:rPr>
              <w:instrText xml:space="preserve"> PAGEREF _Toc425850287 \h </w:instrText>
            </w:r>
            <w:r w:rsidR="00A137ED">
              <w:rPr>
                <w:noProof/>
                <w:webHidden/>
              </w:rPr>
            </w:r>
            <w:r w:rsidR="00A137ED">
              <w:rPr>
                <w:noProof/>
                <w:webHidden/>
              </w:rPr>
              <w:fldChar w:fldCharType="separate"/>
            </w:r>
            <w:r>
              <w:rPr>
                <w:noProof/>
                <w:webHidden/>
              </w:rPr>
              <w:t>22</w:t>
            </w:r>
            <w:r w:rsidR="00A137ED">
              <w:rPr>
                <w:noProof/>
                <w:webHidden/>
              </w:rPr>
              <w:fldChar w:fldCharType="end"/>
            </w:r>
          </w:hyperlink>
        </w:p>
        <w:p w14:paraId="24D0D006"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288" w:history="1">
            <w:r w:rsidR="00A137ED" w:rsidRPr="00466D85">
              <w:rPr>
                <w:rStyle w:val="Hyperlink"/>
                <w:noProof/>
              </w:rPr>
              <w:t>Queensland</w:t>
            </w:r>
            <w:r w:rsidR="00A137ED">
              <w:rPr>
                <w:noProof/>
                <w:webHidden/>
              </w:rPr>
              <w:tab/>
            </w:r>
            <w:r w:rsidR="00A137ED">
              <w:rPr>
                <w:noProof/>
                <w:webHidden/>
              </w:rPr>
              <w:fldChar w:fldCharType="begin"/>
            </w:r>
            <w:r w:rsidR="00A137ED">
              <w:rPr>
                <w:noProof/>
                <w:webHidden/>
              </w:rPr>
              <w:instrText xml:space="preserve"> PAGEREF _Toc425850288 \h </w:instrText>
            </w:r>
            <w:r w:rsidR="00A137ED">
              <w:rPr>
                <w:noProof/>
                <w:webHidden/>
              </w:rPr>
            </w:r>
            <w:r w:rsidR="00A137ED">
              <w:rPr>
                <w:noProof/>
                <w:webHidden/>
              </w:rPr>
              <w:fldChar w:fldCharType="separate"/>
            </w:r>
            <w:r>
              <w:rPr>
                <w:noProof/>
                <w:webHidden/>
              </w:rPr>
              <w:t>22</w:t>
            </w:r>
            <w:r w:rsidR="00A137ED">
              <w:rPr>
                <w:noProof/>
                <w:webHidden/>
              </w:rPr>
              <w:fldChar w:fldCharType="end"/>
            </w:r>
          </w:hyperlink>
        </w:p>
        <w:p w14:paraId="79C944ED"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289" w:history="1">
            <w:r w:rsidR="00A137ED" w:rsidRPr="00466D85">
              <w:rPr>
                <w:rStyle w:val="Hyperlink"/>
                <w:noProof/>
              </w:rPr>
              <w:t>South Australia</w:t>
            </w:r>
            <w:r w:rsidR="00A137ED">
              <w:rPr>
                <w:noProof/>
                <w:webHidden/>
              </w:rPr>
              <w:tab/>
            </w:r>
            <w:r w:rsidR="00A137ED">
              <w:rPr>
                <w:noProof/>
                <w:webHidden/>
              </w:rPr>
              <w:fldChar w:fldCharType="begin"/>
            </w:r>
            <w:r w:rsidR="00A137ED">
              <w:rPr>
                <w:noProof/>
                <w:webHidden/>
              </w:rPr>
              <w:instrText xml:space="preserve"> PAGEREF _Toc425850289 \h </w:instrText>
            </w:r>
            <w:r w:rsidR="00A137ED">
              <w:rPr>
                <w:noProof/>
                <w:webHidden/>
              </w:rPr>
            </w:r>
            <w:r w:rsidR="00A137ED">
              <w:rPr>
                <w:noProof/>
                <w:webHidden/>
              </w:rPr>
              <w:fldChar w:fldCharType="separate"/>
            </w:r>
            <w:r>
              <w:rPr>
                <w:noProof/>
                <w:webHidden/>
              </w:rPr>
              <w:t>23</w:t>
            </w:r>
            <w:r w:rsidR="00A137ED">
              <w:rPr>
                <w:noProof/>
                <w:webHidden/>
              </w:rPr>
              <w:fldChar w:fldCharType="end"/>
            </w:r>
          </w:hyperlink>
        </w:p>
        <w:p w14:paraId="396634A1"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290" w:history="1">
            <w:r w:rsidR="00A137ED" w:rsidRPr="00466D85">
              <w:rPr>
                <w:rStyle w:val="Hyperlink"/>
                <w:noProof/>
              </w:rPr>
              <w:t>Tasmania</w:t>
            </w:r>
            <w:r w:rsidR="00A137ED">
              <w:rPr>
                <w:noProof/>
                <w:webHidden/>
              </w:rPr>
              <w:tab/>
            </w:r>
            <w:r w:rsidR="00A137ED">
              <w:rPr>
                <w:noProof/>
                <w:webHidden/>
              </w:rPr>
              <w:fldChar w:fldCharType="begin"/>
            </w:r>
            <w:r w:rsidR="00A137ED">
              <w:rPr>
                <w:noProof/>
                <w:webHidden/>
              </w:rPr>
              <w:instrText xml:space="preserve"> PAGEREF _Toc425850290 \h </w:instrText>
            </w:r>
            <w:r w:rsidR="00A137ED">
              <w:rPr>
                <w:noProof/>
                <w:webHidden/>
              </w:rPr>
            </w:r>
            <w:r w:rsidR="00A137ED">
              <w:rPr>
                <w:noProof/>
                <w:webHidden/>
              </w:rPr>
              <w:fldChar w:fldCharType="separate"/>
            </w:r>
            <w:r>
              <w:rPr>
                <w:noProof/>
                <w:webHidden/>
              </w:rPr>
              <w:t>23</w:t>
            </w:r>
            <w:r w:rsidR="00A137ED">
              <w:rPr>
                <w:noProof/>
                <w:webHidden/>
              </w:rPr>
              <w:fldChar w:fldCharType="end"/>
            </w:r>
          </w:hyperlink>
        </w:p>
        <w:p w14:paraId="20FDD9FC"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291" w:history="1">
            <w:r w:rsidR="00A137ED" w:rsidRPr="00466D85">
              <w:rPr>
                <w:rStyle w:val="Hyperlink"/>
                <w:noProof/>
              </w:rPr>
              <w:t>Western Australia</w:t>
            </w:r>
            <w:r w:rsidR="00A137ED">
              <w:rPr>
                <w:noProof/>
                <w:webHidden/>
              </w:rPr>
              <w:tab/>
            </w:r>
            <w:r w:rsidR="00A137ED">
              <w:rPr>
                <w:noProof/>
                <w:webHidden/>
              </w:rPr>
              <w:fldChar w:fldCharType="begin"/>
            </w:r>
            <w:r w:rsidR="00A137ED">
              <w:rPr>
                <w:noProof/>
                <w:webHidden/>
              </w:rPr>
              <w:instrText xml:space="preserve"> PAGEREF _Toc425850291 \h </w:instrText>
            </w:r>
            <w:r w:rsidR="00A137ED">
              <w:rPr>
                <w:noProof/>
                <w:webHidden/>
              </w:rPr>
            </w:r>
            <w:r w:rsidR="00A137ED">
              <w:rPr>
                <w:noProof/>
                <w:webHidden/>
              </w:rPr>
              <w:fldChar w:fldCharType="separate"/>
            </w:r>
            <w:r>
              <w:rPr>
                <w:noProof/>
                <w:webHidden/>
              </w:rPr>
              <w:t>23</w:t>
            </w:r>
            <w:r w:rsidR="00A137ED">
              <w:rPr>
                <w:noProof/>
                <w:webHidden/>
              </w:rPr>
              <w:fldChar w:fldCharType="end"/>
            </w:r>
          </w:hyperlink>
        </w:p>
        <w:p w14:paraId="45A055B0" w14:textId="77777777" w:rsidR="00A137ED" w:rsidRDefault="009A25DE" w:rsidP="00A137ED">
          <w:pPr>
            <w:pStyle w:val="TOC3"/>
            <w:tabs>
              <w:tab w:val="right" w:leader="dot" w:pos="9628"/>
            </w:tabs>
            <w:jc w:val="left"/>
            <w:rPr>
              <w:rFonts w:asciiTheme="minorHAnsi" w:hAnsiTheme="minorHAnsi"/>
              <w:noProof/>
              <w:sz w:val="22"/>
              <w:szCs w:val="22"/>
              <w:lang w:val="en-AU" w:eastAsia="en-AU"/>
            </w:rPr>
          </w:pPr>
          <w:hyperlink w:anchor="_Toc425850292" w:history="1">
            <w:r w:rsidR="00A137ED" w:rsidRPr="00466D85">
              <w:rPr>
                <w:rStyle w:val="Hyperlink"/>
                <w:noProof/>
              </w:rPr>
              <w:t>Indigenous Housing</w:t>
            </w:r>
            <w:r w:rsidR="00A137ED">
              <w:rPr>
                <w:noProof/>
                <w:webHidden/>
              </w:rPr>
              <w:tab/>
            </w:r>
            <w:r w:rsidR="00A137ED">
              <w:rPr>
                <w:noProof/>
                <w:webHidden/>
              </w:rPr>
              <w:fldChar w:fldCharType="begin"/>
            </w:r>
            <w:r w:rsidR="00A137ED">
              <w:rPr>
                <w:noProof/>
                <w:webHidden/>
              </w:rPr>
              <w:instrText xml:space="preserve"> PAGEREF _Toc425850292 \h </w:instrText>
            </w:r>
            <w:r w:rsidR="00A137ED">
              <w:rPr>
                <w:noProof/>
                <w:webHidden/>
              </w:rPr>
            </w:r>
            <w:r w:rsidR="00A137ED">
              <w:rPr>
                <w:noProof/>
                <w:webHidden/>
              </w:rPr>
              <w:fldChar w:fldCharType="separate"/>
            </w:r>
            <w:r>
              <w:rPr>
                <w:noProof/>
                <w:webHidden/>
              </w:rPr>
              <w:t>23</w:t>
            </w:r>
            <w:r w:rsidR="00A137ED">
              <w:rPr>
                <w:noProof/>
                <w:webHidden/>
              </w:rPr>
              <w:fldChar w:fldCharType="end"/>
            </w:r>
          </w:hyperlink>
        </w:p>
        <w:p w14:paraId="3304232B"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293" w:history="1">
            <w:r w:rsidR="00A137ED" w:rsidRPr="00466D85">
              <w:rPr>
                <w:rStyle w:val="Hyperlink"/>
                <w:noProof/>
              </w:rPr>
              <w:t>New South Wales</w:t>
            </w:r>
            <w:r w:rsidR="00A137ED">
              <w:rPr>
                <w:noProof/>
                <w:webHidden/>
              </w:rPr>
              <w:tab/>
            </w:r>
            <w:r w:rsidR="00A137ED">
              <w:rPr>
                <w:noProof/>
                <w:webHidden/>
              </w:rPr>
              <w:fldChar w:fldCharType="begin"/>
            </w:r>
            <w:r w:rsidR="00A137ED">
              <w:rPr>
                <w:noProof/>
                <w:webHidden/>
              </w:rPr>
              <w:instrText xml:space="preserve"> PAGEREF _Toc425850293 \h </w:instrText>
            </w:r>
            <w:r w:rsidR="00A137ED">
              <w:rPr>
                <w:noProof/>
                <w:webHidden/>
              </w:rPr>
            </w:r>
            <w:r w:rsidR="00A137ED">
              <w:rPr>
                <w:noProof/>
                <w:webHidden/>
              </w:rPr>
              <w:fldChar w:fldCharType="separate"/>
            </w:r>
            <w:r>
              <w:rPr>
                <w:noProof/>
                <w:webHidden/>
              </w:rPr>
              <w:t>23</w:t>
            </w:r>
            <w:r w:rsidR="00A137ED">
              <w:rPr>
                <w:noProof/>
                <w:webHidden/>
              </w:rPr>
              <w:fldChar w:fldCharType="end"/>
            </w:r>
          </w:hyperlink>
        </w:p>
        <w:p w14:paraId="40C6077B"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294" w:history="1">
            <w:r w:rsidR="00A137ED" w:rsidRPr="00466D85">
              <w:rPr>
                <w:rStyle w:val="Hyperlink"/>
                <w:noProof/>
              </w:rPr>
              <w:t>Northern Territory</w:t>
            </w:r>
            <w:r w:rsidR="00A137ED">
              <w:rPr>
                <w:noProof/>
                <w:webHidden/>
              </w:rPr>
              <w:tab/>
            </w:r>
            <w:r w:rsidR="00A137ED">
              <w:rPr>
                <w:noProof/>
                <w:webHidden/>
              </w:rPr>
              <w:fldChar w:fldCharType="begin"/>
            </w:r>
            <w:r w:rsidR="00A137ED">
              <w:rPr>
                <w:noProof/>
                <w:webHidden/>
              </w:rPr>
              <w:instrText xml:space="preserve"> PAGEREF _Toc425850294 \h </w:instrText>
            </w:r>
            <w:r w:rsidR="00A137ED">
              <w:rPr>
                <w:noProof/>
                <w:webHidden/>
              </w:rPr>
            </w:r>
            <w:r w:rsidR="00A137ED">
              <w:rPr>
                <w:noProof/>
                <w:webHidden/>
              </w:rPr>
              <w:fldChar w:fldCharType="separate"/>
            </w:r>
            <w:r>
              <w:rPr>
                <w:noProof/>
                <w:webHidden/>
              </w:rPr>
              <w:t>24</w:t>
            </w:r>
            <w:r w:rsidR="00A137ED">
              <w:rPr>
                <w:noProof/>
                <w:webHidden/>
              </w:rPr>
              <w:fldChar w:fldCharType="end"/>
            </w:r>
          </w:hyperlink>
        </w:p>
        <w:p w14:paraId="0819D1E1"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295" w:history="1">
            <w:r w:rsidR="00A137ED" w:rsidRPr="00466D85">
              <w:rPr>
                <w:rStyle w:val="Hyperlink"/>
                <w:noProof/>
              </w:rPr>
              <w:t>South Australia</w:t>
            </w:r>
            <w:r w:rsidR="00A137ED">
              <w:rPr>
                <w:noProof/>
                <w:webHidden/>
              </w:rPr>
              <w:tab/>
            </w:r>
            <w:r w:rsidR="00A137ED">
              <w:rPr>
                <w:noProof/>
                <w:webHidden/>
              </w:rPr>
              <w:fldChar w:fldCharType="begin"/>
            </w:r>
            <w:r w:rsidR="00A137ED">
              <w:rPr>
                <w:noProof/>
                <w:webHidden/>
              </w:rPr>
              <w:instrText xml:space="preserve"> PAGEREF _Toc425850295 \h </w:instrText>
            </w:r>
            <w:r w:rsidR="00A137ED">
              <w:rPr>
                <w:noProof/>
                <w:webHidden/>
              </w:rPr>
            </w:r>
            <w:r w:rsidR="00A137ED">
              <w:rPr>
                <w:noProof/>
                <w:webHidden/>
              </w:rPr>
              <w:fldChar w:fldCharType="separate"/>
            </w:r>
            <w:r>
              <w:rPr>
                <w:noProof/>
                <w:webHidden/>
              </w:rPr>
              <w:t>24</w:t>
            </w:r>
            <w:r w:rsidR="00A137ED">
              <w:rPr>
                <w:noProof/>
                <w:webHidden/>
              </w:rPr>
              <w:fldChar w:fldCharType="end"/>
            </w:r>
          </w:hyperlink>
        </w:p>
        <w:p w14:paraId="61955032"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296" w:history="1">
            <w:r w:rsidR="00A137ED" w:rsidRPr="00466D85">
              <w:rPr>
                <w:rStyle w:val="Hyperlink"/>
                <w:noProof/>
              </w:rPr>
              <w:t>Tasmania</w:t>
            </w:r>
            <w:r w:rsidR="00A137ED">
              <w:rPr>
                <w:noProof/>
                <w:webHidden/>
              </w:rPr>
              <w:tab/>
            </w:r>
            <w:r w:rsidR="00A137ED">
              <w:rPr>
                <w:noProof/>
                <w:webHidden/>
              </w:rPr>
              <w:fldChar w:fldCharType="begin"/>
            </w:r>
            <w:r w:rsidR="00A137ED">
              <w:rPr>
                <w:noProof/>
                <w:webHidden/>
              </w:rPr>
              <w:instrText xml:space="preserve"> PAGEREF _Toc425850296 \h </w:instrText>
            </w:r>
            <w:r w:rsidR="00A137ED">
              <w:rPr>
                <w:noProof/>
                <w:webHidden/>
              </w:rPr>
            </w:r>
            <w:r w:rsidR="00A137ED">
              <w:rPr>
                <w:noProof/>
                <w:webHidden/>
              </w:rPr>
              <w:fldChar w:fldCharType="separate"/>
            </w:r>
            <w:r>
              <w:rPr>
                <w:noProof/>
                <w:webHidden/>
              </w:rPr>
              <w:t>24</w:t>
            </w:r>
            <w:r w:rsidR="00A137ED">
              <w:rPr>
                <w:noProof/>
                <w:webHidden/>
              </w:rPr>
              <w:fldChar w:fldCharType="end"/>
            </w:r>
          </w:hyperlink>
        </w:p>
        <w:p w14:paraId="3832757E"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297" w:history="1">
            <w:r w:rsidR="00A137ED" w:rsidRPr="00466D85">
              <w:rPr>
                <w:rStyle w:val="Hyperlink"/>
                <w:noProof/>
              </w:rPr>
              <w:t>Victoria</w:t>
            </w:r>
            <w:r w:rsidR="00A137ED">
              <w:rPr>
                <w:noProof/>
                <w:webHidden/>
              </w:rPr>
              <w:tab/>
            </w:r>
            <w:r w:rsidR="00A137ED">
              <w:rPr>
                <w:noProof/>
                <w:webHidden/>
              </w:rPr>
              <w:fldChar w:fldCharType="begin"/>
            </w:r>
            <w:r w:rsidR="00A137ED">
              <w:rPr>
                <w:noProof/>
                <w:webHidden/>
              </w:rPr>
              <w:instrText xml:space="preserve"> PAGEREF _Toc425850297 \h </w:instrText>
            </w:r>
            <w:r w:rsidR="00A137ED">
              <w:rPr>
                <w:noProof/>
                <w:webHidden/>
              </w:rPr>
            </w:r>
            <w:r w:rsidR="00A137ED">
              <w:rPr>
                <w:noProof/>
                <w:webHidden/>
              </w:rPr>
              <w:fldChar w:fldCharType="separate"/>
            </w:r>
            <w:r>
              <w:rPr>
                <w:noProof/>
                <w:webHidden/>
              </w:rPr>
              <w:t>24</w:t>
            </w:r>
            <w:r w:rsidR="00A137ED">
              <w:rPr>
                <w:noProof/>
                <w:webHidden/>
              </w:rPr>
              <w:fldChar w:fldCharType="end"/>
            </w:r>
          </w:hyperlink>
        </w:p>
        <w:p w14:paraId="02D228C3"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298" w:history="1">
            <w:r w:rsidR="00A137ED" w:rsidRPr="00466D85">
              <w:rPr>
                <w:rStyle w:val="Hyperlink"/>
                <w:noProof/>
              </w:rPr>
              <w:t>Western Australia</w:t>
            </w:r>
            <w:r w:rsidR="00A137ED">
              <w:rPr>
                <w:noProof/>
                <w:webHidden/>
              </w:rPr>
              <w:tab/>
            </w:r>
            <w:r w:rsidR="00A137ED">
              <w:rPr>
                <w:noProof/>
                <w:webHidden/>
              </w:rPr>
              <w:fldChar w:fldCharType="begin"/>
            </w:r>
            <w:r w:rsidR="00A137ED">
              <w:rPr>
                <w:noProof/>
                <w:webHidden/>
              </w:rPr>
              <w:instrText xml:space="preserve"> PAGEREF _Toc425850298 \h </w:instrText>
            </w:r>
            <w:r w:rsidR="00A137ED">
              <w:rPr>
                <w:noProof/>
                <w:webHidden/>
              </w:rPr>
            </w:r>
            <w:r w:rsidR="00A137ED">
              <w:rPr>
                <w:noProof/>
                <w:webHidden/>
              </w:rPr>
              <w:fldChar w:fldCharType="separate"/>
            </w:r>
            <w:r>
              <w:rPr>
                <w:noProof/>
                <w:webHidden/>
              </w:rPr>
              <w:t>25</w:t>
            </w:r>
            <w:r w:rsidR="00A137ED">
              <w:rPr>
                <w:noProof/>
                <w:webHidden/>
              </w:rPr>
              <w:fldChar w:fldCharType="end"/>
            </w:r>
          </w:hyperlink>
        </w:p>
        <w:p w14:paraId="537266FA" w14:textId="77777777" w:rsidR="00A137ED" w:rsidRDefault="009A25DE" w:rsidP="00A137ED">
          <w:pPr>
            <w:pStyle w:val="TOC2"/>
            <w:rPr>
              <w:rFonts w:asciiTheme="minorHAnsi" w:hAnsiTheme="minorHAnsi"/>
              <w:noProof/>
              <w:sz w:val="22"/>
              <w:szCs w:val="22"/>
              <w:lang w:val="en-AU" w:eastAsia="en-AU"/>
            </w:rPr>
          </w:pPr>
          <w:hyperlink w:anchor="_Toc425850299" w:history="1">
            <w:r w:rsidR="00A137ED" w:rsidRPr="00466D85">
              <w:rPr>
                <w:rStyle w:val="Hyperlink"/>
                <w:noProof/>
                <w:lang w:eastAsia="en-US"/>
              </w:rPr>
              <w:t>Concluding Observation 29 - Health Services in Prisons</w:t>
            </w:r>
            <w:r w:rsidR="00A137ED">
              <w:rPr>
                <w:noProof/>
                <w:webHidden/>
              </w:rPr>
              <w:tab/>
            </w:r>
            <w:r w:rsidR="00A137ED">
              <w:rPr>
                <w:noProof/>
                <w:webHidden/>
              </w:rPr>
              <w:fldChar w:fldCharType="begin"/>
            </w:r>
            <w:r w:rsidR="00A137ED">
              <w:rPr>
                <w:noProof/>
                <w:webHidden/>
              </w:rPr>
              <w:instrText xml:space="preserve"> PAGEREF _Toc425850299 \h </w:instrText>
            </w:r>
            <w:r w:rsidR="00A137ED">
              <w:rPr>
                <w:noProof/>
                <w:webHidden/>
              </w:rPr>
            </w:r>
            <w:r w:rsidR="00A137ED">
              <w:rPr>
                <w:noProof/>
                <w:webHidden/>
              </w:rPr>
              <w:fldChar w:fldCharType="separate"/>
            </w:r>
            <w:r>
              <w:rPr>
                <w:noProof/>
                <w:webHidden/>
              </w:rPr>
              <w:t>25</w:t>
            </w:r>
            <w:r w:rsidR="00A137ED">
              <w:rPr>
                <w:noProof/>
                <w:webHidden/>
              </w:rPr>
              <w:fldChar w:fldCharType="end"/>
            </w:r>
          </w:hyperlink>
        </w:p>
        <w:p w14:paraId="66E5701E" w14:textId="77777777" w:rsidR="00A137ED" w:rsidRDefault="009A25DE" w:rsidP="00A137ED">
          <w:pPr>
            <w:pStyle w:val="TOC3"/>
            <w:tabs>
              <w:tab w:val="right" w:leader="dot" w:pos="9628"/>
            </w:tabs>
            <w:jc w:val="left"/>
            <w:rPr>
              <w:rFonts w:asciiTheme="minorHAnsi" w:hAnsiTheme="minorHAnsi"/>
              <w:noProof/>
              <w:sz w:val="22"/>
              <w:szCs w:val="22"/>
              <w:lang w:val="en-AU" w:eastAsia="en-AU"/>
            </w:rPr>
          </w:pPr>
          <w:hyperlink w:anchor="_Toc425850300" w:history="1">
            <w:r w:rsidR="00A137ED" w:rsidRPr="00466D85">
              <w:rPr>
                <w:rStyle w:val="Hyperlink"/>
                <w:noProof/>
              </w:rPr>
              <w:t>State and Territory Prison Operations</w:t>
            </w:r>
            <w:r w:rsidR="00A137ED">
              <w:rPr>
                <w:noProof/>
                <w:webHidden/>
              </w:rPr>
              <w:tab/>
            </w:r>
            <w:r w:rsidR="00A137ED">
              <w:rPr>
                <w:noProof/>
                <w:webHidden/>
              </w:rPr>
              <w:fldChar w:fldCharType="begin"/>
            </w:r>
            <w:r w:rsidR="00A137ED">
              <w:rPr>
                <w:noProof/>
                <w:webHidden/>
              </w:rPr>
              <w:instrText xml:space="preserve"> PAGEREF _Toc425850300 \h </w:instrText>
            </w:r>
            <w:r w:rsidR="00A137ED">
              <w:rPr>
                <w:noProof/>
                <w:webHidden/>
              </w:rPr>
            </w:r>
            <w:r w:rsidR="00A137ED">
              <w:rPr>
                <w:noProof/>
                <w:webHidden/>
              </w:rPr>
              <w:fldChar w:fldCharType="separate"/>
            </w:r>
            <w:r>
              <w:rPr>
                <w:noProof/>
                <w:webHidden/>
              </w:rPr>
              <w:t>25</w:t>
            </w:r>
            <w:r w:rsidR="00A137ED">
              <w:rPr>
                <w:noProof/>
                <w:webHidden/>
              </w:rPr>
              <w:fldChar w:fldCharType="end"/>
            </w:r>
          </w:hyperlink>
        </w:p>
        <w:p w14:paraId="0B0B23F1"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01" w:history="1">
            <w:r w:rsidR="00A137ED" w:rsidRPr="00466D85">
              <w:rPr>
                <w:rStyle w:val="Hyperlink"/>
                <w:noProof/>
              </w:rPr>
              <w:t>Australian Capital Territory</w:t>
            </w:r>
            <w:r w:rsidR="00A137ED">
              <w:rPr>
                <w:noProof/>
                <w:webHidden/>
              </w:rPr>
              <w:tab/>
            </w:r>
            <w:r w:rsidR="00A137ED">
              <w:rPr>
                <w:noProof/>
                <w:webHidden/>
              </w:rPr>
              <w:fldChar w:fldCharType="begin"/>
            </w:r>
            <w:r w:rsidR="00A137ED">
              <w:rPr>
                <w:noProof/>
                <w:webHidden/>
              </w:rPr>
              <w:instrText xml:space="preserve"> PAGEREF _Toc425850301 \h </w:instrText>
            </w:r>
            <w:r w:rsidR="00A137ED">
              <w:rPr>
                <w:noProof/>
                <w:webHidden/>
              </w:rPr>
            </w:r>
            <w:r w:rsidR="00A137ED">
              <w:rPr>
                <w:noProof/>
                <w:webHidden/>
              </w:rPr>
              <w:fldChar w:fldCharType="separate"/>
            </w:r>
            <w:r>
              <w:rPr>
                <w:noProof/>
                <w:webHidden/>
              </w:rPr>
              <w:t>25</w:t>
            </w:r>
            <w:r w:rsidR="00A137ED">
              <w:rPr>
                <w:noProof/>
                <w:webHidden/>
              </w:rPr>
              <w:fldChar w:fldCharType="end"/>
            </w:r>
          </w:hyperlink>
        </w:p>
        <w:p w14:paraId="456E7D63"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02" w:history="1">
            <w:r w:rsidR="00A137ED" w:rsidRPr="00466D85">
              <w:rPr>
                <w:rStyle w:val="Hyperlink"/>
                <w:noProof/>
              </w:rPr>
              <w:t>New South Wales</w:t>
            </w:r>
            <w:r w:rsidR="00A137ED">
              <w:rPr>
                <w:noProof/>
                <w:webHidden/>
              </w:rPr>
              <w:tab/>
            </w:r>
            <w:r w:rsidR="00A137ED">
              <w:rPr>
                <w:noProof/>
                <w:webHidden/>
              </w:rPr>
              <w:fldChar w:fldCharType="begin"/>
            </w:r>
            <w:r w:rsidR="00A137ED">
              <w:rPr>
                <w:noProof/>
                <w:webHidden/>
              </w:rPr>
              <w:instrText xml:space="preserve"> PAGEREF _Toc425850302 \h </w:instrText>
            </w:r>
            <w:r w:rsidR="00A137ED">
              <w:rPr>
                <w:noProof/>
                <w:webHidden/>
              </w:rPr>
            </w:r>
            <w:r w:rsidR="00A137ED">
              <w:rPr>
                <w:noProof/>
                <w:webHidden/>
              </w:rPr>
              <w:fldChar w:fldCharType="separate"/>
            </w:r>
            <w:r>
              <w:rPr>
                <w:noProof/>
                <w:webHidden/>
              </w:rPr>
              <w:t>25</w:t>
            </w:r>
            <w:r w:rsidR="00A137ED">
              <w:rPr>
                <w:noProof/>
                <w:webHidden/>
              </w:rPr>
              <w:fldChar w:fldCharType="end"/>
            </w:r>
          </w:hyperlink>
        </w:p>
        <w:p w14:paraId="3ACD1894"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03" w:history="1">
            <w:r w:rsidR="00A137ED" w:rsidRPr="00466D85">
              <w:rPr>
                <w:rStyle w:val="Hyperlink"/>
                <w:noProof/>
              </w:rPr>
              <w:t>Northern Territory</w:t>
            </w:r>
            <w:r w:rsidR="00A137ED">
              <w:rPr>
                <w:noProof/>
                <w:webHidden/>
              </w:rPr>
              <w:tab/>
            </w:r>
            <w:r w:rsidR="00A137ED">
              <w:rPr>
                <w:noProof/>
                <w:webHidden/>
              </w:rPr>
              <w:fldChar w:fldCharType="begin"/>
            </w:r>
            <w:r w:rsidR="00A137ED">
              <w:rPr>
                <w:noProof/>
                <w:webHidden/>
              </w:rPr>
              <w:instrText xml:space="preserve"> PAGEREF _Toc425850303 \h </w:instrText>
            </w:r>
            <w:r w:rsidR="00A137ED">
              <w:rPr>
                <w:noProof/>
                <w:webHidden/>
              </w:rPr>
            </w:r>
            <w:r w:rsidR="00A137ED">
              <w:rPr>
                <w:noProof/>
                <w:webHidden/>
              </w:rPr>
              <w:fldChar w:fldCharType="separate"/>
            </w:r>
            <w:r>
              <w:rPr>
                <w:noProof/>
                <w:webHidden/>
              </w:rPr>
              <w:t>26</w:t>
            </w:r>
            <w:r w:rsidR="00A137ED">
              <w:rPr>
                <w:noProof/>
                <w:webHidden/>
              </w:rPr>
              <w:fldChar w:fldCharType="end"/>
            </w:r>
          </w:hyperlink>
        </w:p>
        <w:p w14:paraId="6934C8E5"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04" w:history="1">
            <w:r w:rsidR="00A137ED" w:rsidRPr="00466D85">
              <w:rPr>
                <w:rStyle w:val="Hyperlink"/>
                <w:noProof/>
              </w:rPr>
              <w:t>Queensland</w:t>
            </w:r>
            <w:r w:rsidR="00A137ED">
              <w:rPr>
                <w:noProof/>
                <w:webHidden/>
              </w:rPr>
              <w:tab/>
            </w:r>
            <w:r w:rsidR="00A137ED">
              <w:rPr>
                <w:noProof/>
                <w:webHidden/>
              </w:rPr>
              <w:fldChar w:fldCharType="begin"/>
            </w:r>
            <w:r w:rsidR="00A137ED">
              <w:rPr>
                <w:noProof/>
                <w:webHidden/>
              </w:rPr>
              <w:instrText xml:space="preserve"> PAGEREF _Toc425850304 \h </w:instrText>
            </w:r>
            <w:r w:rsidR="00A137ED">
              <w:rPr>
                <w:noProof/>
                <w:webHidden/>
              </w:rPr>
            </w:r>
            <w:r w:rsidR="00A137ED">
              <w:rPr>
                <w:noProof/>
                <w:webHidden/>
              </w:rPr>
              <w:fldChar w:fldCharType="separate"/>
            </w:r>
            <w:r>
              <w:rPr>
                <w:noProof/>
                <w:webHidden/>
              </w:rPr>
              <w:t>26</w:t>
            </w:r>
            <w:r w:rsidR="00A137ED">
              <w:rPr>
                <w:noProof/>
                <w:webHidden/>
              </w:rPr>
              <w:fldChar w:fldCharType="end"/>
            </w:r>
          </w:hyperlink>
        </w:p>
        <w:p w14:paraId="290BDEF2"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05" w:history="1">
            <w:r w:rsidR="00A137ED" w:rsidRPr="00466D85">
              <w:rPr>
                <w:rStyle w:val="Hyperlink"/>
                <w:noProof/>
              </w:rPr>
              <w:t>South Australia</w:t>
            </w:r>
            <w:r w:rsidR="00A137ED">
              <w:rPr>
                <w:noProof/>
                <w:webHidden/>
              </w:rPr>
              <w:tab/>
            </w:r>
            <w:r w:rsidR="00A137ED">
              <w:rPr>
                <w:noProof/>
                <w:webHidden/>
              </w:rPr>
              <w:fldChar w:fldCharType="begin"/>
            </w:r>
            <w:r w:rsidR="00A137ED">
              <w:rPr>
                <w:noProof/>
                <w:webHidden/>
              </w:rPr>
              <w:instrText xml:space="preserve"> PAGEREF _Toc425850305 \h </w:instrText>
            </w:r>
            <w:r w:rsidR="00A137ED">
              <w:rPr>
                <w:noProof/>
                <w:webHidden/>
              </w:rPr>
            </w:r>
            <w:r w:rsidR="00A137ED">
              <w:rPr>
                <w:noProof/>
                <w:webHidden/>
              </w:rPr>
              <w:fldChar w:fldCharType="separate"/>
            </w:r>
            <w:r>
              <w:rPr>
                <w:noProof/>
                <w:webHidden/>
              </w:rPr>
              <w:t>27</w:t>
            </w:r>
            <w:r w:rsidR="00A137ED">
              <w:rPr>
                <w:noProof/>
                <w:webHidden/>
              </w:rPr>
              <w:fldChar w:fldCharType="end"/>
            </w:r>
          </w:hyperlink>
        </w:p>
        <w:p w14:paraId="4774B704"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06" w:history="1">
            <w:r w:rsidR="00A137ED" w:rsidRPr="00466D85">
              <w:rPr>
                <w:rStyle w:val="Hyperlink"/>
                <w:noProof/>
              </w:rPr>
              <w:t>Tasmania</w:t>
            </w:r>
            <w:r w:rsidR="00A137ED">
              <w:rPr>
                <w:noProof/>
                <w:webHidden/>
              </w:rPr>
              <w:tab/>
            </w:r>
            <w:r w:rsidR="00A137ED">
              <w:rPr>
                <w:noProof/>
                <w:webHidden/>
              </w:rPr>
              <w:fldChar w:fldCharType="begin"/>
            </w:r>
            <w:r w:rsidR="00A137ED">
              <w:rPr>
                <w:noProof/>
                <w:webHidden/>
              </w:rPr>
              <w:instrText xml:space="preserve"> PAGEREF _Toc425850306 \h </w:instrText>
            </w:r>
            <w:r w:rsidR="00A137ED">
              <w:rPr>
                <w:noProof/>
                <w:webHidden/>
              </w:rPr>
            </w:r>
            <w:r w:rsidR="00A137ED">
              <w:rPr>
                <w:noProof/>
                <w:webHidden/>
              </w:rPr>
              <w:fldChar w:fldCharType="separate"/>
            </w:r>
            <w:r>
              <w:rPr>
                <w:noProof/>
                <w:webHidden/>
              </w:rPr>
              <w:t>27</w:t>
            </w:r>
            <w:r w:rsidR="00A137ED">
              <w:rPr>
                <w:noProof/>
                <w:webHidden/>
              </w:rPr>
              <w:fldChar w:fldCharType="end"/>
            </w:r>
          </w:hyperlink>
        </w:p>
        <w:p w14:paraId="639DEAC5"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07" w:history="1">
            <w:r w:rsidR="00A137ED" w:rsidRPr="00466D85">
              <w:rPr>
                <w:rStyle w:val="Hyperlink"/>
                <w:noProof/>
              </w:rPr>
              <w:t>Victoria</w:t>
            </w:r>
            <w:r w:rsidR="00A137ED">
              <w:rPr>
                <w:noProof/>
                <w:webHidden/>
              </w:rPr>
              <w:tab/>
            </w:r>
            <w:r w:rsidR="00A137ED">
              <w:rPr>
                <w:noProof/>
                <w:webHidden/>
              </w:rPr>
              <w:fldChar w:fldCharType="begin"/>
            </w:r>
            <w:r w:rsidR="00A137ED">
              <w:rPr>
                <w:noProof/>
                <w:webHidden/>
              </w:rPr>
              <w:instrText xml:space="preserve"> PAGEREF _Toc425850307 \h </w:instrText>
            </w:r>
            <w:r w:rsidR="00A137ED">
              <w:rPr>
                <w:noProof/>
                <w:webHidden/>
              </w:rPr>
            </w:r>
            <w:r w:rsidR="00A137ED">
              <w:rPr>
                <w:noProof/>
                <w:webHidden/>
              </w:rPr>
              <w:fldChar w:fldCharType="separate"/>
            </w:r>
            <w:r>
              <w:rPr>
                <w:noProof/>
                <w:webHidden/>
              </w:rPr>
              <w:t>27</w:t>
            </w:r>
            <w:r w:rsidR="00A137ED">
              <w:rPr>
                <w:noProof/>
                <w:webHidden/>
              </w:rPr>
              <w:fldChar w:fldCharType="end"/>
            </w:r>
          </w:hyperlink>
        </w:p>
        <w:p w14:paraId="3C446AFF"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08" w:history="1">
            <w:r w:rsidR="00A137ED" w:rsidRPr="00466D85">
              <w:rPr>
                <w:rStyle w:val="Hyperlink"/>
                <w:noProof/>
              </w:rPr>
              <w:t>Western Australia</w:t>
            </w:r>
            <w:r w:rsidR="00A137ED">
              <w:rPr>
                <w:noProof/>
                <w:webHidden/>
              </w:rPr>
              <w:tab/>
            </w:r>
            <w:r w:rsidR="00A137ED">
              <w:rPr>
                <w:noProof/>
                <w:webHidden/>
              </w:rPr>
              <w:fldChar w:fldCharType="begin"/>
            </w:r>
            <w:r w:rsidR="00A137ED">
              <w:rPr>
                <w:noProof/>
                <w:webHidden/>
              </w:rPr>
              <w:instrText xml:space="preserve"> PAGEREF _Toc425850308 \h </w:instrText>
            </w:r>
            <w:r w:rsidR="00A137ED">
              <w:rPr>
                <w:noProof/>
                <w:webHidden/>
              </w:rPr>
            </w:r>
            <w:r w:rsidR="00A137ED">
              <w:rPr>
                <w:noProof/>
                <w:webHidden/>
              </w:rPr>
              <w:fldChar w:fldCharType="separate"/>
            </w:r>
            <w:r>
              <w:rPr>
                <w:noProof/>
                <w:webHidden/>
              </w:rPr>
              <w:t>28</w:t>
            </w:r>
            <w:r w:rsidR="00A137ED">
              <w:rPr>
                <w:noProof/>
                <w:webHidden/>
              </w:rPr>
              <w:fldChar w:fldCharType="end"/>
            </w:r>
          </w:hyperlink>
        </w:p>
        <w:p w14:paraId="27C993E7" w14:textId="77777777" w:rsidR="00A137ED" w:rsidRDefault="009A25DE" w:rsidP="00A137ED">
          <w:pPr>
            <w:pStyle w:val="TOC2"/>
            <w:rPr>
              <w:rFonts w:asciiTheme="minorHAnsi" w:hAnsiTheme="minorHAnsi"/>
              <w:noProof/>
              <w:sz w:val="22"/>
              <w:szCs w:val="22"/>
              <w:lang w:val="en-AU" w:eastAsia="en-AU"/>
            </w:rPr>
          </w:pPr>
          <w:hyperlink w:anchor="_Toc425850309" w:history="1">
            <w:r w:rsidR="00A137ED" w:rsidRPr="00466D85">
              <w:rPr>
                <w:rStyle w:val="Hyperlink"/>
                <w:noProof/>
                <w:lang w:eastAsia="en-US"/>
              </w:rPr>
              <w:t>Concluding Observation 30 – Mental Health Services</w:t>
            </w:r>
            <w:r w:rsidR="00A137ED">
              <w:rPr>
                <w:noProof/>
                <w:webHidden/>
              </w:rPr>
              <w:tab/>
            </w:r>
            <w:r w:rsidR="00A137ED">
              <w:rPr>
                <w:noProof/>
                <w:webHidden/>
              </w:rPr>
              <w:fldChar w:fldCharType="begin"/>
            </w:r>
            <w:r w:rsidR="00A137ED">
              <w:rPr>
                <w:noProof/>
                <w:webHidden/>
              </w:rPr>
              <w:instrText xml:space="preserve"> PAGEREF _Toc425850309 \h </w:instrText>
            </w:r>
            <w:r w:rsidR="00A137ED">
              <w:rPr>
                <w:noProof/>
                <w:webHidden/>
              </w:rPr>
            </w:r>
            <w:r w:rsidR="00A137ED">
              <w:rPr>
                <w:noProof/>
                <w:webHidden/>
              </w:rPr>
              <w:fldChar w:fldCharType="separate"/>
            </w:r>
            <w:r>
              <w:rPr>
                <w:noProof/>
                <w:webHidden/>
              </w:rPr>
              <w:t>29</w:t>
            </w:r>
            <w:r w:rsidR="00A137ED">
              <w:rPr>
                <w:noProof/>
                <w:webHidden/>
              </w:rPr>
              <w:fldChar w:fldCharType="end"/>
            </w:r>
          </w:hyperlink>
        </w:p>
        <w:p w14:paraId="7B3BC188"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10" w:history="1">
            <w:r w:rsidR="00A137ED" w:rsidRPr="00466D85">
              <w:rPr>
                <w:rStyle w:val="Hyperlink"/>
                <w:noProof/>
              </w:rPr>
              <w:t>Australian Capital Territory</w:t>
            </w:r>
            <w:r w:rsidR="00A137ED">
              <w:rPr>
                <w:noProof/>
                <w:webHidden/>
              </w:rPr>
              <w:tab/>
            </w:r>
            <w:r w:rsidR="00A137ED">
              <w:rPr>
                <w:noProof/>
                <w:webHidden/>
              </w:rPr>
              <w:fldChar w:fldCharType="begin"/>
            </w:r>
            <w:r w:rsidR="00A137ED">
              <w:rPr>
                <w:noProof/>
                <w:webHidden/>
              </w:rPr>
              <w:instrText xml:space="preserve"> PAGEREF _Toc425850310 \h </w:instrText>
            </w:r>
            <w:r w:rsidR="00A137ED">
              <w:rPr>
                <w:noProof/>
                <w:webHidden/>
              </w:rPr>
            </w:r>
            <w:r w:rsidR="00A137ED">
              <w:rPr>
                <w:noProof/>
                <w:webHidden/>
              </w:rPr>
              <w:fldChar w:fldCharType="separate"/>
            </w:r>
            <w:r>
              <w:rPr>
                <w:noProof/>
                <w:webHidden/>
              </w:rPr>
              <w:t>29</w:t>
            </w:r>
            <w:r w:rsidR="00A137ED">
              <w:rPr>
                <w:noProof/>
                <w:webHidden/>
              </w:rPr>
              <w:fldChar w:fldCharType="end"/>
            </w:r>
          </w:hyperlink>
        </w:p>
        <w:p w14:paraId="3E7C7C96"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11" w:history="1">
            <w:r w:rsidR="00A137ED" w:rsidRPr="00466D85">
              <w:rPr>
                <w:rStyle w:val="Hyperlink"/>
                <w:noProof/>
              </w:rPr>
              <w:t>New South Wales</w:t>
            </w:r>
            <w:r w:rsidR="00A137ED">
              <w:rPr>
                <w:noProof/>
                <w:webHidden/>
              </w:rPr>
              <w:tab/>
            </w:r>
            <w:r w:rsidR="00A137ED">
              <w:rPr>
                <w:noProof/>
                <w:webHidden/>
              </w:rPr>
              <w:fldChar w:fldCharType="begin"/>
            </w:r>
            <w:r w:rsidR="00A137ED">
              <w:rPr>
                <w:noProof/>
                <w:webHidden/>
              </w:rPr>
              <w:instrText xml:space="preserve"> PAGEREF _Toc425850311 \h </w:instrText>
            </w:r>
            <w:r w:rsidR="00A137ED">
              <w:rPr>
                <w:noProof/>
                <w:webHidden/>
              </w:rPr>
            </w:r>
            <w:r w:rsidR="00A137ED">
              <w:rPr>
                <w:noProof/>
                <w:webHidden/>
              </w:rPr>
              <w:fldChar w:fldCharType="separate"/>
            </w:r>
            <w:r>
              <w:rPr>
                <w:noProof/>
                <w:webHidden/>
              </w:rPr>
              <w:t>29</w:t>
            </w:r>
            <w:r w:rsidR="00A137ED">
              <w:rPr>
                <w:noProof/>
                <w:webHidden/>
              </w:rPr>
              <w:fldChar w:fldCharType="end"/>
            </w:r>
          </w:hyperlink>
        </w:p>
        <w:p w14:paraId="48C45BD6"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12" w:history="1">
            <w:r w:rsidR="00A137ED" w:rsidRPr="00466D85">
              <w:rPr>
                <w:rStyle w:val="Hyperlink"/>
                <w:noProof/>
              </w:rPr>
              <w:t>Northern Territory</w:t>
            </w:r>
            <w:r w:rsidR="00A137ED">
              <w:rPr>
                <w:noProof/>
                <w:webHidden/>
              </w:rPr>
              <w:tab/>
            </w:r>
            <w:r w:rsidR="00A137ED">
              <w:rPr>
                <w:noProof/>
                <w:webHidden/>
              </w:rPr>
              <w:fldChar w:fldCharType="begin"/>
            </w:r>
            <w:r w:rsidR="00A137ED">
              <w:rPr>
                <w:noProof/>
                <w:webHidden/>
              </w:rPr>
              <w:instrText xml:space="preserve"> PAGEREF _Toc425850312 \h </w:instrText>
            </w:r>
            <w:r w:rsidR="00A137ED">
              <w:rPr>
                <w:noProof/>
                <w:webHidden/>
              </w:rPr>
            </w:r>
            <w:r w:rsidR="00A137ED">
              <w:rPr>
                <w:noProof/>
                <w:webHidden/>
              </w:rPr>
              <w:fldChar w:fldCharType="separate"/>
            </w:r>
            <w:r>
              <w:rPr>
                <w:noProof/>
                <w:webHidden/>
              </w:rPr>
              <w:t>29</w:t>
            </w:r>
            <w:r w:rsidR="00A137ED">
              <w:rPr>
                <w:noProof/>
                <w:webHidden/>
              </w:rPr>
              <w:fldChar w:fldCharType="end"/>
            </w:r>
          </w:hyperlink>
        </w:p>
        <w:p w14:paraId="3003F650"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13" w:history="1">
            <w:r w:rsidR="00A137ED" w:rsidRPr="00466D85">
              <w:rPr>
                <w:rStyle w:val="Hyperlink"/>
                <w:noProof/>
              </w:rPr>
              <w:t>South Australia</w:t>
            </w:r>
            <w:r w:rsidR="00A137ED">
              <w:rPr>
                <w:noProof/>
                <w:webHidden/>
              </w:rPr>
              <w:tab/>
            </w:r>
            <w:r w:rsidR="00A137ED">
              <w:rPr>
                <w:noProof/>
                <w:webHidden/>
              </w:rPr>
              <w:fldChar w:fldCharType="begin"/>
            </w:r>
            <w:r w:rsidR="00A137ED">
              <w:rPr>
                <w:noProof/>
                <w:webHidden/>
              </w:rPr>
              <w:instrText xml:space="preserve"> PAGEREF _Toc425850313 \h </w:instrText>
            </w:r>
            <w:r w:rsidR="00A137ED">
              <w:rPr>
                <w:noProof/>
                <w:webHidden/>
              </w:rPr>
            </w:r>
            <w:r w:rsidR="00A137ED">
              <w:rPr>
                <w:noProof/>
                <w:webHidden/>
              </w:rPr>
              <w:fldChar w:fldCharType="separate"/>
            </w:r>
            <w:r>
              <w:rPr>
                <w:noProof/>
                <w:webHidden/>
              </w:rPr>
              <w:t>30</w:t>
            </w:r>
            <w:r w:rsidR="00A137ED">
              <w:rPr>
                <w:noProof/>
                <w:webHidden/>
              </w:rPr>
              <w:fldChar w:fldCharType="end"/>
            </w:r>
          </w:hyperlink>
        </w:p>
        <w:p w14:paraId="230D1F2D"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14" w:history="1">
            <w:r w:rsidR="00A137ED" w:rsidRPr="00466D85">
              <w:rPr>
                <w:rStyle w:val="Hyperlink"/>
                <w:noProof/>
              </w:rPr>
              <w:t>Tasmania</w:t>
            </w:r>
            <w:r w:rsidR="00A137ED">
              <w:rPr>
                <w:noProof/>
                <w:webHidden/>
              </w:rPr>
              <w:tab/>
            </w:r>
            <w:r w:rsidR="00A137ED">
              <w:rPr>
                <w:noProof/>
                <w:webHidden/>
              </w:rPr>
              <w:fldChar w:fldCharType="begin"/>
            </w:r>
            <w:r w:rsidR="00A137ED">
              <w:rPr>
                <w:noProof/>
                <w:webHidden/>
              </w:rPr>
              <w:instrText xml:space="preserve"> PAGEREF _Toc425850314 \h </w:instrText>
            </w:r>
            <w:r w:rsidR="00A137ED">
              <w:rPr>
                <w:noProof/>
                <w:webHidden/>
              </w:rPr>
            </w:r>
            <w:r w:rsidR="00A137ED">
              <w:rPr>
                <w:noProof/>
                <w:webHidden/>
              </w:rPr>
              <w:fldChar w:fldCharType="separate"/>
            </w:r>
            <w:r>
              <w:rPr>
                <w:noProof/>
                <w:webHidden/>
              </w:rPr>
              <w:t>30</w:t>
            </w:r>
            <w:r w:rsidR="00A137ED">
              <w:rPr>
                <w:noProof/>
                <w:webHidden/>
              </w:rPr>
              <w:fldChar w:fldCharType="end"/>
            </w:r>
          </w:hyperlink>
        </w:p>
        <w:p w14:paraId="4971B918"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15" w:history="1">
            <w:r w:rsidR="00A137ED" w:rsidRPr="00466D85">
              <w:rPr>
                <w:rStyle w:val="Hyperlink"/>
                <w:noProof/>
              </w:rPr>
              <w:t>Western Australia</w:t>
            </w:r>
            <w:r w:rsidR="00A137ED">
              <w:rPr>
                <w:noProof/>
                <w:webHidden/>
              </w:rPr>
              <w:tab/>
            </w:r>
            <w:r w:rsidR="00A137ED">
              <w:rPr>
                <w:noProof/>
                <w:webHidden/>
              </w:rPr>
              <w:fldChar w:fldCharType="begin"/>
            </w:r>
            <w:r w:rsidR="00A137ED">
              <w:rPr>
                <w:noProof/>
                <w:webHidden/>
              </w:rPr>
              <w:instrText xml:space="preserve"> PAGEREF _Toc425850315 \h </w:instrText>
            </w:r>
            <w:r w:rsidR="00A137ED">
              <w:rPr>
                <w:noProof/>
                <w:webHidden/>
              </w:rPr>
            </w:r>
            <w:r w:rsidR="00A137ED">
              <w:rPr>
                <w:noProof/>
                <w:webHidden/>
              </w:rPr>
              <w:fldChar w:fldCharType="separate"/>
            </w:r>
            <w:r>
              <w:rPr>
                <w:noProof/>
                <w:webHidden/>
              </w:rPr>
              <w:t>30</w:t>
            </w:r>
            <w:r w:rsidR="00A137ED">
              <w:rPr>
                <w:noProof/>
                <w:webHidden/>
              </w:rPr>
              <w:fldChar w:fldCharType="end"/>
            </w:r>
          </w:hyperlink>
        </w:p>
        <w:p w14:paraId="2AD6ACF4" w14:textId="77777777" w:rsidR="00A137ED" w:rsidRDefault="009A25DE" w:rsidP="00A137ED">
          <w:pPr>
            <w:pStyle w:val="TOC3"/>
            <w:tabs>
              <w:tab w:val="right" w:leader="dot" w:pos="9628"/>
            </w:tabs>
            <w:jc w:val="left"/>
            <w:rPr>
              <w:rFonts w:asciiTheme="minorHAnsi" w:hAnsiTheme="minorHAnsi"/>
              <w:noProof/>
              <w:sz w:val="22"/>
              <w:szCs w:val="22"/>
              <w:lang w:val="en-AU" w:eastAsia="en-AU"/>
            </w:rPr>
          </w:pPr>
          <w:hyperlink w:anchor="_Toc425850316" w:history="1">
            <w:r w:rsidR="00A137ED" w:rsidRPr="00466D85">
              <w:rPr>
                <w:rStyle w:val="Hyperlink"/>
                <w:noProof/>
              </w:rPr>
              <w:t>Indigenous Mental Health Services</w:t>
            </w:r>
            <w:r w:rsidR="00A137ED">
              <w:rPr>
                <w:noProof/>
                <w:webHidden/>
              </w:rPr>
              <w:tab/>
            </w:r>
            <w:r w:rsidR="00A137ED">
              <w:rPr>
                <w:noProof/>
                <w:webHidden/>
              </w:rPr>
              <w:fldChar w:fldCharType="begin"/>
            </w:r>
            <w:r w:rsidR="00A137ED">
              <w:rPr>
                <w:noProof/>
                <w:webHidden/>
              </w:rPr>
              <w:instrText xml:space="preserve"> PAGEREF _Toc425850316 \h </w:instrText>
            </w:r>
            <w:r w:rsidR="00A137ED">
              <w:rPr>
                <w:noProof/>
                <w:webHidden/>
              </w:rPr>
            </w:r>
            <w:r w:rsidR="00A137ED">
              <w:rPr>
                <w:noProof/>
                <w:webHidden/>
              </w:rPr>
              <w:fldChar w:fldCharType="separate"/>
            </w:r>
            <w:r>
              <w:rPr>
                <w:noProof/>
                <w:webHidden/>
              </w:rPr>
              <w:t>31</w:t>
            </w:r>
            <w:r w:rsidR="00A137ED">
              <w:rPr>
                <w:noProof/>
                <w:webHidden/>
              </w:rPr>
              <w:fldChar w:fldCharType="end"/>
            </w:r>
          </w:hyperlink>
        </w:p>
        <w:p w14:paraId="08B5E150"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17" w:history="1">
            <w:r w:rsidR="00A137ED" w:rsidRPr="00466D85">
              <w:rPr>
                <w:rStyle w:val="Hyperlink"/>
                <w:noProof/>
              </w:rPr>
              <w:t>Australian Capital Territory</w:t>
            </w:r>
            <w:r w:rsidR="00A137ED">
              <w:rPr>
                <w:noProof/>
                <w:webHidden/>
              </w:rPr>
              <w:tab/>
            </w:r>
            <w:r w:rsidR="00A137ED">
              <w:rPr>
                <w:noProof/>
                <w:webHidden/>
              </w:rPr>
              <w:fldChar w:fldCharType="begin"/>
            </w:r>
            <w:r w:rsidR="00A137ED">
              <w:rPr>
                <w:noProof/>
                <w:webHidden/>
              </w:rPr>
              <w:instrText xml:space="preserve"> PAGEREF _Toc425850317 \h </w:instrText>
            </w:r>
            <w:r w:rsidR="00A137ED">
              <w:rPr>
                <w:noProof/>
                <w:webHidden/>
              </w:rPr>
            </w:r>
            <w:r w:rsidR="00A137ED">
              <w:rPr>
                <w:noProof/>
                <w:webHidden/>
              </w:rPr>
              <w:fldChar w:fldCharType="separate"/>
            </w:r>
            <w:r>
              <w:rPr>
                <w:noProof/>
                <w:webHidden/>
              </w:rPr>
              <w:t>31</w:t>
            </w:r>
            <w:r w:rsidR="00A137ED">
              <w:rPr>
                <w:noProof/>
                <w:webHidden/>
              </w:rPr>
              <w:fldChar w:fldCharType="end"/>
            </w:r>
          </w:hyperlink>
        </w:p>
        <w:p w14:paraId="44917747"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18" w:history="1">
            <w:r w:rsidR="00A137ED" w:rsidRPr="00466D85">
              <w:rPr>
                <w:rStyle w:val="Hyperlink"/>
                <w:noProof/>
              </w:rPr>
              <w:t>New South Wales</w:t>
            </w:r>
            <w:r w:rsidR="00A137ED">
              <w:rPr>
                <w:noProof/>
                <w:webHidden/>
              </w:rPr>
              <w:tab/>
            </w:r>
            <w:r w:rsidR="00A137ED">
              <w:rPr>
                <w:noProof/>
                <w:webHidden/>
              </w:rPr>
              <w:fldChar w:fldCharType="begin"/>
            </w:r>
            <w:r w:rsidR="00A137ED">
              <w:rPr>
                <w:noProof/>
                <w:webHidden/>
              </w:rPr>
              <w:instrText xml:space="preserve"> PAGEREF _Toc425850318 \h </w:instrText>
            </w:r>
            <w:r w:rsidR="00A137ED">
              <w:rPr>
                <w:noProof/>
                <w:webHidden/>
              </w:rPr>
            </w:r>
            <w:r w:rsidR="00A137ED">
              <w:rPr>
                <w:noProof/>
                <w:webHidden/>
              </w:rPr>
              <w:fldChar w:fldCharType="separate"/>
            </w:r>
            <w:r>
              <w:rPr>
                <w:noProof/>
                <w:webHidden/>
              </w:rPr>
              <w:t>31</w:t>
            </w:r>
            <w:r w:rsidR="00A137ED">
              <w:rPr>
                <w:noProof/>
                <w:webHidden/>
              </w:rPr>
              <w:fldChar w:fldCharType="end"/>
            </w:r>
          </w:hyperlink>
        </w:p>
        <w:p w14:paraId="1B99C7FF"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19" w:history="1">
            <w:r w:rsidR="00A137ED" w:rsidRPr="00466D85">
              <w:rPr>
                <w:rStyle w:val="Hyperlink"/>
                <w:noProof/>
              </w:rPr>
              <w:t>Northern Territory</w:t>
            </w:r>
            <w:r w:rsidR="00A137ED">
              <w:rPr>
                <w:noProof/>
                <w:webHidden/>
              </w:rPr>
              <w:tab/>
            </w:r>
            <w:r w:rsidR="00A137ED">
              <w:rPr>
                <w:noProof/>
                <w:webHidden/>
              </w:rPr>
              <w:fldChar w:fldCharType="begin"/>
            </w:r>
            <w:r w:rsidR="00A137ED">
              <w:rPr>
                <w:noProof/>
                <w:webHidden/>
              </w:rPr>
              <w:instrText xml:space="preserve"> PAGEREF _Toc425850319 \h </w:instrText>
            </w:r>
            <w:r w:rsidR="00A137ED">
              <w:rPr>
                <w:noProof/>
                <w:webHidden/>
              </w:rPr>
            </w:r>
            <w:r w:rsidR="00A137ED">
              <w:rPr>
                <w:noProof/>
                <w:webHidden/>
              </w:rPr>
              <w:fldChar w:fldCharType="separate"/>
            </w:r>
            <w:r>
              <w:rPr>
                <w:noProof/>
                <w:webHidden/>
              </w:rPr>
              <w:t>31</w:t>
            </w:r>
            <w:r w:rsidR="00A137ED">
              <w:rPr>
                <w:noProof/>
                <w:webHidden/>
              </w:rPr>
              <w:fldChar w:fldCharType="end"/>
            </w:r>
          </w:hyperlink>
        </w:p>
        <w:p w14:paraId="759A3602"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20" w:history="1">
            <w:r w:rsidR="00A137ED" w:rsidRPr="00466D85">
              <w:rPr>
                <w:rStyle w:val="Hyperlink"/>
                <w:noProof/>
              </w:rPr>
              <w:t>Queensland</w:t>
            </w:r>
            <w:r w:rsidR="00A137ED">
              <w:rPr>
                <w:noProof/>
                <w:webHidden/>
              </w:rPr>
              <w:tab/>
            </w:r>
            <w:r w:rsidR="00A137ED">
              <w:rPr>
                <w:noProof/>
                <w:webHidden/>
              </w:rPr>
              <w:fldChar w:fldCharType="begin"/>
            </w:r>
            <w:r w:rsidR="00A137ED">
              <w:rPr>
                <w:noProof/>
                <w:webHidden/>
              </w:rPr>
              <w:instrText xml:space="preserve"> PAGEREF _Toc425850320 \h </w:instrText>
            </w:r>
            <w:r w:rsidR="00A137ED">
              <w:rPr>
                <w:noProof/>
                <w:webHidden/>
              </w:rPr>
            </w:r>
            <w:r w:rsidR="00A137ED">
              <w:rPr>
                <w:noProof/>
                <w:webHidden/>
              </w:rPr>
              <w:fldChar w:fldCharType="separate"/>
            </w:r>
            <w:r>
              <w:rPr>
                <w:noProof/>
                <w:webHidden/>
              </w:rPr>
              <w:t>31</w:t>
            </w:r>
            <w:r w:rsidR="00A137ED">
              <w:rPr>
                <w:noProof/>
                <w:webHidden/>
              </w:rPr>
              <w:fldChar w:fldCharType="end"/>
            </w:r>
          </w:hyperlink>
        </w:p>
        <w:p w14:paraId="3816E9A8"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21" w:history="1">
            <w:r w:rsidR="00A137ED" w:rsidRPr="00466D85">
              <w:rPr>
                <w:rStyle w:val="Hyperlink"/>
                <w:noProof/>
              </w:rPr>
              <w:t>Western Australia</w:t>
            </w:r>
            <w:r w:rsidR="00A137ED">
              <w:rPr>
                <w:noProof/>
                <w:webHidden/>
              </w:rPr>
              <w:tab/>
            </w:r>
            <w:r w:rsidR="00A137ED">
              <w:rPr>
                <w:noProof/>
                <w:webHidden/>
              </w:rPr>
              <w:fldChar w:fldCharType="begin"/>
            </w:r>
            <w:r w:rsidR="00A137ED">
              <w:rPr>
                <w:noProof/>
                <w:webHidden/>
              </w:rPr>
              <w:instrText xml:space="preserve"> PAGEREF _Toc425850321 \h </w:instrText>
            </w:r>
            <w:r w:rsidR="00A137ED">
              <w:rPr>
                <w:noProof/>
                <w:webHidden/>
              </w:rPr>
            </w:r>
            <w:r w:rsidR="00A137ED">
              <w:rPr>
                <w:noProof/>
                <w:webHidden/>
              </w:rPr>
              <w:fldChar w:fldCharType="separate"/>
            </w:r>
            <w:r>
              <w:rPr>
                <w:noProof/>
                <w:webHidden/>
              </w:rPr>
              <w:t>31</w:t>
            </w:r>
            <w:r w:rsidR="00A137ED">
              <w:rPr>
                <w:noProof/>
                <w:webHidden/>
              </w:rPr>
              <w:fldChar w:fldCharType="end"/>
            </w:r>
          </w:hyperlink>
        </w:p>
        <w:p w14:paraId="620EA054" w14:textId="77777777" w:rsidR="00A137ED" w:rsidRDefault="009A25DE" w:rsidP="00A137ED">
          <w:pPr>
            <w:pStyle w:val="TOC3"/>
            <w:tabs>
              <w:tab w:val="right" w:leader="dot" w:pos="9628"/>
            </w:tabs>
            <w:jc w:val="left"/>
            <w:rPr>
              <w:rFonts w:asciiTheme="minorHAnsi" w:hAnsiTheme="minorHAnsi"/>
              <w:noProof/>
              <w:sz w:val="22"/>
              <w:szCs w:val="22"/>
              <w:lang w:val="en-AU" w:eastAsia="en-AU"/>
            </w:rPr>
          </w:pPr>
          <w:hyperlink w:anchor="_Toc425850322" w:history="1">
            <w:r w:rsidR="00A137ED" w:rsidRPr="00466D85">
              <w:rPr>
                <w:rStyle w:val="Hyperlink"/>
                <w:noProof/>
                <w:lang w:eastAsia="en-US"/>
              </w:rPr>
              <w:t>Reducing Incarceration Rates of People with Mental Illness</w:t>
            </w:r>
            <w:r w:rsidR="00A137ED">
              <w:rPr>
                <w:noProof/>
                <w:webHidden/>
              </w:rPr>
              <w:tab/>
            </w:r>
            <w:r w:rsidR="00A137ED">
              <w:rPr>
                <w:noProof/>
                <w:webHidden/>
              </w:rPr>
              <w:fldChar w:fldCharType="begin"/>
            </w:r>
            <w:r w:rsidR="00A137ED">
              <w:rPr>
                <w:noProof/>
                <w:webHidden/>
              </w:rPr>
              <w:instrText xml:space="preserve"> PAGEREF _Toc425850322 \h </w:instrText>
            </w:r>
            <w:r w:rsidR="00A137ED">
              <w:rPr>
                <w:noProof/>
                <w:webHidden/>
              </w:rPr>
            </w:r>
            <w:r w:rsidR="00A137ED">
              <w:rPr>
                <w:noProof/>
                <w:webHidden/>
              </w:rPr>
              <w:fldChar w:fldCharType="separate"/>
            </w:r>
            <w:r>
              <w:rPr>
                <w:noProof/>
                <w:webHidden/>
              </w:rPr>
              <w:t>32</w:t>
            </w:r>
            <w:r w:rsidR="00A137ED">
              <w:rPr>
                <w:noProof/>
                <w:webHidden/>
              </w:rPr>
              <w:fldChar w:fldCharType="end"/>
            </w:r>
          </w:hyperlink>
        </w:p>
        <w:p w14:paraId="6629AF99"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23" w:history="1">
            <w:r w:rsidR="00A137ED" w:rsidRPr="00466D85">
              <w:rPr>
                <w:rStyle w:val="Hyperlink"/>
                <w:noProof/>
              </w:rPr>
              <w:t>Australian Capital Territory</w:t>
            </w:r>
            <w:r w:rsidR="00A137ED">
              <w:rPr>
                <w:noProof/>
                <w:webHidden/>
              </w:rPr>
              <w:tab/>
            </w:r>
            <w:r w:rsidR="00A137ED">
              <w:rPr>
                <w:noProof/>
                <w:webHidden/>
              </w:rPr>
              <w:fldChar w:fldCharType="begin"/>
            </w:r>
            <w:r w:rsidR="00A137ED">
              <w:rPr>
                <w:noProof/>
                <w:webHidden/>
              </w:rPr>
              <w:instrText xml:space="preserve"> PAGEREF _Toc425850323 \h </w:instrText>
            </w:r>
            <w:r w:rsidR="00A137ED">
              <w:rPr>
                <w:noProof/>
                <w:webHidden/>
              </w:rPr>
            </w:r>
            <w:r w:rsidR="00A137ED">
              <w:rPr>
                <w:noProof/>
                <w:webHidden/>
              </w:rPr>
              <w:fldChar w:fldCharType="separate"/>
            </w:r>
            <w:r>
              <w:rPr>
                <w:noProof/>
                <w:webHidden/>
              </w:rPr>
              <w:t>32</w:t>
            </w:r>
            <w:r w:rsidR="00A137ED">
              <w:rPr>
                <w:noProof/>
                <w:webHidden/>
              </w:rPr>
              <w:fldChar w:fldCharType="end"/>
            </w:r>
          </w:hyperlink>
        </w:p>
        <w:p w14:paraId="68426ECD"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24" w:history="1">
            <w:r w:rsidR="00A137ED" w:rsidRPr="00466D85">
              <w:rPr>
                <w:rStyle w:val="Hyperlink"/>
                <w:noProof/>
              </w:rPr>
              <w:t>New South Wales</w:t>
            </w:r>
            <w:r w:rsidR="00A137ED">
              <w:rPr>
                <w:noProof/>
                <w:webHidden/>
              </w:rPr>
              <w:tab/>
            </w:r>
            <w:r w:rsidR="00A137ED">
              <w:rPr>
                <w:noProof/>
                <w:webHidden/>
              </w:rPr>
              <w:fldChar w:fldCharType="begin"/>
            </w:r>
            <w:r w:rsidR="00A137ED">
              <w:rPr>
                <w:noProof/>
                <w:webHidden/>
              </w:rPr>
              <w:instrText xml:space="preserve"> PAGEREF _Toc425850324 \h </w:instrText>
            </w:r>
            <w:r w:rsidR="00A137ED">
              <w:rPr>
                <w:noProof/>
                <w:webHidden/>
              </w:rPr>
            </w:r>
            <w:r w:rsidR="00A137ED">
              <w:rPr>
                <w:noProof/>
                <w:webHidden/>
              </w:rPr>
              <w:fldChar w:fldCharType="separate"/>
            </w:r>
            <w:r>
              <w:rPr>
                <w:noProof/>
                <w:webHidden/>
              </w:rPr>
              <w:t>32</w:t>
            </w:r>
            <w:r w:rsidR="00A137ED">
              <w:rPr>
                <w:noProof/>
                <w:webHidden/>
              </w:rPr>
              <w:fldChar w:fldCharType="end"/>
            </w:r>
          </w:hyperlink>
        </w:p>
        <w:p w14:paraId="57A18FBA"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25" w:history="1">
            <w:r w:rsidR="00A137ED" w:rsidRPr="00466D85">
              <w:rPr>
                <w:rStyle w:val="Hyperlink"/>
                <w:noProof/>
              </w:rPr>
              <w:t>Northern Territory</w:t>
            </w:r>
            <w:r w:rsidR="00A137ED">
              <w:rPr>
                <w:noProof/>
                <w:webHidden/>
              </w:rPr>
              <w:tab/>
            </w:r>
            <w:r w:rsidR="00A137ED">
              <w:rPr>
                <w:noProof/>
                <w:webHidden/>
              </w:rPr>
              <w:fldChar w:fldCharType="begin"/>
            </w:r>
            <w:r w:rsidR="00A137ED">
              <w:rPr>
                <w:noProof/>
                <w:webHidden/>
              </w:rPr>
              <w:instrText xml:space="preserve"> PAGEREF _Toc425850325 \h </w:instrText>
            </w:r>
            <w:r w:rsidR="00A137ED">
              <w:rPr>
                <w:noProof/>
                <w:webHidden/>
              </w:rPr>
            </w:r>
            <w:r w:rsidR="00A137ED">
              <w:rPr>
                <w:noProof/>
                <w:webHidden/>
              </w:rPr>
              <w:fldChar w:fldCharType="separate"/>
            </w:r>
            <w:r>
              <w:rPr>
                <w:noProof/>
                <w:webHidden/>
              </w:rPr>
              <w:t>32</w:t>
            </w:r>
            <w:r w:rsidR="00A137ED">
              <w:rPr>
                <w:noProof/>
                <w:webHidden/>
              </w:rPr>
              <w:fldChar w:fldCharType="end"/>
            </w:r>
          </w:hyperlink>
        </w:p>
        <w:p w14:paraId="6C13C9EE"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26" w:history="1">
            <w:r w:rsidR="00A137ED" w:rsidRPr="00466D85">
              <w:rPr>
                <w:rStyle w:val="Hyperlink"/>
                <w:noProof/>
              </w:rPr>
              <w:t>Queensland</w:t>
            </w:r>
            <w:r w:rsidR="00A137ED">
              <w:rPr>
                <w:noProof/>
                <w:webHidden/>
              </w:rPr>
              <w:tab/>
            </w:r>
            <w:r w:rsidR="00A137ED">
              <w:rPr>
                <w:noProof/>
                <w:webHidden/>
              </w:rPr>
              <w:fldChar w:fldCharType="begin"/>
            </w:r>
            <w:r w:rsidR="00A137ED">
              <w:rPr>
                <w:noProof/>
                <w:webHidden/>
              </w:rPr>
              <w:instrText xml:space="preserve"> PAGEREF _Toc425850326 \h </w:instrText>
            </w:r>
            <w:r w:rsidR="00A137ED">
              <w:rPr>
                <w:noProof/>
                <w:webHidden/>
              </w:rPr>
            </w:r>
            <w:r w:rsidR="00A137ED">
              <w:rPr>
                <w:noProof/>
                <w:webHidden/>
              </w:rPr>
              <w:fldChar w:fldCharType="separate"/>
            </w:r>
            <w:r>
              <w:rPr>
                <w:noProof/>
                <w:webHidden/>
              </w:rPr>
              <w:t>32</w:t>
            </w:r>
            <w:r w:rsidR="00A137ED">
              <w:rPr>
                <w:noProof/>
                <w:webHidden/>
              </w:rPr>
              <w:fldChar w:fldCharType="end"/>
            </w:r>
          </w:hyperlink>
        </w:p>
        <w:p w14:paraId="4E3696DD"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27" w:history="1">
            <w:r w:rsidR="00A137ED" w:rsidRPr="00466D85">
              <w:rPr>
                <w:rStyle w:val="Hyperlink"/>
                <w:noProof/>
              </w:rPr>
              <w:t>Western Australia</w:t>
            </w:r>
            <w:r w:rsidR="00A137ED">
              <w:rPr>
                <w:noProof/>
                <w:webHidden/>
              </w:rPr>
              <w:tab/>
            </w:r>
            <w:r w:rsidR="00A137ED">
              <w:rPr>
                <w:noProof/>
                <w:webHidden/>
              </w:rPr>
              <w:fldChar w:fldCharType="begin"/>
            </w:r>
            <w:r w:rsidR="00A137ED">
              <w:rPr>
                <w:noProof/>
                <w:webHidden/>
              </w:rPr>
              <w:instrText xml:space="preserve"> PAGEREF _Toc425850327 \h </w:instrText>
            </w:r>
            <w:r w:rsidR="00A137ED">
              <w:rPr>
                <w:noProof/>
                <w:webHidden/>
              </w:rPr>
            </w:r>
            <w:r w:rsidR="00A137ED">
              <w:rPr>
                <w:noProof/>
                <w:webHidden/>
              </w:rPr>
              <w:fldChar w:fldCharType="separate"/>
            </w:r>
            <w:r>
              <w:rPr>
                <w:noProof/>
                <w:webHidden/>
              </w:rPr>
              <w:t>33</w:t>
            </w:r>
            <w:r w:rsidR="00A137ED">
              <w:rPr>
                <w:noProof/>
                <w:webHidden/>
              </w:rPr>
              <w:fldChar w:fldCharType="end"/>
            </w:r>
          </w:hyperlink>
        </w:p>
        <w:p w14:paraId="1F46693D" w14:textId="77777777" w:rsidR="00A137ED" w:rsidRDefault="009A25DE" w:rsidP="00A137ED">
          <w:pPr>
            <w:pStyle w:val="TOC3"/>
            <w:tabs>
              <w:tab w:val="right" w:leader="dot" w:pos="9628"/>
            </w:tabs>
            <w:jc w:val="left"/>
            <w:rPr>
              <w:rFonts w:asciiTheme="minorHAnsi" w:hAnsiTheme="minorHAnsi"/>
              <w:noProof/>
              <w:sz w:val="22"/>
              <w:szCs w:val="22"/>
              <w:lang w:val="en-AU" w:eastAsia="en-AU"/>
            </w:rPr>
          </w:pPr>
          <w:hyperlink w:anchor="_Toc425850328" w:history="1">
            <w:r w:rsidR="00A137ED" w:rsidRPr="00466D85">
              <w:rPr>
                <w:rStyle w:val="Hyperlink"/>
                <w:noProof/>
                <w:lang w:eastAsia="en-US"/>
              </w:rPr>
              <w:t>Mental Health Care in Prisons</w:t>
            </w:r>
            <w:r w:rsidR="00A137ED">
              <w:rPr>
                <w:noProof/>
                <w:webHidden/>
              </w:rPr>
              <w:tab/>
            </w:r>
            <w:r w:rsidR="00A137ED">
              <w:rPr>
                <w:noProof/>
                <w:webHidden/>
              </w:rPr>
              <w:fldChar w:fldCharType="begin"/>
            </w:r>
            <w:r w:rsidR="00A137ED">
              <w:rPr>
                <w:noProof/>
                <w:webHidden/>
              </w:rPr>
              <w:instrText xml:space="preserve"> PAGEREF _Toc425850328 \h </w:instrText>
            </w:r>
            <w:r w:rsidR="00A137ED">
              <w:rPr>
                <w:noProof/>
                <w:webHidden/>
              </w:rPr>
            </w:r>
            <w:r w:rsidR="00A137ED">
              <w:rPr>
                <w:noProof/>
                <w:webHidden/>
              </w:rPr>
              <w:fldChar w:fldCharType="separate"/>
            </w:r>
            <w:r>
              <w:rPr>
                <w:noProof/>
                <w:webHidden/>
              </w:rPr>
              <w:t>33</w:t>
            </w:r>
            <w:r w:rsidR="00A137ED">
              <w:rPr>
                <w:noProof/>
                <w:webHidden/>
              </w:rPr>
              <w:fldChar w:fldCharType="end"/>
            </w:r>
          </w:hyperlink>
        </w:p>
        <w:p w14:paraId="6B40118A"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29" w:history="1">
            <w:r w:rsidR="00A137ED" w:rsidRPr="00466D85">
              <w:rPr>
                <w:rStyle w:val="Hyperlink"/>
                <w:noProof/>
              </w:rPr>
              <w:t>Australian Capital Territory</w:t>
            </w:r>
            <w:r w:rsidR="00A137ED">
              <w:rPr>
                <w:noProof/>
                <w:webHidden/>
              </w:rPr>
              <w:tab/>
            </w:r>
            <w:r w:rsidR="00A137ED">
              <w:rPr>
                <w:noProof/>
                <w:webHidden/>
              </w:rPr>
              <w:fldChar w:fldCharType="begin"/>
            </w:r>
            <w:r w:rsidR="00A137ED">
              <w:rPr>
                <w:noProof/>
                <w:webHidden/>
              </w:rPr>
              <w:instrText xml:space="preserve"> PAGEREF _Toc425850329 \h </w:instrText>
            </w:r>
            <w:r w:rsidR="00A137ED">
              <w:rPr>
                <w:noProof/>
                <w:webHidden/>
              </w:rPr>
            </w:r>
            <w:r w:rsidR="00A137ED">
              <w:rPr>
                <w:noProof/>
                <w:webHidden/>
              </w:rPr>
              <w:fldChar w:fldCharType="separate"/>
            </w:r>
            <w:r>
              <w:rPr>
                <w:noProof/>
                <w:webHidden/>
              </w:rPr>
              <w:t>33</w:t>
            </w:r>
            <w:r w:rsidR="00A137ED">
              <w:rPr>
                <w:noProof/>
                <w:webHidden/>
              </w:rPr>
              <w:fldChar w:fldCharType="end"/>
            </w:r>
          </w:hyperlink>
        </w:p>
        <w:p w14:paraId="13EDC6CF"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30" w:history="1">
            <w:r w:rsidR="00A137ED" w:rsidRPr="00466D85">
              <w:rPr>
                <w:rStyle w:val="Hyperlink"/>
                <w:noProof/>
              </w:rPr>
              <w:t>New South Wales</w:t>
            </w:r>
            <w:r w:rsidR="00A137ED">
              <w:rPr>
                <w:noProof/>
                <w:webHidden/>
              </w:rPr>
              <w:tab/>
            </w:r>
            <w:r w:rsidR="00A137ED">
              <w:rPr>
                <w:noProof/>
                <w:webHidden/>
              </w:rPr>
              <w:fldChar w:fldCharType="begin"/>
            </w:r>
            <w:r w:rsidR="00A137ED">
              <w:rPr>
                <w:noProof/>
                <w:webHidden/>
              </w:rPr>
              <w:instrText xml:space="preserve"> PAGEREF _Toc425850330 \h </w:instrText>
            </w:r>
            <w:r w:rsidR="00A137ED">
              <w:rPr>
                <w:noProof/>
                <w:webHidden/>
              </w:rPr>
            </w:r>
            <w:r w:rsidR="00A137ED">
              <w:rPr>
                <w:noProof/>
                <w:webHidden/>
              </w:rPr>
              <w:fldChar w:fldCharType="separate"/>
            </w:r>
            <w:r>
              <w:rPr>
                <w:noProof/>
                <w:webHidden/>
              </w:rPr>
              <w:t>34</w:t>
            </w:r>
            <w:r w:rsidR="00A137ED">
              <w:rPr>
                <w:noProof/>
                <w:webHidden/>
              </w:rPr>
              <w:fldChar w:fldCharType="end"/>
            </w:r>
          </w:hyperlink>
        </w:p>
        <w:p w14:paraId="23F0A76D"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31" w:history="1">
            <w:r w:rsidR="00A137ED" w:rsidRPr="00466D85">
              <w:rPr>
                <w:rStyle w:val="Hyperlink"/>
                <w:noProof/>
              </w:rPr>
              <w:t>Northern Territory</w:t>
            </w:r>
            <w:r w:rsidR="00A137ED">
              <w:rPr>
                <w:noProof/>
                <w:webHidden/>
              </w:rPr>
              <w:tab/>
            </w:r>
            <w:r w:rsidR="00A137ED">
              <w:rPr>
                <w:noProof/>
                <w:webHidden/>
              </w:rPr>
              <w:fldChar w:fldCharType="begin"/>
            </w:r>
            <w:r w:rsidR="00A137ED">
              <w:rPr>
                <w:noProof/>
                <w:webHidden/>
              </w:rPr>
              <w:instrText xml:space="preserve"> PAGEREF _Toc425850331 \h </w:instrText>
            </w:r>
            <w:r w:rsidR="00A137ED">
              <w:rPr>
                <w:noProof/>
                <w:webHidden/>
              </w:rPr>
            </w:r>
            <w:r w:rsidR="00A137ED">
              <w:rPr>
                <w:noProof/>
                <w:webHidden/>
              </w:rPr>
              <w:fldChar w:fldCharType="separate"/>
            </w:r>
            <w:r>
              <w:rPr>
                <w:noProof/>
                <w:webHidden/>
              </w:rPr>
              <w:t>34</w:t>
            </w:r>
            <w:r w:rsidR="00A137ED">
              <w:rPr>
                <w:noProof/>
                <w:webHidden/>
              </w:rPr>
              <w:fldChar w:fldCharType="end"/>
            </w:r>
          </w:hyperlink>
        </w:p>
        <w:p w14:paraId="6253CB39"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32" w:history="1">
            <w:r w:rsidR="00A137ED" w:rsidRPr="00466D85">
              <w:rPr>
                <w:rStyle w:val="Hyperlink"/>
                <w:noProof/>
              </w:rPr>
              <w:t>Queensland</w:t>
            </w:r>
            <w:r w:rsidR="00A137ED">
              <w:rPr>
                <w:noProof/>
                <w:webHidden/>
              </w:rPr>
              <w:tab/>
            </w:r>
            <w:r w:rsidR="00A137ED">
              <w:rPr>
                <w:noProof/>
                <w:webHidden/>
              </w:rPr>
              <w:fldChar w:fldCharType="begin"/>
            </w:r>
            <w:r w:rsidR="00A137ED">
              <w:rPr>
                <w:noProof/>
                <w:webHidden/>
              </w:rPr>
              <w:instrText xml:space="preserve"> PAGEREF _Toc425850332 \h </w:instrText>
            </w:r>
            <w:r w:rsidR="00A137ED">
              <w:rPr>
                <w:noProof/>
                <w:webHidden/>
              </w:rPr>
            </w:r>
            <w:r w:rsidR="00A137ED">
              <w:rPr>
                <w:noProof/>
                <w:webHidden/>
              </w:rPr>
              <w:fldChar w:fldCharType="separate"/>
            </w:r>
            <w:r>
              <w:rPr>
                <w:noProof/>
                <w:webHidden/>
              </w:rPr>
              <w:t>35</w:t>
            </w:r>
            <w:r w:rsidR="00A137ED">
              <w:rPr>
                <w:noProof/>
                <w:webHidden/>
              </w:rPr>
              <w:fldChar w:fldCharType="end"/>
            </w:r>
          </w:hyperlink>
        </w:p>
        <w:p w14:paraId="43A8469D"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33" w:history="1">
            <w:r w:rsidR="00A137ED" w:rsidRPr="00466D85">
              <w:rPr>
                <w:rStyle w:val="Hyperlink"/>
                <w:noProof/>
              </w:rPr>
              <w:t>South Australia</w:t>
            </w:r>
            <w:r w:rsidR="00A137ED">
              <w:rPr>
                <w:noProof/>
                <w:webHidden/>
              </w:rPr>
              <w:tab/>
            </w:r>
            <w:r w:rsidR="00A137ED">
              <w:rPr>
                <w:noProof/>
                <w:webHidden/>
              </w:rPr>
              <w:fldChar w:fldCharType="begin"/>
            </w:r>
            <w:r w:rsidR="00A137ED">
              <w:rPr>
                <w:noProof/>
                <w:webHidden/>
              </w:rPr>
              <w:instrText xml:space="preserve"> PAGEREF _Toc425850333 \h </w:instrText>
            </w:r>
            <w:r w:rsidR="00A137ED">
              <w:rPr>
                <w:noProof/>
                <w:webHidden/>
              </w:rPr>
            </w:r>
            <w:r w:rsidR="00A137ED">
              <w:rPr>
                <w:noProof/>
                <w:webHidden/>
              </w:rPr>
              <w:fldChar w:fldCharType="separate"/>
            </w:r>
            <w:r>
              <w:rPr>
                <w:noProof/>
                <w:webHidden/>
              </w:rPr>
              <w:t>35</w:t>
            </w:r>
            <w:r w:rsidR="00A137ED">
              <w:rPr>
                <w:noProof/>
                <w:webHidden/>
              </w:rPr>
              <w:fldChar w:fldCharType="end"/>
            </w:r>
          </w:hyperlink>
        </w:p>
        <w:p w14:paraId="29A9C702"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34" w:history="1">
            <w:r w:rsidR="00A137ED" w:rsidRPr="00466D85">
              <w:rPr>
                <w:rStyle w:val="Hyperlink"/>
                <w:noProof/>
              </w:rPr>
              <w:t>Tasmania</w:t>
            </w:r>
            <w:r w:rsidR="00A137ED">
              <w:rPr>
                <w:noProof/>
                <w:webHidden/>
              </w:rPr>
              <w:tab/>
            </w:r>
            <w:r w:rsidR="00A137ED">
              <w:rPr>
                <w:noProof/>
                <w:webHidden/>
              </w:rPr>
              <w:fldChar w:fldCharType="begin"/>
            </w:r>
            <w:r w:rsidR="00A137ED">
              <w:rPr>
                <w:noProof/>
                <w:webHidden/>
              </w:rPr>
              <w:instrText xml:space="preserve"> PAGEREF _Toc425850334 \h </w:instrText>
            </w:r>
            <w:r w:rsidR="00A137ED">
              <w:rPr>
                <w:noProof/>
                <w:webHidden/>
              </w:rPr>
            </w:r>
            <w:r w:rsidR="00A137ED">
              <w:rPr>
                <w:noProof/>
                <w:webHidden/>
              </w:rPr>
              <w:fldChar w:fldCharType="separate"/>
            </w:r>
            <w:r>
              <w:rPr>
                <w:noProof/>
                <w:webHidden/>
              </w:rPr>
              <w:t>35</w:t>
            </w:r>
            <w:r w:rsidR="00A137ED">
              <w:rPr>
                <w:noProof/>
                <w:webHidden/>
              </w:rPr>
              <w:fldChar w:fldCharType="end"/>
            </w:r>
          </w:hyperlink>
        </w:p>
        <w:p w14:paraId="714466A0"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35" w:history="1">
            <w:r w:rsidR="00A137ED" w:rsidRPr="00466D85">
              <w:rPr>
                <w:rStyle w:val="Hyperlink"/>
                <w:noProof/>
              </w:rPr>
              <w:t>Victoria</w:t>
            </w:r>
            <w:r w:rsidR="00A137ED">
              <w:rPr>
                <w:noProof/>
                <w:webHidden/>
              </w:rPr>
              <w:tab/>
            </w:r>
            <w:r w:rsidR="00A137ED">
              <w:rPr>
                <w:noProof/>
                <w:webHidden/>
              </w:rPr>
              <w:fldChar w:fldCharType="begin"/>
            </w:r>
            <w:r w:rsidR="00A137ED">
              <w:rPr>
                <w:noProof/>
                <w:webHidden/>
              </w:rPr>
              <w:instrText xml:space="preserve"> PAGEREF _Toc425850335 \h </w:instrText>
            </w:r>
            <w:r w:rsidR="00A137ED">
              <w:rPr>
                <w:noProof/>
                <w:webHidden/>
              </w:rPr>
            </w:r>
            <w:r w:rsidR="00A137ED">
              <w:rPr>
                <w:noProof/>
                <w:webHidden/>
              </w:rPr>
              <w:fldChar w:fldCharType="separate"/>
            </w:r>
            <w:r>
              <w:rPr>
                <w:noProof/>
                <w:webHidden/>
              </w:rPr>
              <w:t>36</w:t>
            </w:r>
            <w:r w:rsidR="00A137ED">
              <w:rPr>
                <w:noProof/>
                <w:webHidden/>
              </w:rPr>
              <w:fldChar w:fldCharType="end"/>
            </w:r>
          </w:hyperlink>
        </w:p>
        <w:p w14:paraId="6821EC3A"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36" w:history="1">
            <w:r w:rsidR="00A137ED" w:rsidRPr="00466D85">
              <w:rPr>
                <w:rStyle w:val="Hyperlink"/>
                <w:noProof/>
              </w:rPr>
              <w:t>Western Australia</w:t>
            </w:r>
            <w:r w:rsidR="00A137ED">
              <w:rPr>
                <w:noProof/>
                <w:webHidden/>
              </w:rPr>
              <w:tab/>
            </w:r>
            <w:r w:rsidR="00A137ED">
              <w:rPr>
                <w:noProof/>
                <w:webHidden/>
              </w:rPr>
              <w:fldChar w:fldCharType="begin"/>
            </w:r>
            <w:r w:rsidR="00A137ED">
              <w:rPr>
                <w:noProof/>
                <w:webHidden/>
              </w:rPr>
              <w:instrText xml:space="preserve"> PAGEREF _Toc425850336 \h </w:instrText>
            </w:r>
            <w:r w:rsidR="00A137ED">
              <w:rPr>
                <w:noProof/>
                <w:webHidden/>
              </w:rPr>
            </w:r>
            <w:r w:rsidR="00A137ED">
              <w:rPr>
                <w:noProof/>
                <w:webHidden/>
              </w:rPr>
              <w:fldChar w:fldCharType="separate"/>
            </w:r>
            <w:r>
              <w:rPr>
                <w:noProof/>
                <w:webHidden/>
              </w:rPr>
              <w:t>36</w:t>
            </w:r>
            <w:r w:rsidR="00A137ED">
              <w:rPr>
                <w:noProof/>
                <w:webHidden/>
              </w:rPr>
              <w:fldChar w:fldCharType="end"/>
            </w:r>
          </w:hyperlink>
        </w:p>
        <w:p w14:paraId="787060AE" w14:textId="77777777" w:rsidR="00A137ED" w:rsidRDefault="009A25DE" w:rsidP="00A137ED">
          <w:pPr>
            <w:pStyle w:val="TOC2"/>
            <w:rPr>
              <w:rFonts w:asciiTheme="minorHAnsi" w:hAnsiTheme="minorHAnsi"/>
              <w:noProof/>
              <w:sz w:val="22"/>
              <w:szCs w:val="22"/>
              <w:lang w:val="en-AU" w:eastAsia="en-AU"/>
            </w:rPr>
          </w:pPr>
          <w:hyperlink w:anchor="_Toc425850337" w:history="1">
            <w:r w:rsidR="00A137ED" w:rsidRPr="00466D85">
              <w:rPr>
                <w:rStyle w:val="Hyperlink"/>
                <w:noProof/>
                <w:lang w:eastAsia="en-US"/>
              </w:rPr>
              <w:t>Concluding Observation 31 - Indigenous Education</w:t>
            </w:r>
            <w:r w:rsidR="00A137ED">
              <w:rPr>
                <w:noProof/>
                <w:webHidden/>
              </w:rPr>
              <w:tab/>
            </w:r>
            <w:r w:rsidR="00A137ED">
              <w:rPr>
                <w:noProof/>
                <w:webHidden/>
              </w:rPr>
              <w:fldChar w:fldCharType="begin"/>
            </w:r>
            <w:r w:rsidR="00A137ED">
              <w:rPr>
                <w:noProof/>
                <w:webHidden/>
              </w:rPr>
              <w:instrText xml:space="preserve"> PAGEREF _Toc425850337 \h </w:instrText>
            </w:r>
            <w:r w:rsidR="00A137ED">
              <w:rPr>
                <w:noProof/>
                <w:webHidden/>
              </w:rPr>
            </w:r>
            <w:r w:rsidR="00A137ED">
              <w:rPr>
                <w:noProof/>
                <w:webHidden/>
              </w:rPr>
              <w:fldChar w:fldCharType="separate"/>
            </w:r>
            <w:r>
              <w:rPr>
                <w:noProof/>
                <w:webHidden/>
              </w:rPr>
              <w:t>36</w:t>
            </w:r>
            <w:r w:rsidR="00A137ED">
              <w:rPr>
                <w:noProof/>
                <w:webHidden/>
              </w:rPr>
              <w:fldChar w:fldCharType="end"/>
            </w:r>
          </w:hyperlink>
        </w:p>
        <w:p w14:paraId="0A39FDD5"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38" w:history="1">
            <w:r w:rsidR="00A137ED" w:rsidRPr="00466D85">
              <w:rPr>
                <w:rStyle w:val="Hyperlink"/>
                <w:noProof/>
              </w:rPr>
              <w:t>Australian Capital Territory</w:t>
            </w:r>
            <w:r w:rsidR="00A137ED">
              <w:rPr>
                <w:noProof/>
                <w:webHidden/>
              </w:rPr>
              <w:tab/>
            </w:r>
            <w:r w:rsidR="00A137ED">
              <w:rPr>
                <w:noProof/>
                <w:webHidden/>
              </w:rPr>
              <w:fldChar w:fldCharType="begin"/>
            </w:r>
            <w:r w:rsidR="00A137ED">
              <w:rPr>
                <w:noProof/>
                <w:webHidden/>
              </w:rPr>
              <w:instrText xml:space="preserve"> PAGEREF _Toc425850338 \h </w:instrText>
            </w:r>
            <w:r w:rsidR="00A137ED">
              <w:rPr>
                <w:noProof/>
                <w:webHidden/>
              </w:rPr>
            </w:r>
            <w:r w:rsidR="00A137ED">
              <w:rPr>
                <w:noProof/>
                <w:webHidden/>
              </w:rPr>
              <w:fldChar w:fldCharType="separate"/>
            </w:r>
            <w:r>
              <w:rPr>
                <w:noProof/>
                <w:webHidden/>
              </w:rPr>
              <w:t>36</w:t>
            </w:r>
            <w:r w:rsidR="00A137ED">
              <w:rPr>
                <w:noProof/>
                <w:webHidden/>
              </w:rPr>
              <w:fldChar w:fldCharType="end"/>
            </w:r>
          </w:hyperlink>
        </w:p>
        <w:p w14:paraId="6DCB8933"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39" w:history="1">
            <w:r w:rsidR="00A137ED" w:rsidRPr="00466D85">
              <w:rPr>
                <w:rStyle w:val="Hyperlink"/>
                <w:noProof/>
              </w:rPr>
              <w:t>New South Wales</w:t>
            </w:r>
            <w:r w:rsidR="00A137ED">
              <w:rPr>
                <w:noProof/>
                <w:webHidden/>
              </w:rPr>
              <w:tab/>
            </w:r>
            <w:r w:rsidR="00A137ED">
              <w:rPr>
                <w:noProof/>
                <w:webHidden/>
              </w:rPr>
              <w:fldChar w:fldCharType="begin"/>
            </w:r>
            <w:r w:rsidR="00A137ED">
              <w:rPr>
                <w:noProof/>
                <w:webHidden/>
              </w:rPr>
              <w:instrText xml:space="preserve"> PAGEREF _Toc425850339 \h </w:instrText>
            </w:r>
            <w:r w:rsidR="00A137ED">
              <w:rPr>
                <w:noProof/>
                <w:webHidden/>
              </w:rPr>
            </w:r>
            <w:r w:rsidR="00A137ED">
              <w:rPr>
                <w:noProof/>
                <w:webHidden/>
              </w:rPr>
              <w:fldChar w:fldCharType="separate"/>
            </w:r>
            <w:r>
              <w:rPr>
                <w:noProof/>
                <w:webHidden/>
              </w:rPr>
              <w:t>36</w:t>
            </w:r>
            <w:r w:rsidR="00A137ED">
              <w:rPr>
                <w:noProof/>
                <w:webHidden/>
              </w:rPr>
              <w:fldChar w:fldCharType="end"/>
            </w:r>
          </w:hyperlink>
        </w:p>
        <w:p w14:paraId="345B6BE7"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40" w:history="1">
            <w:r w:rsidR="00A137ED" w:rsidRPr="00466D85">
              <w:rPr>
                <w:rStyle w:val="Hyperlink"/>
                <w:noProof/>
              </w:rPr>
              <w:t>Northern Territory</w:t>
            </w:r>
            <w:r w:rsidR="00A137ED">
              <w:rPr>
                <w:noProof/>
                <w:webHidden/>
              </w:rPr>
              <w:tab/>
            </w:r>
            <w:r w:rsidR="00A137ED">
              <w:rPr>
                <w:noProof/>
                <w:webHidden/>
              </w:rPr>
              <w:fldChar w:fldCharType="begin"/>
            </w:r>
            <w:r w:rsidR="00A137ED">
              <w:rPr>
                <w:noProof/>
                <w:webHidden/>
              </w:rPr>
              <w:instrText xml:space="preserve"> PAGEREF _Toc425850340 \h </w:instrText>
            </w:r>
            <w:r w:rsidR="00A137ED">
              <w:rPr>
                <w:noProof/>
                <w:webHidden/>
              </w:rPr>
            </w:r>
            <w:r w:rsidR="00A137ED">
              <w:rPr>
                <w:noProof/>
                <w:webHidden/>
              </w:rPr>
              <w:fldChar w:fldCharType="separate"/>
            </w:r>
            <w:r>
              <w:rPr>
                <w:noProof/>
                <w:webHidden/>
              </w:rPr>
              <w:t>37</w:t>
            </w:r>
            <w:r w:rsidR="00A137ED">
              <w:rPr>
                <w:noProof/>
                <w:webHidden/>
              </w:rPr>
              <w:fldChar w:fldCharType="end"/>
            </w:r>
          </w:hyperlink>
        </w:p>
        <w:p w14:paraId="324758DB"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41" w:history="1">
            <w:r w:rsidR="00A137ED" w:rsidRPr="00466D85">
              <w:rPr>
                <w:rStyle w:val="Hyperlink"/>
                <w:noProof/>
              </w:rPr>
              <w:t>Queensland</w:t>
            </w:r>
            <w:r w:rsidR="00A137ED">
              <w:rPr>
                <w:noProof/>
                <w:webHidden/>
              </w:rPr>
              <w:tab/>
            </w:r>
            <w:r w:rsidR="00A137ED">
              <w:rPr>
                <w:noProof/>
                <w:webHidden/>
              </w:rPr>
              <w:fldChar w:fldCharType="begin"/>
            </w:r>
            <w:r w:rsidR="00A137ED">
              <w:rPr>
                <w:noProof/>
                <w:webHidden/>
              </w:rPr>
              <w:instrText xml:space="preserve"> PAGEREF _Toc425850341 \h </w:instrText>
            </w:r>
            <w:r w:rsidR="00A137ED">
              <w:rPr>
                <w:noProof/>
                <w:webHidden/>
              </w:rPr>
            </w:r>
            <w:r w:rsidR="00A137ED">
              <w:rPr>
                <w:noProof/>
                <w:webHidden/>
              </w:rPr>
              <w:fldChar w:fldCharType="separate"/>
            </w:r>
            <w:r>
              <w:rPr>
                <w:noProof/>
                <w:webHidden/>
              </w:rPr>
              <w:t>37</w:t>
            </w:r>
            <w:r w:rsidR="00A137ED">
              <w:rPr>
                <w:noProof/>
                <w:webHidden/>
              </w:rPr>
              <w:fldChar w:fldCharType="end"/>
            </w:r>
          </w:hyperlink>
        </w:p>
        <w:p w14:paraId="76289E86"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42" w:history="1">
            <w:r w:rsidR="00A137ED" w:rsidRPr="00466D85">
              <w:rPr>
                <w:rStyle w:val="Hyperlink"/>
                <w:noProof/>
              </w:rPr>
              <w:t>South Australia</w:t>
            </w:r>
            <w:r w:rsidR="00A137ED">
              <w:rPr>
                <w:noProof/>
                <w:webHidden/>
              </w:rPr>
              <w:tab/>
            </w:r>
            <w:r w:rsidR="00A137ED">
              <w:rPr>
                <w:noProof/>
                <w:webHidden/>
              </w:rPr>
              <w:fldChar w:fldCharType="begin"/>
            </w:r>
            <w:r w:rsidR="00A137ED">
              <w:rPr>
                <w:noProof/>
                <w:webHidden/>
              </w:rPr>
              <w:instrText xml:space="preserve"> PAGEREF _Toc425850342 \h </w:instrText>
            </w:r>
            <w:r w:rsidR="00A137ED">
              <w:rPr>
                <w:noProof/>
                <w:webHidden/>
              </w:rPr>
            </w:r>
            <w:r w:rsidR="00A137ED">
              <w:rPr>
                <w:noProof/>
                <w:webHidden/>
              </w:rPr>
              <w:fldChar w:fldCharType="separate"/>
            </w:r>
            <w:r>
              <w:rPr>
                <w:noProof/>
                <w:webHidden/>
              </w:rPr>
              <w:t>38</w:t>
            </w:r>
            <w:r w:rsidR="00A137ED">
              <w:rPr>
                <w:noProof/>
                <w:webHidden/>
              </w:rPr>
              <w:fldChar w:fldCharType="end"/>
            </w:r>
          </w:hyperlink>
        </w:p>
        <w:p w14:paraId="0F567A23"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43" w:history="1">
            <w:r w:rsidR="00A137ED" w:rsidRPr="00466D85">
              <w:rPr>
                <w:rStyle w:val="Hyperlink"/>
                <w:noProof/>
              </w:rPr>
              <w:t>Victoria</w:t>
            </w:r>
            <w:r w:rsidR="00A137ED">
              <w:rPr>
                <w:noProof/>
                <w:webHidden/>
              </w:rPr>
              <w:tab/>
            </w:r>
            <w:r w:rsidR="00A137ED">
              <w:rPr>
                <w:noProof/>
                <w:webHidden/>
              </w:rPr>
              <w:fldChar w:fldCharType="begin"/>
            </w:r>
            <w:r w:rsidR="00A137ED">
              <w:rPr>
                <w:noProof/>
                <w:webHidden/>
              </w:rPr>
              <w:instrText xml:space="preserve"> PAGEREF _Toc425850343 \h </w:instrText>
            </w:r>
            <w:r w:rsidR="00A137ED">
              <w:rPr>
                <w:noProof/>
                <w:webHidden/>
              </w:rPr>
            </w:r>
            <w:r w:rsidR="00A137ED">
              <w:rPr>
                <w:noProof/>
                <w:webHidden/>
              </w:rPr>
              <w:fldChar w:fldCharType="separate"/>
            </w:r>
            <w:r>
              <w:rPr>
                <w:noProof/>
                <w:webHidden/>
              </w:rPr>
              <w:t>38</w:t>
            </w:r>
            <w:r w:rsidR="00A137ED">
              <w:rPr>
                <w:noProof/>
                <w:webHidden/>
              </w:rPr>
              <w:fldChar w:fldCharType="end"/>
            </w:r>
          </w:hyperlink>
        </w:p>
        <w:p w14:paraId="03984325"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44" w:history="1">
            <w:r w:rsidR="00A137ED" w:rsidRPr="00466D85">
              <w:rPr>
                <w:rStyle w:val="Hyperlink"/>
                <w:noProof/>
              </w:rPr>
              <w:t>Western Australia</w:t>
            </w:r>
            <w:r w:rsidR="00A137ED">
              <w:rPr>
                <w:noProof/>
                <w:webHidden/>
              </w:rPr>
              <w:tab/>
            </w:r>
            <w:r w:rsidR="00A137ED">
              <w:rPr>
                <w:noProof/>
                <w:webHidden/>
              </w:rPr>
              <w:fldChar w:fldCharType="begin"/>
            </w:r>
            <w:r w:rsidR="00A137ED">
              <w:rPr>
                <w:noProof/>
                <w:webHidden/>
              </w:rPr>
              <w:instrText xml:space="preserve"> PAGEREF _Toc425850344 \h </w:instrText>
            </w:r>
            <w:r w:rsidR="00A137ED">
              <w:rPr>
                <w:noProof/>
                <w:webHidden/>
              </w:rPr>
            </w:r>
            <w:r w:rsidR="00A137ED">
              <w:rPr>
                <w:noProof/>
                <w:webHidden/>
              </w:rPr>
              <w:fldChar w:fldCharType="separate"/>
            </w:r>
            <w:r>
              <w:rPr>
                <w:noProof/>
                <w:webHidden/>
              </w:rPr>
              <w:t>39</w:t>
            </w:r>
            <w:r w:rsidR="00A137ED">
              <w:rPr>
                <w:noProof/>
                <w:webHidden/>
              </w:rPr>
              <w:fldChar w:fldCharType="end"/>
            </w:r>
          </w:hyperlink>
        </w:p>
        <w:p w14:paraId="03549F4A" w14:textId="77777777" w:rsidR="00A137ED" w:rsidRDefault="009A25DE" w:rsidP="00A137ED">
          <w:pPr>
            <w:pStyle w:val="TOC3"/>
            <w:tabs>
              <w:tab w:val="right" w:leader="dot" w:pos="9628"/>
            </w:tabs>
            <w:jc w:val="left"/>
            <w:rPr>
              <w:rFonts w:asciiTheme="minorHAnsi" w:hAnsiTheme="minorHAnsi"/>
              <w:noProof/>
              <w:sz w:val="22"/>
              <w:szCs w:val="22"/>
              <w:lang w:val="en-AU" w:eastAsia="en-AU"/>
            </w:rPr>
          </w:pPr>
          <w:hyperlink w:anchor="_Toc425850345" w:history="1">
            <w:r w:rsidR="00A137ED" w:rsidRPr="00466D85">
              <w:rPr>
                <w:rStyle w:val="Hyperlink"/>
                <w:noProof/>
              </w:rPr>
              <w:t>Early Childhood Education</w:t>
            </w:r>
            <w:r w:rsidR="00A137ED">
              <w:rPr>
                <w:noProof/>
                <w:webHidden/>
              </w:rPr>
              <w:tab/>
            </w:r>
            <w:r w:rsidR="00A137ED">
              <w:rPr>
                <w:noProof/>
                <w:webHidden/>
              </w:rPr>
              <w:fldChar w:fldCharType="begin"/>
            </w:r>
            <w:r w:rsidR="00A137ED">
              <w:rPr>
                <w:noProof/>
                <w:webHidden/>
              </w:rPr>
              <w:instrText xml:space="preserve"> PAGEREF _Toc425850345 \h </w:instrText>
            </w:r>
            <w:r w:rsidR="00A137ED">
              <w:rPr>
                <w:noProof/>
                <w:webHidden/>
              </w:rPr>
            </w:r>
            <w:r w:rsidR="00A137ED">
              <w:rPr>
                <w:noProof/>
                <w:webHidden/>
              </w:rPr>
              <w:fldChar w:fldCharType="separate"/>
            </w:r>
            <w:r>
              <w:rPr>
                <w:noProof/>
                <w:webHidden/>
              </w:rPr>
              <w:t>39</w:t>
            </w:r>
            <w:r w:rsidR="00A137ED">
              <w:rPr>
                <w:noProof/>
                <w:webHidden/>
              </w:rPr>
              <w:fldChar w:fldCharType="end"/>
            </w:r>
          </w:hyperlink>
        </w:p>
        <w:p w14:paraId="606F79E0"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46" w:history="1">
            <w:r w:rsidR="00A137ED" w:rsidRPr="00466D85">
              <w:rPr>
                <w:rStyle w:val="Hyperlink"/>
                <w:noProof/>
              </w:rPr>
              <w:t>Australian Capital Territory</w:t>
            </w:r>
            <w:r w:rsidR="00A137ED">
              <w:rPr>
                <w:noProof/>
                <w:webHidden/>
              </w:rPr>
              <w:tab/>
            </w:r>
            <w:r w:rsidR="00A137ED">
              <w:rPr>
                <w:noProof/>
                <w:webHidden/>
              </w:rPr>
              <w:fldChar w:fldCharType="begin"/>
            </w:r>
            <w:r w:rsidR="00A137ED">
              <w:rPr>
                <w:noProof/>
                <w:webHidden/>
              </w:rPr>
              <w:instrText xml:space="preserve"> PAGEREF _Toc425850346 \h </w:instrText>
            </w:r>
            <w:r w:rsidR="00A137ED">
              <w:rPr>
                <w:noProof/>
                <w:webHidden/>
              </w:rPr>
            </w:r>
            <w:r w:rsidR="00A137ED">
              <w:rPr>
                <w:noProof/>
                <w:webHidden/>
              </w:rPr>
              <w:fldChar w:fldCharType="separate"/>
            </w:r>
            <w:r>
              <w:rPr>
                <w:noProof/>
                <w:webHidden/>
              </w:rPr>
              <w:t>39</w:t>
            </w:r>
            <w:r w:rsidR="00A137ED">
              <w:rPr>
                <w:noProof/>
                <w:webHidden/>
              </w:rPr>
              <w:fldChar w:fldCharType="end"/>
            </w:r>
          </w:hyperlink>
        </w:p>
        <w:p w14:paraId="2FA375B9"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47" w:history="1">
            <w:r w:rsidR="00A137ED" w:rsidRPr="00466D85">
              <w:rPr>
                <w:rStyle w:val="Hyperlink"/>
                <w:noProof/>
              </w:rPr>
              <w:t>New South Wales</w:t>
            </w:r>
            <w:r w:rsidR="00A137ED">
              <w:rPr>
                <w:noProof/>
                <w:webHidden/>
              </w:rPr>
              <w:tab/>
            </w:r>
            <w:r w:rsidR="00A137ED">
              <w:rPr>
                <w:noProof/>
                <w:webHidden/>
              </w:rPr>
              <w:fldChar w:fldCharType="begin"/>
            </w:r>
            <w:r w:rsidR="00A137ED">
              <w:rPr>
                <w:noProof/>
                <w:webHidden/>
              </w:rPr>
              <w:instrText xml:space="preserve"> PAGEREF _Toc425850347 \h </w:instrText>
            </w:r>
            <w:r w:rsidR="00A137ED">
              <w:rPr>
                <w:noProof/>
                <w:webHidden/>
              </w:rPr>
            </w:r>
            <w:r w:rsidR="00A137ED">
              <w:rPr>
                <w:noProof/>
                <w:webHidden/>
              </w:rPr>
              <w:fldChar w:fldCharType="separate"/>
            </w:r>
            <w:r>
              <w:rPr>
                <w:noProof/>
                <w:webHidden/>
              </w:rPr>
              <w:t>39</w:t>
            </w:r>
            <w:r w:rsidR="00A137ED">
              <w:rPr>
                <w:noProof/>
                <w:webHidden/>
              </w:rPr>
              <w:fldChar w:fldCharType="end"/>
            </w:r>
          </w:hyperlink>
        </w:p>
        <w:p w14:paraId="2CE8018A"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48" w:history="1">
            <w:r w:rsidR="00A137ED" w:rsidRPr="00466D85">
              <w:rPr>
                <w:rStyle w:val="Hyperlink"/>
                <w:noProof/>
              </w:rPr>
              <w:t>Northern Territory</w:t>
            </w:r>
            <w:r w:rsidR="00A137ED">
              <w:rPr>
                <w:noProof/>
                <w:webHidden/>
              </w:rPr>
              <w:tab/>
            </w:r>
            <w:r w:rsidR="00A137ED">
              <w:rPr>
                <w:noProof/>
                <w:webHidden/>
              </w:rPr>
              <w:fldChar w:fldCharType="begin"/>
            </w:r>
            <w:r w:rsidR="00A137ED">
              <w:rPr>
                <w:noProof/>
                <w:webHidden/>
              </w:rPr>
              <w:instrText xml:space="preserve"> PAGEREF _Toc425850348 \h </w:instrText>
            </w:r>
            <w:r w:rsidR="00A137ED">
              <w:rPr>
                <w:noProof/>
                <w:webHidden/>
              </w:rPr>
            </w:r>
            <w:r w:rsidR="00A137ED">
              <w:rPr>
                <w:noProof/>
                <w:webHidden/>
              </w:rPr>
              <w:fldChar w:fldCharType="separate"/>
            </w:r>
            <w:r>
              <w:rPr>
                <w:noProof/>
                <w:webHidden/>
              </w:rPr>
              <w:t>40</w:t>
            </w:r>
            <w:r w:rsidR="00A137ED">
              <w:rPr>
                <w:noProof/>
                <w:webHidden/>
              </w:rPr>
              <w:fldChar w:fldCharType="end"/>
            </w:r>
          </w:hyperlink>
        </w:p>
        <w:p w14:paraId="5B8FE1F9"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49" w:history="1">
            <w:r w:rsidR="00A137ED" w:rsidRPr="00466D85">
              <w:rPr>
                <w:rStyle w:val="Hyperlink"/>
                <w:noProof/>
              </w:rPr>
              <w:t>Queensland</w:t>
            </w:r>
            <w:r w:rsidR="00A137ED">
              <w:rPr>
                <w:noProof/>
                <w:webHidden/>
              </w:rPr>
              <w:tab/>
            </w:r>
            <w:r w:rsidR="00A137ED">
              <w:rPr>
                <w:noProof/>
                <w:webHidden/>
              </w:rPr>
              <w:fldChar w:fldCharType="begin"/>
            </w:r>
            <w:r w:rsidR="00A137ED">
              <w:rPr>
                <w:noProof/>
                <w:webHidden/>
              </w:rPr>
              <w:instrText xml:space="preserve"> PAGEREF _Toc425850349 \h </w:instrText>
            </w:r>
            <w:r w:rsidR="00A137ED">
              <w:rPr>
                <w:noProof/>
                <w:webHidden/>
              </w:rPr>
            </w:r>
            <w:r w:rsidR="00A137ED">
              <w:rPr>
                <w:noProof/>
                <w:webHidden/>
              </w:rPr>
              <w:fldChar w:fldCharType="separate"/>
            </w:r>
            <w:r>
              <w:rPr>
                <w:noProof/>
                <w:webHidden/>
              </w:rPr>
              <w:t>40</w:t>
            </w:r>
            <w:r w:rsidR="00A137ED">
              <w:rPr>
                <w:noProof/>
                <w:webHidden/>
              </w:rPr>
              <w:fldChar w:fldCharType="end"/>
            </w:r>
          </w:hyperlink>
        </w:p>
        <w:p w14:paraId="39DCFB4D"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50" w:history="1">
            <w:r w:rsidR="00A137ED" w:rsidRPr="00466D85">
              <w:rPr>
                <w:rStyle w:val="Hyperlink"/>
                <w:noProof/>
              </w:rPr>
              <w:t>South Australia</w:t>
            </w:r>
            <w:r w:rsidR="00A137ED">
              <w:rPr>
                <w:noProof/>
                <w:webHidden/>
              </w:rPr>
              <w:tab/>
            </w:r>
            <w:r w:rsidR="00A137ED">
              <w:rPr>
                <w:noProof/>
                <w:webHidden/>
              </w:rPr>
              <w:fldChar w:fldCharType="begin"/>
            </w:r>
            <w:r w:rsidR="00A137ED">
              <w:rPr>
                <w:noProof/>
                <w:webHidden/>
              </w:rPr>
              <w:instrText xml:space="preserve"> PAGEREF _Toc425850350 \h </w:instrText>
            </w:r>
            <w:r w:rsidR="00A137ED">
              <w:rPr>
                <w:noProof/>
                <w:webHidden/>
              </w:rPr>
            </w:r>
            <w:r w:rsidR="00A137ED">
              <w:rPr>
                <w:noProof/>
                <w:webHidden/>
              </w:rPr>
              <w:fldChar w:fldCharType="separate"/>
            </w:r>
            <w:r>
              <w:rPr>
                <w:noProof/>
                <w:webHidden/>
              </w:rPr>
              <w:t>41</w:t>
            </w:r>
            <w:r w:rsidR="00A137ED">
              <w:rPr>
                <w:noProof/>
                <w:webHidden/>
              </w:rPr>
              <w:fldChar w:fldCharType="end"/>
            </w:r>
          </w:hyperlink>
        </w:p>
        <w:p w14:paraId="6DA19DC0"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51" w:history="1">
            <w:r w:rsidR="00A137ED" w:rsidRPr="00466D85">
              <w:rPr>
                <w:rStyle w:val="Hyperlink"/>
                <w:noProof/>
              </w:rPr>
              <w:t>Tasmania</w:t>
            </w:r>
            <w:r w:rsidR="00A137ED">
              <w:rPr>
                <w:noProof/>
                <w:webHidden/>
              </w:rPr>
              <w:tab/>
            </w:r>
            <w:r w:rsidR="00A137ED">
              <w:rPr>
                <w:noProof/>
                <w:webHidden/>
              </w:rPr>
              <w:fldChar w:fldCharType="begin"/>
            </w:r>
            <w:r w:rsidR="00A137ED">
              <w:rPr>
                <w:noProof/>
                <w:webHidden/>
              </w:rPr>
              <w:instrText xml:space="preserve"> PAGEREF _Toc425850351 \h </w:instrText>
            </w:r>
            <w:r w:rsidR="00A137ED">
              <w:rPr>
                <w:noProof/>
                <w:webHidden/>
              </w:rPr>
            </w:r>
            <w:r w:rsidR="00A137ED">
              <w:rPr>
                <w:noProof/>
                <w:webHidden/>
              </w:rPr>
              <w:fldChar w:fldCharType="separate"/>
            </w:r>
            <w:r>
              <w:rPr>
                <w:noProof/>
                <w:webHidden/>
              </w:rPr>
              <w:t>42</w:t>
            </w:r>
            <w:r w:rsidR="00A137ED">
              <w:rPr>
                <w:noProof/>
                <w:webHidden/>
              </w:rPr>
              <w:fldChar w:fldCharType="end"/>
            </w:r>
          </w:hyperlink>
        </w:p>
        <w:p w14:paraId="6C2DB45A"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52" w:history="1">
            <w:r w:rsidR="00A137ED" w:rsidRPr="00466D85">
              <w:rPr>
                <w:rStyle w:val="Hyperlink"/>
                <w:noProof/>
              </w:rPr>
              <w:t>Western Australia</w:t>
            </w:r>
            <w:r w:rsidR="00A137ED">
              <w:rPr>
                <w:noProof/>
                <w:webHidden/>
              </w:rPr>
              <w:tab/>
            </w:r>
            <w:r w:rsidR="00A137ED">
              <w:rPr>
                <w:noProof/>
                <w:webHidden/>
              </w:rPr>
              <w:fldChar w:fldCharType="begin"/>
            </w:r>
            <w:r w:rsidR="00A137ED">
              <w:rPr>
                <w:noProof/>
                <w:webHidden/>
              </w:rPr>
              <w:instrText xml:space="preserve"> PAGEREF _Toc425850352 \h </w:instrText>
            </w:r>
            <w:r w:rsidR="00A137ED">
              <w:rPr>
                <w:noProof/>
                <w:webHidden/>
              </w:rPr>
            </w:r>
            <w:r w:rsidR="00A137ED">
              <w:rPr>
                <w:noProof/>
                <w:webHidden/>
              </w:rPr>
              <w:fldChar w:fldCharType="separate"/>
            </w:r>
            <w:r>
              <w:rPr>
                <w:noProof/>
                <w:webHidden/>
              </w:rPr>
              <w:t>42</w:t>
            </w:r>
            <w:r w:rsidR="00A137ED">
              <w:rPr>
                <w:noProof/>
                <w:webHidden/>
              </w:rPr>
              <w:fldChar w:fldCharType="end"/>
            </w:r>
          </w:hyperlink>
        </w:p>
        <w:p w14:paraId="306CC639" w14:textId="77777777" w:rsidR="00A137ED" w:rsidRDefault="009A25DE" w:rsidP="00A137ED">
          <w:pPr>
            <w:pStyle w:val="TOC2"/>
            <w:rPr>
              <w:rFonts w:asciiTheme="minorHAnsi" w:hAnsiTheme="minorHAnsi"/>
              <w:noProof/>
              <w:sz w:val="22"/>
              <w:szCs w:val="22"/>
              <w:lang w:val="en-AU" w:eastAsia="en-AU"/>
            </w:rPr>
          </w:pPr>
          <w:hyperlink w:anchor="_Toc425850353" w:history="1">
            <w:r w:rsidR="00A137ED" w:rsidRPr="00466D85">
              <w:rPr>
                <w:rStyle w:val="Hyperlink"/>
                <w:noProof/>
              </w:rPr>
              <w:t>Concluding Observation 33 - Promotion and Protection of Indigenous Culture</w:t>
            </w:r>
            <w:r w:rsidR="00A137ED">
              <w:rPr>
                <w:noProof/>
                <w:webHidden/>
              </w:rPr>
              <w:tab/>
            </w:r>
            <w:r w:rsidR="00A137ED">
              <w:rPr>
                <w:noProof/>
                <w:webHidden/>
              </w:rPr>
              <w:fldChar w:fldCharType="begin"/>
            </w:r>
            <w:r w:rsidR="00A137ED">
              <w:rPr>
                <w:noProof/>
                <w:webHidden/>
              </w:rPr>
              <w:instrText xml:space="preserve"> PAGEREF _Toc425850353 \h </w:instrText>
            </w:r>
            <w:r w:rsidR="00A137ED">
              <w:rPr>
                <w:noProof/>
                <w:webHidden/>
              </w:rPr>
            </w:r>
            <w:r w:rsidR="00A137ED">
              <w:rPr>
                <w:noProof/>
                <w:webHidden/>
              </w:rPr>
              <w:fldChar w:fldCharType="separate"/>
            </w:r>
            <w:r>
              <w:rPr>
                <w:noProof/>
                <w:webHidden/>
              </w:rPr>
              <w:t>42</w:t>
            </w:r>
            <w:r w:rsidR="00A137ED">
              <w:rPr>
                <w:noProof/>
                <w:webHidden/>
              </w:rPr>
              <w:fldChar w:fldCharType="end"/>
            </w:r>
          </w:hyperlink>
        </w:p>
        <w:p w14:paraId="57FD5757" w14:textId="77777777" w:rsidR="00A137ED" w:rsidRDefault="009A25DE" w:rsidP="00A137ED">
          <w:pPr>
            <w:pStyle w:val="TOC3"/>
            <w:tabs>
              <w:tab w:val="right" w:leader="dot" w:pos="9628"/>
            </w:tabs>
            <w:jc w:val="left"/>
            <w:rPr>
              <w:rFonts w:asciiTheme="minorHAnsi" w:hAnsiTheme="minorHAnsi"/>
              <w:noProof/>
              <w:sz w:val="22"/>
              <w:szCs w:val="22"/>
              <w:lang w:val="en-AU" w:eastAsia="en-AU"/>
            </w:rPr>
          </w:pPr>
          <w:hyperlink w:anchor="_Toc425850354" w:history="1">
            <w:r w:rsidR="00A137ED" w:rsidRPr="00466D85">
              <w:rPr>
                <w:rStyle w:val="Hyperlink"/>
                <w:noProof/>
              </w:rPr>
              <w:t>Indigenous Culture</w:t>
            </w:r>
            <w:r w:rsidR="00A137ED">
              <w:rPr>
                <w:noProof/>
                <w:webHidden/>
              </w:rPr>
              <w:tab/>
            </w:r>
            <w:r w:rsidR="00A137ED">
              <w:rPr>
                <w:noProof/>
                <w:webHidden/>
              </w:rPr>
              <w:fldChar w:fldCharType="begin"/>
            </w:r>
            <w:r w:rsidR="00A137ED">
              <w:rPr>
                <w:noProof/>
                <w:webHidden/>
              </w:rPr>
              <w:instrText xml:space="preserve"> PAGEREF _Toc425850354 \h </w:instrText>
            </w:r>
            <w:r w:rsidR="00A137ED">
              <w:rPr>
                <w:noProof/>
                <w:webHidden/>
              </w:rPr>
            </w:r>
            <w:r w:rsidR="00A137ED">
              <w:rPr>
                <w:noProof/>
                <w:webHidden/>
              </w:rPr>
              <w:fldChar w:fldCharType="separate"/>
            </w:r>
            <w:r>
              <w:rPr>
                <w:noProof/>
                <w:webHidden/>
              </w:rPr>
              <w:t>42</w:t>
            </w:r>
            <w:r w:rsidR="00A137ED">
              <w:rPr>
                <w:noProof/>
                <w:webHidden/>
              </w:rPr>
              <w:fldChar w:fldCharType="end"/>
            </w:r>
          </w:hyperlink>
        </w:p>
        <w:p w14:paraId="2D0C8E41"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55" w:history="1">
            <w:r w:rsidR="00A137ED" w:rsidRPr="00466D85">
              <w:rPr>
                <w:rStyle w:val="Hyperlink"/>
                <w:noProof/>
              </w:rPr>
              <w:t>New South Wales</w:t>
            </w:r>
            <w:r w:rsidR="00A137ED">
              <w:rPr>
                <w:noProof/>
                <w:webHidden/>
              </w:rPr>
              <w:tab/>
            </w:r>
            <w:r w:rsidR="00A137ED">
              <w:rPr>
                <w:noProof/>
                <w:webHidden/>
              </w:rPr>
              <w:fldChar w:fldCharType="begin"/>
            </w:r>
            <w:r w:rsidR="00A137ED">
              <w:rPr>
                <w:noProof/>
                <w:webHidden/>
              </w:rPr>
              <w:instrText xml:space="preserve"> PAGEREF _Toc425850355 \h </w:instrText>
            </w:r>
            <w:r w:rsidR="00A137ED">
              <w:rPr>
                <w:noProof/>
                <w:webHidden/>
              </w:rPr>
            </w:r>
            <w:r w:rsidR="00A137ED">
              <w:rPr>
                <w:noProof/>
                <w:webHidden/>
              </w:rPr>
              <w:fldChar w:fldCharType="separate"/>
            </w:r>
            <w:r>
              <w:rPr>
                <w:noProof/>
                <w:webHidden/>
              </w:rPr>
              <w:t>42</w:t>
            </w:r>
            <w:r w:rsidR="00A137ED">
              <w:rPr>
                <w:noProof/>
                <w:webHidden/>
              </w:rPr>
              <w:fldChar w:fldCharType="end"/>
            </w:r>
          </w:hyperlink>
        </w:p>
        <w:p w14:paraId="55BA31CC"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56" w:history="1">
            <w:r w:rsidR="00A137ED" w:rsidRPr="00466D85">
              <w:rPr>
                <w:rStyle w:val="Hyperlink"/>
                <w:noProof/>
              </w:rPr>
              <w:t>Northern Territory</w:t>
            </w:r>
            <w:r w:rsidR="00A137ED">
              <w:rPr>
                <w:noProof/>
                <w:webHidden/>
              </w:rPr>
              <w:tab/>
            </w:r>
            <w:r w:rsidR="00A137ED">
              <w:rPr>
                <w:noProof/>
                <w:webHidden/>
              </w:rPr>
              <w:fldChar w:fldCharType="begin"/>
            </w:r>
            <w:r w:rsidR="00A137ED">
              <w:rPr>
                <w:noProof/>
                <w:webHidden/>
              </w:rPr>
              <w:instrText xml:space="preserve"> PAGEREF _Toc425850356 \h </w:instrText>
            </w:r>
            <w:r w:rsidR="00A137ED">
              <w:rPr>
                <w:noProof/>
                <w:webHidden/>
              </w:rPr>
            </w:r>
            <w:r w:rsidR="00A137ED">
              <w:rPr>
                <w:noProof/>
                <w:webHidden/>
              </w:rPr>
              <w:fldChar w:fldCharType="separate"/>
            </w:r>
            <w:r>
              <w:rPr>
                <w:noProof/>
                <w:webHidden/>
              </w:rPr>
              <w:t>42</w:t>
            </w:r>
            <w:r w:rsidR="00A137ED">
              <w:rPr>
                <w:noProof/>
                <w:webHidden/>
              </w:rPr>
              <w:fldChar w:fldCharType="end"/>
            </w:r>
          </w:hyperlink>
        </w:p>
        <w:p w14:paraId="6315454F"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57" w:history="1">
            <w:r w:rsidR="00A137ED" w:rsidRPr="00466D85">
              <w:rPr>
                <w:rStyle w:val="Hyperlink"/>
                <w:noProof/>
              </w:rPr>
              <w:t>Queensland</w:t>
            </w:r>
            <w:r w:rsidR="00A137ED">
              <w:rPr>
                <w:noProof/>
                <w:webHidden/>
              </w:rPr>
              <w:tab/>
            </w:r>
            <w:r w:rsidR="00A137ED">
              <w:rPr>
                <w:noProof/>
                <w:webHidden/>
              </w:rPr>
              <w:fldChar w:fldCharType="begin"/>
            </w:r>
            <w:r w:rsidR="00A137ED">
              <w:rPr>
                <w:noProof/>
                <w:webHidden/>
              </w:rPr>
              <w:instrText xml:space="preserve"> PAGEREF _Toc425850357 \h </w:instrText>
            </w:r>
            <w:r w:rsidR="00A137ED">
              <w:rPr>
                <w:noProof/>
                <w:webHidden/>
              </w:rPr>
            </w:r>
            <w:r w:rsidR="00A137ED">
              <w:rPr>
                <w:noProof/>
                <w:webHidden/>
              </w:rPr>
              <w:fldChar w:fldCharType="separate"/>
            </w:r>
            <w:r>
              <w:rPr>
                <w:noProof/>
                <w:webHidden/>
              </w:rPr>
              <w:t>42</w:t>
            </w:r>
            <w:r w:rsidR="00A137ED">
              <w:rPr>
                <w:noProof/>
                <w:webHidden/>
              </w:rPr>
              <w:fldChar w:fldCharType="end"/>
            </w:r>
          </w:hyperlink>
        </w:p>
        <w:p w14:paraId="4210DE9C"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58" w:history="1">
            <w:r w:rsidR="00A137ED" w:rsidRPr="00466D85">
              <w:rPr>
                <w:rStyle w:val="Hyperlink"/>
                <w:noProof/>
              </w:rPr>
              <w:t>Western Australia</w:t>
            </w:r>
            <w:r w:rsidR="00A137ED">
              <w:rPr>
                <w:noProof/>
                <w:webHidden/>
              </w:rPr>
              <w:tab/>
            </w:r>
            <w:r w:rsidR="00A137ED">
              <w:rPr>
                <w:noProof/>
                <w:webHidden/>
              </w:rPr>
              <w:fldChar w:fldCharType="begin"/>
            </w:r>
            <w:r w:rsidR="00A137ED">
              <w:rPr>
                <w:noProof/>
                <w:webHidden/>
              </w:rPr>
              <w:instrText xml:space="preserve"> PAGEREF _Toc425850358 \h </w:instrText>
            </w:r>
            <w:r w:rsidR="00A137ED">
              <w:rPr>
                <w:noProof/>
                <w:webHidden/>
              </w:rPr>
            </w:r>
            <w:r w:rsidR="00A137ED">
              <w:rPr>
                <w:noProof/>
                <w:webHidden/>
              </w:rPr>
              <w:fldChar w:fldCharType="separate"/>
            </w:r>
            <w:r>
              <w:rPr>
                <w:noProof/>
                <w:webHidden/>
              </w:rPr>
              <w:t>43</w:t>
            </w:r>
            <w:r w:rsidR="00A137ED">
              <w:rPr>
                <w:noProof/>
                <w:webHidden/>
              </w:rPr>
              <w:fldChar w:fldCharType="end"/>
            </w:r>
          </w:hyperlink>
        </w:p>
        <w:p w14:paraId="1C38EAA1" w14:textId="77777777" w:rsidR="00A137ED" w:rsidRDefault="009A25DE" w:rsidP="00A137ED">
          <w:pPr>
            <w:pStyle w:val="TOC3"/>
            <w:tabs>
              <w:tab w:val="right" w:leader="dot" w:pos="9628"/>
            </w:tabs>
            <w:jc w:val="left"/>
            <w:rPr>
              <w:rFonts w:asciiTheme="minorHAnsi" w:hAnsiTheme="minorHAnsi"/>
              <w:noProof/>
              <w:sz w:val="22"/>
              <w:szCs w:val="22"/>
              <w:lang w:val="en-AU" w:eastAsia="en-AU"/>
            </w:rPr>
          </w:pPr>
          <w:hyperlink w:anchor="_Toc425850359" w:history="1">
            <w:r w:rsidR="00A137ED" w:rsidRPr="00466D85">
              <w:rPr>
                <w:rStyle w:val="Hyperlink"/>
                <w:noProof/>
                <w:lang w:eastAsia="en-US"/>
              </w:rPr>
              <w:t>Protecting Indigenous Cultural and Traditional Knowledge</w:t>
            </w:r>
            <w:r w:rsidR="00A137ED">
              <w:rPr>
                <w:noProof/>
                <w:webHidden/>
              </w:rPr>
              <w:tab/>
            </w:r>
            <w:r w:rsidR="00A137ED">
              <w:rPr>
                <w:noProof/>
                <w:webHidden/>
              </w:rPr>
              <w:fldChar w:fldCharType="begin"/>
            </w:r>
            <w:r w:rsidR="00A137ED">
              <w:rPr>
                <w:noProof/>
                <w:webHidden/>
              </w:rPr>
              <w:instrText xml:space="preserve"> PAGEREF _Toc425850359 \h </w:instrText>
            </w:r>
            <w:r w:rsidR="00A137ED">
              <w:rPr>
                <w:noProof/>
                <w:webHidden/>
              </w:rPr>
            </w:r>
            <w:r w:rsidR="00A137ED">
              <w:rPr>
                <w:noProof/>
                <w:webHidden/>
              </w:rPr>
              <w:fldChar w:fldCharType="separate"/>
            </w:r>
            <w:r>
              <w:rPr>
                <w:noProof/>
                <w:webHidden/>
              </w:rPr>
              <w:t>43</w:t>
            </w:r>
            <w:r w:rsidR="00A137ED">
              <w:rPr>
                <w:noProof/>
                <w:webHidden/>
              </w:rPr>
              <w:fldChar w:fldCharType="end"/>
            </w:r>
          </w:hyperlink>
        </w:p>
        <w:p w14:paraId="4E8DE1CD"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60" w:history="1">
            <w:r w:rsidR="00A137ED" w:rsidRPr="00466D85">
              <w:rPr>
                <w:rStyle w:val="Hyperlink"/>
                <w:noProof/>
              </w:rPr>
              <w:t>Australian Capital Territory</w:t>
            </w:r>
            <w:r w:rsidR="00A137ED">
              <w:rPr>
                <w:noProof/>
                <w:webHidden/>
              </w:rPr>
              <w:tab/>
            </w:r>
            <w:r w:rsidR="00A137ED">
              <w:rPr>
                <w:noProof/>
                <w:webHidden/>
              </w:rPr>
              <w:fldChar w:fldCharType="begin"/>
            </w:r>
            <w:r w:rsidR="00A137ED">
              <w:rPr>
                <w:noProof/>
                <w:webHidden/>
              </w:rPr>
              <w:instrText xml:space="preserve"> PAGEREF _Toc425850360 \h </w:instrText>
            </w:r>
            <w:r w:rsidR="00A137ED">
              <w:rPr>
                <w:noProof/>
                <w:webHidden/>
              </w:rPr>
            </w:r>
            <w:r w:rsidR="00A137ED">
              <w:rPr>
                <w:noProof/>
                <w:webHidden/>
              </w:rPr>
              <w:fldChar w:fldCharType="separate"/>
            </w:r>
            <w:r>
              <w:rPr>
                <w:noProof/>
                <w:webHidden/>
              </w:rPr>
              <w:t>43</w:t>
            </w:r>
            <w:r w:rsidR="00A137ED">
              <w:rPr>
                <w:noProof/>
                <w:webHidden/>
              </w:rPr>
              <w:fldChar w:fldCharType="end"/>
            </w:r>
          </w:hyperlink>
        </w:p>
        <w:p w14:paraId="341C61F8" w14:textId="77777777" w:rsidR="00A137ED" w:rsidRDefault="009A25DE" w:rsidP="00A137ED">
          <w:pPr>
            <w:pStyle w:val="TOC2"/>
            <w:rPr>
              <w:rFonts w:asciiTheme="minorHAnsi" w:hAnsiTheme="minorHAnsi"/>
              <w:noProof/>
              <w:sz w:val="22"/>
              <w:szCs w:val="22"/>
              <w:lang w:val="en-AU" w:eastAsia="en-AU"/>
            </w:rPr>
          </w:pPr>
          <w:hyperlink w:anchor="_Toc425850361" w:history="1">
            <w:r w:rsidR="00A137ED" w:rsidRPr="00466D85">
              <w:rPr>
                <w:rStyle w:val="Hyperlink"/>
                <w:noProof/>
                <w:lang w:eastAsia="en-US"/>
              </w:rPr>
              <w:t>Concluding Observation 34 - Human Rights Education</w:t>
            </w:r>
            <w:r w:rsidR="00A137ED">
              <w:rPr>
                <w:noProof/>
                <w:webHidden/>
              </w:rPr>
              <w:tab/>
            </w:r>
            <w:r w:rsidR="00A137ED">
              <w:rPr>
                <w:noProof/>
                <w:webHidden/>
              </w:rPr>
              <w:fldChar w:fldCharType="begin"/>
            </w:r>
            <w:r w:rsidR="00A137ED">
              <w:rPr>
                <w:noProof/>
                <w:webHidden/>
              </w:rPr>
              <w:instrText xml:space="preserve"> PAGEREF _Toc425850361 \h </w:instrText>
            </w:r>
            <w:r w:rsidR="00A137ED">
              <w:rPr>
                <w:noProof/>
                <w:webHidden/>
              </w:rPr>
            </w:r>
            <w:r w:rsidR="00A137ED">
              <w:rPr>
                <w:noProof/>
                <w:webHidden/>
              </w:rPr>
              <w:fldChar w:fldCharType="separate"/>
            </w:r>
            <w:r>
              <w:rPr>
                <w:noProof/>
                <w:webHidden/>
              </w:rPr>
              <w:t>44</w:t>
            </w:r>
            <w:r w:rsidR="00A137ED">
              <w:rPr>
                <w:noProof/>
                <w:webHidden/>
              </w:rPr>
              <w:fldChar w:fldCharType="end"/>
            </w:r>
          </w:hyperlink>
        </w:p>
        <w:p w14:paraId="3FE74188"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62" w:history="1">
            <w:r w:rsidR="00A137ED" w:rsidRPr="00466D85">
              <w:rPr>
                <w:rStyle w:val="Hyperlink"/>
                <w:noProof/>
              </w:rPr>
              <w:t>Australian Capital Territory</w:t>
            </w:r>
            <w:r w:rsidR="00A137ED">
              <w:rPr>
                <w:noProof/>
                <w:webHidden/>
              </w:rPr>
              <w:tab/>
            </w:r>
            <w:r w:rsidR="00A137ED">
              <w:rPr>
                <w:noProof/>
                <w:webHidden/>
              </w:rPr>
              <w:fldChar w:fldCharType="begin"/>
            </w:r>
            <w:r w:rsidR="00A137ED">
              <w:rPr>
                <w:noProof/>
                <w:webHidden/>
              </w:rPr>
              <w:instrText xml:space="preserve"> PAGEREF _Toc425850362 \h </w:instrText>
            </w:r>
            <w:r w:rsidR="00A137ED">
              <w:rPr>
                <w:noProof/>
                <w:webHidden/>
              </w:rPr>
            </w:r>
            <w:r w:rsidR="00A137ED">
              <w:rPr>
                <w:noProof/>
                <w:webHidden/>
              </w:rPr>
              <w:fldChar w:fldCharType="separate"/>
            </w:r>
            <w:r>
              <w:rPr>
                <w:noProof/>
                <w:webHidden/>
              </w:rPr>
              <w:t>44</w:t>
            </w:r>
            <w:r w:rsidR="00A137ED">
              <w:rPr>
                <w:noProof/>
                <w:webHidden/>
              </w:rPr>
              <w:fldChar w:fldCharType="end"/>
            </w:r>
          </w:hyperlink>
        </w:p>
        <w:p w14:paraId="25C9E177"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63" w:history="1">
            <w:r w:rsidR="00A137ED" w:rsidRPr="00466D85">
              <w:rPr>
                <w:rStyle w:val="Hyperlink"/>
                <w:noProof/>
              </w:rPr>
              <w:t>New South Wales</w:t>
            </w:r>
            <w:r w:rsidR="00A137ED">
              <w:rPr>
                <w:noProof/>
                <w:webHidden/>
              </w:rPr>
              <w:tab/>
            </w:r>
            <w:r w:rsidR="00A137ED">
              <w:rPr>
                <w:noProof/>
                <w:webHidden/>
              </w:rPr>
              <w:fldChar w:fldCharType="begin"/>
            </w:r>
            <w:r w:rsidR="00A137ED">
              <w:rPr>
                <w:noProof/>
                <w:webHidden/>
              </w:rPr>
              <w:instrText xml:space="preserve"> PAGEREF _Toc425850363 \h </w:instrText>
            </w:r>
            <w:r w:rsidR="00A137ED">
              <w:rPr>
                <w:noProof/>
                <w:webHidden/>
              </w:rPr>
            </w:r>
            <w:r w:rsidR="00A137ED">
              <w:rPr>
                <w:noProof/>
                <w:webHidden/>
              </w:rPr>
              <w:fldChar w:fldCharType="separate"/>
            </w:r>
            <w:r>
              <w:rPr>
                <w:noProof/>
                <w:webHidden/>
              </w:rPr>
              <w:t>44</w:t>
            </w:r>
            <w:r w:rsidR="00A137ED">
              <w:rPr>
                <w:noProof/>
                <w:webHidden/>
              </w:rPr>
              <w:fldChar w:fldCharType="end"/>
            </w:r>
          </w:hyperlink>
        </w:p>
        <w:p w14:paraId="4CDB4AA7"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64" w:history="1">
            <w:r w:rsidR="00A137ED" w:rsidRPr="00466D85">
              <w:rPr>
                <w:rStyle w:val="Hyperlink"/>
                <w:noProof/>
              </w:rPr>
              <w:t>Northern Territory</w:t>
            </w:r>
            <w:r w:rsidR="00A137ED">
              <w:rPr>
                <w:noProof/>
                <w:webHidden/>
              </w:rPr>
              <w:tab/>
            </w:r>
            <w:r w:rsidR="00A137ED">
              <w:rPr>
                <w:noProof/>
                <w:webHidden/>
              </w:rPr>
              <w:fldChar w:fldCharType="begin"/>
            </w:r>
            <w:r w:rsidR="00A137ED">
              <w:rPr>
                <w:noProof/>
                <w:webHidden/>
              </w:rPr>
              <w:instrText xml:space="preserve"> PAGEREF _Toc425850364 \h </w:instrText>
            </w:r>
            <w:r w:rsidR="00A137ED">
              <w:rPr>
                <w:noProof/>
                <w:webHidden/>
              </w:rPr>
            </w:r>
            <w:r w:rsidR="00A137ED">
              <w:rPr>
                <w:noProof/>
                <w:webHidden/>
              </w:rPr>
              <w:fldChar w:fldCharType="separate"/>
            </w:r>
            <w:r>
              <w:rPr>
                <w:noProof/>
                <w:webHidden/>
              </w:rPr>
              <w:t>44</w:t>
            </w:r>
            <w:r w:rsidR="00A137ED">
              <w:rPr>
                <w:noProof/>
                <w:webHidden/>
              </w:rPr>
              <w:fldChar w:fldCharType="end"/>
            </w:r>
          </w:hyperlink>
        </w:p>
        <w:p w14:paraId="13CBB9E5"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65" w:history="1">
            <w:r w:rsidR="00A137ED" w:rsidRPr="00466D85">
              <w:rPr>
                <w:rStyle w:val="Hyperlink"/>
                <w:noProof/>
              </w:rPr>
              <w:t>Queensland</w:t>
            </w:r>
            <w:r w:rsidR="00A137ED">
              <w:rPr>
                <w:noProof/>
                <w:webHidden/>
              </w:rPr>
              <w:tab/>
            </w:r>
            <w:r w:rsidR="00A137ED">
              <w:rPr>
                <w:noProof/>
                <w:webHidden/>
              </w:rPr>
              <w:fldChar w:fldCharType="begin"/>
            </w:r>
            <w:r w:rsidR="00A137ED">
              <w:rPr>
                <w:noProof/>
                <w:webHidden/>
              </w:rPr>
              <w:instrText xml:space="preserve"> PAGEREF _Toc425850365 \h </w:instrText>
            </w:r>
            <w:r w:rsidR="00A137ED">
              <w:rPr>
                <w:noProof/>
                <w:webHidden/>
              </w:rPr>
            </w:r>
            <w:r w:rsidR="00A137ED">
              <w:rPr>
                <w:noProof/>
                <w:webHidden/>
              </w:rPr>
              <w:fldChar w:fldCharType="separate"/>
            </w:r>
            <w:r>
              <w:rPr>
                <w:noProof/>
                <w:webHidden/>
              </w:rPr>
              <w:t>44</w:t>
            </w:r>
            <w:r w:rsidR="00A137ED">
              <w:rPr>
                <w:noProof/>
                <w:webHidden/>
              </w:rPr>
              <w:fldChar w:fldCharType="end"/>
            </w:r>
          </w:hyperlink>
        </w:p>
        <w:p w14:paraId="09A735C6"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66" w:history="1">
            <w:r w:rsidR="00A137ED" w:rsidRPr="00466D85">
              <w:rPr>
                <w:rStyle w:val="Hyperlink"/>
                <w:noProof/>
              </w:rPr>
              <w:t>Tasmania</w:t>
            </w:r>
            <w:r w:rsidR="00A137ED">
              <w:rPr>
                <w:noProof/>
                <w:webHidden/>
              </w:rPr>
              <w:tab/>
            </w:r>
            <w:r w:rsidR="00A137ED">
              <w:rPr>
                <w:noProof/>
                <w:webHidden/>
              </w:rPr>
              <w:fldChar w:fldCharType="begin"/>
            </w:r>
            <w:r w:rsidR="00A137ED">
              <w:rPr>
                <w:noProof/>
                <w:webHidden/>
              </w:rPr>
              <w:instrText xml:space="preserve"> PAGEREF _Toc425850366 \h </w:instrText>
            </w:r>
            <w:r w:rsidR="00A137ED">
              <w:rPr>
                <w:noProof/>
                <w:webHidden/>
              </w:rPr>
            </w:r>
            <w:r w:rsidR="00A137ED">
              <w:rPr>
                <w:noProof/>
                <w:webHidden/>
              </w:rPr>
              <w:fldChar w:fldCharType="separate"/>
            </w:r>
            <w:r>
              <w:rPr>
                <w:noProof/>
                <w:webHidden/>
              </w:rPr>
              <w:t>45</w:t>
            </w:r>
            <w:r w:rsidR="00A137ED">
              <w:rPr>
                <w:noProof/>
                <w:webHidden/>
              </w:rPr>
              <w:fldChar w:fldCharType="end"/>
            </w:r>
          </w:hyperlink>
        </w:p>
        <w:p w14:paraId="6EC6AD84" w14:textId="77777777" w:rsidR="00A137ED" w:rsidRDefault="009A25DE" w:rsidP="00A137ED">
          <w:pPr>
            <w:pStyle w:val="TOC4"/>
            <w:tabs>
              <w:tab w:val="right" w:leader="dot" w:pos="9628"/>
            </w:tabs>
            <w:jc w:val="left"/>
            <w:rPr>
              <w:rFonts w:asciiTheme="minorHAnsi" w:hAnsiTheme="minorHAnsi"/>
              <w:noProof/>
              <w:sz w:val="22"/>
              <w:szCs w:val="22"/>
              <w:lang w:val="en-AU" w:eastAsia="en-AU"/>
            </w:rPr>
          </w:pPr>
          <w:hyperlink w:anchor="_Toc425850367" w:history="1">
            <w:r w:rsidR="00A137ED" w:rsidRPr="00466D85">
              <w:rPr>
                <w:rStyle w:val="Hyperlink"/>
                <w:noProof/>
              </w:rPr>
              <w:t>Western Australia</w:t>
            </w:r>
            <w:r w:rsidR="00A137ED">
              <w:rPr>
                <w:noProof/>
                <w:webHidden/>
              </w:rPr>
              <w:tab/>
            </w:r>
            <w:r w:rsidR="00A137ED">
              <w:rPr>
                <w:noProof/>
                <w:webHidden/>
              </w:rPr>
              <w:fldChar w:fldCharType="begin"/>
            </w:r>
            <w:r w:rsidR="00A137ED">
              <w:rPr>
                <w:noProof/>
                <w:webHidden/>
              </w:rPr>
              <w:instrText xml:space="preserve"> PAGEREF _Toc425850367 \h </w:instrText>
            </w:r>
            <w:r w:rsidR="00A137ED">
              <w:rPr>
                <w:noProof/>
                <w:webHidden/>
              </w:rPr>
            </w:r>
            <w:r w:rsidR="00A137ED">
              <w:rPr>
                <w:noProof/>
                <w:webHidden/>
              </w:rPr>
              <w:fldChar w:fldCharType="separate"/>
            </w:r>
            <w:r>
              <w:rPr>
                <w:noProof/>
                <w:webHidden/>
              </w:rPr>
              <w:t>45</w:t>
            </w:r>
            <w:r w:rsidR="00A137ED">
              <w:rPr>
                <w:noProof/>
                <w:webHidden/>
              </w:rPr>
              <w:fldChar w:fldCharType="end"/>
            </w:r>
          </w:hyperlink>
        </w:p>
        <w:p w14:paraId="4592005B" w14:textId="67DAA6CA" w:rsidR="00D5679E" w:rsidRPr="002D3E45" w:rsidRDefault="003840AD" w:rsidP="00A137ED">
          <w:pPr>
            <w:jc w:val="left"/>
            <w:rPr>
              <w:lang w:val="en-AU"/>
            </w:rPr>
          </w:pPr>
          <w:r>
            <w:rPr>
              <w:rFonts w:ascii="Times New Roman" w:hAnsi="Times New Roman"/>
              <w:bCs/>
              <w:caps/>
              <w:sz w:val="23"/>
              <w:szCs w:val="22"/>
              <w:u w:val="single"/>
              <w:lang w:val="en-AU"/>
            </w:rPr>
            <w:fldChar w:fldCharType="end"/>
          </w:r>
        </w:p>
      </w:sdtContent>
    </w:sdt>
    <w:p w14:paraId="0D247C87" w14:textId="77777777" w:rsidR="00D5679E" w:rsidRPr="002D3E45" w:rsidRDefault="00D5679E">
      <w:pPr>
        <w:rPr>
          <w:lang w:val="en-AU"/>
        </w:rPr>
      </w:pPr>
      <w:r w:rsidRPr="002D3E45">
        <w:rPr>
          <w:lang w:val="en-AU"/>
        </w:rPr>
        <w:br w:type="page"/>
      </w:r>
    </w:p>
    <w:p w14:paraId="4BC9F5DF" w14:textId="77777777" w:rsidR="0001067E" w:rsidRPr="00B73DA7" w:rsidRDefault="0001067E" w:rsidP="009A14A4">
      <w:pPr>
        <w:pStyle w:val="HeadingMajor"/>
        <w:numPr>
          <w:ilvl w:val="0"/>
          <w:numId w:val="3"/>
        </w:numPr>
        <w:ind w:left="567"/>
        <w:rPr>
          <w:color w:val="1F497D" w:themeColor="text2"/>
        </w:rPr>
      </w:pPr>
      <w:bookmarkStart w:id="4" w:name="_Toc411502199"/>
      <w:bookmarkStart w:id="5" w:name="_Toc425850246"/>
      <w:bookmarkEnd w:id="4"/>
      <w:r w:rsidRPr="00B73DA7">
        <w:rPr>
          <w:color w:val="1F497D" w:themeColor="text2"/>
        </w:rPr>
        <w:lastRenderedPageBreak/>
        <w:t>Introduction</w:t>
      </w:r>
      <w:bookmarkEnd w:id="5"/>
      <w:r w:rsidR="0010249B" w:rsidRPr="00B73DA7">
        <w:rPr>
          <w:color w:val="1F497D" w:themeColor="text2"/>
        </w:rPr>
        <w:t xml:space="preserve"> </w:t>
      </w:r>
    </w:p>
    <w:p w14:paraId="1DEA5A02" w14:textId="70ABC8D1" w:rsidR="000A7A7E" w:rsidRPr="003840AD" w:rsidRDefault="000B1394" w:rsidP="003840AD">
      <w:pPr>
        <w:pStyle w:val="CERDHeadingMinor1"/>
        <w:rPr>
          <w:rStyle w:val="Strong"/>
          <w:b/>
          <w:bCs/>
        </w:rPr>
      </w:pPr>
      <w:bookmarkStart w:id="6" w:name="_Toc425850247"/>
      <w:r w:rsidRPr="003840AD">
        <w:rPr>
          <w:rStyle w:val="Strong"/>
          <w:b/>
          <w:bCs/>
        </w:rPr>
        <w:t>Purpose of this Appendix</w:t>
      </w:r>
      <w:bookmarkEnd w:id="6"/>
    </w:p>
    <w:p w14:paraId="51055327" w14:textId="50D428C7" w:rsidR="00520300" w:rsidRPr="00520300" w:rsidRDefault="00520300" w:rsidP="00520300">
      <w:pPr>
        <w:pStyle w:val="CERDBodyText1"/>
      </w:pPr>
      <w:bookmarkStart w:id="7" w:name="_Toc371326783"/>
      <w:r w:rsidRPr="00520300">
        <w:t>The Australian Government is pleased to present this Appendix to Australia’s fifth report under articles 16 and 17 of the International Covenant on Economic, Social and Cultural Rights (ICESCR)</w:t>
      </w:r>
    </w:p>
    <w:p w14:paraId="50F9A35E" w14:textId="77777777" w:rsidR="003840AD" w:rsidRPr="009A1FAE" w:rsidRDefault="003840AD" w:rsidP="000D31C3">
      <w:pPr>
        <w:pStyle w:val="CERDBodyText1"/>
      </w:pPr>
      <w:r w:rsidRPr="009A1FAE">
        <w:t>Australia has a federal constitutional system in which powers are shared between federal institutions and the six states (New South Wales, Victoria, Queensland, Western Australia, South Australia and Tasmania, and three self-governing territories (the Australian Capital Territory, the Northern Territory and the Territory of Norfolk Island). Further information about Australia’s political structure is available in part B of the common core document.</w:t>
      </w:r>
    </w:p>
    <w:p w14:paraId="1A8400E2" w14:textId="68CAEA08" w:rsidR="00246A22" w:rsidRPr="00CA366F" w:rsidRDefault="00246A22" w:rsidP="000D31C3">
      <w:pPr>
        <w:pStyle w:val="CERDBodyText1"/>
      </w:pPr>
      <w:r w:rsidRPr="00CA366F">
        <w:t xml:space="preserve">While the Australian Government is the State Party to the Covenant, state and territory governments </w:t>
      </w:r>
      <w:r w:rsidR="00A10E12" w:rsidRPr="00CA366F">
        <w:t>share</w:t>
      </w:r>
      <w:r w:rsidRPr="00CA366F">
        <w:t xml:space="preserve"> primary responsibility for </w:t>
      </w:r>
      <w:r w:rsidR="00A10E12" w:rsidRPr="00CA366F">
        <w:t>implementing Australia’s obligations under ICESCR</w:t>
      </w:r>
      <w:r w:rsidRPr="00CA366F">
        <w:t xml:space="preserve">. The Australian Government consulted state and territory governments in preparing this report. To provide a complete picture of progressive realisation of ICESCR rights over the reporting period, examples of state and territory policy and programming relevant to the concluding observations are included in this Appendix.  </w:t>
      </w:r>
    </w:p>
    <w:p w14:paraId="3F8E9A84" w14:textId="77777777" w:rsidR="000B1394" w:rsidRDefault="000B1394">
      <w:pPr>
        <w:rPr>
          <w:rFonts w:asciiTheme="majorHAnsi" w:eastAsiaTheme="majorEastAsia" w:hAnsiTheme="majorHAnsi" w:cs="Times New Roman"/>
          <w:b/>
          <w:bCs/>
          <w:i/>
          <w:sz w:val="26"/>
          <w:szCs w:val="26"/>
          <w:lang w:val="en-AU"/>
        </w:rPr>
      </w:pPr>
      <w:r>
        <w:br w:type="page"/>
      </w:r>
    </w:p>
    <w:p w14:paraId="465E187D" w14:textId="77777777" w:rsidR="00F3162E" w:rsidRPr="00B73DA7" w:rsidRDefault="00F3162E" w:rsidP="00F3162E">
      <w:pPr>
        <w:pStyle w:val="HeadingMajor"/>
        <w:numPr>
          <w:ilvl w:val="0"/>
          <w:numId w:val="3"/>
        </w:numPr>
        <w:ind w:left="567"/>
        <w:rPr>
          <w:color w:val="1F497D" w:themeColor="text2"/>
        </w:rPr>
      </w:pPr>
      <w:bookmarkStart w:id="8" w:name="_Toc420422216"/>
      <w:bookmarkStart w:id="9" w:name="_Toc425850248"/>
      <w:r w:rsidRPr="00B73DA7">
        <w:rPr>
          <w:color w:val="1F497D" w:themeColor="text2"/>
        </w:rPr>
        <w:lastRenderedPageBreak/>
        <w:t>Response to the concluding observations and recommendations of the Committee on Economic, Social and Cultural Rights</w:t>
      </w:r>
      <w:bookmarkEnd w:id="8"/>
      <w:bookmarkEnd w:id="9"/>
    </w:p>
    <w:p w14:paraId="0B115948" w14:textId="0BF333E0" w:rsidR="00332059" w:rsidRPr="00332059" w:rsidRDefault="00332059" w:rsidP="00332059">
      <w:pPr>
        <w:pStyle w:val="CERDHeadingMinor1"/>
        <w:rPr>
          <w:b w:val="0"/>
          <w:lang w:eastAsia="en-US"/>
        </w:rPr>
      </w:pPr>
      <w:bookmarkStart w:id="10" w:name="_Toc425850249"/>
      <w:bookmarkEnd w:id="7"/>
      <w:r w:rsidRPr="00332059">
        <w:rPr>
          <w:lang w:eastAsia="en-US"/>
        </w:rPr>
        <w:t xml:space="preserve">Concluding Observation 17 - </w:t>
      </w:r>
      <w:r w:rsidRPr="00332059">
        <w:rPr>
          <w:b w:val="0"/>
          <w:lang w:eastAsia="en-US"/>
        </w:rPr>
        <w:t xml:space="preserve">Gender </w:t>
      </w:r>
      <w:r w:rsidR="0088197E">
        <w:rPr>
          <w:b w:val="0"/>
          <w:lang w:eastAsia="en-US"/>
        </w:rPr>
        <w:t>G</w:t>
      </w:r>
      <w:r w:rsidRPr="00332059">
        <w:rPr>
          <w:b w:val="0"/>
          <w:lang w:eastAsia="en-US"/>
        </w:rPr>
        <w:t>ap</w:t>
      </w:r>
      <w:bookmarkEnd w:id="10"/>
    </w:p>
    <w:p w14:paraId="02B3B6F0" w14:textId="339AD81A" w:rsidR="00332059" w:rsidRPr="00332059" w:rsidRDefault="00332059" w:rsidP="000D31C3">
      <w:pPr>
        <w:pStyle w:val="CERDBoxTableHeading"/>
      </w:pPr>
      <w:bookmarkStart w:id="11" w:name="_Toc425850250"/>
      <w:r w:rsidRPr="00332059">
        <w:t>Australian Capital Territory</w:t>
      </w:r>
      <w:bookmarkEnd w:id="11"/>
    </w:p>
    <w:p w14:paraId="437DCD29" w14:textId="39BC1EF9" w:rsidR="00332059" w:rsidRPr="00CA366F" w:rsidRDefault="00332059" w:rsidP="000D31C3">
      <w:pPr>
        <w:pStyle w:val="CERDBodyText1"/>
      </w:pPr>
      <w:r w:rsidRPr="00CA366F">
        <w:t>The ACT Women’s Plan’s (2010</w:t>
      </w:r>
      <w:r w:rsidR="001F6C6C">
        <w:t>-</w:t>
      </w:r>
      <w:r w:rsidRPr="00CA366F">
        <w:t>2015) focuses on embedding an understanding of the different needs of women and girls, and of men and boys, into policy and practice to improve gender equity. One of the six objectives of the plan is around representation and leadership. To encourage a gender balance, all ACT Government directorates are required to consult with the ACT Office for Women when establishing or extending terms of boards and committees. All consultations must outline why a gender balance has not been met if this is the case.</w:t>
      </w:r>
    </w:p>
    <w:p w14:paraId="47568728" w14:textId="5B1FDF5D" w:rsidR="00FC1199" w:rsidRDefault="00FC1199" w:rsidP="000D31C3">
      <w:pPr>
        <w:pStyle w:val="CERDBoxTableHeading"/>
      </w:pPr>
      <w:bookmarkStart w:id="12" w:name="_Toc425850251"/>
      <w:r>
        <w:t>Queensland</w:t>
      </w:r>
      <w:bookmarkEnd w:id="12"/>
    </w:p>
    <w:p w14:paraId="6ED5B99F" w14:textId="77777777" w:rsidR="00FC1199" w:rsidRPr="00CA366F" w:rsidRDefault="00FC1199" w:rsidP="000D31C3">
      <w:pPr>
        <w:pStyle w:val="CERDBodyText1"/>
      </w:pPr>
      <w:r w:rsidRPr="00CA366F">
        <w:t>Having women in positions of leadership means that opportunities for competent, qualified women to contribute to the political and public life of the country are maximised. Queensland women have been appointed or elected to a range of key leadership positions in fields such as the judiciary, the public service and politics. As at February 2014, women comprise one-third of the 158 serving Queensland Judges and Magistrates. Within the Queensland judiciary, women currently hold a number of senior positions, including President of the Court of Appeal Division in the Supreme Court and Chief Judge of the District Court. Women represent 28.8% of local government councillors and 16.9% of mayors as at February 2014. As at 30 June 2014, in the Queensland Parliament 18 of 89 Legislative Assembly members were women (20%), two of 19 Cabinet positions are held by women and four of 12 Assistant Ministers are women. As at 30 June 2014, in the Queensland Public Service women accounted for 33% of Senior Executive Service Officers and above, and 49% of Senior Officers.</w:t>
      </w:r>
    </w:p>
    <w:p w14:paraId="444AC8DC" w14:textId="77777777" w:rsidR="00FC1199" w:rsidRPr="00CA366F" w:rsidRDefault="00FC1199" w:rsidP="000D31C3">
      <w:pPr>
        <w:pStyle w:val="CERDBodyText1"/>
      </w:pPr>
      <w:r w:rsidRPr="00CA366F">
        <w:t>The Queensland Government via the Office for Women provides information about a range of opportunities available for women and girls in Queensland, including on leadership.</w:t>
      </w:r>
    </w:p>
    <w:p w14:paraId="5D8BE6BE" w14:textId="52093879" w:rsidR="00FC1199" w:rsidRPr="00CA366F" w:rsidRDefault="00FC1199" w:rsidP="000D31C3">
      <w:pPr>
        <w:pStyle w:val="CERDBodyText1"/>
      </w:pPr>
      <w:r w:rsidRPr="00CA366F">
        <w:t>The Department of Communities, Child Safety and Disability Services has Ministerial Advisory Councils, including the Queensland Disability Advisory Council and seven regional disability advisory councils (38 women, 24 men as at 30 June 2014) and Queensland Carers Advisory Council (10 women and 2 men as at 30 June 2014). These Councils include women from culturally and linguistically diverse backgrounds, women from all walks of life, and women from rural and regional communities, which allows a range of views to be shared and input provided at a local and state-wide level.</w:t>
      </w:r>
    </w:p>
    <w:p w14:paraId="4C346BAC" w14:textId="77777777" w:rsidR="00332059" w:rsidRPr="00332059" w:rsidRDefault="00332059" w:rsidP="000D31C3">
      <w:pPr>
        <w:pStyle w:val="CERDBoxTableHeading"/>
      </w:pPr>
      <w:bookmarkStart w:id="13" w:name="_Toc425850252"/>
      <w:r w:rsidRPr="00332059">
        <w:t>South Australia</w:t>
      </w:r>
      <w:bookmarkEnd w:id="13"/>
      <w:r w:rsidRPr="00332059">
        <w:t xml:space="preserve"> </w:t>
      </w:r>
    </w:p>
    <w:p w14:paraId="121384CC" w14:textId="77777777" w:rsidR="00332059" w:rsidRPr="00CA366F" w:rsidRDefault="00332059" w:rsidP="000D31C3">
      <w:pPr>
        <w:pStyle w:val="CERDBodyText1"/>
      </w:pPr>
      <w:r w:rsidRPr="00CA366F">
        <w:t>The South Australia Government has three strategic targets in place to improve women’s leadership:</w:t>
      </w:r>
    </w:p>
    <w:p w14:paraId="11DA3B63" w14:textId="77777777" w:rsidR="00332059" w:rsidRPr="009A1FAE" w:rsidRDefault="00332059" w:rsidP="000D31C3">
      <w:pPr>
        <w:pStyle w:val="CERDBodyTextDotPoint"/>
      </w:pPr>
      <w:r w:rsidRPr="009A1FAE">
        <w:t>Boards and committees: by 2014, increase the number of women on all South Australia Government boards and committees to 50% on average, and maintain this by ensuring that 50% of woman are appointed, on average, each quarter.</w:t>
      </w:r>
    </w:p>
    <w:p w14:paraId="7C24FE0F" w14:textId="77777777" w:rsidR="00332059" w:rsidRPr="009A1FAE" w:rsidRDefault="00332059" w:rsidP="000D31C3">
      <w:pPr>
        <w:pStyle w:val="CERDBodyTextDotPoint"/>
      </w:pPr>
      <w:r w:rsidRPr="009A1FAE">
        <w:t>Chairs or boards and committees: by 2014, increase the number of women chairing South Australia Government boards and committees to 50%.</w:t>
      </w:r>
    </w:p>
    <w:p w14:paraId="32336F06" w14:textId="77777777" w:rsidR="00332059" w:rsidRPr="009A1FAE" w:rsidRDefault="00332059" w:rsidP="000D31C3">
      <w:pPr>
        <w:pStyle w:val="CERDBodyTextDotPoint"/>
      </w:pPr>
      <w:r w:rsidRPr="009A1FAE">
        <w:t>Women: by 2014, have women comprising half of the public sector employees in the executive levels (including chief executives).</w:t>
      </w:r>
    </w:p>
    <w:p w14:paraId="7A371078" w14:textId="77777777" w:rsidR="00332059" w:rsidRPr="00CA366F" w:rsidRDefault="00332059" w:rsidP="000D31C3">
      <w:pPr>
        <w:pStyle w:val="CERDBodyText1"/>
      </w:pPr>
      <w:r w:rsidRPr="00CA366F">
        <w:lastRenderedPageBreak/>
        <w:t>At 1 November 2014, women held 48.83% of positions on state government boards and committees. This is the highest percentage achieved to date and represents an increase of 15.15% from 1 April 2004. At 1 November 2014, women held 41.41% of chair positions on state government boards and committees, which is an increase of 17.58% from 1 April 2004, following the release of the strategic plan.</w:t>
      </w:r>
    </w:p>
    <w:p w14:paraId="2D7FBCE3" w14:textId="77777777" w:rsidR="00332059" w:rsidRPr="00CA366F" w:rsidRDefault="00332059" w:rsidP="000D31C3">
      <w:pPr>
        <w:pStyle w:val="CERDBodyText1"/>
      </w:pPr>
      <w:r w:rsidRPr="00CA366F">
        <w:t>The percentage of women in executive positions has increased from 29.4% when the strategic plan target was set in 2004, to 43.8% at June 2013.</w:t>
      </w:r>
    </w:p>
    <w:p w14:paraId="187E1C85" w14:textId="7A5724CE" w:rsidR="00332059" w:rsidRPr="00CA366F" w:rsidRDefault="00332059" w:rsidP="000D31C3">
      <w:pPr>
        <w:pStyle w:val="CERDBodyText1"/>
      </w:pPr>
      <w:r w:rsidRPr="00CA366F">
        <w:t>The Premier’s Women’s Directory</w:t>
      </w:r>
      <w:r w:rsidR="001F6C6C">
        <w:t xml:space="preserve">, </w:t>
      </w:r>
      <w:r w:rsidRPr="00CA366F">
        <w:t>launched in August 2004</w:t>
      </w:r>
      <w:r w:rsidR="001F6C6C">
        <w:t xml:space="preserve">, </w:t>
      </w:r>
      <w:r w:rsidRPr="00CA366F">
        <w:t xml:space="preserve">is a key tool that has helped the government improve women’s representation on boards and committees. The directory is an online resource of women who are seeking board appointments and committees. </w:t>
      </w:r>
    </w:p>
    <w:p w14:paraId="092159D1" w14:textId="4ACC6DD8" w:rsidR="00332059" w:rsidRPr="005B53A0" w:rsidRDefault="00332059" w:rsidP="005B53A0">
      <w:pPr>
        <w:pStyle w:val="CERDHeadingMinor1"/>
        <w:rPr>
          <w:b w:val="0"/>
        </w:rPr>
      </w:pPr>
      <w:bookmarkStart w:id="14" w:name="_Toc425850253"/>
      <w:r w:rsidRPr="005B53A0">
        <w:t xml:space="preserve">Concluding Observation 18 </w:t>
      </w:r>
      <w:r w:rsidR="00A37923">
        <w:t>–</w:t>
      </w:r>
      <w:r w:rsidRPr="005B53A0">
        <w:t xml:space="preserve"> </w:t>
      </w:r>
      <w:r w:rsidR="00A37923">
        <w:rPr>
          <w:b w:val="0"/>
        </w:rPr>
        <w:t>Employment</w:t>
      </w:r>
      <w:bookmarkEnd w:id="14"/>
    </w:p>
    <w:p w14:paraId="7F5295A7" w14:textId="47E53375" w:rsidR="005B53A0" w:rsidRDefault="00A37923" w:rsidP="005B53A0">
      <w:pPr>
        <w:pStyle w:val="CERDHeadingMinor2"/>
      </w:pPr>
      <w:bookmarkStart w:id="15" w:name="_Toc425850254"/>
      <w:r>
        <w:t xml:space="preserve">Employment </w:t>
      </w:r>
      <w:r w:rsidR="00B9685C">
        <w:t>S</w:t>
      </w:r>
      <w:r>
        <w:t xml:space="preserve">ystems and </w:t>
      </w:r>
      <w:r w:rsidR="00B9685C">
        <w:t>S</w:t>
      </w:r>
      <w:r>
        <w:t>ervices</w:t>
      </w:r>
      <w:bookmarkEnd w:id="15"/>
    </w:p>
    <w:p w14:paraId="5F7F6E7B" w14:textId="77777777" w:rsidR="00332059" w:rsidRPr="00332059" w:rsidRDefault="00332059" w:rsidP="000D31C3">
      <w:pPr>
        <w:pStyle w:val="CERDBoxTableHeading"/>
      </w:pPr>
      <w:bookmarkStart w:id="16" w:name="_Toc425850255"/>
      <w:r w:rsidRPr="00332059">
        <w:t>Tasmania</w:t>
      </w:r>
      <w:bookmarkEnd w:id="16"/>
    </w:p>
    <w:p w14:paraId="36BE506E" w14:textId="77777777" w:rsidR="00332059" w:rsidRPr="009A1FAE" w:rsidRDefault="00332059" w:rsidP="000D31C3">
      <w:pPr>
        <w:pStyle w:val="CERDBodyText1"/>
      </w:pPr>
      <w:r w:rsidRPr="009A1FAE">
        <w:t>The Tasmanian Jobs Program runs from 1 January 2014 to 31 December 2015 and provides eligible Tasmanian employers with a one-off payment of $3,250. Employers are eligible for the Tasmanian Jobs Program Incentive payment after the job seeker is employed full-time for six months. This may be used to supplement other wage subsidies.</w:t>
      </w:r>
    </w:p>
    <w:p w14:paraId="7D136DF3" w14:textId="25377020" w:rsidR="00332059" w:rsidRPr="00332059" w:rsidRDefault="00332059" w:rsidP="000D31C3">
      <w:pPr>
        <w:pStyle w:val="CERDBoxTableHeading"/>
      </w:pPr>
      <w:bookmarkStart w:id="17" w:name="_Toc425850256"/>
      <w:r w:rsidRPr="00332059">
        <w:t>Western Australia</w:t>
      </w:r>
      <w:bookmarkEnd w:id="17"/>
    </w:p>
    <w:p w14:paraId="6D6E04AD" w14:textId="77777777" w:rsidR="00332059" w:rsidRPr="00CA366F" w:rsidRDefault="00332059" w:rsidP="000D31C3">
      <w:pPr>
        <w:pStyle w:val="CERDBodyText1"/>
      </w:pPr>
      <w:r w:rsidRPr="00CA366F">
        <w:t>The Department of Training and Workforce Development has developed various policies to strengthen multiculturalism and diversity in training and the workforce, including:</w:t>
      </w:r>
    </w:p>
    <w:p w14:paraId="30B6555D" w14:textId="77777777" w:rsidR="00332059" w:rsidRPr="00332059" w:rsidRDefault="00332059" w:rsidP="000D31C3">
      <w:pPr>
        <w:pStyle w:val="CERDBodyTextDotPoint"/>
      </w:pPr>
      <w:r w:rsidRPr="00332059">
        <w:rPr>
          <w:i/>
        </w:rPr>
        <w:t>Building diversity and equity in training 2010–2018</w:t>
      </w:r>
      <w:r w:rsidRPr="00332059">
        <w:t>, which recognises differences in gender, ability, age, location and cultural backgrounds and their impact on learners.</w:t>
      </w:r>
    </w:p>
    <w:p w14:paraId="5DF595A5" w14:textId="77777777" w:rsidR="00332059" w:rsidRPr="00332059" w:rsidRDefault="00332059" w:rsidP="000D31C3">
      <w:pPr>
        <w:pStyle w:val="CERDBodyTextDotPoint"/>
      </w:pPr>
      <w:r w:rsidRPr="00332059">
        <w:rPr>
          <w:i/>
        </w:rPr>
        <w:t>Workforce participation policy</w:t>
      </w:r>
      <w:r w:rsidRPr="00332059">
        <w:t>, to ensure barriers to training and workforce participation are identified, acknowledged, addressed and reduced to enable people to gain the skills required to participate in the workforce and society.</w:t>
      </w:r>
    </w:p>
    <w:p w14:paraId="317AB202" w14:textId="77777777" w:rsidR="00332059" w:rsidRPr="00CA366F" w:rsidRDefault="00332059" w:rsidP="000D31C3">
      <w:pPr>
        <w:pStyle w:val="CERDBodyText1"/>
      </w:pPr>
      <w:r w:rsidRPr="00CA366F">
        <w:t>New requirements introduced in 2010 under the Local Government Act 1995 (WA) requires all local governments to have developed and adopted by 30 June 2013 a strategic community plan to cover a period of at least 10 financial years.</w:t>
      </w:r>
    </w:p>
    <w:p w14:paraId="4B0BD31D" w14:textId="77777777" w:rsidR="00332059" w:rsidRPr="00332059" w:rsidRDefault="00332059" w:rsidP="005B53A0">
      <w:pPr>
        <w:pStyle w:val="CERDHeadingMinor2"/>
        <w:rPr>
          <w:lang w:eastAsia="en-US"/>
        </w:rPr>
      </w:pPr>
      <w:bookmarkStart w:id="18" w:name="_Toc413240370"/>
      <w:bookmarkStart w:id="19" w:name="_Toc425850257"/>
      <w:r w:rsidRPr="00332059">
        <w:rPr>
          <w:lang w:eastAsia="en-US"/>
        </w:rPr>
        <w:t>Indigenous Australians</w:t>
      </w:r>
      <w:bookmarkEnd w:id="18"/>
      <w:bookmarkEnd w:id="19"/>
    </w:p>
    <w:p w14:paraId="1FAED7F4" w14:textId="77777777" w:rsidR="00332059" w:rsidRPr="00332059" w:rsidRDefault="00332059" w:rsidP="000D31C3">
      <w:pPr>
        <w:pStyle w:val="CERDBoxTableHeading"/>
      </w:pPr>
      <w:bookmarkStart w:id="20" w:name="_Toc425850258"/>
      <w:r w:rsidRPr="00332059">
        <w:t>Australian Capital Territory</w:t>
      </w:r>
      <w:bookmarkEnd w:id="20"/>
    </w:p>
    <w:p w14:paraId="119F6C02" w14:textId="77777777" w:rsidR="00332059" w:rsidRPr="00CA366F" w:rsidRDefault="00332059" w:rsidP="000D31C3">
      <w:pPr>
        <w:pStyle w:val="CERDBodyText1"/>
      </w:pPr>
      <w:r w:rsidRPr="00CA366F">
        <w:t>The ACT Government has developed the Aboriginal and Torres Strait Islander Job Readiness Support Program that is targeted to the following Aboriginal and Torres Strait Islander residents in the ACT:</w:t>
      </w:r>
    </w:p>
    <w:p w14:paraId="2BFF3D54" w14:textId="77777777" w:rsidR="00332059" w:rsidRPr="000611EB" w:rsidRDefault="00332059" w:rsidP="000D31C3">
      <w:pPr>
        <w:pStyle w:val="CERDBodyTextDotPoint"/>
      </w:pPr>
      <w:r w:rsidRPr="000611EB">
        <w:t xml:space="preserve">high need families </w:t>
      </w:r>
    </w:p>
    <w:p w14:paraId="79E0869F" w14:textId="77777777" w:rsidR="00332059" w:rsidRPr="000611EB" w:rsidRDefault="00332059" w:rsidP="000D31C3">
      <w:pPr>
        <w:pStyle w:val="CERDBodyTextDotPoint"/>
      </w:pPr>
      <w:r w:rsidRPr="000611EB">
        <w:t xml:space="preserve">high risk families </w:t>
      </w:r>
    </w:p>
    <w:p w14:paraId="35996A10" w14:textId="64A952B3" w:rsidR="00332059" w:rsidRPr="000611EB" w:rsidRDefault="00332059" w:rsidP="000D31C3">
      <w:pPr>
        <w:pStyle w:val="CERDBodyTextDotPoint"/>
      </w:pPr>
      <w:r w:rsidRPr="000611EB">
        <w:t>women, youth and their families</w:t>
      </w:r>
      <w:r w:rsidR="000611EB">
        <w:t>, and</w:t>
      </w:r>
      <w:r w:rsidRPr="000611EB">
        <w:t xml:space="preserve"> </w:t>
      </w:r>
    </w:p>
    <w:p w14:paraId="5986BBA8" w14:textId="77777777" w:rsidR="00332059" w:rsidRPr="000611EB" w:rsidRDefault="00332059" w:rsidP="000D31C3">
      <w:pPr>
        <w:pStyle w:val="CERDBodyTextDotPoint"/>
      </w:pPr>
      <w:r w:rsidRPr="000611EB">
        <w:t>those who are deemed to be at risk of homelessness, reoffending or facing long-term unemployment.</w:t>
      </w:r>
    </w:p>
    <w:p w14:paraId="20D9FFB0" w14:textId="77777777" w:rsidR="00332059" w:rsidRPr="00CA366F" w:rsidRDefault="00332059" w:rsidP="000D31C3">
      <w:pPr>
        <w:pStyle w:val="CERDBodyText1"/>
      </w:pPr>
      <w:r w:rsidRPr="00CA366F">
        <w:t xml:space="preserve">This program is provided by the ACT Community Services Directorate and is managed through the Children, Youth and Family Services Program. It focuses on individual needs in providing support services. On completing a 16 week training program, participants will be offered a support </w:t>
      </w:r>
      <w:r w:rsidRPr="00CA366F">
        <w:lastRenderedPageBreak/>
        <w:t>period of six to 12 months to help them engage more fully with educational and employment opportunities.</w:t>
      </w:r>
    </w:p>
    <w:p w14:paraId="6632CCBD" w14:textId="77777777" w:rsidR="00332059" w:rsidRPr="00CA366F" w:rsidRDefault="00332059" w:rsidP="000D31C3">
      <w:pPr>
        <w:pStyle w:val="CERDBodyText1"/>
      </w:pPr>
      <w:r w:rsidRPr="00CA366F">
        <w:t xml:space="preserve">The Connection, Collaboration, Careers, Leadership: Aboriginal and Torres Strait Islander Employment Action Plan 2014–2017 was launched by the ACT Education and Training Directorate in December 2013 and provides new pathways to link education, employment, choice and opportunities for Aboriginal and Torres Strait Islander peoples. </w:t>
      </w:r>
    </w:p>
    <w:p w14:paraId="45E56BA4" w14:textId="77777777" w:rsidR="00332059" w:rsidRPr="00CA366F" w:rsidRDefault="00332059" w:rsidP="000D31C3">
      <w:pPr>
        <w:pStyle w:val="CERDBodyText1"/>
      </w:pPr>
      <w:r w:rsidRPr="00CA366F">
        <w:t>The plan articulates 35 initiatives relating to attraction, retention, capacity building and cultural competency, and arises from the ACT Public Service Employment Strategy for Aboriginal and Torres Strait Islander People launched in April 2011. The vision is for the ACT Public Service to be seen as an attractive workplace for Aboriginal and Torres Strait Islander peoples and to more than double, by 2015, the employment of Aboriginal and Torres Strait Islander peoples. The directorate received a commendation for its employment action plan in the Inquiry into ACT Public Service Aboriginal and Torres Strait Islander Employment Report handed down in March 2014.</w:t>
      </w:r>
    </w:p>
    <w:p w14:paraId="0D5F4B85" w14:textId="77777777" w:rsidR="00332059" w:rsidRPr="00CA366F" w:rsidRDefault="00332059" w:rsidP="000D31C3">
      <w:pPr>
        <w:pStyle w:val="CERDBodyText1"/>
      </w:pPr>
      <w:r w:rsidRPr="00CA366F">
        <w:t xml:space="preserve">Aboriginal and Torres Strait Islander peoples are employed across directorates in a variety of roles, including teachers, school leaders, school support staff and administrative staff. In September 2014 the total number of Aboriginal and Torres Strait Islander staff was 65, an increase of nine employees from September 2013. A strong focus of the action plan is to create opportunities for career development and to become an employer of choice in the ACT for Aboriginal and Torres Strait Islander peoples. To do this, the directorate will increase the number of Aboriginal and Torres Strait Islander staff moving into leadership and management roles as well as support pathways into teaching for new and current administrative staff. </w:t>
      </w:r>
    </w:p>
    <w:p w14:paraId="1BE0F819" w14:textId="77777777" w:rsidR="00332059" w:rsidRPr="00CA366F" w:rsidRDefault="00332059" w:rsidP="000D31C3">
      <w:pPr>
        <w:pStyle w:val="CERDBodyText1"/>
      </w:pPr>
      <w:r w:rsidRPr="00CA366F">
        <w:t xml:space="preserve">Identifying, attracting and retaining Aboriginal and Torres Strait Islander staff plays an important role in shaping the directorate’s future direction and ensuring its workforce is representative of the broader ACT and Australian community. Teacher recruitment and administrative advertisements are placed in the </w:t>
      </w:r>
      <w:r w:rsidRPr="001F6C6C">
        <w:rPr>
          <w:i/>
        </w:rPr>
        <w:t>Koori Mail</w:t>
      </w:r>
      <w:r w:rsidRPr="00883F7E">
        <w:rPr>
          <w:sz w:val="22"/>
          <w:szCs w:val="22"/>
          <w:vertAlign w:val="superscript"/>
        </w:rPr>
        <w:footnoteReference w:id="1"/>
      </w:r>
      <w:r w:rsidRPr="00CA366F">
        <w:t xml:space="preserve"> and the </w:t>
      </w:r>
      <w:r w:rsidRPr="001F6C6C">
        <w:rPr>
          <w:i/>
        </w:rPr>
        <w:t>National Indigenous Times</w:t>
      </w:r>
      <w:r w:rsidRPr="00CA366F">
        <w:t xml:space="preserve">. Employment stalls are also initiated at community cultural events to provide information on employment pathways and opportunities. </w:t>
      </w:r>
    </w:p>
    <w:p w14:paraId="209A9533" w14:textId="77777777" w:rsidR="00332059" w:rsidRPr="00CA366F" w:rsidRDefault="00332059" w:rsidP="000D31C3">
      <w:pPr>
        <w:pStyle w:val="CERDBodyText1"/>
      </w:pPr>
      <w:r w:rsidRPr="00CA366F">
        <w:t xml:space="preserve">Schools are supported to build strong reciprocal relationships with Aboriginal and Torres Strait Islander peoples engaged in their communities and create pathways into employment within the local community. Ensuring the directorate’s workplaces are culturally competent and respectful is crucial in both retaining Aboriginal and Torres Strait Islander staff and engaging with the local communities. </w:t>
      </w:r>
    </w:p>
    <w:p w14:paraId="655A8F41" w14:textId="77777777" w:rsidR="00332059" w:rsidRPr="00CA366F" w:rsidRDefault="00332059" w:rsidP="000D31C3">
      <w:pPr>
        <w:pStyle w:val="CERDBodyText1"/>
      </w:pPr>
      <w:r w:rsidRPr="00CA366F">
        <w:t>Cultural competence, integrity and connection will be progressively enhanced for all staff through professional learning and supervision opportunities, which will build the cultural integrity of all employees and the directorate. This is done by engaging with and supporting relationships and interactions with the Aboriginal and Torres Strait Islander community, including the directorate’s Aboriginal and Torres Strait Islander Staff Network, ACT Aboriginal and Torres Strait islander Education Consultative Group and the ACT Aboriginal and Torres Strait Islander Elected Body.</w:t>
      </w:r>
    </w:p>
    <w:p w14:paraId="122063D2" w14:textId="77777777" w:rsidR="003E51E3" w:rsidRDefault="003E51E3">
      <w:pPr>
        <w:rPr>
          <w:rFonts w:cstheme="minorHAnsi"/>
          <w:b/>
          <w:lang w:val="en-AU" w:eastAsia="en-US"/>
        </w:rPr>
      </w:pPr>
      <w:r>
        <w:br w:type="page"/>
      </w:r>
    </w:p>
    <w:p w14:paraId="4C102520" w14:textId="2EABDBEA" w:rsidR="00A37923" w:rsidRPr="00332059" w:rsidRDefault="00A37923" w:rsidP="000D31C3">
      <w:pPr>
        <w:pStyle w:val="CERDBoxTableHeading"/>
      </w:pPr>
      <w:bookmarkStart w:id="21" w:name="_Toc425850259"/>
      <w:r w:rsidRPr="00332059">
        <w:lastRenderedPageBreak/>
        <w:t>New South Wales</w:t>
      </w:r>
      <w:bookmarkEnd w:id="21"/>
    </w:p>
    <w:p w14:paraId="226D1A36" w14:textId="77777777" w:rsidR="00A37923" w:rsidRPr="00CA366F" w:rsidRDefault="00A37923" w:rsidP="000D31C3">
      <w:pPr>
        <w:pStyle w:val="CERDBodyText1"/>
      </w:pPr>
      <w:r w:rsidRPr="001F6C6C">
        <w:rPr>
          <w:i/>
        </w:rPr>
        <w:t>OCHRE</w:t>
      </w:r>
      <w:r w:rsidRPr="00CA366F">
        <w:t xml:space="preserve">, the New South Wales Government’s Plan for Aboriginal affairs, was released in April 2013. The plan has a strong focus on education, employment and training and promoting the overall economic independence of Aboriginal people in the state. </w:t>
      </w:r>
    </w:p>
    <w:p w14:paraId="4E935E6F" w14:textId="77777777" w:rsidR="00A37923" w:rsidRPr="00CA366F" w:rsidRDefault="00A37923" w:rsidP="000D31C3">
      <w:pPr>
        <w:pStyle w:val="CERDBodyText1"/>
      </w:pPr>
      <w:r w:rsidRPr="00CA366F">
        <w:t>Under the plan, the government has committed to developing an Aboriginal Economic Development Framework to coordinate existing and new initiatives. This includes establishing industry-based agreements that promote employment in key industry sectors.</w:t>
      </w:r>
    </w:p>
    <w:p w14:paraId="069AB9D8" w14:textId="77777777" w:rsidR="00A37923" w:rsidRPr="00CA366F" w:rsidRDefault="00A37923" w:rsidP="000D31C3">
      <w:pPr>
        <w:pStyle w:val="CERDBodyText1"/>
      </w:pPr>
      <w:r w:rsidRPr="001F6C6C">
        <w:rPr>
          <w:i/>
        </w:rPr>
        <w:t>OCHRE</w:t>
      </w:r>
      <w:r w:rsidRPr="00CA366F">
        <w:t xml:space="preserve"> also includes opportunity hubs to link young Aboriginal people to local services and their communities, and to provide them with personalised, supported pathways through school and into further education and long-term employment.</w:t>
      </w:r>
    </w:p>
    <w:p w14:paraId="5E36A6A0" w14:textId="77777777" w:rsidR="00332059" w:rsidRPr="00332059" w:rsidRDefault="00332059" w:rsidP="000D31C3">
      <w:pPr>
        <w:pStyle w:val="CERDBoxTableHeading"/>
      </w:pPr>
      <w:bookmarkStart w:id="22" w:name="_Toc425850260"/>
      <w:r w:rsidRPr="00332059">
        <w:t>Northern Territory</w:t>
      </w:r>
      <w:bookmarkEnd w:id="22"/>
    </w:p>
    <w:p w14:paraId="71A3252F" w14:textId="77777777" w:rsidR="00332059" w:rsidRPr="00CA366F" w:rsidRDefault="00332059" w:rsidP="000D31C3">
      <w:pPr>
        <w:pStyle w:val="CERDBodyText1"/>
      </w:pPr>
      <w:r w:rsidRPr="00CA366F">
        <w:t>The Northern Territory Government’s Indigenous Employment and Career Development Strategy aims to increase employment across all levels, occupation groups and locations in the public sector. The government is also working in partnership with communities that wish to achieve economic independence to access land, and leverage land and other assets to create investment and job creation opportunities that support economic development. Some of these include:</w:t>
      </w:r>
    </w:p>
    <w:p w14:paraId="1AD66CD8" w14:textId="77777777" w:rsidR="00332059" w:rsidRPr="00332059" w:rsidRDefault="00332059" w:rsidP="000D31C3">
      <w:pPr>
        <w:pStyle w:val="CERDBodyTextDotPoint"/>
      </w:pPr>
      <w:r w:rsidRPr="00332059">
        <w:t>the Indigenous Business Development Program through the Department of Business</w:t>
      </w:r>
    </w:p>
    <w:p w14:paraId="2F1A5C2F" w14:textId="77777777" w:rsidR="00332059" w:rsidRPr="00332059" w:rsidRDefault="00332059" w:rsidP="000D31C3">
      <w:pPr>
        <w:pStyle w:val="CERDBodyTextDotPoint"/>
      </w:pPr>
      <w:r w:rsidRPr="00332059">
        <w:t>the Indigenous Engagement Coordinator through the Department of Infrastructure. This assesses Indigenous business enterprises to develop their capacity</w:t>
      </w:r>
    </w:p>
    <w:p w14:paraId="214F3604" w14:textId="77777777" w:rsidR="00332059" w:rsidRPr="00332059" w:rsidRDefault="00332059" w:rsidP="000D31C3">
      <w:pPr>
        <w:pStyle w:val="CERDBodyTextDotPoint"/>
      </w:pPr>
      <w:r w:rsidRPr="00332059">
        <w:t>a general skills development program that funds training delivery to providers. Though not specifically targeting Indigenous Australians, a large proportion of students are Indigenous (in 2013, 53% of 9,214 students were Indigenous Australians)</w:t>
      </w:r>
    </w:p>
    <w:p w14:paraId="76D8011B" w14:textId="77777777" w:rsidR="00332059" w:rsidRDefault="00332059" w:rsidP="000D31C3">
      <w:pPr>
        <w:pStyle w:val="CERDBodyTextDotPoint"/>
      </w:pPr>
      <w:r w:rsidRPr="00332059">
        <w:t>the Indigenous Responsive Program which funds the delivery of accredited and non-accredited training that links to work readiness or employment on-site in regional and remote Indigenous communities.</w:t>
      </w:r>
    </w:p>
    <w:p w14:paraId="6038094C" w14:textId="323BB24C" w:rsidR="003E51E3" w:rsidRDefault="003E51E3" w:rsidP="000D31C3">
      <w:pPr>
        <w:pStyle w:val="CERDBoxTableHeading"/>
      </w:pPr>
      <w:bookmarkStart w:id="23" w:name="_Toc425850261"/>
      <w:r>
        <w:t>Queensland</w:t>
      </w:r>
      <w:bookmarkEnd w:id="23"/>
    </w:p>
    <w:p w14:paraId="37BD8DED" w14:textId="05FBA0C8" w:rsidR="003E51E3" w:rsidRPr="00CA366F" w:rsidRDefault="003E51E3" w:rsidP="000D31C3">
      <w:pPr>
        <w:pStyle w:val="CERDBodyText1"/>
      </w:pPr>
      <w:r w:rsidRPr="00CA366F">
        <w:t xml:space="preserve">Released in December 2013, the Queensland Aboriginal and Torres Strait Islander Economic Participation Framework’s purpose is </w:t>
      </w:r>
      <w:r w:rsidR="003113D9">
        <w:t>to enable</w:t>
      </w:r>
      <w:r w:rsidRPr="00CA366F">
        <w:t xml:space="preserve"> Indigenous Queenslanders to take up economic opportunities and participate in, and benefit from, Queensland’s growing economy through increased employment, labour force participation, career development, and home and business ownership. </w:t>
      </w:r>
    </w:p>
    <w:p w14:paraId="0FF098B6" w14:textId="7CF92A17" w:rsidR="003E51E3" w:rsidRPr="00CA366F" w:rsidRDefault="003E51E3" w:rsidP="000D31C3">
      <w:pPr>
        <w:pStyle w:val="CERDBodyText1"/>
      </w:pPr>
      <w:r w:rsidRPr="00CA366F">
        <w:t xml:space="preserve">The whole-of-government Aboriginal and Torres Strait Islander Cultural Capability Framework (the Framework) was developed to ensure culturally appropriate service delivery. To assist in achieving the vision of the Framework, the Queensland Government launched the Cultural Capability Portal specifically to assist Queensland public servants in delivering services in a culturally sensitive and appropriate manner. </w:t>
      </w:r>
    </w:p>
    <w:p w14:paraId="72AA724E" w14:textId="1FE68F47" w:rsidR="003E51E3" w:rsidRPr="00CA366F" w:rsidRDefault="003E51E3" w:rsidP="000D31C3">
      <w:pPr>
        <w:pStyle w:val="CERDBodyText1"/>
      </w:pPr>
      <w:r w:rsidRPr="00CA366F">
        <w:t>The State of Queensland is presently facilitating negotiations of township Indigenous Land Use Agreements (ILUAs) in rural and remote indigenous communities. Traditional Owners, Indigenous Councils and the State of Queensland are the parties to these ILUAs. The ILUAs provide processes to enable home ownership for Indigenous peoples, economic development through commercial leasing and construction of infrastructure. They will include compensation f</w:t>
      </w:r>
      <w:r w:rsidR="003113D9">
        <w:t>or the effect of these acts on n</w:t>
      </w:r>
      <w:r w:rsidRPr="00CA366F">
        <w:t xml:space="preserve">ative </w:t>
      </w:r>
      <w:r w:rsidR="003113D9">
        <w:t>t</w:t>
      </w:r>
      <w:r w:rsidRPr="00CA366F">
        <w:t xml:space="preserve">itle rights and interests and the Aboriginal Cultural Heritage protocol to ensure compliance with the cultural heritage duty of care when any of the acts under the ILUA trigger the protocol.  </w:t>
      </w:r>
    </w:p>
    <w:p w14:paraId="0531E02F" w14:textId="77777777" w:rsidR="003E51E3" w:rsidRPr="00CA366F" w:rsidRDefault="003E51E3" w:rsidP="000D31C3">
      <w:pPr>
        <w:pStyle w:val="CERDBodyText1"/>
      </w:pPr>
      <w:r w:rsidRPr="00CA366F">
        <w:lastRenderedPageBreak/>
        <w:t>The State of Queensland provides funding for Traditional Owners to receive legal advice and representation and other support throughout the ILUA negotiation process. This process ensures that Traditional Owners are empowered throughout the process, having their voices heard and negotiating outcomes acceptable to them.</w:t>
      </w:r>
    </w:p>
    <w:p w14:paraId="63E5D198" w14:textId="77777777" w:rsidR="003E51E3" w:rsidRPr="00CA366F" w:rsidRDefault="003E51E3" w:rsidP="000D31C3">
      <w:pPr>
        <w:pStyle w:val="CERDBodyText1"/>
      </w:pPr>
      <w:r w:rsidRPr="00CA366F">
        <w:t xml:space="preserve">The Queensland Cultural Diversity Policy (the Policy) was released in December 2013. It focuses on maximising the benefits cultural diversity brings to the state and making sure all Queenslanders can access the same opportunities and support to participate fully in Queensland’s economy and society. </w:t>
      </w:r>
    </w:p>
    <w:p w14:paraId="4D8D25A0" w14:textId="77777777" w:rsidR="003E51E3" w:rsidRPr="00CA366F" w:rsidRDefault="003E51E3" w:rsidP="000D31C3">
      <w:pPr>
        <w:pStyle w:val="CERDBodyText1"/>
      </w:pPr>
      <w:r w:rsidRPr="00CA366F">
        <w:t>The Policy identifies four outcomes to focus state government effort — language independence; education participation and attainment; economic independence and participation; and community participation. These four outcomes are underpinned by a renewed commitment to delivering frontline services that are the best culturally responsive services in Australia.</w:t>
      </w:r>
    </w:p>
    <w:p w14:paraId="60C9A13E" w14:textId="22FBF56A" w:rsidR="003E51E3" w:rsidRPr="00CA366F" w:rsidRDefault="003E51E3" w:rsidP="000D31C3">
      <w:pPr>
        <w:pStyle w:val="CERDBodyText1"/>
      </w:pPr>
      <w:r w:rsidRPr="00CA366F">
        <w:t>The Queensland Cultural Diversity Action Plan (the Action Plan) outlines the steps the Queensland Government will take to drive improvements for culturally diverse Queenslanders across a number of priority policy areas, including in the delivery of culturally responsive and accessible legal and interpretive services, and in law enforcement. This is underpinned by a continued commitment across government to the implementation of the Queensland Language Service Policy which sets out the arrangements and expectations of government in providing access to interpreter and translations services for clients requiring assistance.</w:t>
      </w:r>
    </w:p>
    <w:p w14:paraId="45C897B9" w14:textId="77777777" w:rsidR="00332059" w:rsidRPr="00332059" w:rsidRDefault="00332059" w:rsidP="000D31C3">
      <w:pPr>
        <w:pStyle w:val="CERDBoxTableHeading"/>
      </w:pPr>
      <w:bookmarkStart w:id="24" w:name="_Toc425850262"/>
      <w:r w:rsidRPr="00332059">
        <w:t>Tasmania</w:t>
      </w:r>
      <w:bookmarkEnd w:id="24"/>
    </w:p>
    <w:p w14:paraId="3B716714" w14:textId="77777777" w:rsidR="00332059" w:rsidRPr="00CA366F" w:rsidRDefault="00332059" w:rsidP="000D31C3">
      <w:pPr>
        <w:pStyle w:val="CERDBodyText1"/>
      </w:pPr>
      <w:r w:rsidRPr="00CA366F">
        <w:t>The Tasmanian Government uses targeted employment policies across all departments. These include ‘identified positions’, in which the Aboriginal community is the major client group and where Aboriginality is essential. ‘Tagged positions’ also exist which have as a requirement ‘an ability to communicate effectively and sensitively with Aboriginal and Torres Strait Islander people and a knowledge and understanding of contemporary Aboriginal culture and society’.</w:t>
      </w:r>
    </w:p>
    <w:p w14:paraId="088C4010" w14:textId="77777777" w:rsidR="00332059" w:rsidRPr="00CA366F" w:rsidRDefault="00332059" w:rsidP="000D31C3">
      <w:pPr>
        <w:pStyle w:val="CERDBodyText1"/>
      </w:pPr>
      <w:r w:rsidRPr="00CA366F">
        <w:t xml:space="preserve">The Partnerships in Teaching Excellence scholarship program offered specific opportunities in 2013 for pre-service teachers who identified as Aboriginal and Torres Strait Islanders. Further scholarship opportunities have been explored and five workforce development initiatives with the University of Tasmania will be implemented from 2015. </w:t>
      </w:r>
    </w:p>
    <w:p w14:paraId="07825878" w14:textId="77777777" w:rsidR="00332059" w:rsidRPr="00CA366F" w:rsidRDefault="00332059" w:rsidP="000D31C3">
      <w:pPr>
        <w:pStyle w:val="CERDBodyText1"/>
      </w:pPr>
      <w:r w:rsidRPr="00CA366F">
        <w:t>Tasmania Police promotes the recruitment of Aboriginal police officers, records the Indigenous status of employees to monitor employment levels, and applies the Job Suitability Test (facilitated by the Australian Institute of Forensic Psychology) to provide an assessment that takes into account specific Aboriginal attributes.</w:t>
      </w:r>
    </w:p>
    <w:p w14:paraId="2E889EFB" w14:textId="77777777" w:rsidR="00332059" w:rsidRPr="00332059" w:rsidRDefault="00332059" w:rsidP="000D31C3">
      <w:pPr>
        <w:pStyle w:val="CERDBoxTableHeading"/>
      </w:pPr>
      <w:bookmarkStart w:id="25" w:name="_Toc425850263"/>
      <w:r w:rsidRPr="00332059">
        <w:t>Victoria</w:t>
      </w:r>
      <w:bookmarkEnd w:id="25"/>
    </w:p>
    <w:p w14:paraId="4A47BD2E" w14:textId="26C2A15D" w:rsidR="00332059" w:rsidRPr="00CA366F" w:rsidRDefault="00332059" w:rsidP="000D31C3">
      <w:pPr>
        <w:pStyle w:val="CERDBodyText1"/>
      </w:pPr>
      <w:r w:rsidRPr="00CA366F">
        <w:t>The Victorian Ab</w:t>
      </w:r>
      <w:r w:rsidR="001F6C6C">
        <w:t>original Affairs Framework 2013-</w:t>
      </w:r>
      <w:r w:rsidRPr="00CA366F">
        <w:t>2018 recognises that social outcomes depend significantly on having a job and a place in the economy. In December 2013, the Victorian Ab</w:t>
      </w:r>
      <w:r w:rsidR="001F6C6C">
        <w:t>original Economic Strategy 2013-</w:t>
      </w:r>
      <w:r w:rsidRPr="00CA366F">
        <w:t>2020 was released. This builds partnerships between Aboriginal Victorians and the public and private sectors to encourage Aboriginal economic participation across education, skills development and training, access to jobs, and business and wealth building opportunities.</w:t>
      </w:r>
    </w:p>
    <w:p w14:paraId="3D3157D1" w14:textId="77777777" w:rsidR="00332059" w:rsidRPr="00CA366F" w:rsidRDefault="00332059" w:rsidP="000D31C3">
      <w:pPr>
        <w:pStyle w:val="CERDBodyText1"/>
      </w:pPr>
      <w:r w:rsidRPr="00CA366F">
        <w:t>The strategy recognises the importance of collaboration with the Commonwealth Government as the party with primary responsibility for delivering employment services, and seeks improved access by Aboriginal Victorians to Commonwealth programs.</w:t>
      </w:r>
    </w:p>
    <w:p w14:paraId="2902B90E" w14:textId="77777777" w:rsidR="00332059" w:rsidRPr="00CA366F" w:rsidRDefault="00332059" w:rsidP="000D31C3">
      <w:pPr>
        <w:pStyle w:val="CERDBodyText1"/>
      </w:pPr>
      <w:r w:rsidRPr="00CA366F">
        <w:lastRenderedPageBreak/>
        <w:t xml:space="preserve">A key initiative is the Employment Start Up for Indigenous Job Seekers Program. This is delivered through service providers that match unemployed Aboriginal people to jobs for a minimum of 16 weeks. The Department of State Development, Business and Innovation manages the program, which builds the capacity of participants through individual case management and mentoring that is tailored, individual and flexible. </w:t>
      </w:r>
    </w:p>
    <w:p w14:paraId="6882168A" w14:textId="77777777" w:rsidR="00332059" w:rsidRPr="00332059" w:rsidRDefault="00332059" w:rsidP="000D31C3">
      <w:pPr>
        <w:pStyle w:val="CERDBoxTableHeading"/>
      </w:pPr>
      <w:bookmarkStart w:id="26" w:name="_Toc425850264"/>
      <w:r w:rsidRPr="00332059">
        <w:t>Western Australia</w:t>
      </w:r>
      <w:bookmarkEnd w:id="26"/>
      <w:r w:rsidRPr="00332059">
        <w:t xml:space="preserve"> </w:t>
      </w:r>
    </w:p>
    <w:p w14:paraId="61A79EC5" w14:textId="77777777" w:rsidR="00332059" w:rsidRPr="009A1FAE" w:rsidRDefault="00332059" w:rsidP="000D31C3">
      <w:pPr>
        <w:pStyle w:val="CERDBodyText1"/>
      </w:pPr>
      <w:r w:rsidRPr="009A1FAE">
        <w:t>At June 2014, Aboriginal Australians represented 2.9% of Western Australia’s public sector workforce, the second highest rate of all states and territories. Western Australia is a signatory to the Council of Australian Governments’ National partnership agreement on Indigenous economic participation, which sets a national target of 2.6% Aboriginal representation in the public sector workforce by 2015. Western Australia has committed to a target of 3.2 per cent.</w:t>
      </w:r>
    </w:p>
    <w:p w14:paraId="7682E852" w14:textId="77777777" w:rsidR="00332059" w:rsidRPr="00CA366F" w:rsidRDefault="00332059" w:rsidP="000D31C3">
      <w:pPr>
        <w:pStyle w:val="CERDBodyText1"/>
      </w:pPr>
      <w:r w:rsidRPr="00CA366F">
        <w:t>The government’s Aboriginal Employment Strategy 2011–2015 focuses on long-term, sustainable employment opportunities and career pathways for Aboriginal people across the public sector. The strategy’s cornerstone is the Aboriginal traineeship program, an integrated employment, training and mentoring support service for the sector. Positive outcomes for Aboriginal Australians continue to grow as a result of this program, which over the last year was expanded to include the Kimberley, Pilbara, Southwest, Midwest and Goldfields regions.</w:t>
      </w:r>
    </w:p>
    <w:p w14:paraId="17177C31" w14:textId="1A237ABC" w:rsidR="00332059" w:rsidRPr="00CA366F" w:rsidRDefault="00332059" w:rsidP="000D31C3">
      <w:pPr>
        <w:pStyle w:val="CERDBodyText1"/>
      </w:pPr>
      <w:r w:rsidRPr="00CA366F">
        <w:t>The government’s Aboriginal Workforce Development Centre program commenced in March 2010. There</w:t>
      </w:r>
      <w:r w:rsidR="001F6C6C">
        <w:t xml:space="preserve"> are centres in five locations -</w:t>
      </w:r>
      <w:r w:rsidRPr="00CA366F">
        <w:t xml:space="preserve"> Perth, Kalgoorlie, Geraldton, Bunbury and Broome </w:t>
      </w:r>
      <w:r w:rsidR="001F6C6C">
        <w:t>-</w:t>
      </w:r>
      <w:r w:rsidRPr="00CA366F">
        <w:t xml:space="preserve"> which work with employers, government and Aboriginal communities to remove barriers to Aboriginal and Torres Strait Islander participation in the workforce. In 2012, the program won the Premier’s Award for Excellence in Public Sector Management.</w:t>
      </w:r>
    </w:p>
    <w:p w14:paraId="7B041493" w14:textId="57DCE5EA" w:rsidR="00332059" w:rsidRPr="00332059" w:rsidRDefault="00332059" w:rsidP="00A33131">
      <w:pPr>
        <w:pStyle w:val="CERDHeadingMinor2"/>
      </w:pPr>
      <w:bookmarkStart w:id="27" w:name="_Toc413240371"/>
      <w:bookmarkStart w:id="28" w:name="_Toc425850265"/>
      <w:r w:rsidRPr="00332059">
        <w:t xml:space="preserve">Asylum </w:t>
      </w:r>
      <w:r w:rsidR="00B9685C">
        <w:t>S</w:t>
      </w:r>
      <w:r w:rsidRPr="00332059">
        <w:t xml:space="preserve">eekers and </w:t>
      </w:r>
      <w:r w:rsidR="00B9685C">
        <w:t>M</w:t>
      </w:r>
      <w:r w:rsidRPr="00332059">
        <w:t>igrants</w:t>
      </w:r>
      <w:bookmarkEnd w:id="27"/>
      <w:bookmarkEnd w:id="28"/>
    </w:p>
    <w:p w14:paraId="6696551E" w14:textId="77777777" w:rsidR="00332059" w:rsidRPr="00332059" w:rsidRDefault="00332059" w:rsidP="000D31C3">
      <w:pPr>
        <w:pStyle w:val="CERDBoxTableHeading"/>
      </w:pPr>
      <w:bookmarkStart w:id="29" w:name="_Toc425850266"/>
      <w:r w:rsidRPr="00332059">
        <w:t>Northern Territory</w:t>
      </w:r>
      <w:bookmarkEnd w:id="29"/>
      <w:r w:rsidRPr="00332059">
        <w:t xml:space="preserve"> </w:t>
      </w:r>
    </w:p>
    <w:p w14:paraId="304C5A8F" w14:textId="77777777" w:rsidR="00332059" w:rsidRPr="00CA366F" w:rsidRDefault="00332059" w:rsidP="000D31C3">
      <w:pPr>
        <w:pStyle w:val="CERDBodyText1"/>
      </w:pPr>
      <w:r w:rsidRPr="00CA366F">
        <w:t>The Northern Territory Equity Training Grants program funds initiatives to increase training and employment opportunities and outcomes for long-term unemployed migrants and refugees. Grants are offered once a year.</w:t>
      </w:r>
    </w:p>
    <w:p w14:paraId="4A18E6E5" w14:textId="2391693B" w:rsidR="00054B23" w:rsidRDefault="00054B23" w:rsidP="000D31C3">
      <w:pPr>
        <w:pStyle w:val="CERDBoxTableHeading"/>
      </w:pPr>
      <w:bookmarkStart w:id="30" w:name="_Toc425850267"/>
      <w:r>
        <w:t>Queensland</w:t>
      </w:r>
      <w:bookmarkEnd w:id="30"/>
    </w:p>
    <w:p w14:paraId="2CAE708C" w14:textId="77777777" w:rsidR="00054B23" w:rsidRPr="00CA366F" w:rsidRDefault="00054B23" w:rsidP="000D31C3">
      <w:pPr>
        <w:pStyle w:val="CERDBodyText1"/>
      </w:pPr>
      <w:r w:rsidRPr="00CA366F">
        <w:t>The Queensland Government's vision for cultural diversity is to provide equality of opportunity for all Queenslanders so that each and every person can participate in Queensland's strong economy and society.</w:t>
      </w:r>
    </w:p>
    <w:p w14:paraId="65178C2B" w14:textId="77777777" w:rsidR="00054B23" w:rsidRPr="00CA366F" w:rsidRDefault="00054B23" w:rsidP="000D31C3">
      <w:pPr>
        <w:pStyle w:val="CERDBodyText1"/>
      </w:pPr>
      <w:r w:rsidRPr="00CA366F">
        <w:t xml:space="preserve">The Queensland Cultural Diversity Policy and Action Plan aim to achieve this vision by driving improvements in language independence, education participation and attainment, economic independence and participation and community participation. </w:t>
      </w:r>
    </w:p>
    <w:p w14:paraId="085FFA66" w14:textId="77777777" w:rsidR="00054B23" w:rsidRPr="00CA366F" w:rsidRDefault="00054B23" w:rsidP="000D31C3">
      <w:pPr>
        <w:pStyle w:val="CERDBodyText1"/>
      </w:pPr>
      <w:r w:rsidRPr="00CA366F">
        <w:t>Actions to drive improved community participation and promote inclusion include a focus on encouraging civic and cultural participation, improving acceptance and understanding of cultural diversity and improving support for migrants to connect with their local community.</w:t>
      </w:r>
    </w:p>
    <w:p w14:paraId="11983DF6" w14:textId="73EE63EE" w:rsidR="00054B23" w:rsidRPr="00CA366F" w:rsidRDefault="00054B23" w:rsidP="000D31C3">
      <w:pPr>
        <w:pStyle w:val="CERDBodyText1"/>
      </w:pPr>
      <w:r w:rsidRPr="00CA366F">
        <w:t xml:space="preserve">The Action Plan outlines the steps the Queensland Government will take to achieve improved economic and community participation outcomes for culturally diverse Queenslanders. This includes initiatives which focus on improving women’s access services. For example, the Department of Housing and Public Works has undertaken to: </w:t>
      </w:r>
    </w:p>
    <w:p w14:paraId="188DB041" w14:textId="1AF83AED" w:rsidR="00054B23" w:rsidRPr="009A1FAE" w:rsidRDefault="00054B23" w:rsidP="000D31C3">
      <w:pPr>
        <w:pStyle w:val="CERDBodyTextDotPoint"/>
      </w:pPr>
      <w:r w:rsidRPr="009A1FAE">
        <w:t>streamline funding arrangements to facilitate better access to state-funded refuges, including access to interpreters, for women from culturally diverse backgrounds and their children who are experiencing domestic and family violence, and</w:t>
      </w:r>
    </w:p>
    <w:p w14:paraId="385EAFF7" w14:textId="099FFF26" w:rsidR="00054B23" w:rsidRPr="009A1FAE" w:rsidRDefault="00054B23" w:rsidP="000D31C3">
      <w:pPr>
        <w:pStyle w:val="CERDBodyTextDotPoint"/>
      </w:pPr>
      <w:r w:rsidRPr="009A1FAE">
        <w:lastRenderedPageBreak/>
        <w:t>increase temporary supported accommodation and targeted accommodation options including additional places for families, and women and children escaping domestic and family violence.</w:t>
      </w:r>
    </w:p>
    <w:p w14:paraId="7C3AE0AF" w14:textId="77777777" w:rsidR="00332059" w:rsidRPr="00332059" w:rsidRDefault="00332059" w:rsidP="000D31C3">
      <w:pPr>
        <w:pStyle w:val="CERDBoxTableHeading"/>
      </w:pPr>
      <w:bookmarkStart w:id="31" w:name="_Toc425850268"/>
      <w:r w:rsidRPr="00332059">
        <w:t>Tasmania</w:t>
      </w:r>
      <w:bookmarkEnd w:id="31"/>
    </w:p>
    <w:p w14:paraId="79CA9760" w14:textId="77777777" w:rsidR="00332059" w:rsidRPr="00CA366F" w:rsidRDefault="00332059" w:rsidP="000D31C3">
      <w:pPr>
        <w:pStyle w:val="CERDBodyText1"/>
      </w:pPr>
      <w:r w:rsidRPr="00CA366F">
        <w:t xml:space="preserve">The Tasmanian Government Work Placement Program for people from diverse cultural and linguistic backgrounds was established in 2003 (39 people completed the 2014 program). It helps former humanitarian entrants and recently arrived migrants gain experience at an Australian workplace to improve skills and confidence, and to help develop employment networks. It also provides the opportunity for host workplaces to experience the benefits of working with people from diverse cultural and linguistic backgrounds. The program complements the Australian Government’s Humanitarian Settlement Program in Tasmania. </w:t>
      </w:r>
    </w:p>
    <w:p w14:paraId="6C1E3D2D" w14:textId="77777777" w:rsidR="00332059" w:rsidRPr="00CA366F" w:rsidRDefault="00332059" w:rsidP="000D31C3">
      <w:pPr>
        <w:pStyle w:val="CERDBodyText1"/>
      </w:pPr>
      <w:r w:rsidRPr="00CA366F">
        <w:t>The Multicultural Access Point website provides an important resource for migrants in Tasmania and the service providers that support them. Employment opportunities and assistance with employment is available on the website.</w:t>
      </w:r>
    </w:p>
    <w:p w14:paraId="5F1DD890" w14:textId="77777777" w:rsidR="00332059" w:rsidRPr="00332059" w:rsidRDefault="00332059" w:rsidP="000D31C3">
      <w:pPr>
        <w:pStyle w:val="CERDBoxTableHeading"/>
      </w:pPr>
      <w:bookmarkStart w:id="32" w:name="_Toc425850269"/>
      <w:r w:rsidRPr="00332059">
        <w:t>Western Australia</w:t>
      </w:r>
      <w:bookmarkEnd w:id="32"/>
    </w:p>
    <w:p w14:paraId="1709F7D6" w14:textId="77777777" w:rsidR="00332059" w:rsidRPr="00CA366F" w:rsidRDefault="00332059" w:rsidP="000D31C3">
      <w:pPr>
        <w:pStyle w:val="CERDBodyText1"/>
      </w:pPr>
      <w:r w:rsidRPr="00CA366F">
        <w:t>The Western Australian Government’s Career Centre provides free access to career services for all residents. Based in Perth, its services are accessible through email, telephone, web chat, social media and in person.</w:t>
      </w:r>
    </w:p>
    <w:p w14:paraId="74759951" w14:textId="3861B30C" w:rsidR="00332059" w:rsidRPr="00332059" w:rsidRDefault="00B9685C" w:rsidP="00A33131">
      <w:pPr>
        <w:pStyle w:val="CERDHeadingMinor2"/>
        <w:rPr>
          <w:lang w:eastAsia="en-US"/>
        </w:rPr>
      </w:pPr>
      <w:bookmarkStart w:id="33" w:name="_Toc425850270"/>
      <w:r>
        <w:rPr>
          <w:lang w:eastAsia="en-US"/>
        </w:rPr>
        <w:t>Persons with Disabilities</w:t>
      </w:r>
      <w:bookmarkEnd w:id="33"/>
    </w:p>
    <w:p w14:paraId="5E87AAB1" w14:textId="77777777" w:rsidR="00332059" w:rsidRPr="00332059" w:rsidRDefault="00332059" w:rsidP="000D31C3">
      <w:pPr>
        <w:pStyle w:val="CERDBoxTableHeading"/>
      </w:pPr>
      <w:bookmarkStart w:id="34" w:name="_Toc425850271"/>
      <w:r w:rsidRPr="00332059">
        <w:t>New South Wales</w:t>
      </w:r>
      <w:bookmarkEnd w:id="34"/>
    </w:p>
    <w:p w14:paraId="15AC224B" w14:textId="47F5FFFF" w:rsidR="00332059" w:rsidRPr="00CA366F" w:rsidRDefault="00332059" w:rsidP="000D31C3">
      <w:pPr>
        <w:pStyle w:val="CERDBodyText1"/>
      </w:pPr>
      <w:r w:rsidRPr="00CA366F">
        <w:t>The New South Wales Government is committed to enhancing employment opportunities for people with disability and has a range of programs to support this outcome. Key achievements include the allocation of $6 million over three years from 2015</w:t>
      </w:r>
      <w:r w:rsidR="001F6C6C">
        <w:t>-</w:t>
      </w:r>
      <w:r w:rsidRPr="00CA366F">
        <w:t>16 to increase employment opportunities through the Employment Enablement Strategy. This will build the capacity of businesses to support people with disability and provide individual employment support packages for adults with intellectual disability.</w:t>
      </w:r>
    </w:p>
    <w:p w14:paraId="07AC507F" w14:textId="77777777" w:rsidR="00332059" w:rsidRPr="00332059" w:rsidRDefault="00332059" w:rsidP="000D31C3">
      <w:pPr>
        <w:pStyle w:val="CERDBoxTableHeading"/>
      </w:pPr>
      <w:bookmarkStart w:id="35" w:name="_Toc425850272"/>
      <w:r w:rsidRPr="00332059">
        <w:t>Northern Territory</w:t>
      </w:r>
      <w:bookmarkEnd w:id="35"/>
    </w:p>
    <w:p w14:paraId="158C4841" w14:textId="7B4B6F13" w:rsidR="00B9685C" w:rsidRPr="00CA366F" w:rsidRDefault="00332059" w:rsidP="000D31C3">
      <w:pPr>
        <w:pStyle w:val="CERDBodyText1"/>
      </w:pPr>
      <w:r w:rsidRPr="00CA366F">
        <w:t>The Northern Territory Equity Training Grants program funds programs to increase training and employment opportunities and outcomes for territorians, including those with disability. Grants are offered once a year.</w:t>
      </w:r>
      <w:r w:rsidR="00B06F39" w:rsidRPr="00CA366F">
        <w:t xml:space="preserve"> </w:t>
      </w:r>
    </w:p>
    <w:p w14:paraId="177AA6B6" w14:textId="7C243EDB" w:rsidR="00332059" w:rsidRPr="00332059" w:rsidRDefault="00332059" w:rsidP="000D31C3">
      <w:pPr>
        <w:pStyle w:val="CERDBoxTableHeading"/>
      </w:pPr>
      <w:bookmarkStart w:id="36" w:name="_Toc425850273"/>
      <w:r w:rsidRPr="00332059">
        <w:t>Tasmania</w:t>
      </w:r>
      <w:bookmarkEnd w:id="36"/>
    </w:p>
    <w:p w14:paraId="575A58D3" w14:textId="5874DFB6" w:rsidR="00332059" w:rsidRPr="00CA366F" w:rsidRDefault="00332059" w:rsidP="000D31C3">
      <w:pPr>
        <w:pStyle w:val="CERDBodyText1"/>
      </w:pPr>
      <w:r w:rsidRPr="00CA366F">
        <w:t>The Tasmanian Government’s Disab</w:t>
      </w:r>
      <w:r w:rsidR="001F6C6C">
        <w:t>ility Framework for Action 2013-</w:t>
      </w:r>
      <w:r w:rsidRPr="00CA366F">
        <w:t>2017</w:t>
      </w:r>
      <w:r w:rsidRPr="00883F7E">
        <w:rPr>
          <w:sz w:val="22"/>
          <w:szCs w:val="22"/>
          <w:vertAlign w:val="superscript"/>
        </w:rPr>
        <w:footnoteReference w:id="2"/>
      </w:r>
      <w:r w:rsidRPr="00CA366F">
        <w:t xml:space="preserve"> is a </w:t>
      </w:r>
      <w:r w:rsidR="001F6C6C">
        <w:br/>
      </w:r>
      <w:r w:rsidRPr="00CA366F">
        <w:t>whole-of-government approach to remove employment barriers for people with disability. The People with Disabilities Employment Register provides an additional entry point to recruit people with disability into the state service. The Graduate Program for People with Disabilities has provided funding since 2010 for agencies to employ a graduate with disability.</w:t>
      </w:r>
    </w:p>
    <w:p w14:paraId="400E8625" w14:textId="77777777" w:rsidR="00332059" w:rsidRPr="00CA366F" w:rsidRDefault="00332059" w:rsidP="000D31C3">
      <w:pPr>
        <w:pStyle w:val="CERDBodyText1"/>
      </w:pPr>
      <w:r w:rsidRPr="00CA366F">
        <w:t>Tasmania participates in several Commonwealth initiatives, including the Willing and Able Mentoring program. This matches students with disability from the University of Tasmania to a mentor in an organisation in the area in which the student hopes to establish a career.</w:t>
      </w:r>
    </w:p>
    <w:p w14:paraId="083D1E13" w14:textId="77777777" w:rsidR="00332059" w:rsidRPr="00332059" w:rsidRDefault="00332059" w:rsidP="000D31C3">
      <w:pPr>
        <w:pStyle w:val="CERDBoxTableHeading"/>
      </w:pPr>
      <w:bookmarkStart w:id="37" w:name="_Toc425850274"/>
      <w:r w:rsidRPr="00332059">
        <w:t>Western Australia</w:t>
      </w:r>
      <w:bookmarkEnd w:id="37"/>
    </w:p>
    <w:p w14:paraId="2BB77035" w14:textId="0CE70A1B" w:rsidR="00332059" w:rsidRPr="00CA366F" w:rsidRDefault="00332059" w:rsidP="000D31C3">
      <w:pPr>
        <w:pStyle w:val="CERDBodyText1"/>
      </w:pPr>
      <w:r w:rsidRPr="00CA366F">
        <w:t>The Western Australia Government’s Disability Employment Strategy 2013</w:t>
      </w:r>
      <w:r w:rsidR="001F6C6C">
        <w:t>-</w:t>
      </w:r>
      <w:r w:rsidRPr="00CA366F">
        <w:t>2015 aims to improve participation, inclusion and access for people with disability across the public sector.</w:t>
      </w:r>
    </w:p>
    <w:p w14:paraId="55B3F934" w14:textId="357F7070" w:rsidR="00332059" w:rsidRPr="00A33131" w:rsidRDefault="00332059" w:rsidP="00A33131">
      <w:pPr>
        <w:pStyle w:val="CERDHeadingMinor1"/>
        <w:rPr>
          <w:b w:val="0"/>
          <w:lang w:eastAsia="en-US"/>
        </w:rPr>
      </w:pPr>
      <w:bookmarkStart w:id="38" w:name="_Toc425850275"/>
      <w:r w:rsidRPr="00332059">
        <w:rPr>
          <w:lang w:eastAsia="en-US"/>
        </w:rPr>
        <w:lastRenderedPageBreak/>
        <w:t>Concluding Observation 22</w:t>
      </w:r>
      <w:r w:rsidR="00A33131">
        <w:rPr>
          <w:lang w:eastAsia="en-US"/>
        </w:rPr>
        <w:t xml:space="preserve"> – </w:t>
      </w:r>
      <w:r w:rsidR="00B9685C">
        <w:rPr>
          <w:b w:val="0"/>
          <w:lang w:eastAsia="en-US"/>
        </w:rPr>
        <w:t>Domestic V</w:t>
      </w:r>
      <w:r w:rsidR="00A33131" w:rsidRPr="00A33131">
        <w:rPr>
          <w:b w:val="0"/>
          <w:lang w:eastAsia="en-US"/>
        </w:rPr>
        <w:t>iolence</w:t>
      </w:r>
      <w:bookmarkEnd w:id="38"/>
    </w:p>
    <w:p w14:paraId="7485512F" w14:textId="77777777" w:rsidR="00332059" w:rsidRPr="00332059" w:rsidRDefault="00332059" w:rsidP="000D31C3">
      <w:pPr>
        <w:pStyle w:val="CERDBoxTableHeading"/>
      </w:pPr>
      <w:bookmarkStart w:id="39" w:name="_Toc425850276"/>
      <w:r w:rsidRPr="00332059">
        <w:t>Australian Capital Territory</w:t>
      </w:r>
      <w:bookmarkEnd w:id="39"/>
    </w:p>
    <w:p w14:paraId="39888085" w14:textId="176843D4" w:rsidR="00332059" w:rsidRPr="00CA366F" w:rsidRDefault="00332059" w:rsidP="000D31C3">
      <w:pPr>
        <w:pStyle w:val="CERDBodyText1"/>
      </w:pPr>
      <w:r w:rsidRPr="001F6C6C">
        <w:rPr>
          <w:i/>
        </w:rPr>
        <w:t>Our responsibility: ending violence against women and children</w:t>
      </w:r>
      <w:r w:rsidRPr="00CA366F">
        <w:t xml:space="preserve"> is the ACT strategy for the prevention of violence </w:t>
      </w:r>
      <w:r w:rsidR="001F6C6C">
        <w:t>against women and children 2011-</w:t>
      </w:r>
      <w:r w:rsidRPr="00CA366F">
        <w:t xml:space="preserve">2017. It was developed in the context of the ACT Government’s commitment to reducing and responding to violence against women in the ACT. The Family Violence Intervention Program provides a coordinated criminal justice, government and community response to criminal family violence incidents that come to the attention of the police and proceed to prosecution. </w:t>
      </w:r>
    </w:p>
    <w:p w14:paraId="44B73F50" w14:textId="77777777" w:rsidR="00332059" w:rsidRPr="00CA366F" w:rsidRDefault="00332059" w:rsidP="000D31C3">
      <w:pPr>
        <w:pStyle w:val="CERDBodyText1"/>
      </w:pPr>
      <w:r w:rsidRPr="00CA366F">
        <w:t>The ACT Government provides a range of specialised accommodation, outreach and domestic violence services for women in Canberra who are escaping domestic or family violence, and who may be experiencing homelessness or are at risk of homelessness. These services provided supported accommodation and outreach to over 300 women and families during the first six months of 2014.</w:t>
      </w:r>
    </w:p>
    <w:p w14:paraId="4504C777" w14:textId="77777777" w:rsidR="00332059" w:rsidRPr="00332059" w:rsidRDefault="00332059" w:rsidP="000D31C3">
      <w:pPr>
        <w:pStyle w:val="CERDBoxTableHeading"/>
      </w:pPr>
      <w:bookmarkStart w:id="40" w:name="_Toc425850277"/>
      <w:r w:rsidRPr="00332059">
        <w:t>New South Wales</w:t>
      </w:r>
      <w:bookmarkEnd w:id="40"/>
    </w:p>
    <w:p w14:paraId="6364ED2E" w14:textId="77777777" w:rsidR="00332059" w:rsidRPr="00CA366F" w:rsidRDefault="00332059" w:rsidP="000D31C3">
      <w:pPr>
        <w:pStyle w:val="CERDBodyText1"/>
      </w:pPr>
      <w:r w:rsidRPr="00AF787E">
        <w:rPr>
          <w:i/>
        </w:rPr>
        <w:t>Strategies and programs</w:t>
      </w:r>
      <w:r w:rsidRPr="00883F7E">
        <w:rPr>
          <w:sz w:val="22"/>
          <w:szCs w:val="22"/>
          <w:vertAlign w:val="superscript"/>
        </w:rPr>
        <w:footnoteReference w:id="3"/>
      </w:r>
    </w:p>
    <w:p w14:paraId="31EBEC75" w14:textId="27E1FDE5" w:rsidR="00332059" w:rsidRPr="00CA366F" w:rsidRDefault="00332059" w:rsidP="000D31C3">
      <w:pPr>
        <w:pStyle w:val="CERDBodyText1"/>
        <w:numPr>
          <w:ilvl w:val="0"/>
          <w:numId w:val="0"/>
        </w:numPr>
      </w:pPr>
      <w:r w:rsidRPr="00CA366F">
        <w:t>The New South Wales Domestic</w:t>
      </w:r>
      <w:r w:rsidR="001F6C6C">
        <w:t xml:space="preserve"> Violence Justice Strategy 2013-</w:t>
      </w:r>
      <w:r w:rsidRPr="00CA366F">
        <w:t>2017 outlines the standards justice agencies in the state will adopt to improve the criminal justice system’s response to domestic violence. The strategy aims to support victims of domestic violence, increase accountability among offenders and prevent recidivism.</w:t>
      </w:r>
    </w:p>
    <w:p w14:paraId="42DB09D0" w14:textId="78CDAC95" w:rsidR="00332059" w:rsidRPr="00CA366F" w:rsidRDefault="00332059" w:rsidP="000D31C3">
      <w:pPr>
        <w:pStyle w:val="CERDBodyText1"/>
        <w:numPr>
          <w:ilvl w:val="0"/>
          <w:numId w:val="0"/>
        </w:numPr>
      </w:pPr>
      <w:r w:rsidRPr="00CA366F">
        <w:t>The government’s domestic and family vio</w:t>
      </w:r>
      <w:r w:rsidR="00B4431B" w:rsidRPr="00CA366F">
        <w:t xml:space="preserve">lence framework for reform, </w:t>
      </w:r>
      <w:r w:rsidR="00B4431B" w:rsidRPr="001F6C6C">
        <w:rPr>
          <w:i/>
        </w:rPr>
        <w:t>It Stops H</w:t>
      </w:r>
      <w:r w:rsidRPr="001F6C6C">
        <w:rPr>
          <w:i/>
        </w:rPr>
        <w:t>ere: standing together to end domestic and family violence in NSW</w:t>
      </w:r>
      <w:r w:rsidRPr="00CA366F">
        <w:t>, was launched in February 2014. This is a five-year, whole-of-government effort focused on prevention, a stronger criminal justice response, new approaches to supporting victims, and building the capacity of the workforce. The state also funds specialist support programs for victims of domestic and family viole</w:t>
      </w:r>
      <w:r w:rsidR="00B4431B" w:rsidRPr="00CA366F">
        <w:t xml:space="preserve">nce and their children. The </w:t>
      </w:r>
      <w:r w:rsidR="00B4431B" w:rsidRPr="001F6C6C">
        <w:rPr>
          <w:i/>
        </w:rPr>
        <w:t>It Stops H</w:t>
      </w:r>
      <w:r w:rsidRPr="001F6C6C">
        <w:rPr>
          <w:i/>
        </w:rPr>
        <w:t xml:space="preserve">ere </w:t>
      </w:r>
      <w:r w:rsidR="00B4431B" w:rsidRPr="001F6C6C">
        <w:rPr>
          <w:i/>
        </w:rPr>
        <w:t>S</w:t>
      </w:r>
      <w:r w:rsidRPr="001F6C6C">
        <w:rPr>
          <w:i/>
        </w:rPr>
        <w:t xml:space="preserve">afer </w:t>
      </w:r>
      <w:r w:rsidR="001F6C6C">
        <w:rPr>
          <w:i/>
        </w:rPr>
        <w:t>P</w:t>
      </w:r>
      <w:r w:rsidRPr="001F6C6C">
        <w:rPr>
          <w:i/>
        </w:rPr>
        <w:t>athway</w:t>
      </w:r>
      <w:r w:rsidRPr="00CA366F">
        <w:t xml:space="preserve"> was introduced in September 2014 to increase victims’ safety and to facilitate access to domestic violence support services.</w:t>
      </w:r>
      <w:r w:rsidR="001F6C6C" w:rsidRPr="00883F7E">
        <w:rPr>
          <w:rStyle w:val="FootnoteReference"/>
          <w:sz w:val="22"/>
          <w:szCs w:val="22"/>
        </w:rPr>
        <w:footnoteReference w:id="4"/>
      </w:r>
      <w:r w:rsidRPr="00CA366F">
        <w:t xml:space="preserve"> It focuses on victims who are at serious threat of harm.</w:t>
      </w:r>
    </w:p>
    <w:p w14:paraId="6D9101EC" w14:textId="77777777" w:rsidR="00332059" w:rsidRPr="00CA366F" w:rsidRDefault="00332059" w:rsidP="000D31C3">
      <w:pPr>
        <w:pStyle w:val="CERDBodyText1"/>
      </w:pPr>
      <w:r w:rsidRPr="00AF787E">
        <w:rPr>
          <w:i/>
        </w:rPr>
        <w:t>Statistical data</w:t>
      </w:r>
      <w:r w:rsidRPr="00883F7E">
        <w:rPr>
          <w:sz w:val="22"/>
          <w:szCs w:val="22"/>
          <w:vertAlign w:val="superscript"/>
        </w:rPr>
        <w:footnoteReference w:id="5"/>
      </w:r>
    </w:p>
    <w:p w14:paraId="6F03BBC2" w14:textId="77777777" w:rsidR="00332059" w:rsidRPr="00CA366F" w:rsidRDefault="00332059" w:rsidP="000D31C3">
      <w:pPr>
        <w:pStyle w:val="CERDBodyText1"/>
        <w:numPr>
          <w:ilvl w:val="0"/>
          <w:numId w:val="0"/>
        </w:numPr>
      </w:pPr>
      <w:r w:rsidRPr="00CA366F">
        <w:t>The majority of violence against women and girls occurs at home at the hands of men they know. Females comprise a majority of victims (69%) and males a significant amount of perpetrators (81%). A study by the NSW Bureau of Crime Statistics and Research shows that there is significant underreporting of domestic and family violence, with just over half of victims (51.8%) reporting the crime to police.</w:t>
      </w:r>
    </w:p>
    <w:p w14:paraId="7D46F96F" w14:textId="77777777" w:rsidR="00332059" w:rsidRPr="00CA366F" w:rsidRDefault="00332059" w:rsidP="000D31C3">
      <w:pPr>
        <w:pStyle w:val="CERDBodyText1"/>
        <w:numPr>
          <w:ilvl w:val="0"/>
          <w:numId w:val="0"/>
        </w:numPr>
      </w:pPr>
      <w:r w:rsidRPr="00CA366F">
        <w:t>Annual trends show that the number of incidents recorded by the NSW Police Force as domestic violence-related has continued to increase.</w:t>
      </w:r>
    </w:p>
    <w:p w14:paraId="26DC102F" w14:textId="77777777" w:rsidR="00332059" w:rsidRPr="00332059" w:rsidRDefault="00332059" w:rsidP="000D31C3">
      <w:pPr>
        <w:pStyle w:val="CERDBodyTextDotPoint"/>
      </w:pPr>
      <w:r w:rsidRPr="00332059">
        <w:t xml:space="preserve">In the 12 months to June 2014, there were 31,954 victims of domestic violence-related assault reported to the police. </w:t>
      </w:r>
    </w:p>
    <w:p w14:paraId="6365B476" w14:textId="77777777" w:rsidR="00332059" w:rsidRPr="00332059" w:rsidRDefault="00332059" w:rsidP="000D31C3">
      <w:pPr>
        <w:pStyle w:val="CERDBodyTextDotPoint"/>
      </w:pPr>
      <w:r w:rsidRPr="00332059">
        <w:t xml:space="preserve">In 2013, there were 62,469 domestic violence incidents (up 3% from 60,699 in 2012, which in turn was up from 4% from 58,086 in 2011). </w:t>
      </w:r>
    </w:p>
    <w:p w14:paraId="4FC90774" w14:textId="77777777" w:rsidR="00332059" w:rsidRPr="00332059" w:rsidRDefault="00332059" w:rsidP="000D31C3">
      <w:pPr>
        <w:pStyle w:val="CERDBodyTextDotPoint"/>
      </w:pPr>
      <w:r w:rsidRPr="00332059">
        <w:lastRenderedPageBreak/>
        <w:t>In 2010 there were 54,830 incidents of domestic violence (up 1% from 54,145 in 2009).</w:t>
      </w:r>
    </w:p>
    <w:p w14:paraId="6E2FDF41" w14:textId="7A95FEDA" w:rsidR="00332059" w:rsidRPr="00CA366F" w:rsidRDefault="00332059" w:rsidP="000D31C3">
      <w:pPr>
        <w:pStyle w:val="CERDBodyText1"/>
        <w:numPr>
          <w:ilvl w:val="0"/>
          <w:numId w:val="0"/>
        </w:numPr>
      </w:pPr>
      <w:r w:rsidRPr="00CA366F">
        <w:t>Between 2009 and June 2014 there were 171,999 finalised charges for domestic violence related offences, with around two thirds (66% or 113,364) resulting in a guilty verdict. The number of people found guilty each year of a domestic violence related offence as their princip</w:t>
      </w:r>
      <w:r w:rsidR="00B4431B" w:rsidRPr="00CA366F">
        <w:t>a</w:t>
      </w:r>
      <w:r w:rsidRPr="00CA366F">
        <w:t>l offence has consistently increased from 8,855 in 2009; 10,399 in 2010; 10,971 in 2011; 11,027 in 2012; to 12,504 in 2013.</w:t>
      </w:r>
    </w:p>
    <w:p w14:paraId="3D94B2F4" w14:textId="77777777" w:rsidR="00332059" w:rsidRPr="00CA366F" w:rsidRDefault="00332059" w:rsidP="000D31C3">
      <w:pPr>
        <w:pStyle w:val="CERDBodyText1"/>
        <w:numPr>
          <w:ilvl w:val="0"/>
          <w:numId w:val="0"/>
        </w:numPr>
      </w:pPr>
      <w:r w:rsidRPr="00CA366F">
        <w:t>Those found guilty of a domestic violence related offence between 2009 and June 2014 received the following penalties: bond with or without supervision (42%), bond without conviction (15%), fine (14%), imprisonment (10%), suspended sentence with or without supervision (7%), community service order (3%), no conviction recorded (3%), conviction without penalty (2%), probation order (1%), and dismissed with caution (1%).</w:t>
      </w:r>
    </w:p>
    <w:p w14:paraId="0CA21B87" w14:textId="77777777" w:rsidR="00332059" w:rsidRPr="00332059" w:rsidRDefault="00332059" w:rsidP="000D31C3">
      <w:pPr>
        <w:pStyle w:val="CERDBoxTableHeading"/>
      </w:pPr>
      <w:bookmarkStart w:id="41" w:name="_Toc425850278"/>
      <w:r w:rsidRPr="00332059">
        <w:t>Northern Territory</w:t>
      </w:r>
      <w:bookmarkEnd w:id="41"/>
    </w:p>
    <w:p w14:paraId="4206B833" w14:textId="77777777" w:rsidR="00332059" w:rsidRPr="00CA366F" w:rsidRDefault="00332059" w:rsidP="000D31C3">
      <w:pPr>
        <w:pStyle w:val="CERDBodyText1"/>
      </w:pPr>
      <w:r w:rsidRPr="00CA366F">
        <w:t>The Northern Territory has a number of defining characteristics that sets it apart from how domestic and family violence presents in other jurisdictions. The challenges and opportunities in implementing policy are different across the large urban centres, fast growing service centres and remote Aboriginal communities. The formulation of policy decisions is sensitive to and influenced by the territory’s geographic, demographic and socio-economic overlay to domestic and family violence.</w:t>
      </w:r>
    </w:p>
    <w:p w14:paraId="16D5522C" w14:textId="0FE9FF9F" w:rsidR="00332059" w:rsidRPr="00CA366F" w:rsidRDefault="00332059" w:rsidP="000D31C3">
      <w:pPr>
        <w:pStyle w:val="CERDBodyText1"/>
      </w:pPr>
      <w:r w:rsidRPr="00CA366F">
        <w:t>The Northern Territory Government’s Domestic and Fami</w:t>
      </w:r>
      <w:r w:rsidR="001F6C6C">
        <w:t>ly Violence Reduction Strategy -</w:t>
      </w:r>
      <w:r w:rsidRPr="00CA366F">
        <w:t xml:space="preserve"> </w:t>
      </w:r>
      <w:r w:rsidRPr="001F6C6C">
        <w:rPr>
          <w:i/>
        </w:rPr>
        <w:t xml:space="preserve">Safety </w:t>
      </w:r>
      <w:r w:rsidR="000611EB" w:rsidRPr="001F6C6C">
        <w:rPr>
          <w:i/>
        </w:rPr>
        <w:t>-</w:t>
      </w:r>
      <w:r w:rsidRPr="001F6C6C">
        <w:rPr>
          <w:i/>
        </w:rPr>
        <w:t xml:space="preserve"> Everyone’s Right 2014</w:t>
      </w:r>
      <w:r w:rsidR="001F6C6C" w:rsidRPr="001F6C6C">
        <w:rPr>
          <w:i/>
        </w:rPr>
        <w:t>-</w:t>
      </w:r>
      <w:r w:rsidRPr="001F6C6C">
        <w:rPr>
          <w:i/>
        </w:rPr>
        <w:t>2017</w:t>
      </w:r>
      <w:r w:rsidRPr="00883F7E">
        <w:rPr>
          <w:sz w:val="22"/>
          <w:szCs w:val="22"/>
          <w:vertAlign w:val="superscript"/>
        </w:rPr>
        <w:footnoteReference w:id="6"/>
      </w:r>
      <w:r w:rsidRPr="00CA366F">
        <w:t xml:space="preserve"> is directly aligned to the outcomes and implementation of the National Plan to Reduce Violence Against Women and their Children. The strategy aims to increase the safety of victim-survivors and their children, reduce rates of inter-generational trauma caused by exposure to domestic and family violence, increase accountability for perpetrators, and establish integrated service delivery systems that are sustainable and adaptable.</w:t>
      </w:r>
    </w:p>
    <w:p w14:paraId="6AD398CD" w14:textId="53C7E4A7" w:rsidR="00332059" w:rsidRPr="00CA366F" w:rsidRDefault="00332059" w:rsidP="000D31C3">
      <w:pPr>
        <w:pStyle w:val="CERDBodyText1"/>
      </w:pPr>
      <w:r w:rsidRPr="00CA366F">
        <w:t>Informed by international and national evidence and recommendations (United Nations Children Fund, 2000, p.14), the strategy and interventions addressing domestic and family violence are focused on five areas for action:</w:t>
      </w:r>
    </w:p>
    <w:p w14:paraId="5299D015" w14:textId="77777777" w:rsidR="00332059" w:rsidRPr="00332059" w:rsidRDefault="00332059" w:rsidP="000D31C3">
      <w:pPr>
        <w:pStyle w:val="CERDBodyTextDotPoint"/>
      </w:pPr>
      <w:r w:rsidRPr="00332059">
        <w:t>Action Area 1. Prevention</w:t>
      </w:r>
    </w:p>
    <w:p w14:paraId="71D086C6" w14:textId="77777777" w:rsidR="00332059" w:rsidRPr="00332059" w:rsidRDefault="00332059" w:rsidP="000D31C3">
      <w:pPr>
        <w:pStyle w:val="CERDBodyTextDotPoint"/>
      </w:pPr>
      <w:r w:rsidRPr="00332059">
        <w:t>Action Area 2. Early intervention</w:t>
      </w:r>
    </w:p>
    <w:p w14:paraId="67CF4F44" w14:textId="77777777" w:rsidR="00332059" w:rsidRPr="00332059" w:rsidRDefault="00332059" w:rsidP="000D31C3">
      <w:pPr>
        <w:pStyle w:val="CERDBodyTextDotPoint"/>
      </w:pPr>
      <w:r w:rsidRPr="00332059">
        <w:t xml:space="preserve">Action Area 3. Protection – safety for victims and their children </w:t>
      </w:r>
    </w:p>
    <w:p w14:paraId="1720CEC7" w14:textId="77777777" w:rsidR="00332059" w:rsidRPr="00332059" w:rsidRDefault="00332059" w:rsidP="000D31C3">
      <w:pPr>
        <w:pStyle w:val="CERDBodyTextDotPoint"/>
      </w:pPr>
      <w:r w:rsidRPr="00332059">
        <w:t>Action Area 4. Rebuilding the lives of victim and their children</w:t>
      </w:r>
    </w:p>
    <w:p w14:paraId="60A9716C" w14:textId="77777777" w:rsidR="00332059" w:rsidRPr="00332059" w:rsidRDefault="00332059" w:rsidP="000D31C3">
      <w:pPr>
        <w:pStyle w:val="CERDBodyTextDotPoint"/>
      </w:pPr>
      <w:r w:rsidRPr="00332059">
        <w:t>Action Area 5. Accountability and positive change for perpetrators.</w:t>
      </w:r>
    </w:p>
    <w:p w14:paraId="5F7120DD" w14:textId="135AD3D6" w:rsidR="00332059" w:rsidRPr="00CA366F" w:rsidRDefault="00332059" w:rsidP="000D31C3">
      <w:pPr>
        <w:pStyle w:val="CERDBodyText1"/>
      </w:pPr>
      <w:r w:rsidRPr="00CA366F">
        <w:t>Key components of the Northern Territory strategy include:</w:t>
      </w:r>
    </w:p>
    <w:p w14:paraId="120695F4" w14:textId="77777777" w:rsidR="00332059" w:rsidRPr="00332059" w:rsidRDefault="00332059" w:rsidP="000D31C3">
      <w:pPr>
        <w:pStyle w:val="CERDBodyTextDotPoint"/>
      </w:pPr>
      <w:r w:rsidRPr="00332059">
        <w:t>expanding services to victims of domestic and family violence</w:t>
      </w:r>
    </w:p>
    <w:p w14:paraId="21B3790D" w14:textId="77777777" w:rsidR="00332059" w:rsidRPr="00332059" w:rsidRDefault="00332059" w:rsidP="000D31C3">
      <w:pPr>
        <w:pStyle w:val="CERDBodyTextDotPoint"/>
      </w:pPr>
      <w:r w:rsidRPr="00332059">
        <w:t>expanding services to children affected by domestic and family violence</w:t>
      </w:r>
    </w:p>
    <w:p w14:paraId="7D379F2B" w14:textId="77777777" w:rsidR="00332059" w:rsidRPr="00332059" w:rsidRDefault="00332059" w:rsidP="000D31C3">
      <w:pPr>
        <w:pStyle w:val="CERDBodyTextDotPoint"/>
      </w:pPr>
      <w:r w:rsidRPr="00332059">
        <w:t>a centralised electronic referral system linking victims with services such as shelters</w:t>
      </w:r>
    </w:p>
    <w:p w14:paraId="59E21E58" w14:textId="77777777" w:rsidR="00332059" w:rsidRPr="00332059" w:rsidRDefault="00332059" w:rsidP="000D31C3">
      <w:pPr>
        <w:pStyle w:val="CERDBodyTextDotPoint"/>
      </w:pPr>
      <w:r w:rsidRPr="00332059">
        <w:t>funding additional sexual assault support workers</w:t>
      </w:r>
    </w:p>
    <w:p w14:paraId="52B2FB32" w14:textId="77777777" w:rsidR="00332059" w:rsidRPr="00332059" w:rsidRDefault="00332059" w:rsidP="000D31C3">
      <w:pPr>
        <w:pStyle w:val="CERDBodyTextDotPoint"/>
      </w:pPr>
      <w:r w:rsidRPr="00332059">
        <w:t>setting up a Domestic Violence Directorate in the Department of the Attorney–General and Justice to provide leadership, coordinate policy, ensure a whole-of-government approach and alignment with the national plan</w:t>
      </w:r>
    </w:p>
    <w:p w14:paraId="2D224940" w14:textId="2A3720B1" w:rsidR="007D6DAF" w:rsidRPr="001F6C6C" w:rsidRDefault="00332059" w:rsidP="001F6C6C">
      <w:pPr>
        <w:pStyle w:val="CERDBodyTextDotPoint"/>
      </w:pPr>
      <w:r w:rsidRPr="00332059">
        <w:t>reviewing all legislation relating to domestic and family violence and sexual assault.</w:t>
      </w:r>
      <w:r w:rsidR="001F6C6C">
        <w:t xml:space="preserve">   </w:t>
      </w:r>
      <w:r w:rsidR="007D6DAF">
        <w:br w:type="page"/>
      </w:r>
    </w:p>
    <w:p w14:paraId="4F9E88C8" w14:textId="09FB3CA2" w:rsidR="00332059" w:rsidRPr="00AF787E" w:rsidRDefault="00332059" w:rsidP="000D31C3">
      <w:pPr>
        <w:pStyle w:val="CERDBodyText1"/>
        <w:rPr>
          <w:i/>
        </w:rPr>
      </w:pPr>
      <w:r w:rsidRPr="00AF787E">
        <w:rPr>
          <w:i/>
        </w:rPr>
        <w:lastRenderedPageBreak/>
        <w:t>Indigenous Male Advisory Council</w:t>
      </w:r>
      <w:r w:rsidR="000611EB" w:rsidRPr="00AF787E">
        <w:rPr>
          <w:i/>
        </w:rPr>
        <w:t xml:space="preserve"> </w:t>
      </w:r>
      <w:r w:rsidRPr="00AF787E">
        <w:rPr>
          <w:i/>
        </w:rPr>
        <w:t xml:space="preserve"> </w:t>
      </w:r>
    </w:p>
    <w:p w14:paraId="0FF24178" w14:textId="77777777" w:rsidR="00332059" w:rsidRPr="00CA366F" w:rsidRDefault="00332059" w:rsidP="000D31C3">
      <w:pPr>
        <w:pStyle w:val="CERDBodyText1"/>
        <w:numPr>
          <w:ilvl w:val="0"/>
          <w:numId w:val="0"/>
        </w:numPr>
      </w:pPr>
      <w:r w:rsidRPr="00CA366F">
        <w:t>The Indigenous Male Advisory Council consists of 15 to 20 Indigenous men from all regions of the territory. Its function is to provide high-level strategic advice to the government on a range of issues that impact on Indigenous men.</w:t>
      </w:r>
    </w:p>
    <w:p w14:paraId="4101BAF0" w14:textId="77777777" w:rsidR="00332059" w:rsidRPr="00AF787E" w:rsidRDefault="00332059" w:rsidP="000D31C3">
      <w:pPr>
        <w:pStyle w:val="CERDBodyText1"/>
        <w:rPr>
          <w:i/>
        </w:rPr>
      </w:pPr>
      <w:r w:rsidRPr="00AF787E">
        <w:rPr>
          <w:i/>
        </w:rPr>
        <w:t>The Award for Action Against Domestic Violence</w:t>
      </w:r>
    </w:p>
    <w:p w14:paraId="7A6D66B2" w14:textId="5F2E5B14" w:rsidR="00332059" w:rsidRPr="00CA366F" w:rsidRDefault="00332059" w:rsidP="000D31C3">
      <w:pPr>
        <w:pStyle w:val="CERDBodyText1"/>
        <w:numPr>
          <w:ilvl w:val="0"/>
          <w:numId w:val="0"/>
        </w:numPr>
      </w:pPr>
      <w:r w:rsidRPr="00CA366F">
        <w:t xml:space="preserve">The Award for Action Against Domestic Violence will be presented to the Northern Territory </w:t>
      </w:r>
      <w:r w:rsidR="001B32E1" w:rsidRPr="00CA366F">
        <w:t>s</w:t>
      </w:r>
      <w:r w:rsidRPr="00CA366F">
        <w:t xml:space="preserve">porting </w:t>
      </w:r>
      <w:r w:rsidR="001B32E1" w:rsidRPr="00CA366F">
        <w:t>c</w:t>
      </w:r>
      <w:r w:rsidRPr="00CA366F">
        <w:t>lub</w:t>
      </w:r>
      <w:r w:rsidR="001B32E1" w:rsidRPr="00CA366F">
        <w:t xml:space="preserve"> that</w:t>
      </w:r>
      <w:r w:rsidRPr="00CA366F">
        <w:t xml:space="preserve"> has demonstrated an ongoing commitment to raising awareness of family violence and has taken steps to prevent family violence from occurring within the club, and amongst its players, fans and staff.</w:t>
      </w:r>
    </w:p>
    <w:p w14:paraId="5209AEE1" w14:textId="77777777" w:rsidR="00332059" w:rsidRPr="00AF787E" w:rsidRDefault="00332059" w:rsidP="000D31C3">
      <w:pPr>
        <w:pStyle w:val="CERDBodyText1"/>
        <w:rPr>
          <w:i/>
        </w:rPr>
      </w:pPr>
      <w:r w:rsidRPr="00AF787E">
        <w:rPr>
          <w:i/>
        </w:rPr>
        <w:t>Northern Territory statistics</w:t>
      </w:r>
    </w:p>
    <w:p w14:paraId="5886BD16" w14:textId="66F490F2" w:rsidR="00332059" w:rsidRPr="00CA366F" w:rsidRDefault="001F6C6C" w:rsidP="000D31C3">
      <w:pPr>
        <w:pStyle w:val="CERDBodyText1"/>
        <w:numPr>
          <w:ilvl w:val="0"/>
          <w:numId w:val="0"/>
        </w:numPr>
      </w:pPr>
      <w:r>
        <w:t>The 2013-</w:t>
      </w:r>
      <w:r w:rsidR="00332059" w:rsidRPr="00CA366F">
        <w:t>14 crime statistics for the Northern Territory</w:t>
      </w:r>
      <w:r w:rsidR="00332059" w:rsidRPr="00883F7E">
        <w:rPr>
          <w:sz w:val="22"/>
          <w:szCs w:val="22"/>
          <w:vertAlign w:val="superscript"/>
        </w:rPr>
        <w:footnoteReference w:id="7"/>
      </w:r>
      <w:r w:rsidR="00332059" w:rsidRPr="00CA366F">
        <w:t xml:space="preserve"> indicate that 61% of all assaults were recorded as domestic violence related (Northern Territory</w:t>
      </w:r>
      <w:r w:rsidR="00332059" w:rsidRPr="00CA366F" w:rsidDel="000B1980">
        <w:t xml:space="preserve"> </w:t>
      </w:r>
      <w:r w:rsidR="00332059" w:rsidRPr="00CA366F">
        <w:t>Crime Statistics, data to June 2014).</w:t>
      </w:r>
    </w:p>
    <w:p w14:paraId="4410DC8B" w14:textId="7A4EDD92" w:rsidR="00332059" w:rsidRPr="00CA366F" w:rsidRDefault="00332059" w:rsidP="00AF787E">
      <w:pPr>
        <w:pStyle w:val="CERDBodyText1"/>
        <w:numPr>
          <w:ilvl w:val="0"/>
          <w:numId w:val="0"/>
        </w:numPr>
      </w:pPr>
      <w:r w:rsidRPr="00CA366F">
        <w:t>In the Northern Territory in 2012</w:t>
      </w:r>
      <w:r w:rsidR="001F6C6C">
        <w:t>-</w:t>
      </w:r>
      <w:r w:rsidRPr="00CA366F">
        <w:t>13, Aboriginal females made up 73% of domestic violence assault victims, and were almost 22 times more likely to be victims of domestic violence assault than non-Aboriginal females (Northern Territory Police Force data). Domestic violence experienced by Aboriginal women is often marked by repeated assaults with weapons capable of causing serious harm such as tyre levers, rocks and iron bars, and the use of extreme force. The number of Aboriginal females being hospitalised in the territory as a result of assault</w:t>
      </w:r>
      <w:r w:rsidR="000611EB">
        <w:t xml:space="preserve"> has risen each year since 2008-09, from 821 to 1,059 in 2011-</w:t>
      </w:r>
      <w:r w:rsidRPr="00CA366F">
        <w:t>12.</w:t>
      </w:r>
      <w:r w:rsidRPr="00883F7E">
        <w:rPr>
          <w:sz w:val="22"/>
          <w:szCs w:val="22"/>
          <w:vertAlign w:val="superscript"/>
        </w:rPr>
        <w:footnoteReference w:id="8"/>
      </w:r>
      <w:r w:rsidRPr="00CA366F">
        <w:t xml:space="preserve"> This is an increase of 29% over four years (Office of the Children’s Commissioner, Dr</w:t>
      </w:r>
      <w:r w:rsidR="00883F7E">
        <w:t xml:space="preserve"> </w:t>
      </w:r>
      <w:r w:rsidRPr="00CA366F">
        <w:t>Howard Bath, 2014).</w:t>
      </w:r>
      <w:r w:rsidRPr="00883F7E">
        <w:rPr>
          <w:sz w:val="22"/>
          <w:szCs w:val="22"/>
          <w:vertAlign w:val="superscript"/>
        </w:rPr>
        <w:footnoteReference w:id="9"/>
      </w:r>
    </w:p>
    <w:p w14:paraId="55E99B62" w14:textId="07C64FFB" w:rsidR="00332059" w:rsidRPr="00CA366F" w:rsidRDefault="00332059" w:rsidP="00AF787E">
      <w:pPr>
        <w:pStyle w:val="CERDBodyText1"/>
        <w:numPr>
          <w:ilvl w:val="0"/>
          <w:numId w:val="0"/>
        </w:numPr>
      </w:pPr>
      <w:r w:rsidRPr="00CA366F">
        <w:t>Norther</w:t>
      </w:r>
      <w:r w:rsidR="000611EB">
        <w:t>n Territory court data for 2013-</w:t>
      </w:r>
      <w:r w:rsidRPr="00CA366F">
        <w:t>14 domestic violence related assault shows that of the 2,730 outcomes, 949 resulted in imprisonment, 469 in partially suspended imprisonment, 156 in fully suspended imprisonment, 24 in a community work order, 214 in monetary penalty, 48 in ‘other’ order and 870 were withdrawn. The large number of ‘withdrawn’ was due partly to the police initiative of clearing up outstanding warrants.</w:t>
      </w:r>
    </w:p>
    <w:p w14:paraId="7DFAE51A" w14:textId="0FB505B0" w:rsidR="00332059" w:rsidRPr="00CA366F" w:rsidRDefault="00332059" w:rsidP="00AF787E">
      <w:pPr>
        <w:pStyle w:val="CERDBodyText1"/>
        <w:numPr>
          <w:ilvl w:val="0"/>
          <w:numId w:val="0"/>
        </w:numPr>
      </w:pPr>
      <w:r w:rsidRPr="00CA366F">
        <w:t>A five year snapshot of domestic violence order applications shows a constant increase in total n</w:t>
      </w:r>
      <w:r w:rsidR="000611EB">
        <w:t>umber of applications from 2009-10 (3,780) to 2013-</w:t>
      </w:r>
      <w:r w:rsidRPr="00CA366F">
        <w:t>14 (4,348). In Northern Territory courts in 2013</w:t>
      </w:r>
      <w:r w:rsidR="000611EB">
        <w:t>-</w:t>
      </w:r>
      <w:r w:rsidRPr="00CA366F">
        <w:t>14, a total of 3,022 domestic violence orders were handed down against males and 962 against females (Integrated Justice Information System, 2014).</w:t>
      </w:r>
    </w:p>
    <w:p w14:paraId="50A7043C" w14:textId="4CDB0079" w:rsidR="00B06F39" w:rsidRDefault="00B06F39" w:rsidP="000D31C3">
      <w:pPr>
        <w:pStyle w:val="CERDBoxTableHeading"/>
      </w:pPr>
      <w:bookmarkStart w:id="42" w:name="_Toc425850279"/>
      <w:r>
        <w:t>Queensland</w:t>
      </w:r>
      <w:bookmarkEnd w:id="42"/>
    </w:p>
    <w:p w14:paraId="7AFD424B" w14:textId="5C021CED" w:rsidR="00B06F39" w:rsidRPr="00CA366F" w:rsidRDefault="00B06F39" w:rsidP="000D31C3">
      <w:pPr>
        <w:pStyle w:val="CERDBodyText1"/>
      </w:pPr>
      <w:r w:rsidRPr="00CA366F">
        <w:t xml:space="preserve">The Queensland Government funds community based sexual assault services to help women access information and support to deal with the trauma they have experienced and to rebuild their lives. Sexual assault services operate within a broader service system that includes health, police and justice. </w:t>
      </w:r>
    </w:p>
    <w:p w14:paraId="5639552E" w14:textId="77777777" w:rsidR="00B06F39" w:rsidRPr="00CA366F" w:rsidRDefault="00B06F39" w:rsidP="000D31C3">
      <w:pPr>
        <w:pStyle w:val="CERDBodyText1"/>
      </w:pPr>
      <w:r w:rsidRPr="00CA366F">
        <w:t xml:space="preserve">The Queensland Government provides services for people affected by domestic and family violence including victims, perpetrators and children. Funded services provide counselling and </w:t>
      </w:r>
      <w:r w:rsidRPr="00CA366F">
        <w:lastRenderedPageBreak/>
        <w:t xml:space="preserve">support to victims, perpetrator intervention programs and prevention and early intervention activities with the aim of achieving safer communities. </w:t>
      </w:r>
    </w:p>
    <w:p w14:paraId="512CD70F" w14:textId="77777777" w:rsidR="00B06F39" w:rsidRPr="00CA366F" w:rsidRDefault="00B06F39" w:rsidP="000D31C3">
      <w:pPr>
        <w:pStyle w:val="CERDBodyText1"/>
      </w:pPr>
      <w:r w:rsidRPr="00CA366F">
        <w:t xml:space="preserve">In the 2010-14 period, the Queensland Government has established new domestic and family violence initiatives. Safety Upgrades services facilitate security upgrades to clients’ homes to enable women affected by domestic and family violence, and their children, to remain safely in their homes where it’s assessed as safe to do so. Domestic violence services have been funded under the Family Support Helping out Families initiative as a strategy to help prevent families from entering or re-entering the statutory child protection system. </w:t>
      </w:r>
    </w:p>
    <w:p w14:paraId="6CFA8F66" w14:textId="77777777" w:rsidR="00B06F39" w:rsidRPr="00CA366F" w:rsidRDefault="00B06F39" w:rsidP="000D31C3">
      <w:pPr>
        <w:pStyle w:val="CERDBodyText1"/>
      </w:pPr>
      <w:r w:rsidRPr="00CA366F">
        <w:t xml:space="preserve">The Queensland Government funds services to assist the active participation of women in the management of their own health and wellbeing through community based women’s health services. </w:t>
      </w:r>
    </w:p>
    <w:p w14:paraId="60C62CA8" w14:textId="77777777" w:rsidR="00B06F39" w:rsidRPr="00CA366F" w:rsidRDefault="00B06F39" w:rsidP="000D31C3">
      <w:pPr>
        <w:pStyle w:val="CERDBodyText1"/>
      </w:pPr>
      <w:r w:rsidRPr="00CA366F">
        <w:t>As part of its support for the National Plan to Reduce Violence Against Women and their Children 2010-2022, the Queensland Government funds the Centre for Domestic and Family Violence Research as Queensland’s contribution to the work undertaken by the National Centre of Excellence to Reduce Violence Against Women and Their Children.</w:t>
      </w:r>
    </w:p>
    <w:p w14:paraId="3FC25F76" w14:textId="77777777" w:rsidR="00B06F39" w:rsidRPr="00CA366F" w:rsidRDefault="00B06F39" w:rsidP="000D31C3">
      <w:pPr>
        <w:pStyle w:val="CERDBodyText1"/>
      </w:pPr>
      <w:r w:rsidRPr="00CA366F">
        <w:t>Queensland coordinates Domestic and Family Violence Prevention Month each May to raise community awareness of the issue. In 2013, the Queensland Government launched the three year ‘</w:t>
      </w:r>
      <w:r w:rsidRPr="000611EB">
        <w:rPr>
          <w:i/>
        </w:rPr>
        <w:t>Make the call</w:t>
      </w:r>
      <w:r w:rsidRPr="00CA366F">
        <w:t xml:space="preserve">’ social marketing campaign to encourage friends, family, neighbours and work colleagues concerned that someone they know may be experiencing domestic violence, to call the DVConnect helpline for advice about how to help. </w:t>
      </w:r>
    </w:p>
    <w:p w14:paraId="325A4A23" w14:textId="616C01F9" w:rsidR="00B06F39" w:rsidRPr="00CA366F" w:rsidRDefault="00B06F39" w:rsidP="000D31C3">
      <w:pPr>
        <w:pStyle w:val="CERDBodyText1"/>
      </w:pPr>
      <w:r w:rsidRPr="00CA366F">
        <w:t xml:space="preserve">In 2010, a major review of Queensland’s domestic violence legislation commenced. The </w:t>
      </w:r>
      <w:r w:rsidRPr="003113D9">
        <w:rPr>
          <w:i/>
        </w:rPr>
        <w:t>Domestic and Family Violence Protection Act 2012</w:t>
      </w:r>
      <w:r w:rsidRPr="00CA366F">
        <w:t xml:space="preserve"> (Qld) (the Act) commenced on 17 September 2012. The Act aims to: maximise the safety, protection and wellbeing of victims; reduce domestic and family violence and children’s exposure to violence and; hold perpetrators accountable for their actions.</w:t>
      </w:r>
    </w:p>
    <w:p w14:paraId="6F5ED231" w14:textId="77777777" w:rsidR="00332059" w:rsidRPr="00425EF6" w:rsidRDefault="00332059" w:rsidP="000D31C3">
      <w:pPr>
        <w:pStyle w:val="CERDBoxTableHeading"/>
      </w:pPr>
      <w:bookmarkStart w:id="43" w:name="_Toc425850280"/>
      <w:r w:rsidRPr="00332059">
        <w:t>South Australia</w:t>
      </w:r>
      <w:r w:rsidRPr="00883F7E">
        <w:rPr>
          <w:b w:val="0"/>
          <w:sz w:val="22"/>
          <w:szCs w:val="22"/>
          <w:vertAlign w:val="superscript"/>
        </w:rPr>
        <w:footnoteReference w:id="10"/>
      </w:r>
      <w:bookmarkEnd w:id="43"/>
    </w:p>
    <w:p w14:paraId="23B28FF3" w14:textId="77777777" w:rsidR="00332059" w:rsidRPr="00CA366F" w:rsidRDefault="00332059" w:rsidP="000D31C3">
      <w:pPr>
        <w:pStyle w:val="CERDBodyText1"/>
      </w:pPr>
      <w:r w:rsidRPr="00CA366F">
        <w:t>Regional Domestic and Aboriginal Family Violence services provide accommodation (crisis, medium and long-term) and support (onsite and outreach) in every region of South Australia. In addition, state-wide services are funded to support the regional network, including a 24-hour telephone gateway response for women who are homeless or at risk of domestic violence, and a ‘safety package’ program.</w:t>
      </w:r>
    </w:p>
    <w:p w14:paraId="14491135" w14:textId="77777777" w:rsidR="00332059" w:rsidRPr="00CA366F" w:rsidRDefault="00332059" w:rsidP="000D31C3">
      <w:pPr>
        <w:pStyle w:val="CERDBodyText1"/>
      </w:pPr>
      <w:r w:rsidRPr="00CA366F">
        <w:t xml:space="preserve">Through the </w:t>
      </w:r>
      <w:r w:rsidRPr="001F6C6C">
        <w:rPr>
          <w:i/>
        </w:rPr>
        <w:t>Staying Home Staying Safe Program</w:t>
      </w:r>
      <w:r w:rsidRPr="00CA366F">
        <w:t>, Victims Support Service provides safety packages and audits that enable women and children to remain living safely in their homes. Safety packages provide up to $2,000 for each person in security measures, including security screens, new locks and personal alarms.</w:t>
      </w:r>
    </w:p>
    <w:p w14:paraId="5225CD02" w14:textId="77777777" w:rsidR="00332059" w:rsidRPr="00CA366F" w:rsidRDefault="00332059" w:rsidP="000D31C3">
      <w:pPr>
        <w:pStyle w:val="CERDBodyText1"/>
      </w:pPr>
      <w:r w:rsidRPr="00CA366F">
        <w:t>A state-wide culturally and linguistically diverse domestic violence service also supports the regional services network. This service provides specialist support to culturally and linguistically diverse women and their children, and also provides training to other services and support providers. All regional domestic violence services have a target of at least 8% culturally and linguistically diverse clients.</w:t>
      </w:r>
    </w:p>
    <w:p w14:paraId="00213B16" w14:textId="77777777" w:rsidR="001F6C6C" w:rsidRDefault="001F6C6C">
      <w:pPr>
        <w:rPr>
          <w:rFonts w:cstheme="minorHAnsi"/>
          <w:lang w:val="en-AU" w:eastAsia="en-US"/>
        </w:rPr>
      </w:pPr>
      <w:r>
        <w:br w:type="page"/>
      </w:r>
    </w:p>
    <w:p w14:paraId="0F36ACC2" w14:textId="66204C6F" w:rsidR="00332059" w:rsidRPr="00CA366F" w:rsidRDefault="00332059" w:rsidP="000D31C3">
      <w:pPr>
        <w:pStyle w:val="CERDBodyText1"/>
      </w:pPr>
      <w:r w:rsidRPr="00CA366F">
        <w:lastRenderedPageBreak/>
        <w:t>Since December 2011, a Women’s Safety Contact Officer Program has b</w:t>
      </w:r>
      <w:r w:rsidR="007D6DAF">
        <w:t>een funded through the Attorney-</w:t>
      </w:r>
      <w:r w:rsidRPr="00CA366F">
        <w:t xml:space="preserve">General’s Department under the Intervention Orders Response Model. This program provides support and ongoing risk and safety assessments for women whose partners have been ordered to attend the intervention order program under the </w:t>
      </w:r>
      <w:r w:rsidRPr="001F6C6C">
        <w:rPr>
          <w:i/>
        </w:rPr>
        <w:t>Intervention Orders (Prevention of Abuse) Act 2009</w:t>
      </w:r>
      <w:r w:rsidRPr="00CA366F">
        <w:t xml:space="preserve"> (SA).</w:t>
      </w:r>
    </w:p>
    <w:p w14:paraId="3F8E3896" w14:textId="2E825BF5" w:rsidR="00332059" w:rsidRPr="00CA366F" w:rsidRDefault="00332059" w:rsidP="000D31C3">
      <w:pPr>
        <w:pStyle w:val="CERDBodyText1"/>
      </w:pPr>
      <w:r w:rsidRPr="001F6C6C">
        <w:rPr>
          <w:i/>
        </w:rPr>
        <w:t>A Right to Safety: the next Phase of South Australia’s Women’s Safety Strate</w:t>
      </w:r>
      <w:r w:rsidR="001F6C6C">
        <w:rPr>
          <w:i/>
        </w:rPr>
        <w:t>gy 2011-</w:t>
      </w:r>
      <w:r w:rsidRPr="001F6C6C">
        <w:rPr>
          <w:i/>
        </w:rPr>
        <w:t>2022</w:t>
      </w:r>
      <w:r w:rsidRPr="00883F7E">
        <w:rPr>
          <w:sz w:val="22"/>
          <w:szCs w:val="22"/>
          <w:vertAlign w:val="superscript"/>
        </w:rPr>
        <w:footnoteReference w:id="11"/>
      </w:r>
      <w:r w:rsidR="00883F7E">
        <w:t>,</w:t>
      </w:r>
      <w:r w:rsidRPr="00CA366F">
        <w:t xml:space="preserve"> was launched on 2 December 2011. </w:t>
      </w:r>
      <w:r w:rsidRPr="001F6C6C">
        <w:rPr>
          <w:i/>
        </w:rPr>
        <w:t>A Right to Safety</w:t>
      </w:r>
      <w:r w:rsidRPr="00CA366F">
        <w:t xml:space="preserve"> builds on the reforms undertaken since 2005 through the Women’s Safety Strategy to improve legislation and services and to strengthen community understanding of the effects of violence against women. It also has a stronger focus on early intervention and prevention to stop violence against women from occurring in the first place. </w:t>
      </w:r>
      <w:r w:rsidRPr="001F6C6C">
        <w:rPr>
          <w:i/>
        </w:rPr>
        <w:t>A Right to Safety</w:t>
      </w:r>
      <w:r w:rsidRPr="00CA366F">
        <w:t xml:space="preserve"> has a broad focus, from early intervention work through to community education, to raise awareness about the level and complexity of women’s safety. </w:t>
      </w:r>
      <w:r w:rsidRPr="001F6C6C">
        <w:rPr>
          <w:i/>
        </w:rPr>
        <w:t>A Right to Safety</w:t>
      </w:r>
      <w:r w:rsidRPr="00CA366F">
        <w:t xml:space="preserve"> also outlines the government’s commitment to the National Plan to Reduce Violence Agains</w:t>
      </w:r>
      <w:r w:rsidR="001F6C6C">
        <w:t>t Women and their Children 2010-</w:t>
      </w:r>
      <w:r w:rsidRPr="00CA366F">
        <w:t>2022.</w:t>
      </w:r>
    </w:p>
    <w:p w14:paraId="4E1DAF7A" w14:textId="77777777" w:rsidR="00332059" w:rsidRPr="00CA366F" w:rsidRDefault="00332059" w:rsidP="000D31C3">
      <w:pPr>
        <w:pStyle w:val="CERDBodyText1"/>
      </w:pPr>
      <w:r w:rsidRPr="00CA366F">
        <w:t xml:space="preserve">Key initiatives currently being undertaken through </w:t>
      </w:r>
      <w:r w:rsidRPr="001F6C6C">
        <w:rPr>
          <w:i/>
        </w:rPr>
        <w:t>A Right to Safety</w:t>
      </w:r>
      <w:r w:rsidRPr="00CA366F">
        <w:t xml:space="preserve"> include:</w:t>
      </w:r>
    </w:p>
    <w:p w14:paraId="63E1C51E" w14:textId="3E94B9F0" w:rsidR="00332059" w:rsidRPr="00332059" w:rsidRDefault="00883F7E" w:rsidP="000D31C3">
      <w:pPr>
        <w:pStyle w:val="CERDBodyTextDotPoint"/>
      </w:pPr>
      <w:r>
        <w:t>the Family Safety Framework -</w:t>
      </w:r>
      <w:r w:rsidR="00332059" w:rsidRPr="00332059">
        <w:t xml:space="preserve"> which ensures that services to families most at risk of violence are dealt with in a more structured and systematic way, through agencies sharing information about high risk families and taking responsibility for supporting these families to navigate the service system. The framework covers all of South Australia including the Anangu Pitjantjatjara Yankunytjatjara (APY) Lands.</w:t>
      </w:r>
    </w:p>
    <w:p w14:paraId="6753FC05" w14:textId="77777777" w:rsidR="00332059" w:rsidRPr="00332059" w:rsidRDefault="00332059" w:rsidP="000D31C3">
      <w:pPr>
        <w:pStyle w:val="CERDBodyTextDotPoint"/>
      </w:pPr>
      <w:r w:rsidRPr="00332059">
        <w:t>Research and investigation of domestic violence-related deaths through the appointment of a senior research officer. This position identifies domestic violence issues, contexts and relevant service systems while investigating the adequacy of responses. This advice forms part of the coronial brief and builds the capacity of a coronial inquest to explore and inquire into system responses to domestic violence. It also recommends improvements with a preventative focus.</w:t>
      </w:r>
    </w:p>
    <w:p w14:paraId="1BF829C7" w14:textId="77777777" w:rsidR="00332059" w:rsidRPr="00332059" w:rsidRDefault="00332059" w:rsidP="000D31C3">
      <w:pPr>
        <w:pStyle w:val="CERDBodyTextDotPoint"/>
      </w:pPr>
      <w:r w:rsidRPr="00332059">
        <w:t xml:space="preserve">Violence Against Women Collaborations, which support development of local regional prevention strategies and responses to women experiencing rape and sexual assault, domestic and family violence, and homelessness due to violence. </w:t>
      </w:r>
    </w:p>
    <w:p w14:paraId="1A678898" w14:textId="7A92B068" w:rsidR="00332059" w:rsidRPr="00332059" w:rsidRDefault="00332059" w:rsidP="000D31C3">
      <w:pPr>
        <w:pStyle w:val="CERDBodyTextDotPoint"/>
      </w:pPr>
      <w:r w:rsidRPr="00332059">
        <w:t>Workplace domestic violence policies</w:t>
      </w:r>
      <w:r w:rsidRPr="00332059">
        <w:rPr>
          <w:i/>
        </w:rPr>
        <w:t xml:space="preserve"> </w:t>
      </w:r>
      <w:r w:rsidR="001F6C6C">
        <w:t>-</w:t>
      </w:r>
      <w:r w:rsidRPr="00332059">
        <w:t xml:space="preserve"> all South Australian Government departments have implemented or are implementing domestic violence workplace policies after endorsement from the premier.</w:t>
      </w:r>
    </w:p>
    <w:p w14:paraId="10EFE5C5" w14:textId="2E8F2A38" w:rsidR="00332059" w:rsidRPr="00CA366F" w:rsidRDefault="00332059" w:rsidP="000D31C3">
      <w:pPr>
        <w:pStyle w:val="CERDBodyText1"/>
      </w:pPr>
      <w:r w:rsidRPr="00CA366F">
        <w:t xml:space="preserve">In October 2014, the premier released </w:t>
      </w:r>
      <w:r w:rsidRPr="001F6C6C">
        <w:rPr>
          <w:i/>
        </w:rPr>
        <w:t>Taking a stand: responding to domestic violence</w:t>
      </w:r>
      <w:r w:rsidRPr="00883F7E">
        <w:rPr>
          <w:sz w:val="22"/>
          <w:szCs w:val="22"/>
          <w:vertAlign w:val="superscript"/>
        </w:rPr>
        <w:footnoteReference w:id="12"/>
      </w:r>
      <w:r w:rsidR="00883F7E">
        <w:t>,</w:t>
      </w:r>
      <w:r w:rsidRPr="00CA366F">
        <w:t xml:space="preserve"> a policy which outlines the government’s response to the coroner’s recommendations regarding the death of Zahra Abrahimzadeh. Three direct policy responses are outlined:</w:t>
      </w:r>
    </w:p>
    <w:p w14:paraId="5E4E7308" w14:textId="4F63B7E2" w:rsidR="00332059" w:rsidRPr="00332059" w:rsidRDefault="00332059" w:rsidP="000D31C3">
      <w:pPr>
        <w:pStyle w:val="CERDBodyTextDotPoint"/>
      </w:pPr>
      <w:r w:rsidRPr="00332059">
        <w:t>Women’s Domestic Violence Court Assistance Service</w:t>
      </w:r>
      <w:r w:rsidR="001F6C6C">
        <w:t xml:space="preserve"> (</w:t>
      </w:r>
      <w:r w:rsidRPr="00332059">
        <w:t>commencing in 2015</w:t>
      </w:r>
      <w:r w:rsidR="001F6C6C">
        <w:t>) -</w:t>
      </w:r>
      <w:r w:rsidRPr="00332059">
        <w:t xml:space="preserve"> the service will provide a greater level of support within the court system for victims of violence by helping women deal with courts systems and increase their access to justice. Legal officers will also provide support and advocate on behalf of women who may have difficulty applying for an intervention order or reporting an intervention order breach.</w:t>
      </w:r>
    </w:p>
    <w:p w14:paraId="029FEA27" w14:textId="25160711" w:rsidR="00332059" w:rsidRPr="00332059" w:rsidRDefault="001F6C6C" w:rsidP="000D31C3">
      <w:pPr>
        <w:pStyle w:val="CERDBodyTextDotPoint"/>
      </w:pPr>
      <w:r>
        <w:t>Early warning system -</w:t>
      </w:r>
      <w:r w:rsidR="00332059" w:rsidRPr="00332059">
        <w:t xml:space="preserve"> to provide a circuit breaker in instances where a domestic violence service provider does not believe the most appropriate responses to their client’s situation have been received. It is designed to increase accountability and provide an escalation point </w:t>
      </w:r>
      <w:r w:rsidR="00332059" w:rsidRPr="00332059">
        <w:lastRenderedPageBreak/>
        <w:t>where there have been process flaws or gaps in the response of a government agency to domestic violence.</w:t>
      </w:r>
    </w:p>
    <w:p w14:paraId="4BE69164" w14:textId="4EBB65CD" w:rsidR="00332059" w:rsidRPr="00332059" w:rsidRDefault="001F6C6C" w:rsidP="000D31C3">
      <w:pPr>
        <w:pStyle w:val="CERDBodyTextDotPoint"/>
      </w:pPr>
      <w:r>
        <w:t>White Ribbon Accreditation -</w:t>
      </w:r>
      <w:r w:rsidR="00332059" w:rsidRPr="00332059">
        <w:t xml:space="preserve"> workplaces play an important role in preventing violence against women. As such, all South Australian Government departments will obtain White Ribbon Workplace accreditation and build upon existing domestic violence workplace policies. Through the White Ribbon Accreditation Program, organisations become accredited to prevent men’s violence against women, drive social change, and refine support offered to employees who are victims of violence.</w:t>
      </w:r>
    </w:p>
    <w:p w14:paraId="67647E26" w14:textId="77777777" w:rsidR="00332059" w:rsidRPr="00332059" w:rsidRDefault="00332059" w:rsidP="000D31C3">
      <w:pPr>
        <w:pStyle w:val="CERDBoxTableHeading"/>
      </w:pPr>
      <w:bookmarkStart w:id="44" w:name="_Toc425850281"/>
      <w:r w:rsidRPr="00332059">
        <w:t>Tasmania</w:t>
      </w:r>
      <w:bookmarkEnd w:id="44"/>
    </w:p>
    <w:p w14:paraId="154859F7" w14:textId="0F66EBDF" w:rsidR="00332059" w:rsidRPr="00CA366F" w:rsidRDefault="00332059" w:rsidP="000D31C3">
      <w:pPr>
        <w:pStyle w:val="CERDBodyText1"/>
      </w:pPr>
      <w:r w:rsidRPr="00CA366F">
        <w:t>Under the National Plan Second Action Plan, the Tasmanian Government contributes $135,000 in annual funding to the Australian National Research Organisation for Women’s Safety (2013</w:t>
      </w:r>
      <w:r w:rsidR="001F6C6C">
        <w:t>-</w:t>
      </w:r>
      <w:r w:rsidRPr="00CA366F">
        <w:t>14 to 2015</w:t>
      </w:r>
      <w:r w:rsidR="001F6C6C">
        <w:t>-</w:t>
      </w:r>
      <w:r w:rsidRPr="00CA366F">
        <w:t xml:space="preserve">16). </w:t>
      </w:r>
    </w:p>
    <w:p w14:paraId="13B00A43" w14:textId="49D0BC79" w:rsidR="00332059" w:rsidRPr="00CA366F" w:rsidRDefault="00332059" w:rsidP="000D31C3">
      <w:pPr>
        <w:pStyle w:val="CERDBodyText1"/>
      </w:pPr>
      <w:r w:rsidRPr="00CA366F">
        <w:t xml:space="preserve">Safe at Home is the Tasmanian Government’s integrated criminal justice response to family violence. It involves a range of services working together to protect and support victims of family violence, including young people and children, while making offenders responsible for their behaviour. Safe at Home is one </w:t>
      </w:r>
      <w:r w:rsidR="001F6C6C">
        <w:t>of the government’</w:t>
      </w:r>
      <w:r w:rsidRPr="00CA366F">
        <w:t xml:space="preserve">s key social policy initiatives. It has increased awareness, and subsequently reporting rates, for family violence. </w:t>
      </w:r>
    </w:p>
    <w:p w14:paraId="63866249" w14:textId="0D257EB0" w:rsidR="00332059" w:rsidRPr="00CA366F" w:rsidRDefault="001F6C6C" w:rsidP="000D31C3">
      <w:pPr>
        <w:pStyle w:val="CERDBodyText1"/>
      </w:pPr>
      <w:r>
        <w:t>Between 2009-10 and 2013-</w:t>
      </w:r>
      <w:r w:rsidR="00332059" w:rsidRPr="00CA366F">
        <w:t>14, overall numbers of family violence reports in Tasmania have progressively declined. In Tasmania, family violence reports are separated into family arguments</w:t>
      </w:r>
      <w:r w:rsidR="00A32139">
        <w:t>:</w:t>
      </w:r>
      <w:r w:rsidR="00332059" w:rsidRPr="00CA366F">
        <w:t xml:space="preserve"> those cases where there has been a dispute between two people in a family relationship which is not classed as violence</w:t>
      </w:r>
      <w:r w:rsidR="00A32139">
        <w:t>;</w:t>
      </w:r>
      <w:r w:rsidR="00332059" w:rsidRPr="00CA366F">
        <w:t xml:space="preserve"> and family violence incidents as defined by the </w:t>
      </w:r>
      <w:r w:rsidR="00332059" w:rsidRPr="00AF787E">
        <w:rPr>
          <w:i/>
        </w:rPr>
        <w:t>Family</w:t>
      </w:r>
      <w:r w:rsidR="00332059" w:rsidRPr="00CA366F">
        <w:t xml:space="preserve"> </w:t>
      </w:r>
      <w:r w:rsidR="00332059" w:rsidRPr="00AF787E">
        <w:rPr>
          <w:i/>
        </w:rPr>
        <w:t>Violence Act 2004</w:t>
      </w:r>
      <w:r w:rsidR="00332059" w:rsidRPr="00CA366F">
        <w:t xml:space="preserve"> (TAS). </w:t>
      </w:r>
    </w:p>
    <w:p w14:paraId="35758255" w14:textId="77777777" w:rsidR="00332059" w:rsidRPr="00CA366F" w:rsidRDefault="00332059" w:rsidP="000D31C3">
      <w:pPr>
        <w:pStyle w:val="CERDBodyText1"/>
      </w:pPr>
      <w:r w:rsidRPr="00CA366F">
        <w:t>Statistics for the past five years where there has been a police intervention are:</w:t>
      </w:r>
    </w:p>
    <w:tbl>
      <w:tblPr>
        <w:tblStyle w:val="TableGrid1"/>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FFDF0"/>
        <w:tblLook w:val="04A0" w:firstRow="1" w:lastRow="0" w:firstColumn="1" w:lastColumn="0" w:noHBand="0" w:noVBand="1"/>
      </w:tblPr>
      <w:tblGrid>
        <w:gridCol w:w="1524"/>
        <w:gridCol w:w="1525"/>
        <w:gridCol w:w="1525"/>
        <w:gridCol w:w="1525"/>
      </w:tblGrid>
      <w:tr w:rsidR="00332059" w:rsidRPr="007D6DAF" w14:paraId="31574284" w14:textId="77777777" w:rsidTr="007D6DAF">
        <w:trPr>
          <w:jc w:val="center"/>
        </w:trPr>
        <w:tc>
          <w:tcPr>
            <w:tcW w:w="1524" w:type="dxa"/>
            <w:shd w:val="clear" w:color="auto" w:fill="DFFDF0"/>
          </w:tcPr>
          <w:p w14:paraId="7815BB5C" w14:textId="77777777" w:rsidR="00332059" w:rsidRPr="007D6DAF" w:rsidRDefault="00332059" w:rsidP="00332059">
            <w:pPr>
              <w:spacing w:after="120"/>
              <w:rPr>
                <w:rFonts w:eastAsia="MS Mincho" w:cstheme="minorHAnsi"/>
                <w:b/>
                <w:sz w:val="22"/>
                <w:szCs w:val="22"/>
                <w:lang w:val="en-AU" w:eastAsia="en-US"/>
              </w:rPr>
            </w:pPr>
            <w:r w:rsidRPr="007D6DAF">
              <w:rPr>
                <w:rFonts w:eastAsia="MS Mincho" w:cstheme="minorHAnsi"/>
                <w:b/>
                <w:sz w:val="22"/>
                <w:szCs w:val="22"/>
                <w:lang w:val="en-AU" w:eastAsia="en-US"/>
              </w:rPr>
              <w:t>Year</w:t>
            </w:r>
          </w:p>
        </w:tc>
        <w:tc>
          <w:tcPr>
            <w:tcW w:w="1525" w:type="dxa"/>
            <w:shd w:val="clear" w:color="auto" w:fill="DFFDF0"/>
          </w:tcPr>
          <w:p w14:paraId="74C1B95F" w14:textId="77777777" w:rsidR="00332059" w:rsidRPr="007D6DAF" w:rsidRDefault="00332059" w:rsidP="00332059">
            <w:pPr>
              <w:spacing w:after="120"/>
              <w:jc w:val="right"/>
              <w:rPr>
                <w:rFonts w:eastAsia="MS Mincho" w:cstheme="minorHAnsi"/>
                <w:b/>
                <w:sz w:val="22"/>
                <w:szCs w:val="22"/>
                <w:lang w:val="en-AU" w:eastAsia="en-US"/>
              </w:rPr>
            </w:pPr>
            <w:r w:rsidRPr="007D6DAF">
              <w:rPr>
                <w:rFonts w:eastAsia="MS Mincho" w:cstheme="minorHAnsi"/>
                <w:b/>
                <w:sz w:val="22"/>
                <w:szCs w:val="22"/>
                <w:lang w:val="en-AU" w:eastAsia="en-US"/>
              </w:rPr>
              <w:t>Incident</w:t>
            </w:r>
          </w:p>
        </w:tc>
        <w:tc>
          <w:tcPr>
            <w:tcW w:w="1525" w:type="dxa"/>
            <w:shd w:val="clear" w:color="auto" w:fill="DFFDF0"/>
          </w:tcPr>
          <w:p w14:paraId="46F16294" w14:textId="77777777" w:rsidR="00332059" w:rsidRPr="007D6DAF" w:rsidRDefault="00332059" w:rsidP="00332059">
            <w:pPr>
              <w:spacing w:after="120"/>
              <w:jc w:val="right"/>
              <w:rPr>
                <w:rFonts w:eastAsia="MS Mincho" w:cstheme="minorHAnsi"/>
                <w:b/>
                <w:sz w:val="22"/>
                <w:szCs w:val="22"/>
                <w:lang w:val="en-AU" w:eastAsia="en-US"/>
              </w:rPr>
            </w:pPr>
            <w:r w:rsidRPr="007D6DAF">
              <w:rPr>
                <w:rFonts w:eastAsia="MS Mincho" w:cstheme="minorHAnsi"/>
                <w:b/>
                <w:sz w:val="22"/>
                <w:szCs w:val="22"/>
                <w:lang w:val="en-AU" w:eastAsia="en-US"/>
              </w:rPr>
              <w:t>Argument</w:t>
            </w:r>
          </w:p>
        </w:tc>
        <w:tc>
          <w:tcPr>
            <w:tcW w:w="1525" w:type="dxa"/>
            <w:shd w:val="clear" w:color="auto" w:fill="DFFDF0"/>
          </w:tcPr>
          <w:p w14:paraId="355FA55A" w14:textId="77777777" w:rsidR="00332059" w:rsidRPr="007D6DAF" w:rsidRDefault="00332059" w:rsidP="00332059">
            <w:pPr>
              <w:spacing w:after="120"/>
              <w:jc w:val="right"/>
              <w:rPr>
                <w:rFonts w:eastAsia="MS Mincho" w:cstheme="minorHAnsi"/>
                <w:b/>
                <w:sz w:val="22"/>
                <w:szCs w:val="22"/>
                <w:lang w:val="en-AU" w:eastAsia="en-US"/>
              </w:rPr>
            </w:pPr>
            <w:r w:rsidRPr="007D6DAF">
              <w:rPr>
                <w:rFonts w:eastAsia="MS Mincho" w:cstheme="minorHAnsi"/>
                <w:b/>
                <w:sz w:val="22"/>
                <w:szCs w:val="22"/>
                <w:lang w:val="en-AU" w:eastAsia="en-US"/>
              </w:rPr>
              <w:t>Total</w:t>
            </w:r>
          </w:p>
        </w:tc>
      </w:tr>
      <w:tr w:rsidR="00332059" w:rsidRPr="007D6DAF" w14:paraId="190C481C" w14:textId="77777777" w:rsidTr="007D6DAF">
        <w:trPr>
          <w:jc w:val="center"/>
        </w:trPr>
        <w:tc>
          <w:tcPr>
            <w:tcW w:w="1524" w:type="dxa"/>
            <w:shd w:val="clear" w:color="auto" w:fill="DFFDF0"/>
          </w:tcPr>
          <w:p w14:paraId="7B9F8D1A" w14:textId="77777777" w:rsidR="00332059" w:rsidRPr="007D6DAF" w:rsidRDefault="00332059" w:rsidP="00332059">
            <w:pPr>
              <w:spacing w:after="120"/>
              <w:rPr>
                <w:rFonts w:eastAsia="MS Mincho" w:cstheme="minorHAnsi"/>
                <w:sz w:val="22"/>
                <w:szCs w:val="22"/>
                <w:lang w:val="en-AU" w:eastAsia="en-US"/>
              </w:rPr>
            </w:pPr>
            <w:r w:rsidRPr="007D6DAF">
              <w:rPr>
                <w:rFonts w:eastAsia="MS Mincho" w:cstheme="minorHAnsi"/>
                <w:sz w:val="22"/>
                <w:szCs w:val="22"/>
                <w:lang w:val="en-AU" w:eastAsia="en-US"/>
              </w:rPr>
              <w:t>2009–10</w:t>
            </w:r>
          </w:p>
        </w:tc>
        <w:tc>
          <w:tcPr>
            <w:tcW w:w="1525" w:type="dxa"/>
            <w:shd w:val="clear" w:color="auto" w:fill="DFFDF0"/>
          </w:tcPr>
          <w:p w14:paraId="32F525C4" w14:textId="77777777" w:rsidR="00332059" w:rsidRPr="007D6DAF" w:rsidRDefault="00332059" w:rsidP="00332059">
            <w:pPr>
              <w:spacing w:after="120"/>
              <w:jc w:val="right"/>
              <w:rPr>
                <w:rFonts w:eastAsia="MS Mincho" w:cstheme="minorHAnsi"/>
                <w:sz w:val="22"/>
                <w:szCs w:val="22"/>
                <w:lang w:val="en-AU" w:eastAsia="en-US"/>
              </w:rPr>
            </w:pPr>
            <w:r w:rsidRPr="007D6DAF">
              <w:rPr>
                <w:rFonts w:eastAsia="MS Mincho" w:cstheme="minorHAnsi"/>
                <w:sz w:val="22"/>
                <w:szCs w:val="22"/>
                <w:lang w:val="en-AU" w:eastAsia="en-US"/>
              </w:rPr>
              <w:t>3,105</w:t>
            </w:r>
          </w:p>
        </w:tc>
        <w:tc>
          <w:tcPr>
            <w:tcW w:w="1525" w:type="dxa"/>
            <w:shd w:val="clear" w:color="auto" w:fill="DFFDF0"/>
          </w:tcPr>
          <w:p w14:paraId="01B6ABB2" w14:textId="77777777" w:rsidR="00332059" w:rsidRPr="007D6DAF" w:rsidRDefault="00332059" w:rsidP="00332059">
            <w:pPr>
              <w:spacing w:after="120"/>
              <w:jc w:val="right"/>
              <w:rPr>
                <w:rFonts w:eastAsia="MS Mincho" w:cstheme="minorHAnsi"/>
                <w:sz w:val="22"/>
                <w:szCs w:val="22"/>
                <w:lang w:val="en-AU" w:eastAsia="en-US"/>
              </w:rPr>
            </w:pPr>
            <w:r w:rsidRPr="007D6DAF">
              <w:rPr>
                <w:rFonts w:eastAsia="MS Mincho" w:cstheme="minorHAnsi"/>
                <w:sz w:val="22"/>
                <w:szCs w:val="22"/>
                <w:lang w:val="en-AU" w:eastAsia="en-US"/>
              </w:rPr>
              <w:t>1,652</w:t>
            </w:r>
          </w:p>
        </w:tc>
        <w:tc>
          <w:tcPr>
            <w:tcW w:w="1525" w:type="dxa"/>
            <w:shd w:val="clear" w:color="auto" w:fill="DFFDF0"/>
          </w:tcPr>
          <w:p w14:paraId="57E576D2" w14:textId="77777777" w:rsidR="00332059" w:rsidRPr="007D6DAF" w:rsidRDefault="00332059" w:rsidP="00332059">
            <w:pPr>
              <w:spacing w:after="120"/>
              <w:jc w:val="right"/>
              <w:rPr>
                <w:rFonts w:eastAsia="MS Mincho" w:cstheme="minorHAnsi"/>
                <w:sz w:val="22"/>
                <w:szCs w:val="22"/>
                <w:lang w:val="en-AU" w:eastAsia="en-US"/>
              </w:rPr>
            </w:pPr>
            <w:r w:rsidRPr="007D6DAF">
              <w:rPr>
                <w:rFonts w:eastAsia="MS Mincho" w:cstheme="minorHAnsi"/>
                <w:sz w:val="22"/>
                <w:szCs w:val="22"/>
                <w:lang w:val="en-AU" w:eastAsia="en-US"/>
              </w:rPr>
              <w:t>4,757</w:t>
            </w:r>
          </w:p>
        </w:tc>
      </w:tr>
      <w:tr w:rsidR="00332059" w:rsidRPr="007D6DAF" w14:paraId="0B20A7E7" w14:textId="77777777" w:rsidTr="007D6DAF">
        <w:trPr>
          <w:jc w:val="center"/>
        </w:trPr>
        <w:tc>
          <w:tcPr>
            <w:tcW w:w="1524" w:type="dxa"/>
            <w:shd w:val="clear" w:color="auto" w:fill="DFFDF0"/>
          </w:tcPr>
          <w:p w14:paraId="07372148" w14:textId="77777777" w:rsidR="00332059" w:rsidRPr="007D6DAF" w:rsidRDefault="00332059" w:rsidP="00332059">
            <w:pPr>
              <w:spacing w:after="120"/>
              <w:rPr>
                <w:rFonts w:eastAsia="MS Mincho" w:cstheme="minorHAnsi"/>
                <w:sz w:val="22"/>
                <w:szCs w:val="22"/>
                <w:lang w:val="en-AU" w:eastAsia="en-US"/>
              </w:rPr>
            </w:pPr>
            <w:r w:rsidRPr="007D6DAF">
              <w:rPr>
                <w:rFonts w:eastAsia="MS Mincho" w:cstheme="minorHAnsi"/>
                <w:sz w:val="22"/>
                <w:szCs w:val="22"/>
                <w:lang w:val="en-AU" w:eastAsia="en-US"/>
              </w:rPr>
              <w:t>2010–11</w:t>
            </w:r>
          </w:p>
        </w:tc>
        <w:tc>
          <w:tcPr>
            <w:tcW w:w="1525" w:type="dxa"/>
            <w:shd w:val="clear" w:color="auto" w:fill="DFFDF0"/>
          </w:tcPr>
          <w:p w14:paraId="69048917" w14:textId="77777777" w:rsidR="00332059" w:rsidRPr="007D6DAF" w:rsidRDefault="00332059" w:rsidP="00332059">
            <w:pPr>
              <w:spacing w:after="120"/>
              <w:jc w:val="right"/>
              <w:rPr>
                <w:rFonts w:eastAsia="MS Mincho" w:cstheme="minorHAnsi"/>
                <w:sz w:val="22"/>
                <w:szCs w:val="22"/>
                <w:lang w:val="en-AU" w:eastAsia="en-US"/>
              </w:rPr>
            </w:pPr>
            <w:r w:rsidRPr="007D6DAF">
              <w:rPr>
                <w:rFonts w:eastAsia="MS Mincho" w:cstheme="minorHAnsi"/>
                <w:sz w:val="22"/>
                <w:szCs w:val="22"/>
                <w:lang w:val="en-AU" w:eastAsia="en-US"/>
              </w:rPr>
              <w:t>2,675</w:t>
            </w:r>
          </w:p>
        </w:tc>
        <w:tc>
          <w:tcPr>
            <w:tcW w:w="1525" w:type="dxa"/>
            <w:shd w:val="clear" w:color="auto" w:fill="DFFDF0"/>
          </w:tcPr>
          <w:p w14:paraId="6E0C3190" w14:textId="77777777" w:rsidR="00332059" w:rsidRPr="007D6DAF" w:rsidRDefault="00332059" w:rsidP="00332059">
            <w:pPr>
              <w:spacing w:after="120"/>
              <w:jc w:val="right"/>
              <w:rPr>
                <w:rFonts w:eastAsia="MS Mincho" w:cstheme="minorHAnsi"/>
                <w:sz w:val="22"/>
                <w:szCs w:val="22"/>
                <w:lang w:val="en-AU" w:eastAsia="en-US"/>
              </w:rPr>
            </w:pPr>
            <w:r w:rsidRPr="007D6DAF">
              <w:rPr>
                <w:rFonts w:eastAsia="MS Mincho" w:cstheme="minorHAnsi"/>
                <w:sz w:val="22"/>
                <w:szCs w:val="22"/>
                <w:lang w:val="en-AU" w:eastAsia="en-US"/>
              </w:rPr>
              <w:t>1,628</w:t>
            </w:r>
          </w:p>
        </w:tc>
        <w:tc>
          <w:tcPr>
            <w:tcW w:w="1525" w:type="dxa"/>
            <w:shd w:val="clear" w:color="auto" w:fill="DFFDF0"/>
          </w:tcPr>
          <w:p w14:paraId="64D644F7" w14:textId="77777777" w:rsidR="00332059" w:rsidRPr="007D6DAF" w:rsidRDefault="00332059" w:rsidP="00332059">
            <w:pPr>
              <w:spacing w:after="120"/>
              <w:jc w:val="right"/>
              <w:rPr>
                <w:rFonts w:eastAsia="MS Mincho" w:cstheme="minorHAnsi"/>
                <w:sz w:val="22"/>
                <w:szCs w:val="22"/>
                <w:lang w:val="en-AU" w:eastAsia="en-US"/>
              </w:rPr>
            </w:pPr>
            <w:r w:rsidRPr="007D6DAF">
              <w:rPr>
                <w:rFonts w:eastAsia="MS Mincho" w:cstheme="minorHAnsi"/>
                <w:sz w:val="22"/>
                <w:szCs w:val="22"/>
                <w:lang w:val="en-AU" w:eastAsia="en-US"/>
              </w:rPr>
              <w:t>4,303</w:t>
            </w:r>
          </w:p>
        </w:tc>
      </w:tr>
      <w:tr w:rsidR="00332059" w:rsidRPr="007D6DAF" w14:paraId="4DF91D0D" w14:textId="77777777" w:rsidTr="007D6DAF">
        <w:trPr>
          <w:jc w:val="center"/>
        </w:trPr>
        <w:tc>
          <w:tcPr>
            <w:tcW w:w="1524" w:type="dxa"/>
            <w:shd w:val="clear" w:color="auto" w:fill="DFFDF0"/>
          </w:tcPr>
          <w:p w14:paraId="7ED5F92B" w14:textId="77777777" w:rsidR="00332059" w:rsidRPr="007D6DAF" w:rsidRDefault="00332059" w:rsidP="00332059">
            <w:pPr>
              <w:spacing w:after="120"/>
              <w:rPr>
                <w:rFonts w:eastAsia="MS Mincho" w:cstheme="minorHAnsi"/>
                <w:sz w:val="22"/>
                <w:szCs w:val="22"/>
                <w:lang w:val="en-AU" w:eastAsia="en-US"/>
              </w:rPr>
            </w:pPr>
            <w:r w:rsidRPr="007D6DAF">
              <w:rPr>
                <w:rFonts w:eastAsia="MS Mincho" w:cstheme="minorHAnsi"/>
                <w:sz w:val="22"/>
                <w:szCs w:val="22"/>
                <w:lang w:val="en-AU" w:eastAsia="en-US"/>
              </w:rPr>
              <w:t>2011–12</w:t>
            </w:r>
          </w:p>
        </w:tc>
        <w:tc>
          <w:tcPr>
            <w:tcW w:w="1525" w:type="dxa"/>
            <w:shd w:val="clear" w:color="auto" w:fill="DFFDF0"/>
          </w:tcPr>
          <w:p w14:paraId="71C4E5EC" w14:textId="77777777" w:rsidR="00332059" w:rsidRPr="007D6DAF" w:rsidRDefault="00332059" w:rsidP="00332059">
            <w:pPr>
              <w:spacing w:after="120"/>
              <w:jc w:val="right"/>
              <w:rPr>
                <w:rFonts w:eastAsia="MS Mincho" w:cstheme="minorHAnsi"/>
                <w:sz w:val="22"/>
                <w:szCs w:val="22"/>
                <w:lang w:val="en-AU" w:eastAsia="en-US"/>
              </w:rPr>
            </w:pPr>
            <w:r w:rsidRPr="007D6DAF">
              <w:rPr>
                <w:rFonts w:eastAsia="MS Mincho" w:cstheme="minorHAnsi"/>
                <w:sz w:val="22"/>
                <w:szCs w:val="22"/>
                <w:lang w:val="en-AU" w:eastAsia="en-US"/>
              </w:rPr>
              <w:t>2,527</w:t>
            </w:r>
          </w:p>
        </w:tc>
        <w:tc>
          <w:tcPr>
            <w:tcW w:w="1525" w:type="dxa"/>
            <w:shd w:val="clear" w:color="auto" w:fill="DFFDF0"/>
          </w:tcPr>
          <w:p w14:paraId="29B57FF4" w14:textId="77777777" w:rsidR="00332059" w:rsidRPr="007D6DAF" w:rsidRDefault="00332059" w:rsidP="00332059">
            <w:pPr>
              <w:spacing w:after="120"/>
              <w:jc w:val="right"/>
              <w:rPr>
                <w:rFonts w:eastAsia="MS Mincho" w:cstheme="minorHAnsi"/>
                <w:sz w:val="22"/>
                <w:szCs w:val="22"/>
                <w:lang w:val="en-AU" w:eastAsia="en-US"/>
              </w:rPr>
            </w:pPr>
            <w:r w:rsidRPr="007D6DAF">
              <w:rPr>
                <w:rFonts w:eastAsia="MS Mincho" w:cstheme="minorHAnsi"/>
                <w:sz w:val="22"/>
                <w:szCs w:val="22"/>
                <w:lang w:val="en-AU" w:eastAsia="en-US"/>
              </w:rPr>
              <w:t>1,645</w:t>
            </w:r>
          </w:p>
        </w:tc>
        <w:tc>
          <w:tcPr>
            <w:tcW w:w="1525" w:type="dxa"/>
            <w:shd w:val="clear" w:color="auto" w:fill="DFFDF0"/>
          </w:tcPr>
          <w:p w14:paraId="32FA78CD" w14:textId="77777777" w:rsidR="00332059" w:rsidRPr="007D6DAF" w:rsidRDefault="00332059" w:rsidP="00332059">
            <w:pPr>
              <w:spacing w:after="120"/>
              <w:jc w:val="right"/>
              <w:rPr>
                <w:rFonts w:eastAsia="MS Mincho" w:cstheme="minorHAnsi"/>
                <w:sz w:val="22"/>
                <w:szCs w:val="22"/>
                <w:lang w:val="en-AU" w:eastAsia="en-US"/>
              </w:rPr>
            </w:pPr>
            <w:r w:rsidRPr="007D6DAF">
              <w:rPr>
                <w:rFonts w:eastAsia="MS Mincho" w:cstheme="minorHAnsi"/>
                <w:sz w:val="22"/>
                <w:szCs w:val="22"/>
                <w:lang w:val="en-AU" w:eastAsia="en-US"/>
              </w:rPr>
              <w:t>4,172</w:t>
            </w:r>
          </w:p>
        </w:tc>
      </w:tr>
      <w:tr w:rsidR="00332059" w:rsidRPr="007D6DAF" w14:paraId="0BC69EA1" w14:textId="77777777" w:rsidTr="007D6DAF">
        <w:trPr>
          <w:jc w:val="center"/>
        </w:trPr>
        <w:tc>
          <w:tcPr>
            <w:tcW w:w="1524" w:type="dxa"/>
            <w:shd w:val="clear" w:color="auto" w:fill="DFFDF0"/>
          </w:tcPr>
          <w:p w14:paraId="68DC479F" w14:textId="77777777" w:rsidR="00332059" w:rsidRPr="007D6DAF" w:rsidRDefault="00332059" w:rsidP="00332059">
            <w:pPr>
              <w:spacing w:after="120"/>
              <w:rPr>
                <w:rFonts w:eastAsia="MS Mincho" w:cstheme="minorHAnsi"/>
                <w:sz w:val="22"/>
                <w:szCs w:val="22"/>
                <w:lang w:val="en-AU" w:eastAsia="en-US"/>
              </w:rPr>
            </w:pPr>
            <w:r w:rsidRPr="007D6DAF">
              <w:rPr>
                <w:rFonts w:eastAsia="MS Mincho" w:cstheme="minorHAnsi"/>
                <w:sz w:val="22"/>
                <w:szCs w:val="22"/>
                <w:lang w:val="en-AU" w:eastAsia="en-US"/>
              </w:rPr>
              <w:t>2012–13</w:t>
            </w:r>
          </w:p>
        </w:tc>
        <w:tc>
          <w:tcPr>
            <w:tcW w:w="1525" w:type="dxa"/>
            <w:shd w:val="clear" w:color="auto" w:fill="DFFDF0"/>
          </w:tcPr>
          <w:p w14:paraId="65B49F09" w14:textId="77777777" w:rsidR="00332059" w:rsidRPr="007D6DAF" w:rsidRDefault="00332059" w:rsidP="00332059">
            <w:pPr>
              <w:spacing w:after="120"/>
              <w:jc w:val="right"/>
              <w:rPr>
                <w:rFonts w:eastAsia="MS Mincho" w:cstheme="minorHAnsi"/>
                <w:sz w:val="22"/>
                <w:szCs w:val="22"/>
                <w:lang w:val="en-AU" w:eastAsia="en-US"/>
              </w:rPr>
            </w:pPr>
            <w:r w:rsidRPr="007D6DAF">
              <w:rPr>
                <w:rFonts w:eastAsia="MS Mincho" w:cstheme="minorHAnsi"/>
                <w:sz w:val="22"/>
                <w:szCs w:val="22"/>
                <w:lang w:val="en-AU" w:eastAsia="en-US"/>
              </w:rPr>
              <w:t>2,248</w:t>
            </w:r>
          </w:p>
        </w:tc>
        <w:tc>
          <w:tcPr>
            <w:tcW w:w="1525" w:type="dxa"/>
            <w:shd w:val="clear" w:color="auto" w:fill="DFFDF0"/>
          </w:tcPr>
          <w:p w14:paraId="5D461B46" w14:textId="77777777" w:rsidR="00332059" w:rsidRPr="007D6DAF" w:rsidRDefault="00332059" w:rsidP="00332059">
            <w:pPr>
              <w:spacing w:after="120"/>
              <w:jc w:val="right"/>
              <w:rPr>
                <w:rFonts w:eastAsia="MS Mincho" w:cstheme="minorHAnsi"/>
                <w:sz w:val="22"/>
                <w:szCs w:val="22"/>
                <w:lang w:val="en-AU" w:eastAsia="en-US"/>
              </w:rPr>
            </w:pPr>
            <w:r w:rsidRPr="007D6DAF">
              <w:rPr>
                <w:rFonts w:eastAsia="MS Mincho" w:cstheme="minorHAnsi"/>
                <w:sz w:val="22"/>
                <w:szCs w:val="22"/>
                <w:lang w:val="en-AU" w:eastAsia="en-US"/>
              </w:rPr>
              <w:t>1,612</w:t>
            </w:r>
          </w:p>
        </w:tc>
        <w:tc>
          <w:tcPr>
            <w:tcW w:w="1525" w:type="dxa"/>
            <w:shd w:val="clear" w:color="auto" w:fill="DFFDF0"/>
          </w:tcPr>
          <w:p w14:paraId="659121B2" w14:textId="77777777" w:rsidR="00332059" w:rsidRPr="007D6DAF" w:rsidRDefault="00332059" w:rsidP="00332059">
            <w:pPr>
              <w:spacing w:after="120"/>
              <w:jc w:val="right"/>
              <w:rPr>
                <w:rFonts w:eastAsia="MS Mincho" w:cstheme="minorHAnsi"/>
                <w:sz w:val="22"/>
                <w:szCs w:val="22"/>
                <w:lang w:val="en-AU" w:eastAsia="en-US"/>
              </w:rPr>
            </w:pPr>
            <w:r w:rsidRPr="007D6DAF">
              <w:rPr>
                <w:rFonts w:eastAsia="MS Mincho" w:cstheme="minorHAnsi"/>
                <w:sz w:val="22"/>
                <w:szCs w:val="22"/>
                <w:lang w:val="en-AU" w:eastAsia="en-US"/>
              </w:rPr>
              <w:t>3,860</w:t>
            </w:r>
          </w:p>
        </w:tc>
      </w:tr>
      <w:tr w:rsidR="00332059" w:rsidRPr="007D6DAF" w14:paraId="0FFF0B91" w14:textId="77777777" w:rsidTr="007D6DAF">
        <w:trPr>
          <w:jc w:val="center"/>
        </w:trPr>
        <w:tc>
          <w:tcPr>
            <w:tcW w:w="1524" w:type="dxa"/>
            <w:shd w:val="clear" w:color="auto" w:fill="DFFDF0"/>
          </w:tcPr>
          <w:p w14:paraId="5DC04EB8" w14:textId="77777777" w:rsidR="00332059" w:rsidRPr="007D6DAF" w:rsidRDefault="00332059" w:rsidP="00332059">
            <w:pPr>
              <w:spacing w:after="120"/>
              <w:rPr>
                <w:rFonts w:eastAsia="MS Mincho" w:cstheme="minorHAnsi"/>
                <w:sz w:val="22"/>
                <w:szCs w:val="22"/>
                <w:lang w:val="en-AU" w:eastAsia="en-US"/>
              </w:rPr>
            </w:pPr>
            <w:r w:rsidRPr="007D6DAF">
              <w:rPr>
                <w:rFonts w:eastAsia="MS Mincho" w:cstheme="minorHAnsi"/>
                <w:sz w:val="22"/>
                <w:szCs w:val="22"/>
                <w:lang w:val="en-AU" w:eastAsia="en-US"/>
              </w:rPr>
              <w:t>2013–14</w:t>
            </w:r>
          </w:p>
        </w:tc>
        <w:tc>
          <w:tcPr>
            <w:tcW w:w="1525" w:type="dxa"/>
            <w:shd w:val="clear" w:color="auto" w:fill="DFFDF0"/>
          </w:tcPr>
          <w:p w14:paraId="3598C694" w14:textId="77777777" w:rsidR="00332059" w:rsidRPr="007D6DAF" w:rsidRDefault="00332059" w:rsidP="00332059">
            <w:pPr>
              <w:spacing w:after="120"/>
              <w:jc w:val="right"/>
              <w:rPr>
                <w:rFonts w:eastAsia="MS Mincho" w:cstheme="minorHAnsi"/>
                <w:sz w:val="22"/>
                <w:szCs w:val="22"/>
                <w:lang w:val="en-AU" w:eastAsia="en-US"/>
              </w:rPr>
            </w:pPr>
            <w:r w:rsidRPr="007D6DAF">
              <w:rPr>
                <w:rFonts w:eastAsia="MS Mincho" w:cstheme="minorHAnsi"/>
                <w:sz w:val="22"/>
                <w:szCs w:val="22"/>
                <w:lang w:val="en-AU" w:eastAsia="en-US"/>
              </w:rPr>
              <w:t>2,380</w:t>
            </w:r>
          </w:p>
        </w:tc>
        <w:tc>
          <w:tcPr>
            <w:tcW w:w="1525" w:type="dxa"/>
            <w:shd w:val="clear" w:color="auto" w:fill="DFFDF0"/>
          </w:tcPr>
          <w:p w14:paraId="4106FE85" w14:textId="77777777" w:rsidR="00332059" w:rsidRPr="007D6DAF" w:rsidRDefault="00332059" w:rsidP="00332059">
            <w:pPr>
              <w:spacing w:after="120"/>
              <w:jc w:val="right"/>
              <w:rPr>
                <w:rFonts w:eastAsia="MS Mincho" w:cstheme="minorHAnsi"/>
                <w:sz w:val="22"/>
                <w:szCs w:val="22"/>
                <w:lang w:val="en-AU" w:eastAsia="en-US"/>
              </w:rPr>
            </w:pPr>
            <w:r w:rsidRPr="007D6DAF">
              <w:rPr>
                <w:rFonts w:eastAsia="MS Mincho" w:cstheme="minorHAnsi"/>
                <w:sz w:val="22"/>
                <w:szCs w:val="22"/>
                <w:lang w:val="en-AU" w:eastAsia="en-US"/>
              </w:rPr>
              <w:t>1,691</w:t>
            </w:r>
          </w:p>
        </w:tc>
        <w:tc>
          <w:tcPr>
            <w:tcW w:w="1525" w:type="dxa"/>
            <w:shd w:val="clear" w:color="auto" w:fill="DFFDF0"/>
          </w:tcPr>
          <w:p w14:paraId="445F1D97" w14:textId="77777777" w:rsidR="00332059" w:rsidRPr="007D6DAF" w:rsidRDefault="00332059" w:rsidP="00332059">
            <w:pPr>
              <w:spacing w:after="120"/>
              <w:jc w:val="right"/>
              <w:rPr>
                <w:rFonts w:eastAsia="MS Mincho" w:cstheme="minorHAnsi"/>
                <w:sz w:val="22"/>
                <w:szCs w:val="22"/>
                <w:lang w:val="en-AU" w:eastAsia="en-US"/>
              </w:rPr>
            </w:pPr>
            <w:r w:rsidRPr="007D6DAF">
              <w:rPr>
                <w:rFonts w:eastAsia="MS Mincho" w:cstheme="minorHAnsi"/>
                <w:sz w:val="22"/>
                <w:szCs w:val="22"/>
                <w:lang w:val="en-AU" w:eastAsia="en-US"/>
              </w:rPr>
              <w:t>4,071</w:t>
            </w:r>
          </w:p>
        </w:tc>
      </w:tr>
    </w:tbl>
    <w:p w14:paraId="520D7048" w14:textId="77777777" w:rsidR="007D6DAF" w:rsidRPr="00AF787E" w:rsidRDefault="007D6DAF" w:rsidP="000D31C3">
      <w:pPr>
        <w:pStyle w:val="CERDBodyText1"/>
        <w:numPr>
          <w:ilvl w:val="0"/>
          <w:numId w:val="0"/>
        </w:numPr>
        <w:rPr>
          <w:sz w:val="4"/>
          <w:szCs w:val="4"/>
        </w:rPr>
      </w:pPr>
    </w:p>
    <w:p w14:paraId="466B67C2" w14:textId="35C3BC6B" w:rsidR="00332059" w:rsidRPr="00CA366F" w:rsidRDefault="00332059" w:rsidP="000D31C3">
      <w:pPr>
        <w:pStyle w:val="CERDBodyText1"/>
      </w:pPr>
      <w:r w:rsidRPr="00CA366F">
        <w:t>Victim safety response teams have been created as part of the Safe at Home strategy. These teams are located within Tasmania Police and are responsible for:</w:t>
      </w:r>
    </w:p>
    <w:p w14:paraId="21784C27" w14:textId="77777777" w:rsidR="00332059" w:rsidRPr="00332059" w:rsidRDefault="00332059" w:rsidP="000D31C3">
      <w:pPr>
        <w:pStyle w:val="CERDBodyTextDotPoint"/>
      </w:pPr>
      <w:r w:rsidRPr="00332059">
        <w:t>rigorous oversight of family violence incidents within their region</w:t>
      </w:r>
    </w:p>
    <w:p w14:paraId="1F0E435F" w14:textId="43CF5BF3" w:rsidR="00332059" w:rsidRPr="00332059" w:rsidRDefault="00332059" w:rsidP="000D31C3">
      <w:pPr>
        <w:pStyle w:val="CERDBodyTextDotPoint"/>
      </w:pPr>
      <w:r w:rsidRPr="00332059">
        <w:t>management of high risk family violence incidents</w:t>
      </w:r>
      <w:r w:rsidR="004706BF">
        <w:t>, and</w:t>
      </w:r>
    </w:p>
    <w:p w14:paraId="013B46C4" w14:textId="77777777" w:rsidR="00332059" w:rsidRPr="00332059" w:rsidRDefault="00332059" w:rsidP="000D31C3">
      <w:pPr>
        <w:pStyle w:val="CERDBodyTextDotPoint"/>
      </w:pPr>
      <w:r w:rsidRPr="00332059">
        <w:t>monitoring family violence incidents involving repeat victims or offenders.</w:t>
      </w:r>
    </w:p>
    <w:p w14:paraId="5A1689F8" w14:textId="77777777" w:rsidR="00332059" w:rsidRPr="00CA366F" w:rsidRDefault="00332059" w:rsidP="000D31C3">
      <w:pPr>
        <w:pStyle w:val="CERDBodyText1"/>
      </w:pPr>
      <w:r w:rsidRPr="00CA366F">
        <w:t>In 2013, in addition to delivering Safe at Home, the Tasmanian Government launched Taking Action: Tasmania’s primary prevention strategy to reduce violence against women and their children. This 10-year strategy uses a variety of measures to prevent violence before it occurs (for example, through school programs).</w:t>
      </w:r>
    </w:p>
    <w:p w14:paraId="6E8BFE78" w14:textId="77777777" w:rsidR="00A32139" w:rsidRDefault="00A32139">
      <w:pPr>
        <w:rPr>
          <w:rFonts w:cstheme="minorHAnsi"/>
          <w:lang w:val="en-AU" w:eastAsia="en-US"/>
        </w:rPr>
      </w:pPr>
      <w:r>
        <w:br w:type="page"/>
      </w:r>
    </w:p>
    <w:p w14:paraId="2DB7D4D9" w14:textId="7BD39461" w:rsidR="00332059" w:rsidRPr="00CA366F" w:rsidRDefault="00332059" w:rsidP="000D31C3">
      <w:pPr>
        <w:pStyle w:val="CERDBodyText1"/>
      </w:pPr>
      <w:r w:rsidRPr="00CA366F">
        <w:lastRenderedPageBreak/>
        <w:t xml:space="preserve">In 2014 the Tasmanian Government released </w:t>
      </w:r>
      <w:r w:rsidRPr="00A32139">
        <w:rPr>
          <w:i/>
        </w:rPr>
        <w:t>The women and girls in Tasmania report</w:t>
      </w:r>
      <w:r w:rsidRPr="002516AF">
        <w:rPr>
          <w:sz w:val="22"/>
          <w:szCs w:val="22"/>
          <w:vertAlign w:val="superscript"/>
        </w:rPr>
        <w:footnoteReference w:id="13"/>
      </w:r>
      <w:r w:rsidRPr="00CA366F">
        <w:t xml:space="preserve"> which provides a data snapshot of the status of women and girls in the state. The report provides an objective dataset for measuring change during the coming years and is based around the six outcome areas of the Tasmanian Women’s Plan 2013</w:t>
      </w:r>
      <w:r w:rsidR="00A32139">
        <w:t>-</w:t>
      </w:r>
      <w:r w:rsidRPr="00CA366F">
        <w:t xml:space="preserve">2018 </w:t>
      </w:r>
      <w:r w:rsidR="00A32139">
        <w:t>-</w:t>
      </w:r>
      <w:r w:rsidRPr="00CA366F">
        <w:t xml:space="preserve"> health and wellbeing, economic security and financial independence, education and training, housing and homelessness, safety and justice, and leadership and community participation. It will provide the evidence-base for future policy development and service delivery. </w:t>
      </w:r>
    </w:p>
    <w:p w14:paraId="7893AE63" w14:textId="7EF042DF" w:rsidR="004706BF" w:rsidRPr="00CA366F" w:rsidRDefault="004706BF" w:rsidP="000D31C3">
      <w:pPr>
        <w:pStyle w:val="CERDBodyText1"/>
      </w:pPr>
      <w:r w:rsidRPr="00CA366F">
        <w:t>In 2015 the Tasmanian Government announced a new, coordinated, whole-of-government response to family violence. The Government will work with service providers and those affected by family violence to change behaviors and attitudes in our community, improve services for those who are affected and strengthen legal frameworks to deal with perpetrators.</w:t>
      </w:r>
    </w:p>
    <w:p w14:paraId="1BF318A5" w14:textId="77777777" w:rsidR="004706BF" w:rsidRPr="00CA366F" w:rsidDel="00C6562B" w:rsidRDefault="004706BF" w:rsidP="000D31C3">
      <w:pPr>
        <w:pStyle w:val="CERDBodyText1"/>
      </w:pPr>
      <w:r w:rsidRPr="00CA366F" w:rsidDel="00C6562B">
        <w:t>The Action Plan will be released in August 2015 and will identify priority actions which focus on:</w:t>
      </w:r>
    </w:p>
    <w:p w14:paraId="58053BD2" w14:textId="4ED90B91" w:rsidR="004706BF" w:rsidRPr="004706BF" w:rsidDel="00C6562B" w:rsidRDefault="004706BF" w:rsidP="000D31C3">
      <w:pPr>
        <w:pStyle w:val="CERDBodyTextDotPoint"/>
      </w:pPr>
      <w:r>
        <w:t>a</w:t>
      </w:r>
      <w:r w:rsidRPr="004706BF" w:rsidDel="00C6562B">
        <w:t>ddressing attitudinal behaviou</w:t>
      </w:r>
      <w:r>
        <w:t>rs that lead to family violence</w:t>
      </w:r>
    </w:p>
    <w:p w14:paraId="5BD4C4E0" w14:textId="7405B70D" w:rsidR="004706BF" w:rsidRPr="004706BF" w:rsidDel="00C6562B" w:rsidRDefault="004706BF" w:rsidP="000D31C3">
      <w:pPr>
        <w:pStyle w:val="CERDBodyTextDotPoint"/>
      </w:pPr>
      <w:r>
        <w:t>e</w:t>
      </w:r>
      <w:r w:rsidRPr="004706BF" w:rsidDel="00C6562B">
        <w:t>nsuring Safe at Home remains t</w:t>
      </w:r>
      <w:r>
        <w:t>he nation’s best response model</w:t>
      </w:r>
    </w:p>
    <w:p w14:paraId="0C919A33" w14:textId="7620372C" w:rsidR="004706BF" w:rsidRPr="004706BF" w:rsidDel="00C6562B" w:rsidRDefault="004706BF" w:rsidP="000D31C3">
      <w:pPr>
        <w:pStyle w:val="CERDBodyTextDotPoint"/>
      </w:pPr>
      <w:r>
        <w:t>s</w:t>
      </w:r>
      <w:r w:rsidRPr="004706BF" w:rsidDel="00C6562B">
        <w:t>trengthening support for adults and childr</w:t>
      </w:r>
      <w:r>
        <w:t>en affected by family violence</w:t>
      </w:r>
    </w:p>
    <w:p w14:paraId="48D53B51" w14:textId="6B451319" w:rsidR="004706BF" w:rsidRPr="004706BF" w:rsidDel="00C6562B" w:rsidRDefault="004706BF" w:rsidP="000D31C3">
      <w:pPr>
        <w:pStyle w:val="CERDBodyTextDotPoint"/>
      </w:pPr>
      <w:r>
        <w:t>s</w:t>
      </w:r>
      <w:r w:rsidRPr="004706BF" w:rsidDel="00C6562B">
        <w:t>trengthening legal responses to family violence</w:t>
      </w:r>
      <w:r>
        <w:t>,</w:t>
      </w:r>
      <w:r w:rsidRPr="004706BF" w:rsidDel="00C6562B">
        <w:t xml:space="preserve"> and</w:t>
      </w:r>
    </w:p>
    <w:p w14:paraId="37517362" w14:textId="1DF2986E" w:rsidR="004706BF" w:rsidRPr="004706BF" w:rsidDel="00C6562B" w:rsidRDefault="004706BF" w:rsidP="000D31C3">
      <w:pPr>
        <w:pStyle w:val="CERDBodyTextDotPoint"/>
      </w:pPr>
      <w:r>
        <w:t>s</w:t>
      </w:r>
      <w:r w:rsidRPr="004706BF" w:rsidDel="00C6562B">
        <w:t>trengthening perpetrator management and rehabilitation.</w:t>
      </w:r>
    </w:p>
    <w:p w14:paraId="4AC45217" w14:textId="77777777" w:rsidR="004706BF" w:rsidRPr="00CA366F" w:rsidDel="00C6562B" w:rsidRDefault="004706BF" w:rsidP="000D31C3">
      <w:pPr>
        <w:pStyle w:val="CERDBodyText1"/>
      </w:pPr>
      <w:r w:rsidRPr="00CA366F" w:rsidDel="00C6562B">
        <w:t>The Action Plan will include short term (2015/16 Financial Year), medium term (1-2 years) and long term (3-5 years) actions to be undertaken by the Tasmanian Government.</w:t>
      </w:r>
    </w:p>
    <w:p w14:paraId="688E0DE0" w14:textId="77777777" w:rsidR="004706BF" w:rsidRPr="00CA366F" w:rsidRDefault="004706BF" w:rsidP="000D31C3">
      <w:pPr>
        <w:pStyle w:val="CERDBodyText1"/>
      </w:pPr>
      <w:r w:rsidRPr="00CA366F" w:rsidDel="00C6562B">
        <w:t>The new Action Plan will complement and build on work that is already being done under the National Plan to Reduce Violence Against Women and their Children</w:t>
      </w:r>
      <w:r w:rsidRPr="00CA366F">
        <w:t xml:space="preserve"> </w:t>
      </w:r>
      <w:r w:rsidRPr="00CA366F" w:rsidDel="00C6562B">
        <w:t xml:space="preserve">- 2010-2022 and the Council of Australian Governments agenda. </w:t>
      </w:r>
    </w:p>
    <w:p w14:paraId="006D6167" w14:textId="20A806DF" w:rsidR="00332059" w:rsidRPr="00332059" w:rsidRDefault="00332059" w:rsidP="000D31C3">
      <w:pPr>
        <w:pStyle w:val="CERDBoxTableHeading"/>
      </w:pPr>
      <w:bookmarkStart w:id="45" w:name="_Toc425850282"/>
      <w:r w:rsidRPr="00332059">
        <w:t>Victoria</w:t>
      </w:r>
      <w:bookmarkEnd w:id="45"/>
    </w:p>
    <w:p w14:paraId="7F3E545A" w14:textId="77777777" w:rsidR="00332059" w:rsidRPr="00CA366F" w:rsidRDefault="00332059" w:rsidP="000D31C3">
      <w:pPr>
        <w:pStyle w:val="CERDBodyText1"/>
      </w:pPr>
      <w:r w:rsidRPr="00CA366F">
        <w:t>On 23 December 2014, the Victorian Government announced Australia’s first Royal Commission into Family Violence. This will investigate the entire family violence support and justice system, including government and non-government organisations, courts, prosecutors, police, corrections and child protection. Its focus will be on preventing family violence, increasing early intervention, improving victim support, making perpetrators accountable and helping agencies better coordinate their response. As family violence is an enormous issue for Koori communities, future activity in this space for Koori women is likely to be influenced by the findings of the Royal Commission. The Royal Commission is expected to report by February 2016.</w:t>
      </w:r>
    </w:p>
    <w:p w14:paraId="1536F9C9" w14:textId="2D563BB3" w:rsidR="00332059" w:rsidRPr="00CA366F" w:rsidRDefault="00332059" w:rsidP="000D31C3">
      <w:pPr>
        <w:pStyle w:val="CERDBodyText1"/>
      </w:pPr>
      <w:r w:rsidRPr="00CA366F">
        <w:t>Reducing the incidence of Aboriginal family violence is a priority under the Victorian Aboriginal Affairs Framework 2013</w:t>
      </w:r>
      <w:r w:rsidR="004706BF" w:rsidRPr="00CA366F">
        <w:t>-</w:t>
      </w:r>
      <w:r w:rsidRPr="00CA366F">
        <w:t xml:space="preserve">2018 and Victoria’s Action Plan to Address Violence </w:t>
      </w:r>
      <w:r w:rsidR="004706BF" w:rsidRPr="00CA366F">
        <w:t>Against Women and Children 2012-</w:t>
      </w:r>
      <w:r w:rsidRPr="00CA366F">
        <w:t xml:space="preserve">2015. </w:t>
      </w:r>
    </w:p>
    <w:p w14:paraId="7919410C" w14:textId="517A1903" w:rsidR="00332059" w:rsidRPr="00CA366F" w:rsidRDefault="00332059" w:rsidP="000D31C3">
      <w:pPr>
        <w:pStyle w:val="CERDBodyText1"/>
      </w:pPr>
      <w:r w:rsidRPr="00CA366F">
        <w:t xml:space="preserve">The 2013 Victorian Government Aboriginal Affairs Report was tabled in Parliament on </w:t>
      </w:r>
      <w:r w:rsidR="007C37FB">
        <w:br/>
      </w:r>
      <w:r w:rsidRPr="00CA366F">
        <w:t>2 April 2014.</w:t>
      </w:r>
      <w:r w:rsidRPr="002516AF">
        <w:rPr>
          <w:sz w:val="22"/>
          <w:szCs w:val="22"/>
          <w:vertAlign w:val="superscript"/>
        </w:rPr>
        <w:footnoteReference w:id="14"/>
      </w:r>
      <w:r w:rsidRPr="00CA366F">
        <w:t xml:space="preserve"> Reported data confirmed that Aboriginal family incident reports continue to increase significantly year-to-year and at a rate greater than non-Aboriginal family incident reports. </w:t>
      </w:r>
    </w:p>
    <w:p w14:paraId="58E16FEE" w14:textId="297A5047" w:rsidR="00332059" w:rsidRPr="00CA366F" w:rsidRDefault="00332059" w:rsidP="000D31C3">
      <w:pPr>
        <w:pStyle w:val="CERDBodyText1"/>
      </w:pPr>
      <w:r w:rsidRPr="00CA366F">
        <w:t>Between 2006</w:t>
      </w:r>
      <w:r w:rsidR="004706BF" w:rsidRPr="00CA366F">
        <w:t>-</w:t>
      </w:r>
      <w:r w:rsidRPr="00CA366F">
        <w:t>07 and 2012</w:t>
      </w:r>
      <w:r w:rsidR="004706BF" w:rsidRPr="00CA366F">
        <w:t>-</w:t>
      </w:r>
      <w:r w:rsidRPr="00CA366F">
        <w:t xml:space="preserve">13 the number of reports where the affected family member identified as Aboriginal almost tripled from 794 to 2,143 incidents. The number of repeat attendances also tripled over the same period to 1,644 attendances. Cause of increases is unknown </w:t>
      </w:r>
      <w:r w:rsidR="004706BF" w:rsidRPr="00CA366F">
        <w:lastRenderedPageBreak/>
        <w:t>-</w:t>
      </w:r>
      <w:r w:rsidRPr="00CA366F">
        <w:t xml:space="preserve"> this may reflect an increased level of confidence to report abuse and seek support of police services or increased incidence. Over the same period the rate of reports where charges were laid increased and remained equivalent to the non-Aboriginal rates.</w:t>
      </w:r>
    </w:p>
    <w:p w14:paraId="5B8FDFFE" w14:textId="77777777" w:rsidR="00332059" w:rsidRPr="00CA366F" w:rsidRDefault="00332059" w:rsidP="000D31C3">
      <w:pPr>
        <w:pStyle w:val="CERDBodyText1"/>
      </w:pPr>
      <w:r w:rsidRPr="00CA366F">
        <w:t xml:space="preserve">Strategies to prevent and respond to Aboriginal family violence are driven through the Indigenous Family Violence 10 Year Plan: </w:t>
      </w:r>
      <w:r w:rsidRPr="007C37FB">
        <w:rPr>
          <w:i/>
        </w:rPr>
        <w:t>Strong Culture, Strong Peoples, Strong Families: Towards a safer future for Indigenous families and communities</w:t>
      </w:r>
      <w:r w:rsidRPr="00CA366F">
        <w:t>. The plan is a partnership between the Victorian Government and the Aboriginal community. A mid-term evaluation to assess and report on the benefits, efficiency and effectiveness of the plan’s implementation has been commissioned.</w:t>
      </w:r>
    </w:p>
    <w:p w14:paraId="3990E7A5" w14:textId="77777777" w:rsidR="00332059" w:rsidRPr="00332059" w:rsidRDefault="00332059" w:rsidP="000D31C3">
      <w:pPr>
        <w:pStyle w:val="CERDBoxTableHeading"/>
      </w:pPr>
      <w:bookmarkStart w:id="46" w:name="_Toc425850283"/>
      <w:r w:rsidRPr="00332059">
        <w:t>Western Australia</w:t>
      </w:r>
      <w:bookmarkEnd w:id="46"/>
    </w:p>
    <w:p w14:paraId="07136CA7" w14:textId="2DD06B6D" w:rsidR="00332059" w:rsidRPr="00CA366F" w:rsidRDefault="00332059" w:rsidP="000D31C3">
      <w:pPr>
        <w:pStyle w:val="CERDBodyText1"/>
      </w:pPr>
      <w:r w:rsidRPr="00CA366F">
        <w:t>The Department for Child Protection and Family Support is responsible for family and domestic violence strategic planning in Western Australia. It represents the state in developing and implementing the National Plan to Reduce Violence against Women and their Children 2010</w:t>
      </w:r>
      <w:r w:rsidR="007C37FB">
        <w:t>-</w:t>
      </w:r>
      <w:r w:rsidRPr="00CA366F">
        <w:t>2022 and is responsible for Western Australia’s Family and Domestic Violence Prevention Strategy to 2022.</w:t>
      </w:r>
    </w:p>
    <w:p w14:paraId="0F3BEFA1" w14:textId="77777777" w:rsidR="00332059" w:rsidRPr="00CA366F" w:rsidRDefault="00332059" w:rsidP="000D31C3">
      <w:pPr>
        <w:pStyle w:val="CERDBodyText1"/>
      </w:pPr>
      <w:r w:rsidRPr="00CA366F">
        <w:t>In Western Australia there are 37 women’s domestic violence accommodation and support services. Other services available include a Safe at Home and domestic violence outreach program, domestic violence counselling, advocacy and support service and coordinated response services.</w:t>
      </w:r>
    </w:p>
    <w:p w14:paraId="0964A65E" w14:textId="58BDE7FD" w:rsidR="00332059" w:rsidRPr="00CA366F" w:rsidRDefault="00332059" w:rsidP="000D31C3">
      <w:pPr>
        <w:pStyle w:val="CERDBodyText1"/>
      </w:pPr>
      <w:r w:rsidRPr="00CA366F">
        <w:t>Strategic planning initiatives are evaluated and monitored, including government data collection, review of cases, consultation with service providers and dedicated evaluation projects. One example of this is the achievement report to 2013, which summarises strategies implemented across government to respond to family and domestic violence. This report includes statistical data on family and domestic violence incidents reported to police by region and financial year; police orders issued; violence restraining order applications lodged and granted; perpetrators charged and by type, assault victims hospitalised by relationship with offender and by gender; and domestic homicides.</w:t>
      </w:r>
      <w:r w:rsidR="007C37FB" w:rsidRPr="002516AF">
        <w:rPr>
          <w:sz w:val="22"/>
          <w:szCs w:val="22"/>
          <w:vertAlign w:val="superscript"/>
        </w:rPr>
        <w:footnoteReference w:id="15"/>
      </w:r>
    </w:p>
    <w:p w14:paraId="7835B0AE" w14:textId="4133F075" w:rsidR="00332059" w:rsidRPr="00BE07CC" w:rsidRDefault="00332059" w:rsidP="00BE07CC">
      <w:pPr>
        <w:pStyle w:val="CERDHeadingMinor1"/>
        <w:rPr>
          <w:b w:val="0"/>
          <w:lang w:eastAsia="en-US"/>
        </w:rPr>
      </w:pPr>
      <w:bookmarkStart w:id="47" w:name="_Toc425850284"/>
      <w:r w:rsidRPr="00332059">
        <w:rPr>
          <w:lang w:eastAsia="en-US"/>
        </w:rPr>
        <w:t>Concluding Observation 26</w:t>
      </w:r>
      <w:r w:rsidR="00BE07CC">
        <w:rPr>
          <w:lang w:eastAsia="en-US"/>
        </w:rPr>
        <w:t xml:space="preserve"> - </w:t>
      </w:r>
      <w:r w:rsidR="00BE07CC" w:rsidRPr="00BE07CC">
        <w:rPr>
          <w:b w:val="0"/>
          <w:lang w:eastAsia="en-US"/>
        </w:rPr>
        <w:t>Homelessness</w:t>
      </w:r>
      <w:bookmarkEnd w:id="47"/>
    </w:p>
    <w:p w14:paraId="3FD3D540" w14:textId="3CA8C893" w:rsidR="00B9685C" w:rsidRDefault="00B9685C" w:rsidP="00B9685C">
      <w:pPr>
        <w:pStyle w:val="CERDHeadingMinor2"/>
      </w:pPr>
      <w:bookmarkStart w:id="48" w:name="_Toc425850285"/>
      <w:r>
        <w:t>Housing and Homelessness</w:t>
      </w:r>
      <w:bookmarkEnd w:id="48"/>
    </w:p>
    <w:p w14:paraId="3EC7F4E1" w14:textId="77777777" w:rsidR="00332059" w:rsidRPr="00332059" w:rsidRDefault="00332059" w:rsidP="000D31C3">
      <w:pPr>
        <w:pStyle w:val="CERDBoxTableHeading"/>
      </w:pPr>
      <w:bookmarkStart w:id="49" w:name="_Toc425850286"/>
      <w:r w:rsidRPr="00332059">
        <w:t>Australian Capital Territory</w:t>
      </w:r>
      <w:bookmarkEnd w:id="49"/>
    </w:p>
    <w:p w14:paraId="180A2459" w14:textId="3D5B8B98" w:rsidR="00332059" w:rsidRPr="00CA366F" w:rsidRDefault="00332059" w:rsidP="000D31C3">
      <w:pPr>
        <w:pStyle w:val="CERDBodyText1"/>
      </w:pPr>
      <w:r w:rsidRPr="00CA366F">
        <w:t>The right to housing is part</w:t>
      </w:r>
      <w:r w:rsidR="00A353CB">
        <w:t>ially protected in legislation in</w:t>
      </w:r>
      <w:r w:rsidRPr="00CA366F">
        <w:t xml:space="preserve"> the ACT. The </w:t>
      </w:r>
      <w:r w:rsidRPr="007C37FB">
        <w:rPr>
          <w:i/>
        </w:rPr>
        <w:t xml:space="preserve">Residential Tenancies Act 1997 </w:t>
      </w:r>
      <w:r w:rsidRPr="00CA366F">
        <w:t xml:space="preserve">(ACT) protects security of tenure and minimum living standards, and the </w:t>
      </w:r>
      <w:r w:rsidRPr="007C37FB">
        <w:rPr>
          <w:i/>
        </w:rPr>
        <w:t>Housing Assistance Act 1997</w:t>
      </w:r>
      <w:r w:rsidRPr="00CA366F">
        <w:t xml:space="preserve"> (ACT) also provides housing assistance for those most in need. The government is currently reviewing the Residential Tenancies Act to ensure it is operating effectively and that it continues to provide a fair balance between the rights of tenants and landlords. The review is being undertaken within a human rights framework with consideration being given to </w:t>
      </w:r>
      <w:r w:rsidR="00A10E12" w:rsidRPr="00CA366F">
        <w:t>housing, as referenced in the right to an adequate standard of living, including</w:t>
      </w:r>
      <w:r w:rsidRPr="00CA366F">
        <w:t xml:space="preserve"> adequate housing</w:t>
      </w:r>
      <w:r w:rsidR="00A10E12" w:rsidRPr="00CA366F">
        <w:t>, in</w:t>
      </w:r>
      <w:r w:rsidRPr="00CA366F">
        <w:t xml:space="preserve"> article </w:t>
      </w:r>
      <w:r w:rsidR="00823B50">
        <w:br/>
      </w:r>
      <w:r w:rsidRPr="00CA366F">
        <w:t xml:space="preserve">11 of </w:t>
      </w:r>
      <w:r w:rsidR="007C37FB">
        <w:t>ICESCR</w:t>
      </w:r>
      <w:r w:rsidRPr="00CA366F">
        <w:t xml:space="preserve">. </w:t>
      </w:r>
    </w:p>
    <w:p w14:paraId="58211E2E" w14:textId="392E8395" w:rsidR="00332059" w:rsidRPr="00CA366F" w:rsidRDefault="00332059" w:rsidP="000D31C3">
      <w:pPr>
        <w:pStyle w:val="CERDBodyText1"/>
      </w:pPr>
      <w:r w:rsidRPr="00CA366F">
        <w:t>The ACT Government targets public housing allocations to those in greatest need to provide safe, secure and stable long-term housing that enables tenants to better participate in the community and take up opportunities for education, training and employment. Needs may include homelessness, mental health issues, serious medical conditions, disability, and women, with or without children, escaping domestic violence. During 2013</w:t>
      </w:r>
      <w:r w:rsidR="00ED339C">
        <w:t>-</w:t>
      </w:r>
      <w:r w:rsidRPr="00CA366F">
        <w:t>14, 99% of new households that were allocated within three months were in the greatest need.</w:t>
      </w:r>
    </w:p>
    <w:p w14:paraId="098FBF3A" w14:textId="77777777" w:rsidR="00332059" w:rsidRPr="00CA366F" w:rsidRDefault="00332059" w:rsidP="000D31C3">
      <w:pPr>
        <w:pStyle w:val="CERDBodyText1"/>
      </w:pPr>
      <w:r w:rsidRPr="00CA366F">
        <w:lastRenderedPageBreak/>
        <w:t>The ACT is also implementing its own Affordable Housing Action Plan. The ACT Government has funded the innovative Street Law Outreach Legal Service for the homeless to reduce the impacts of homelessness on individuals and the community. It is the policy of the ACT Government to ensure that no child or young person exiting out-of-home care enters into homelessness.</w:t>
      </w:r>
    </w:p>
    <w:p w14:paraId="6AA7D8DA" w14:textId="77777777" w:rsidR="00332059" w:rsidRPr="00332059" w:rsidRDefault="00332059" w:rsidP="000D31C3">
      <w:pPr>
        <w:pStyle w:val="CERDBoxTableHeading"/>
      </w:pPr>
      <w:bookmarkStart w:id="50" w:name="_Toc425850287"/>
      <w:r w:rsidRPr="00332059">
        <w:t>New South Wales</w:t>
      </w:r>
      <w:r w:rsidRPr="002516AF">
        <w:rPr>
          <w:b w:val="0"/>
          <w:sz w:val="22"/>
          <w:szCs w:val="22"/>
          <w:vertAlign w:val="superscript"/>
        </w:rPr>
        <w:footnoteReference w:id="16"/>
      </w:r>
      <w:bookmarkEnd w:id="50"/>
    </w:p>
    <w:p w14:paraId="443719A8" w14:textId="28AF7218" w:rsidR="00332059" w:rsidRPr="00CA366F" w:rsidRDefault="00332059" w:rsidP="000D31C3">
      <w:pPr>
        <w:pStyle w:val="CERDBodyText1"/>
      </w:pPr>
      <w:r w:rsidRPr="00CA366F">
        <w:t>The New South Wales Homelessness Action Plan 2009</w:t>
      </w:r>
      <w:r w:rsidR="00ED339C">
        <w:t>-</w:t>
      </w:r>
      <w:r w:rsidRPr="00CA366F">
        <w:t>2014</w:t>
      </w:r>
      <w:r w:rsidRPr="002516AF">
        <w:rPr>
          <w:sz w:val="22"/>
          <w:szCs w:val="22"/>
          <w:vertAlign w:val="superscript"/>
        </w:rPr>
        <w:footnoteReference w:id="17"/>
      </w:r>
      <w:r w:rsidRPr="00CA366F">
        <w:t xml:space="preserve"> incorporated activities focused on preventing, responding effectively, and breaking the cycle of homelessness. An evaluation assessed the progress made in meeting these aims, gathered evidence and effectively responded and identified lessons learned. Evaluation reports are available at through the New South Wales Government website.</w:t>
      </w:r>
    </w:p>
    <w:p w14:paraId="10E0228B" w14:textId="77777777" w:rsidR="00332059" w:rsidRPr="00CA366F" w:rsidRDefault="00332059" w:rsidP="000D31C3">
      <w:pPr>
        <w:pStyle w:val="CERDBodyText1"/>
      </w:pPr>
      <w:r w:rsidRPr="00CA366F">
        <w:t xml:space="preserve">The government has also invested more than $515 million over the next three years to prevent and reduce homelessness in the state through the Going Home Staying Home reforms. These include a greater balance of prevention and early intervention with crisis responses to get in early in the cycle of homelessness and reduce repeat homelessness. The government funded 151 providers of specialist homelessness services in 2014. </w:t>
      </w:r>
    </w:p>
    <w:p w14:paraId="0199E02D" w14:textId="77777777" w:rsidR="00332059" w:rsidRPr="00CA366F" w:rsidRDefault="00332059" w:rsidP="000D31C3">
      <w:pPr>
        <w:pStyle w:val="CERDBodyText1"/>
      </w:pPr>
      <w:r w:rsidRPr="00CA366F">
        <w:t>Legal Aid NSW makes grants available for civil law matters where there is a likelihood that the applicant may lose their home as a direct result of the proceedings for which legal aid is sought, or proceedings are necessary to protect an applicant's interest in their home.</w:t>
      </w:r>
      <w:r w:rsidRPr="002516AF">
        <w:rPr>
          <w:sz w:val="22"/>
          <w:szCs w:val="22"/>
          <w:vertAlign w:val="superscript"/>
        </w:rPr>
        <w:footnoteReference w:id="18"/>
      </w:r>
    </w:p>
    <w:p w14:paraId="5BAAA3D4" w14:textId="2C3EAC2D" w:rsidR="00CA366F" w:rsidRDefault="00CA366F" w:rsidP="000D31C3">
      <w:pPr>
        <w:pStyle w:val="CERDBoxTableHeading"/>
      </w:pPr>
      <w:bookmarkStart w:id="51" w:name="_Toc425850288"/>
      <w:r>
        <w:t>Queensland</w:t>
      </w:r>
      <w:bookmarkEnd w:id="51"/>
    </w:p>
    <w:p w14:paraId="33C5A09F" w14:textId="77777777" w:rsidR="00CA366F" w:rsidRDefault="00CA366F" w:rsidP="000D31C3">
      <w:pPr>
        <w:pStyle w:val="CERDBodyText1"/>
      </w:pPr>
      <w:r>
        <w:t>In 2012-13, the Queensland Government allocated $6.84 million to 24 non-government service providers across Queensland to deliver specialist homelessness services that specifically target homeless families.  Homeless families may also have been supported through more generalist homelessness services and domestic violence initiatives funded by the state.</w:t>
      </w:r>
    </w:p>
    <w:p w14:paraId="56F398AB" w14:textId="77777777" w:rsidR="00CA366F" w:rsidRDefault="00CA366F" w:rsidP="000D31C3">
      <w:pPr>
        <w:pStyle w:val="CERDBodyText1"/>
      </w:pPr>
      <w:r>
        <w:t xml:space="preserve">Queensland Government funded programs that assist young people leaving care, including to source and maintain accommodation, include: </w:t>
      </w:r>
    </w:p>
    <w:p w14:paraId="5A34B3C2" w14:textId="769E2AAF" w:rsidR="00CA366F" w:rsidRDefault="00CA366F" w:rsidP="000D31C3">
      <w:pPr>
        <w:pStyle w:val="CERDBodyTextDotPoint"/>
      </w:pPr>
      <w:r>
        <w:t xml:space="preserve">support for young people with disabilities when they turn 18 and leave care, and </w:t>
      </w:r>
    </w:p>
    <w:p w14:paraId="32E0F8F0" w14:textId="1AEB3896" w:rsidR="00CA366F" w:rsidRDefault="00CA366F" w:rsidP="000D31C3">
      <w:pPr>
        <w:pStyle w:val="CERDBodyTextDotPoint"/>
      </w:pPr>
      <w:r>
        <w:t>a transition from care program in south east Queensland.</w:t>
      </w:r>
    </w:p>
    <w:p w14:paraId="49266A45" w14:textId="77777777" w:rsidR="00CA366F" w:rsidRDefault="00CA366F" w:rsidP="000D31C3">
      <w:pPr>
        <w:pStyle w:val="CERDBodyText1"/>
      </w:pPr>
      <w:r>
        <w:t>Young people who are transitioning from care may also access Federal Government funded post-care services that are administered by the state, including:</w:t>
      </w:r>
    </w:p>
    <w:p w14:paraId="61C7C363" w14:textId="2CD88465" w:rsidR="00CA366F" w:rsidRDefault="00CA366F" w:rsidP="000D31C3">
      <w:pPr>
        <w:pStyle w:val="CERDBodyTextDotPoint"/>
      </w:pPr>
      <w:r>
        <w:t xml:space="preserve">Youth Housing and Reintegration Service and After Care Services that have a strong focus on engaging young people in education, training, and employment activities, and </w:t>
      </w:r>
    </w:p>
    <w:p w14:paraId="479FA380" w14:textId="1BB0B523" w:rsidR="00CA366F" w:rsidRDefault="00CA366F" w:rsidP="000D31C3">
      <w:pPr>
        <w:pStyle w:val="CERDBodyTextDotPoint"/>
      </w:pPr>
      <w:r>
        <w:t xml:space="preserve">Transition and Post Care Support </w:t>
      </w:r>
      <w:r w:rsidR="007F6108">
        <w:t>-</w:t>
      </w:r>
      <w:r>
        <w:t xml:space="preserve"> disability program Evolve Transition Officers for young people with a disability to transition to community-based living and independent adult life.</w:t>
      </w:r>
    </w:p>
    <w:p w14:paraId="3C5BE3CB" w14:textId="6DA5E6BD" w:rsidR="00CA366F" w:rsidRDefault="00CA366F" w:rsidP="000D31C3">
      <w:pPr>
        <w:pStyle w:val="CERDBodyText1"/>
      </w:pPr>
      <w:r>
        <w:t>In 2011-12, specialist homelessness services jointly funded by the Queensland and Federal Governments provided support to 15,679 children under the age of 18 years.</w:t>
      </w:r>
    </w:p>
    <w:p w14:paraId="5A376136" w14:textId="77777777" w:rsidR="007F6108" w:rsidRDefault="007F6108">
      <w:pPr>
        <w:rPr>
          <w:rFonts w:cstheme="minorHAnsi"/>
          <w:b/>
          <w:lang w:val="en-AU" w:eastAsia="en-US"/>
        </w:rPr>
      </w:pPr>
      <w:r>
        <w:br w:type="page"/>
      </w:r>
    </w:p>
    <w:p w14:paraId="0739E23D" w14:textId="6521BC08" w:rsidR="00332059" w:rsidRPr="00332059" w:rsidRDefault="00332059" w:rsidP="000D31C3">
      <w:pPr>
        <w:pStyle w:val="CERDBoxTableHeading"/>
      </w:pPr>
      <w:bookmarkStart w:id="52" w:name="_Toc425850289"/>
      <w:r w:rsidRPr="00332059">
        <w:lastRenderedPageBreak/>
        <w:t>South Australia</w:t>
      </w:r>
      <w:bookmarkEnd w:id="52"/>
    </w:p>
    <w:p w14:paraId="52A8E101" w14:textId="77777777" w:rsidR="00332059" w:rsidRPr="00CA366F" w:rsidRDefault="00332059" w:rsidP="000D31C3">
      <w:pPr>
        <w:pStyle w:val="CERDBodyText1"/>
      </w:pPr>
      <w:r w:rsidRPr="00CA366F">
        <w:t>The South Australia Government funds a range of services for homeless people. There are 76 services across the state and 97 service outlets providing support and assistance through generic, youth, Aboriginal specific and domestic and Aboriginal family violence services. All have a target of at least 20% Aboriginal clients. Specialist homelessness services are supported by service development and training and a new contract performance management procedure based on assessment of risk.</w:t>
      </w:r>
    </w:p>
    <w:p w14:paraId="33CCB419" w14:textId="16B9B45B" w:rsidR="00332059" w:rsidRPr="00CA366F" w:rsidRDefault="00332059" w:rsidP="000D31C3">
      <w:pPr>
        <w:pStyle w:val="CERDBodyText1"/>
      </w:pPr>
      <w:r w:rsidRPr="00CA366F">
        <w:t xml:space="preserve">The Homeless, Youth, Domestic and Aboriginal Family Violence Gateways provide pathways to accommodation and support for people who are homeless or at risk of homelessness, and who are unable to present at a local regional service. The </w:t>
      </w:r>
      <w:r w:rsidR="007F6108" w:rsidRPr="007F6108">
        <w:rPr>
          <w:i/>
        </w:rPr>
        <w:t>h</w:t>
      </w:r>
      <w:r w:rsidRPr="007F6108">
        <w:rPr>
          <w:i/>
        </w:rPr>
        <w:t>omeless2H</w:t>
      </w:r>
      <w:r w:rsidR="007F6108">
        <w:rPr>
          <w:i/>
        </w:rPr>
        <w:t>OME</w:t>
      </w:r>
      <w:r w:rsidRPr="00CA366F">
        <w:t xml:space="preserve"> case management system enhances collaborative working between homelessness agencies, streamlining client and service referrals between agencies.</w:t>
      </w:r>
      <w:r w:rsidR="007F6108" w:rsidRPr="002516AF">
        <w:rPr>
          <w:rStyle w:val="FootnoteReference"/>
          <w:sz w:val="22"/>
          <w:szCs w:val="22"/>
        </w:rPr>
        <w:footnoteReference w:id="19"/>
      </w:r>
    </w:p>
    <w:p w14:paraId="4F260550" w14:textId="77777777" w:rsidR="00332059" w:rsidRPr="00332059" w:rsidRDefault="00332059" w:rsidP="000D31C3">
      <w:pPr>
        <w:pStyle w:val="CERDBoxTableHeading"/>
      </w:pPr>
      <w:bookmarkStart w:id="53" w:name="_Toc425850290"/>
      <w:r w:rsidRPr="00332059">
        <w:t>Tasmania</w:t>
      </w:r>
      <w:bookmarkEnd w:id="53"/>
    </w:p>
    <w:p w14:paraId="00A6ACED" w14:textId="066646B7" w:rsidR="00332059" w:rsidRPr="00CA366F" w:rsidRDefault="00332059" w:rsidP="000D31C3">
      <w:pPr>
        <w:pStyle w:val="CERDBodyText1"/>
      </w:pPr>
      <w:r w:rsidRPr="00CA366F">
        <w:t>The T</w:t>
      </w:r>
      <w:r w:rsidR="007D6DAF">
        <w:t>asmanian Homelessness Plan 2010-</w:t>
      </w:r>
      <w:r w:rsidRPr="00CA366F">
        <w:t>2013: Coming in from the Cold is a framework for addressing homelessness in Tasmania. In 2011, census estimates placed the number of homeless people in Tasmania at approximately 1,500. Since 2009, Tasmania has delivered 1,867 new affordable, energy efficient homes for low-income residents, with a further 1,198 t</w:t>
      </w:r>
      <w:r w:rsidR="007D6DAF">
        <w:t>o be delivered by 2016. In 2014-</w:t>
      </w:r>
      <w:r w:rsidRPr="00CA366F">
        <w:t>15, the government committed $250,000 to deliver the A</w:t>
      </w:r>
      <w:r w:rsidR="007D6DAF">
        <w:t>ffordable Housing Strategy 2015-</w:t>
      </w:r>
      <w:r w:rsidRPr="00CA366F">
        <w:t>2025, which will provide a shared vision on housing solutions.</w:t>
      </w:r>
    </w:p>
    <w:p w14:paraId="1544B1EE" w14:textId="77777777" w:rsidR="00332059" w:rsidRPr="00CA366F" w:rsidRDefault="00332059" w:rsidP="000D31C3">
      <w:pPr>
        <w:pStyle w:val="CERDBodyText1"/>
      </w:pPr>
      <w:r w:rsidRPr="00CA366F">
        <w:t>New supply of supported accommodation facilities around the state has resulted in a 100% increase in the number of Tasmanians being supported through the shelter system since 2006. High occupancy, low turnover rates and positive improvements in self-reported health and wellbeing indicators for clients show the positive impact of these facilities.</w:t>
      </w:r>
    </w:p>
    <w:p w14:paraId="076AA2ED" w14:textId="77777777" w:rsidR="00332059" w:rsidRPr="00332059" w:rsidRDefault="00332059" w:rsidP="000D31C3">
      <w:pPr>
        <w:pStyle w:val="CERDBoxTableHeading"/>
      </w:pPr>
      <w:bookmarkStart w:id="54" w:name="_Toc425850291"/>
      <w:r w:rsidRPr="00332059">
        <w:t>Western Australia</w:t>
      </w:r>
      <w:bookmarkEnd w:id="54"/>
    </w:p>
    <w:p w14:paraId="20F90433" w14:textId="77777777" w:rsidR="00332059" w:rsidRPr="00CA366F" w:rsidRDefault="00332059" w:rsidP="000D31C3">
      <w:pPr>
        <w:pStyle w:val="CERDBodyText1"/>
      </w:pPr>
      <w:r w:rsidRPr="00CA366F">
        <w:t xml:space="preserve">Between 2006 and 2011 the homelessness rate in Western Australia increased by just 1%. Between 2010 and 2014, the Department of Housing provided 1,233 homes for over 2,778 people through the public housing system to support the National Partnership Agreement on Homelessness. </w:t>
      </w:r>
    </w:p>
    <w:p w14:paraId="0C22ED2A" w14:textId="77777777" w:rsidR="00332059" w:rsidRPr="00CA366F" w:rsidRDefault="00332059" w:rsidP="000D31C3">
      <w:pPr>
        <w:pStyle w:val="CERDBodyText1"/>
      </w:pPr>
      <w:r w:rsidRPr="00CA366F">
        <w:t>The Crisis Accommodation Program provided over 650 crisis accommodation units including women’s refuges, night shelters and emergency accommodation for youth. The accommodation is managed by community housing organisations, with support services funded through the Department for Child Protection and Family Support.</w:t>
      </w:r>
    </w:p>
    <w:p w14:paraId="32F10ACF" w14:textId="1A296C1E" w:rsidR="00332059" w:rsidRPr="00332059" w:rsidRDefault="00332059" w:rsidP="00BE07CC">
      <w:pPr>
        <w:pStyle w:val="CERDHeadingMinor2"/>
      </w:pPr>
      <w:bookmarkStart w:id="55" w:name="_Toc413240391"/>
      <w:bookmarkStart w:id="56" w:name="_Toc425850292"/>
      <w:r w:rsidRPr="00332059">
        <w:t xml:space="preserve">Indigenous </w:t>
      </w:r>
      <w:bookmarkEnd w:id="55"/>
      <w:r w:rsidR="00B9685C">
        <w:t>H</w:t>
      </w:r>
      <w:r w:rsidRPr="00332059">
        <w:t>ousing</w:t>
      </w:r>
      <w:bookmarkEnd w:id="56"/>
    </w:p>
    <w:p w14:paraId="64387F47" w14:textId="77777777" w:rsidR="00332059" w:rsidRPr="00332059" w:rsidRDefault="00332059" w:rsidP="000D31C3">
      <w:pPr>
        <w:pStyle w:val="CERDBoxTableHeading"/>
      </w:pPr>
      <w:bookmarkStart w:id="57" w:name="_Toc425850293"/>
      <w:r w:rsidRPr="00332059">
        <w:t>New South Wales</w:t>
      </w:r>
      <w:bookmarkEnd w:id="57"/>
    </w:p>
    <w:p w14:paraId="6677A157" w14:textId="77777777" w:rsidR="00332059" w:rsidRPr="00CA366F" w:rsidRDefault="00332059" w:rsidP="000D31C3">
      <w:pPr>
        <w:pStyle w:val="CERDBodyText1"/>
      </w:pPr>
      <w:r w:rsidRPr="00CA366F">
        <w:t xml:space="preserve">The New South Wales Government funded 151 providers of specialist homelessness services in 2014, including those designed to be more accessible to Aboriginal people. There are seven new services specifically targeting Aboriginal people and a further 71 that have identified Aboriginal targets built into their contracts. </w:t>
      </w:r>
    </w:p>
    <w:p w14:paraId="16758756" w14:textId="3702B344" w:rsidR="00332059" w:rsidRPr="00CA366F" w:rsidRDefault="00332059" w:rsidP="000D31C3">
      <w:pPr>
        <w:pStyle w:val="CERDBodyText1"/>
      </w:pPr>
      <w:r w:rsidRPr="00CA366F">
        <w:t>To support implementation of the National Partnership Agreement on Remote Indigenous Housing, the government is delivering the Build and Grow Aborigi</w:t>
      </w:r>
      <w:r w:rsidR="007D6DAF">
        <w:t xml:space="preserve">nal Community Housing Strategy; </w:t>
      </w:r>
      <w:r w:rsidRPr="00CA366F">
        <w:t>a 10 year initiative to provide the necessary business infrastructure for a robust and effective Aboriginal community housing sector in the state.</w:t>
      </w:r>
    </w:p>
    <w:p w14:paraId="60001DA2" w14:textId="77777777" w:rsidR="00332059" w:rsidRPr="00332059" w:rsidRDefault="00332059" w:rsidP="000D31C3">
      <w:pPr>
        <w:pStyle w:val="CERDBoxTableHeading"/>
      </w:pPr>
      <w:bookmarkStart w:id="58" w:name="_Toc425850294"/>
      <w:r w:rsidRPr="00332059">
        <w:lastRenderedPageBreak/>
        <w:t>Northern Territory</w:t>
      </w:r>
      <w:bookmarkEnd w:id="58"/>
    </w:p>
    <w:p w14:paraId="7F7DC70F" w14:textId="77777777" w:rsidR="00332059" w:rsidRPr="00CA366F" w:rsidRDefault="00332059" w:rsidP="000D31C3">
      <w:pPr>
        <w:pStyle w:val="CERDBodyText1"/>
      </w:pPr>
      <w:r w:rsidRPr="00CA366F">
        <w:t xml:space="preserve">The Northern Territory is party to the National Partnership Agreement on Remote Indigenous Housing, which will deliver 1,456 new houses and 2,915 rebuilds and refurbishments in remote Indigenous communities in the territory by June 2018. The agreement aims to reduce overcrowding, increase the supply of new houses, improve the condition of existing houses and ensure that public houses are well maintained and managed. </w:t>
      </w:r>
    </w:p>
    <w:p w14:paraId="174A8A48" w14:textId="77777777" w:rsidR="00332059" w:rsidRPr="00CA366F" w:rsidRDefault="00332059" w:rsidP="000D31C3">
      <w:pPr>
        <w:pStyle w:val="CERDBodyText1"/>
      </w:pPr>
      <w:r w:rsidRPr="00CA366F">
        <w:t>Under the National Partnership Agreement on Stronger Futures in the Northern Territory, upgrades to existing remote public housing dwellings are being undertaken progressively to increase amenity, durability and functionality. A total of 2,454 upgrades are to be completed from May 2013 to June 2018.</w:t>
      </w:r>
    </w:p>
    <w:p w14:paraId="21A79AFD" w14:textId="77777777" w:rsidR="00332059" w:rsidRPr="00CA366F" w:rsidRDefault="00332059" w:rsidP="000D31C3">
      <w:pPr>
        <w:pStyle w:val="CERDBodyText1"/>
      </w:pPr>
      <w:r w:rsidRPr="00CA366F">
        <w:t>At 31 October 2014, a total of:</w:t>
      </w:r>
    </w:p>
    <w:p w14:paraId="35F1A38B" w14:textId="77777777" w:rsidR="00332059" w:rsidRPr="00332059" w:rsidRDefault="00332059" w:rsidP="000D31C3">
      <w:pPr>
        <w:pStyle w:val="CERDBodyTextDotPoint"/>
      </w:pPr>
      <w:r w:rsidRPr="00332059">
        <w:t>1,098 new houses were constructed and 2,929 existing homes were rebuilt or refurbished under the National Partnership Agreement on Remote Indigenous Housing</w:t>
      </w:r>
    </w:p>
    <w:p w14:paraId="121BD7DA" w14:textId="77777777" w:rsidR="00332059" w:rsidRDefault="00332059" w:rsidP="000D31C3">
      <w:pPr>
        <w:pStyle w:val="CERDBodyTextDotPoint"/>
      </w:pPr>
      <w:r w:rsidRPr="00332059">
        <w:t>636 existing homes were upgraded under the National Partnership Agreement on Stronger Futures in the Northern Territory.</w:t>
      </w:r>
    </w:p>
    <w:p w14:paraId="17C437E6" w14:textId="7140012B" w:rsidR="00DF322F" w:rsidRPr="00CA366F" w:rsidRDefault="00DF322F" w:rsidP="000D31C3">
      <w:pPr>
        <w:pStyle w:val="CERDBodyText1"/>
      </w:pPr>
      <w:r w:rsidRPr="00CA366F">
        <w:t>The additional support through National Partnership Agreements is crucial to dealing with levels of overcrowding in the Northern Territory, particularly in remote communities.</w:t>
      </w:r>
    </w:p>
    <w:p w14:paraId="381D81C8" w14:textId="254A388C" w:rsidR="00332059" w:rsidRPr="00332059" w:rsidRDefault="00332059" w:rsidP="000D31C3">
      <w:pPr>
        <w:pStyle w:val="CERDBoxTableHeading"/>
      </w:pPr>
      <w:bookmarkStart w:id="59" w:name="_Toc425850295"/>
      <w:r w:rsidRPr="00332059">
        <w:t>South Australia</w:t>
      </w:r>
      <w:bookmarkEnd w:id="59"/>
    </w:p>
    <w:p w14:paraId="5F08B57D" w14:textId="77777777" w:rsidR="00332059" w:rsidRPr="00CA366F" w:rsidRDefault="00332059" w:rsidP="000D31C3">
      <w:pPr>
        <w:pStyle w:val="CERDBodyText1"/>
      </w:pPr>
      <w:r w:rsidRPr="00CA366F">
        <w:t>The National Partnership Agreement on Remote Indigenous Housing focuses on reducing overcrowding, homelessness, poor housing conditions and severe housing shortages in remote Aboriginal communities across the state. South Australia expects to receive $291.5 million in funding over the 10 years of agreement. This is intended to achieve various targets, including introducing public housing-like tenancy and property management, programed repairs and maintenance, and property construction and upgrading.</w:t>
      </w:r>
    </w:p>
    <w:p w14:paraId="432EEAE1" w14:textId="77777777" w:rsidR="004E40CA" w:rsidRPr="00332059" w:rsidRDefault="004E40CA" w:rsidP="004E40CA">
      <w:pPr>
        <w:pStyle w:val="CERDBoxTableHeading"/>
      </w:pPr>
      <w:bookmarkStart w:id="60" w:name="_Toc425850296"/>
      <w:r w:rsidRPr="00332059">
        <w:t>Tasmania</w:t>
      </w:r>
      <w:bookmarkEnd w:id="60"/>
    </w:p>
    <w:p w14:paraId="79F5A3D5" w14:textId="77777777" w:rsidR="004E40CA" w:rsidRPr="00CA366F" w:rsidRDefault="004E40CA" w:rsidP="004E40CA">
      <w:pPr>
        <w:pStyle w:val="CERDBodyText1"/>
      </w:pPr>
      <w:r w:rsidRPr="00CA366F">
        <w:t>The National Partnership Agreement on Remote Indigenous Housing commenced in 2009 to provide additional properties, repairs and maintenance, as well as local Aboriginal employment on Flinders Island and Cape Barren Island. Tasmania has met the requirement to establish 10 new properties and exceeded the target under the Implementation Plan 2009–2013 with 57 refurbished homes. A further two homes are being constructed and nearing completion on Cape Barren Island.</w:t>
      </w:r>
    </w:p>
    <w:p w14:paraId="6C276276" w14:textId="77777777" w:rsidR="00332059" w:rsidRPr="00332059" w:rsidRDefault="00332059" w:rsidP="000D31C3">
      <w:pPr>
        <w:pStyle w:val="CERDBoxTableHeading"/>
      </w:pPr>
      <w:bookmarkStart w:id="61" w:name="_Toc425850297"/>
      <w:r w:rsidRPr="00332059">
        <w:t>Victoria</w:t>
      </w:r>
      <w:bookmarkEnd w:id="61"/>
    </w:p>
    <w:p w14:paraId="2FE57E84" w14:textId="77777777" w:rsidR="001945AB" w:rsidRDefault="00332059" w:rsidP="000D31C3">
      <w:pPr>
        <w:pStyle w:val="CERDBodyText1"/>
      </w:pPr>
      <w:r w:rsidRPr="00CA366F">
        <w:t>The 2011 Census found that 3.7% of homeless Victorians are Aboriginal compared with a population share of 0.9%. The proportion of Aboriginal clients accessing homelessness services in Victoria has increased from 8.0% in 2011</w:t>
      </w:r>
      <w:r w:rsidR="001945AB">
        <w:t>-</w:t>
      </w:r>
      <w:r w:rsidRPr="00CA366F">
        <w:t>12 to 8.9% of all cli</w:t>
      </w:r>
      <w:r w:rsidR="001945AB">
        <w:t>ents in 2012-</w:t>
      </w:r>
      <w:r w:rsidRPr="00CA366F">
        <w:t xml:space="preserve">13 according to the report on government services. </w:t>
      </w:r>
    </w:p>
    <w:p w14:paraId="57613C97" w14:textId="77777777" w:rsidR="001945AB" w:rsidRDefault="00332059" w:rsidP="000D31C3">
      <w:pPr>
        <w:pStyle w:val="CERDBodyText1"/>
      </w:pPr>
      <w:r w:rsidRPr="00CA366F">
        <w:t>The Victorian Government offers a number of initiatives that specifically target Aboriginal people experiencing or at risk of homelessness, including the Fa</w:t>
      </w:r>
      <w:r w:rsidRPr="001945AB">
        <w:rPr>
          <w:i/>
        </w:rPr>
        <w:t xml:space="preserve">mily Violence </w:t>
      </w:r>
      <w:r w:rsidR="000611EB" w:rsidRPr="001945AB">
        <w:rPr>
          <w:i/>
        </w:rPr>
        <w:t>-</w:t>
      </w:r>
      <w:r w:rsidRPr="001945AB">
        <w:rPr>
          <w:i/>
        </w:rPr>
        <w:t xml:space="preserve"> Support for Women and Children</w:t>
      </w:r>
      <w:r w:rsidRPr="00CA366F">
        <w:t xml:space="preserve"> initiative, and the Indigenous Tenants at Risk program, a specialist youth refuge and outreach support for Aboriginal people and families at risk of homelessness. </w:t>
      </w:r>
    </w:p>
    <w:p w14:paraId="19007BC9" w14:textId="37E27E91" w:rsidR="001945AB" w:rsidRPr="001945AB" w:rsidRDefault="00332059" w:rsidP="001945AB">
      <w:pPr>
        <w:pStyle w:val="CERDBodyText1"/>
        <w:rPr>
          <w:b/>
        </w:rPr>
      </w:pPr>
      <w:r w:rsidRPr="00CA366F">
        <w:t>Aboriginal community owned and managed organisations such as Aboriginal Housing Victoria and Aboriginal cooperatives are significant providers of social housing across the state and are essential to responding to homelessness among Aboriginal Victorians. At 3 June 2012, Aboriginal community organisations provided 1,595 households with secure and affordable housing. A further 379 households were assisted through the broader community housing sector.</w:t>
      </w:r>
      <w:r w:rsidR="001945AB">
        <w:t xml:space="preserve">  </w:t>
      </w:r>
      <w:r w:rsidR="001945AB">
        <w:br w:type="page"/>
      </w:r>
    </w:p>
    <w:p w14:paraId="1BF9F161" w14:textId="6E00350F" w:rsidR="00332059" w:rsidRPr="00332059" w:rsidRDefault="00332059" w:rsidP="000D31C3">
      <w:pPr>
        <w:pStyle w:val="CERDBoxTableHeading"/>
      </w:pPr>
      <w:bookmarkStart w:id="62" w:name="_Toc425850298"/>
      <w:r w:rsidRPr="00332059">
        <w:lastRenderedPageBreak/>
        <w:t>Western Australia</w:t>
      </w:r>
      <w:bookmarkEnd w:id="62"/>
    </w:p>
    <w:p w14:paraId="0F74DE4E" w14:textId="77777777" w:rsidR="00043810" w:rsidRDefault="00332059" w:rsidP="000D31C3">
      <w:pPr>
        <w:pStyle w:val="CERDBodyText1"/>
      </w:pPr>
      <w:r w:rsidRPr="00CA366F">
        <w:t xml:space="preserve">Since 2008, under the </w:t>
      </w:r>
      <w:r w:rsidRPr="00043810">
        <w:rPr>
          <w:i/>
        </w:rPr>
        <w:t>National Partnership Agreement on Remote Indigenous Housing</w:t>
      </w:r>
      <w:r w:rsidRPr="00CA366F">
        <w:t xml:space="preserve">, the Department of Housing has completed 501 new homes and 1,299 refurbishments, mostly in remote Aboriginal communities. Western Australia has met or exceeded targets in each year of the agreement. </w:t>
      </w:r>
    </w:p>
    <w:p w14:paraId="1FF79000" w14:textId="77777777" w:rsidR="00043810" w:rsidRDefault="00332059" w:rsidP="000D31C3">
      <w:pPr>
        <w:pStyle w:val="CERDBodyText1"/>
      </w:pPr>
      <w:r w:rsidRPr="00CA366F">
        <w:t xml:space="preserve">In 2012, the Department of Housing, in partnership with the Wunan Foundation, commenced a transitional housing program for Indigenous people. Participants are required to engage in employment or training, ensure children attend school regularly and partake in associated support programs. The program helps build financial wealth and personal independence, and encourages transition from social housing to home ownership. In some cases, ownership is achieved on a shared equity basis with the government. The program has delivered 40 transitional houses and planning has commenced to extend the initiative. </w:t>
      </w:r>
    </w:p>
    <w:p w14:paraId="5EADDBC5" w14:textId="775C23C4" w:rsidR="00332059" w:rsidRPr="00CA366F" w:rsidRDefault="00332059" w:rsidP="000D31C3">
      <w:pPr>
        <w:pStyle w:val="CERDBodyText1"/>
      </w:pPr>
      <w:r w:rsidRPr="00CA366F">
        <w:t>Indigenous Visitors Centres are being built across the state to provide short stay facilities for Aboriginal visitors from remote communities who might otherwise sleep rough or overcrowd public housing.</w:t>
      </w:r>
    </w:p>
    <w:p w14:paraId="65D5A50A" w14:textId="462FABF6" w:rsidR="00332059" w:rsidRDefault="00332059" w:rsidP="00BE07CC">
      <w:pPr>
        <w:pStyle w:val="CERDHeadingMinor1"/>
        <w:rPr>
          <w:b w:val="0"/>
          <w:lang w:eastAsia="en-US"/>
        </w:rPr>
      </w:pPr>
      <w:bookmarkStart w:id="63" w:name="_Toc425850299"/>
      <w:r w:rsidRPr="00332059">
        <w:rPr>
          <w:lang w:eastAsia="en-US"/>
        </w:rPr>
        <w:t>Concluding Observation 29</w:t>
      </w:r>
      <w:r w:rsidR="00BE07CC">
        <w:rPr>
          <w:lang w:eastAsia="en-US"/>
        </w:rPr>
        <w:t xml:space="preserve"> - </w:t>
      </w:r>
      <w:r w:rsidR="00B9685C">
        <w:rPr>
          <w:b w:val="0"/>
          <w:lang w:eastAsia="en-US"/>
        </w:rPr>
        <w:t>Health S</w:t>
      </w:r>
      <w:r w:rsidRPr="00BE07CC">
        <w:rPr>
          <w:b w:val="0"/>
          <w:lang w:eastAsia="en-US"/>
        </w:rPr>
        <w:t xml:space="preserve">ervices in </w:t>
      </w:r>
      <w:r w:rsidR="00B9685C">
        <w:rPr>
          <w:b w:val="0"/>
          <w:lang w:eastAsia="en-US"/>
        </w:rPr>
        <w:t>P</w:t>
      </w:r>
      <w:r w:rsidRPr="00BE07CC">
        <w:rPr>
          <w:b w:val="0"/>
          <w:lang w:eastAsia="en-US"/>
        </w:rPr>
        <w:t>rison</w:t>
      </w:r>
      <w:r w:rsidR="00B9685C">
        <w:rPr>
          <w:b w:val="0"/>
          <w:lang w:eastAsia="en-US"/>
        </w:rPr>
        <w:t>s</w:t>
      </w:r>
      <w:bookmarkEnd w:id="63"/>
    </w:p>
    <w:p w14:paraId="5E6A6BF6" w14:textId="2DE4C3D6" w:rsidR="00BE07CC" w:rsidRDefault="00BE07CC" w:rsidP="00BE07CC">
      <w:pPr>
        <w:pStyle w:val="CERDHeadingMinor2"/>
      </w:pPr>
      <w:bookmarkStart w:id="64" w:name="_Toc425850300"/>
      <w:r>
        <w:t xml:space="preserve">State and Territory </w:t>
      </w:r>
      <w:r w:rsidR="00B9685C">
        <w:t xml:space="preserve">Prison </w:t>
      </w:r>
      <w:r>
        <w:t>Operations</w:t>
      </w:r>
      <w:bookmarkEnd w:id="64"/>
    </w:p>
    <w:p w14:paraId="50295E07" w14:textId="77777777" w:rsidR="00332059" w:rsidRPr="00332059" w:rsidRDefault="00332059" w:rsidP="000D31C3">
      <w:pPr>
        <w:pStyle w:val="CERDBoxTableHeading"/>
      </w:pPr>
      <w:bookmarkStart w:id="65" w:name="_Toc425850301"/>
      <w:r w:rsidRPr="00332059">
        <w:t>Australian Capital Territory</w:t>
      </w:r>
      <w:bookmarkEnd w:id="65"/>
    </w:p>
    <w:p w14:paraId="5E0913E0" w14:textId="77777777" w:rsidR="00332059" w:rsidRPr="00CA366F" w:rsidRDefault="00332059" w:rsidP="000D31C3">
      <w:pPr>
        <w:pStyle w:val="CERDBodyText1"/>
      </w:pPr>
      <w:r w:rsidRPr="00CA366F">
        <w:t xml:space="preserve">Through the Justice Health Service, ACT Health provides health services to detainees at a number of settings including at the ACT Court cells, the Alexander Maconochie Centre adult correctional facility, the Periodic Detention Centre, and at the Bimberi Youth Justice Centre. Services are delivered to adults as well as young people with complex health and mental health issues. These are provided at a community equivalent service where practical and include primary care clinics, specialist medical officer clinics (secondary care) and tertiary services such as forensic mental health, gastroenterology, pain clinic, plus clinical pharmacy support, chronic disease management and responding to medical emergencies. </w:t>
      </w:r>
    </w:p>
    <w:p w14:paraId="1D4C5058" w14:textId="77777777" w:rsidR="00332059" w:rsidRPr="00332059" w:rsidRDefault="00332059" w:rsidP="000D31C3">
      <w:pPr>
        <w:pStyle w:val="CERDBoxTableHeading"/>
      </w:pPr>
      <w:bookmarkStart w:id="66" w:name="_Toc425850302"/>
      <w:r w:rsidRPr="00332059">
        <w:t>New South Wales</w:t>
      </w:r>
      <w:bookmarkEnd w:id="66"/>
    </w:p>
    <w:p w14:paraId="13B2FCE3" w14:textId="77777777" w:rsidR="00332059" w:rsidRPr="00CA366F" w:rsidRDefault="00332059" w:rsidP="000D31C3">
      <w:pPr>
        <w:pStyle w:val="CERDBodyText1"/>
      </w:pPr>
      <w:r w:rsidRPr="00CA366F">
        <w:t>All entrants to the New South Wales correctional system undergo a comprehensive health assessment, and are referred to specialist health services in prison as needed. Where clinically required, patients are referred to local health facilities or specialists for additional care. Custodial patients requiring non-emergency surgery have the same waiting time as those in the community.</w:t>
      </w:r>
    </w:p>
    <w:p w14:paraId="549C5DCA" w14:textId="2E7BB9D4" w:rsidR="00332059" w:rsidRPr="00CA366F" w:rsidRDefault="00332059" w:rsidP="000D31C3">
      <w:pPr>
        <w:pStyle w:val="CERDBodyText1"/>
      </w:pPr>
      <w:r w:rsidRPr="00CA366F">
        <w:t xml:space="preserve">Health care for prisoners is delivered through NSW Health’s Justice Health and Forensic Mental Health Network. The network provides health services to adults and young people across custodial, inpatient and community settings. These include Aboriginal health, mental health, drug and alcohol, primary health, oral health, population and sexual health, and haemodialysis. </w:t>
      </w:r>
      <w:r w:rsidR="00043810">
        <w:br/>
      </w:r>
      <w:r w:rsidRPr="00CA366F">
        <w:t>In 2013</w:t>
      </w:r>
      <w:r w:rsidR="00043810">
        <w:t>-</w:t>
      </w:r>
      <w:r w:rsidRPr="00CA366F">
        <w:t>14, health services were delivered to a daily average custodial population of 10,453 adults and 341 young people, with an annual budget of over $170 million. Activity highlights include:</w:t>
      </w:r>
    </w:p>
    <w:p w14:paraId="0DC6F99C" w14:textId="77777777" w:rsidR="00332059" w:rsidRPr="00332059" w:rsidRDefault="00332059" w:rsidP="000D31C3">
      <w:pPr>
        <w:pStyle w:val="CERDBodyTextDotPoint"/>
      </w:pPr>
      <w:r w:rsidRPr="00332059">
        <w:t>2,414 adults and young people with mental illness were diverted from custody into community-based care</w:t>
      </w:r>
    </w:p>
    <w:p w14:paraId="25628661" w14:textId="77777777" w:rsidR="00332059" w:rsidRPr="00332059" w:rsidRDefault="00332059" w:rsidP="000D31C3">
      <w:pPr>
        <w:pStyle w:val="CERDBodyTextDotPoint"/>
      </w:pPr>
      <w:r w:rsidRPr="00332059">
        <w:t>498,265 attended appointments, including 5,413 dental visits</w:t>
      </w:r>
    </w:p>
    <w:p w14:paraId="4FC9ED43" w14:textId="57F0435B" w:rsidR="00332059" w:rsidRPr="00332059" w:rsidRDefault="00332059" w:rsidP="000D31C3">
      <w:pPr>
        <w:pStyle w:val="CERDBodyTextDotPoint"/>
      </w:pPr>
      <w:r w:rsidRPr="00332059">
        <w:t>there were 4,581,269 non-admitte</w:t>
      </w:r>
      <w:r w:rsidR="00043810">
        <w:t>d patient occasions of service,</w:t>
      </w:r>
      <w:r w:rsidRPr="00332059">
        <w:t xml:space="preserve"> a 21% increase from </w:t>
      </w:r>
      <w:r w:rsidR="00043810">
        <w:br/>
      </w:r>
      <w:r w:rsidRPr="00332059">
        <w:t>2009</w:t>
      </w:r>
      <w:r w:rsidR="00043810">
        <w:t>-20</w:t>
      </w:r>
      <w:r w:rsidRPr="00332059">
        <w:t>10.</w:t>
      </w:r>
    </w:p>
    <w:p w14:paraId="109FFBC2" w14:textId="382B55FC" w:rsidR="00332059" w:rsidRPr="00CA366F" w:rsidRDefault="00332059" w:rsidP="000D31C3">
      <w:pPr>
        <w:pStyle w:val="CERDBodyText1"/>
      </w:pPr>
      <w:r w:rsidRPr="00CA366F">
        <w:lastRenderedPageBreak/>
        <w:t xml:space="preserve">The network also provides a range of custodial and community-based programs to ensure continuity of care for patients as they move within the system and as they transition back into the community. </w:t>
      </w:r>
    </w:p>
    <w:p w14:paraId="648A01D7" w14:textId="77777777" w:rsidR="00332059" w:rsidRPr="00CA366F" w:rsidRDefault="00332059" w:rsidP="000D31C3">
      <w:pPr>
        <w:pStyle w:val="CERDBodyText1"/>
      </w:pPr>
      <w:r w:rsidRPr="00CA366F">
        <w:t>The Justice Health and Forensic Mental Health Network</w:t>
      </w:r>
      <w:r w:rsidRPr="00CA366F" w:rsidDel="007C4B76">
        <w:t xml:space="preserve"> </w:t>
      </w:r>
      <w:r w:rsidRPr="00CA366F">
        <w:t>provides comprehensive health services in juvenile justice centres. Clinics in these centres are managed by Justice Health and staffed by registered nurses, who provide a range of health services and coordinate visits from general practitioners, dentists and psychiatrists.</w:t>
      </w:r>
    </w:p>
    <w:p w14:paraId="1D757012" w14:textId="77777777" w:rsidR="00332059" w:rsidRPr="00CA366F" w:rsidRDefault="00332059" w:rsidP="000D31C3">
      <w:pPr>
        <w:pStyle w:val="CERDBodyText1"/>
      </w:pPr>
      <w:r w:rsidRPr="00CA366F">
        <w:t>Pre-release planning for young offenders includes ensuring they are connected to community health and medical services before their release date. Those with mental health and drug and alcohol issues may also be referred to the network’s community integration team to facilitate access to services when they are released.</w:t>
      </w:r>
    </w:p>
    <w:p w14:paraId="3D5929A6" w14:textId="77777777" w:rsidR="00332059" w:rsidRPr="00332059" w:rsidRDefault="00332059" w:rsidP="000D31C3">
      <w:pPr>
        <w:pStyle w:val="CERDBoxTableHeading"/>
      </w:pPr>
      <w:bookmarkStart w:id="67" w:name="_Toc425850303"/>
      <w:r w:rsidRPr="00332059">
        <w:t>Northern Territory</w:t>
      </w:r>
      <w:bookmarkEnd w:id="67"/>
    </w:p>
    <w:p w14:paraId="209F873E" w14:textId="77777777" w:rsidR="00332059" w:rsidRPr="00CA366F" w:rsidRDefault="00332059" w:rsidP="000D31C3">
      <w:pPr>
        <w:pStyle w:val="CERDBodyText1"/>
      </w:pPr>
      <w:r w:rsidRPr="00CA366F">
        <w:t>Comprehensive primary health services designed to meet the specific health needs of Indigenous prisoners will be delivered at a purpose built health facility in the new Darwin Correctional Centre. This has the capacity to provide on-site X-ray and a range of allied health services. These are focused on addressing chronic diseases, taking into account the early onset and prevalence of these among Aboriginal and Torres Strait Islander people. Treatment offered during incarceration is continued, if required, in the community on release or on parole.</w:t>
      </w:r>
    </w:p>
    <w:p w14:paraId="2314295F" w14:textId="77777777" w:rsidR="00332059" w:rsidRPr="00CA366F" w:rsidRDefault="00332059" w:rsidP="000D31C3">
      <w:pPr>
        <w:pStyle w:val="CERDBodyText1"/>
      </w:pPr>
      <w:r w:rsidRPr="00CA366F">
        <w:t>In August 2013 the Department of Correctional Services released its revised At-Risk of Suicide and Self Harm Policy, which was reviewed and developed in conjunction with stakeholders including the Department of Health.</w:t>
      </w:r>
      <w:r w:rsidRPr="002516AF">
        <w:rPr>
          <w:sz w:val="22"/>
          <w:szCs w:val="22"/>
          <w:vertAlign w:val="superscript"/>
        </w:rPr>
        <w:footnoteReference w:id="20"/>
      </w:r>
    </w:p>
    <w:p w14:paraId="1A24F02B" w14:textId="2479F458" w:rsidR="00CA366F" w:rsidRDefault="00CA366F" w:rsidP="000D31C3">
      <w:pPr>
        <w:pStyle w:val="CERDBoxTableHeading"/>
      </w:pPr>
      <w:bookmarkStart w:id="68" w:name="_Toc425850304"/>
      <w:r>
        <w:t>Queensland</w:t>
      </w:r>
      <w:bookmarkEnd w:id="68"/>
    </w:p>
    <w:p w14:paraId="76F8AE45" w14:textId="47C44161" w:rsidR="00CA366F" w:rsidRDefault="00CA366F" w:rsidP="000D31C3">
      <w:pPr>
        <w:pStyle w:val="CERDBodyText1"/>
      </w:pPr>
      <w:r>
        <w:t xml:space="preserve">For watch houses, the current Queensland Police Service (QPS) watch house is designed to maximise safety and well-being of prisoners through modern monitoring systems and cell design. The </w:t>
      </w:r>
      <w:r w:rsidRPr="00CA366F">
        <w:rPr>
          <w:i/>
        </w:rPr>
        <w:t>Operational Procedures Manual</w:t>
      </w:r>
      <w:r>
        <w:t xml:space="preserve"> provides strict guidelines for effective supervision. QPS internal computer systems ensure supervisory guidelines are adhered to. </w:t>
      </w:r>
    </w:p>
    <w:p w14:paraId="3BA89375" w14:textId="6605992E" w:rsidR="00CA366F" w:rsidRDefault="00CA366F" w:rsidP="000D31C3">
      <w:pPr>
        <w:pStyle w:val="CERDBodyText1"/>
      </w:pPr>
      <w:r>
        <w:t>For prisons, the Office of the Chief Inspector, Queensland Corrective Services facilitates a program of inspections, assessments, investigations and reviews and coordinates the official visitor scheme to ensure the fair treatment of all prisoners in Queensland. These inspections and reviews are based on the concept of a healthy prison which was first set out by the World Health Organisation (WHO). These standards have been adapted to Queensland and the standards are regularly updated. The WHO standards are accepted internationally as the benchmark for custodial environments.</w:t>
      </w:r>
    </w:p>
    <w:p w14:paraId="6EDFFA2B" w14:textId="58736E5C" w:rsidR="00CA366F" w:rsidRDefault="00CA366F" w:rsidP="000D31C3">
      <w:pPr>
        <w:pStyle w:val="CERDBodyText1"/>
      </w:pPr>
      <w:r>
        <w:t xml:space="preserve">Prisoners in Queensland can access mental health care through a variety of pathways that are commensurate with their need. These include nursing screening and assessment, primary health care interventions, as well as specialist mental health services. Queensland’s public health system provides an in-reach prison mental health service that is coordinated across the state, and delivers mental health assessment, treatment and management in all major correctional centres across Queensland. These services are multi-disciplinary and include psychiatrists. The services aim to be equivalent to those available within the community. The </w:t>
      </w:r>
      <w:r w:rsidRPr="00CA366F">
        <w:rPr>
          <w:i/>
        </w:rPr>
        <w:t>Mental Health Act 2000</w:t>
      </w:r>
      <w:r>
        <w:t xml:space="preserve"> (Qld) enables the capacity to transfer individuals to psychiatric hospitals if they require inpatient treatment.</w:t>
      </w:r>
    </w:p>
    <w:p w14:paraId="3EE39BB4" w14:textId="4F7FE801" w:rsidR="00CA366F" w:rsidRDefault="00CA366F" w:rsidP="000D31C3">
      <w:pPr>
        <w:pStyle w:val="CERDBodyText1"/>
      </w:pPr>
      <w:r>
        <w:lastRenderedPageBreak/>
        <w:t xml:space="preserve">Additionally, Queensland Police Service (QPS) employees are provided with training to enhance the identification of prisoners suffering from mental health issues. Employees are provided with a range of questions designed to identify issues. Should mental health issues be identified, further processes as per the </w:t>
      </w:r>
      <w:r w:rsidRPr="00CA366F">
        <w:rPr>
          <w:i/>
        </w:rPr>
        <w:t>Operational Procedures Manual</w:t>
      </w:r>
      <w:r>
        <w:t xml:space="preserve"> and local standard operating procedures are in place for mental health professionals to attend watch houses and conduct appropriate assessments. Internal QPS computer systems also assist watch house staff to identify prisoner mental health issues. </w:t>
      </w:r>
    </w:p>
    <w:p w14:paraId="5783DECD" w14:textId="5D8ABF53" w:rsidR="00332059" w:rsidRPr="00332059" w:rsidRDefault="00332059" w:rsidP="000D31C3">
      <w:pPr>
        <w:pStyle w:val="CERDBoxTableHeading"/>
      </w:pPr>
      <w:bookmarkStart w:id="69" w:name="_Toc425850305"/>
      <w:r w:rsidRPr="00332059">
        <w:t>South Australia</w:t>
      </w:r>
      <w:bookmarkEnd w:id="69"/>
    </w:p>
    <w:p w14:paraId="79074EA3" w14:textId="2EBCD9E5" w:rsidR="00332059" w:rsidRPr="00CA366F" w:rsidRDefault="00332059" w:rsidP="000D31C3">
      <w:pPr>
        <w:pStyle w:val="CERDBodyText1"/>
      </w:pPr>
      <w:r w:rsidRPr="00CA366F">
        <w:t>S</w:t>
      </w:r>
      <w:r w:rsidR="00043810">
        <w:t xml:space="preserve">outh Australia </w:t>
      </w:r>
      <w:r w:rsidRPr="00CA366F">
        <w:t xml:space="preserve">Health’s </w:t>
      </w:r>
      <w:r w:rsidR="00043810">
        <w:t xml:space="preserve">(SA Health) </w:t>
      </w:r>
      <w:r w:rsidRPr="00CA366F">
        <w:t xml:space="preserve">Central Adelaide Local Health Network provides health services to all prisoners in each of the state’s </w:t>
      </w:r>
      <w:r w:rsidR="00EA5104" w:rsidRPr="00CA366F">
        <w:t>eight</w:t>
      </w:r>
      <w:r w:rsidRPr="00CA366F">
        <w:t xml:space="preserve"> prisons operated by Correctional Services SA. Known as South Australian Prison Health Services, it operates a health centre in each prison that focuses on quality, contemporary and equitable health care across the spectrum of needs. </w:t>
      </w:r>
      <w:r w:rsidR="00043810">
        <w:t xml:space="preserve">In the state’s </w:t>
      </w:r>
      <w:r w:rsidR="00EA5104" w:rsidRPr="00CA366F">
        <w:t>only privately operated prison, health services are funded by the department and operated by G4S Custodial Services Pty Ltd.</w:t>
      </w:r>
    </w:p>
    <w:p w14:paraId="2860C032" w14:textId="77777777" w:rsidR="00332059" w:rsidRPr="00CA366F" w:rsidRDefault="00332059" w:rsidP="000D31C3">
      <w:pPr>
        <w:pStyle w:val="CERDBodyText1"/>
      </w:pPr>
      <w:r w:rsidRPr="00CA366F">
        <w:t>All prisoners have access to appropriate qualified nursing and medical health professionals. An initial assessment is undertaken on admission and where required, care coordination and management is then provided by the service throughout their stay. South Australian Prison Health Services</w:t>
      </w:r>
      <w:r w:rsidRPr="00CA366F" w:rsidDel="007C4B76">
        <w:t xml:space="preserve"> </w:t>
      </w:r>
      <w:r w:rsidRPr="00CA366F">
        <w:t>has also implemented and evaluated prioritised clinical pathways such as mental health, substance addiction, annual health checks, cardiovascular, and diabetes.</w:t>
      </w:r>
    </w:p>
    <w:p w14:paraId="22BA171B" w14:textId="77777777" w:rsidR="00332059" w:rsidRPr="00CA366F" w:rsidRDefault="00332059" w:rsidP="000D31C3">
      <w:pPr>
        <w:pStyle w:val="CERDBodyText1"/>
      </w:pPr>
      <w:r w:rsidRPr="00CA366F">
        <w:t>Health care is also provided in collaboration with other SA Health service providers within the correctional setting, such as forensic mental health services, Aboriginal health, dental services, drug and alcohol services, sexual health, and local hospitals and country and rural health providers. This requires good working relationships to be maintained with key stakeholders to enable access to timely referral and treatment options for prisoners depending on their location.</w:t>
      </w:r>
    </w:p>
    <w:p w14:paraId="58153196" w14:textId="17553265" w:rsidR="00332059" w:rsidRPr="00332059" w:rsidRDefault="00332059" w:rsidP="000D31C3">
      <w:pPr>
        <w:pStyle w:val="CERDBoxTableHeading"/>
      </w:pPr>
      <w:bookmarkStart w:id="70" w:name="_Toc425850306"/>
      <w:r w:rsidRPr="00332059">
        <w:t>Tasmania</w:t>
      </w:r>
      <w:bookmarkEnd w:id="70"/>
    </w:p>
    <w:p w14:paraId="401C2BF9" w14:textId="77777777" w:rsidR="00332059" w:rsidRPr="00CA366F" w:rsidRDefault="00332059" w:rsidP="000D31C3">
      <w:pPr>
        <w:pStyle w:val="CERDBodyText1"/>
      </w:pPr>
      <w:r w:rsidRPr="00CA366F">
        <w:t xml:space="preserve">All those entering prison in Tasmania are medically assessed shortly after admission, for physical and mental health, and drug and alcohol use. Prisoners may be referred for further assessment or treatment. Basic health care is provided within the prison. Prisoners suffering from acute mental illness are transferred to Tasmania’s secure mental health unit, the Wilfred Lopes Centre, for in-patient treatment. </w:t>
      </w:r>
    </w:p>
    <w:p w14:paraId="13CFB931" w14:textId="77777777" w:rsidR="00332059" w:rsidRPr="00CA366F" w:rsidRDefault="00332059" w:rsidP="000D31C3">
      <w:pPr>
        <w:pStyle w:val="CERDBodyText1"/>
      </w:pPr>
      <w:r w:rsidRPr="00CA366F">
        <w:t xml:space="preserve">The Tasmania Prison Service Therapeutic Services Unit and Correctional Primary Health Services manage suicide and self-harm risks. The Tasmania Prison Service has a dedicated crisis support unit for managing prisoners at significant risk of suicide or self-harm, and a needs assessment unit for assessing and managing prisoners with complex needs. </w:t>
      </w:r>
    </w:p>
    <w:p w14:paraId="23003617" w14:textId="77777777" w:rsidR="00332059" w:rsidRPr="00CA366F" w:rsidRDefault="00332059" w:rsidP="000D31C3">
      <w:pPr>
        <w:pStyle w:val="CERDBodyText1"/>
      </w:pPr>
      <w:r w:rsidRPr="00CA366F">
        <w:t>An independent medical officer undertakes regular prison inspections. These focus on overall health systems and the health of the prisoner population. This may involve implementing preventative health measures and health promotion initiatives.</w:t>
      </w:r>
    </w:p>
    <w:p w14:paraId="5A27C70D" w14:textId="77777777" w:rsidR="00332059" w:rsidRPr="00332059" w:rsidRDefault="00332059" w:rsidP="000D31C3">
      <w:pPr>
        <w:pStyle w:val="CERDBoxTableHeading"/>
      </w:pPr>
      <w:bookmarkStart w:id="71" w:name="_Toc425850307"/>
      <w:r w:rsidRPr="00332059">
        <w:t>Victoria</w:t>
      </w:r>
      <w:bookmarkEnd w:id="71"/>
    </w:p>
    <w:p w14:paraId="430C2E7D" w14:textId="77777777" w:rsidR="00332059" w:rsidRPr="00CA366F" w:rsidRDefault="00332059" w:rsidP="000D31C3">
      <w:pPr>
        <w:pStyle w:val="CERDBodyText1"/>
      </w:pPr>
      <w:r w:rsidRPr="00CA366F">
        <w:t xml:space="preserve">Victorian prison health services must comply with the Justice Health Quality Framework 2011, which sets the minimum standards for healthcare services. The framework references the UN Standard Minimum Rules for the Treatment of Prisoners (1957), Basic Principles for the Treatment of Prisoners (1990) and Principles for the Protection of Persons with Mental Illness and the Improvement of Mental Care (1991). It stipulates that prison health services should be equivalent to those in the general community and preserves the professional independence of health professionals working in the prison environment. All prison health service providers are required to </w:t>
      </w:r>
      <w:r w:rsidRPr="00CA366F">
        <w:lastRenderedPageBreak/>
        <w:t>maintain health care accreditation. Both public and private prison health services are subject to these standards. Justice Health conducts quarterly performance audits to ensure services are delivered to the required standards.</w:t>
      </w:r>
    </w:p>
    <w:p w14:paraId="45605969" w14:textId="77777777" w:rsidR="00332059" w:rsidRPr="00CA366F" w:rsidRDefault="00332059" w:rsidP="000D31C3">
      <w:pPr>
        <w:pStyle w:val="CERDBodyText1"/>
      </w:pPr>
      <w:r w:rsidRPr="00CA366F">
        <w:t>All prisoners receive a health screening assessment within 24 hours of entering prison, including mental health, and alcohol and drug screening assessments and referrals where appropriate. Prisoners can access primary, secondary and tertiary health care, specialist mental health services and alcohol and drug treatment. Victoria is also introducing mobile radiology and forensic health services to provide a broader range of services at all prison sites.</w:t>
      </w:r>
    </w:p>
    <w:p w14:paraId="1C52EF7B" w14:textId="77777777" w:rsidR="00332059" w:rsidRPr="00CA366F" w:rsidRDefault="00332059" w:rsidP="000D31C3">
      <w:pPr>
        <w:pStyle w:val="CERDBodyText1"/>
      </w:pPr>
      <w:r w:rsidRPr="00CA366F">
        <w:t xml:space="preserve">Specialist drug and alcohol treatment providers deliver a range of substance use treatment and management programs in Victorian prisons, including individual and group counselling, harm reduction programs, peer educator programs and the Opioid Substitution Therapy Program, which aims to reduce harms from substance abuse, reduce illicit drug use and reduce transmission of blood borne viruses. </w:t>
      </w:r>
    </w:p>
    <w:p w14:paraId="34BA0F76" w14:textId="77777777" w:rsidR="00332059" w:rsidRPr="00CA366F" w:rsidRDefault="00332059" w:rsidP="000D31C3">
      <w:pPr>
        <w:pStyle w:val="CERDBodyText1"/>
      </w:pPr>
      <w:r w:rsidRPr="00CA366F">
        <w:t>It is acknowledged that illicit drug use occurs in prison. To reduce the transmission of blood borne viruses from drug use, bleach is available to prisoners to disinfect injecting equipment. Specialist treatment for Hepatitis C is currently available at two Victorian prisons and there are plans to commence a state-wide custodial hepatitis assessment and management program in January 2015. This program has proven to be safe and effective in prisons and achieves similar outcomes to tertiary health care settings.</w:t>
      </w:r>
    </w:p>
    <w:p w14:paraId="60EFEA2C" w14:textId="77777777" w:rsidR="00332059" w:rsidRPr="00CA366F" w:rsidRDefault="00332059" w:rsidP="000D31C3">
      <w:pPr>
        <w:pStyle w:val="CERDBodyText1"/>
      </w:pPr>
      <w:r w:rsidRPr="00CA366F">
        <w:t>Contraceptives are available in all Victorian prisons to reduce the transmission of sexually transmitted diseases. Condoms are available in all men’s prisons and dental dams are available in women’s prisons.</w:t>
      </w:r>
    </w:p>
    <w:p w14:paraId="6EF77EAF" w14:textId="708D9BE1" w:rsidR="00332059" w:rsidRPr="00332059" w:rsidRDefault="00332059" w:rsidP="000D31C3">
      <w:pPr>
        <w:pStyle w:val="CERDBoxTableHeading"/>
      </w:pPr>
      <w:bookmarkStart w:id="72" w:name="_Toc425850308"/>
      <w:r w:rsidRPr="00332059">
        <w:t>Western Australia</w:t>
      </w:r>
      <w:bookmarkEnd w:id="72"/>
    </w:p>
    <w:p w14:paraId="27C40493" w14:textId="77777777" w:rsidR="00332059" w:rsidRPr="00CA366F" w:rsidRDefault="00332059" w:rsidP="000D31C3">
      <w:pPr>
        <w:pStyle w:val="CERDBodyText1"/>
      </w:pPr>
      <w:r w:rsidRPr="00CA366F">
        <w:t xml:space="preserve">Doctors, nurses, dentists and allied health professionals provide prison health services. Prisoners are referred to specialists at tertiary hospitals as required. All prisoners receive a health assessment on entry to prison and if required are given prioritised appointments determined by clinical need. </w:t>
      </w:r>
    </w:p>
    <w:p w14:paraId="25F03EC4" w14:textId="70A38A51" w:rsidR="00332059" w:rsidRPr="00CA366F" w:rsidRDefault="00332059" w:rsidP="000D31C3">
      <w:pPr>
        <w:pStyle w:val="CERDBodyText1"/>
      </w:pPr>
      <w:r w:rsidRPr="00CA366F">
        <w:t xml:space="preserve">Each prisoner with a chronic disease is offered a personal care plan to monitor the disease and coordinate treatment. Specialist trained doctors and nurses provide clinical services in the areas of drug addiction, mental health, communicable disease and chronic disease management. Various other health programs are provided by prison health </w:t>
      </w:r>
      <w:r w:rsidR="00043810">
        <w:t xml:space="preserve">services and these include drug and </w:t>
      </w:r>
      <w:r w:rsidRPr="00CA366F">
        <w:t>alcohol addiction group and individual counselling, blood borne virus, general health promotion and QUIT groups. When a prisoner is released, a one-week’s supply of medication is provided if required. Health services in the community can access medical records of ex-prisoners with their consent.</w:t>
      </w:r>
    </w:p>
    <w:p w14:paraId="0CA4A3FF" w14:textId="77777777" w:rsidR="00332059" w:rsidRPr="00CA366F" w:rsidRDefault="00332059" w:rsidP="000D31C3">
      <w:pPr>
        <w:pStyle w:val="CERDBodyText1"/>
      </w:pPr>
      <w:r w:rsidRPr="00CA366F">
        <w:t xml:space="preserve">The Mental Health Court Diversion and Support Program helps offenders with mental illness access treatment and support. This helps reduce re-offending and improving criminal justice and mental health outcomes in the longer term. The program runs as the Specialist Treatment and Referral Team (START) Court in the Magistrates Court and the Links program in the Children’s Court. </w:t>
      </w:r>
    </w:p>
    <w:p w14:paraId="2334295B" w14:textId="77777777" w:rsidR="00332059" w:rsidRPr="00CA366F" w:rsidRDefault="00332059" w:rsidP="000D31C3">
      <w:pPr>
        <w:pStyle w:val="CERDBodyText1"/>
      </w:pPr>
      <w:r w:rsidRPr="00CA366F">
        <w:t xml:space="preserve">START Court is supported by a multi-agency team, which includes a dedicated magistrate, Legal Aid lawyer, police prosecutor, two support staff and a Community Corrections officer, all of who are trained in mental health first aid. The clinical support team consists of a psychiatrist, three specialist mental health nurses, a senior social worker and a non-government service provider. Participants on the program work closely with the START Court team to develop individual recovery plans to address their needs in the area of holistic mental health and their offending behaviour. The </w:t>
      </w:r>
      <w:r w:rsidRPr="00CA366F">
        <w:lastRenderedPageBreak/>
        <w:t>length of each individualised program is dependent on the needs and progress of participants. In general, a program may last up to six months.</w:t>
      </w:r>
    </w:p>
    <w:p w14:paraId="232358FC" w14:textId="6725A759" w:rsidR="00332059" w:rsidRPr="00CA366F" w:rsidRDefault="008A67CE" w:rsidP="008A67CE">
      <w:pPr>
        <w:pStyle w:val="CERDBodyText1"/>
      </w:pPr>
      <w:r w:rsidRPr="008A67CE">
        <w:t>Western Australia Department of Health</w:t>
      </w:r>
      <w:r>
        <w:t>’s</w:t>
      </w:r>
      <w:r w:rsidRPr="008A67CE">
        <w:t xml:space="preserve"> </w:t>
      </w:r>
      <w:r>
        <w:t>(</w:t>
      </w:r>
      <w:r w:rsidR="00332059" w:rsidRPr="00CA366F">
        <w:t>WA Health</w:t>
      </w:r>
      <w:r>
        <w:t>)</w:t>
      </w:r>
      <w:r w:rsidR="00332059" w:rsidRPr="00CA366F">
        <w:t xml:space="preserve"> Dental Health Services provides a free dental service to prisons</w:t>
      </w:r>
      <w:r w:rsidR="00043810">
        <w:t xml:space="preserve"> and </w:t>
      </w:r>
      <w:r w:rsidR="00332059" w:rsidRPr="00CA366F">
        <w:t>cor</w:t>
      </w:r>
      <w:r w:rsidR="000611EB">
        <w:t>rective services. In 2013-</w:t>
      </w:r>
      <w:r w:rsidR="00332059" w:rsidRPr="00CA366F">
        <w:t xml:space="preserve">14 to 2,083 services were provided to prisoners. </w:t>
      </w:r>
    </w:p>
    <w:p w14:paraId="1E19759E" w14:textId="77777777" w:rsidR="00332059" w:rsidRPr="00CA366F" w:rsidRDefault="00332059" w:rsidP="000D31C3">
      <w:pPr>
        <w:pStyle w:val="CERDBodyText1"/>
      </w:pPr>
      <w:r w:rsidRPr="00CA366F">
        <w:t>Through the Women and Newborn Drug and Alcohol Service Clinic, WA Health’s Women and Newborn Health Service provides antenatal, medical, midwifery, social work and psychiatry team services to pregnant women in the prison system with a history of substance abuse. This includes prison GP liaison and cross sector linkages for health care after their release from prison in the perinatal period.</w:t>
      </w:r>
    </w:p>
    <w:p w14:paraId="1A728CF7" w14:textId="38146146" w:rsidR="00332059" w:rsidRDefault="00332059" w:rsidP="009613D9">
      <w:pPr>
        <w:pStyle w:val="CERDHeadingMinor1"/>
        <w:rPr>
          <w:b w:val="0"/>
          <w:lang w:eastAsia="en-US"/>
        </w:rPr>
      </w:pPr>
      <w:bookmarkStart w:id="73" w:name="_Toc425850309"/>
      <w:r w:rsidRPr="00332059">
        <w:rPr>
          <w:lang w:eastAsia="en-US"/>
        </w:rPr>
        <w:t>Concluding Observation 30</w:t>
      </w:r>
      <w:r w:rsidR="00BE07CC">
        <w:rPr>
          <w:lang w:eastAsia="en-US"/>
        </w:rPr>
        <w:t xml:space="preserve"> – </w:t>
      </w:r>
      <w:r w:rsidR="00BE07CC" w:rsidRPr="009613D9">
        <w:rPr>
          <w:b w:val="0"/>
          <w:lang w:eastAsia="en-US"/>
        </w:rPr>
        <w:t xml:space="preserve">Mental </w:t>
      </w:r>
      <w:r w:rsidR="00B9685C">
        <w:rPr>
          <w:b w:val="0"/>
          <w:lang w:eastAsia="en-US"/>
        </w:rPr>
        <w:t>H</w:t>
      </w:r>
      <w:r w:rsidR="00BE07CC" w:rsidRPr="009613D9">
        <w:rPr>
          <w:b w:val="0"/>
          <w:lang w:eastAsia="en-US"/>
        </w:rPr>
        <w:t xml:space="preserve">ealth </w:t>
      </w:r>
      <w:r w:rsidR="00B9685C">
        <w:rPr>
          <w:b w:val="0"/>
          <w:lang w:eastAsia="en-US"/>
        </w:rPr>
        <w:t>S</w:t>
      </w:r>
      <w:r w:rsidR="00BE07CC" w:rsidRPr="009613D9">
        <w:rPr>
          <w:b w:val="0"/>
          <w:lang w:eastAsia="en-US"/>
        </w:rPr>
        <w:t>ervices</w:t>
      </w:r>
      <w:bookmarkEnd w:id="73"/>
    </w:p>
    <w:p w14:paraId="29CD6512" w14:textId="77777777" w:rsidR="00332059" w:rsidRPr="00332059" w:rsidRDefault="00332059" w:rsidP="000D31C3">
      <w:pPr>
        <w:pStyle w:val="CERDBoxTableHeading"/>
      </w:pPr>
      <w:bookmarkStart w:id="74" w:name="_Toc425850310"/>
      <w:r w:rsidRPr="00332059">
        <w:t>Australian Capital Territory</w:t>
      </w:r>
      <w:bookmarkEnd w:id="74"/>
    </w:p>
    <w:p w14:paraId="47AB2553" w14:textId="5C817290" w:rsidR="00332059" w:rsidRPr="00CA366F" w:rsidRDefault="00332059" w:rsidP="000D31C3">
      <w:pPr>
        <w:pStyle w:val="CERDBodyText1"/>
      </w:pPr>
      <w:r w:rsidRPr="00CA366F">
        <w:t xml:space="preserve">The </w:t>
      </w:r>
      <w:r w:rsidRPr="00043810">
        <w:rPr>
          <w:i/>
        </w:rPr>
        <w:t>Mental Health (Treatment and Care) Amendment Act 2014</w:t>
      </w:r>
      <w:r w:rsidRPr="00CA366F">
        <w:t xml:space="preserve"> (ACT) passed the ACT Legislative Assembly on 30 October 2014. It comprehensively amends the </w:t>
      </w:r>
      <w:r w:rsidRPr="00043810">
        <w:rPr>
          <w:i/>
        </w:rPr>
        <w:t xml:space="preserve">Mental Health (Treatment and Care) Act 2004 </w:t>
      </w:r>
      <w:r w:rsidRPr="00CA366F">
        <w:t xml:space="preserve">(ACT) to align it with contemporary human rights principles and law, including the right to ‘the highest attainable standard of physical and mental health’ prescribed by article 12 of </w:t>
      </w:r>
      <w:r w:rsidR="00043810">
        <w:t>ICESCR</w:t>
      </w:r>
      <w:r w:rsidRPr="00CA366F">
        <w:t>. The later Act is the principal legal instrument for the regulation of ACT mental health services.</w:t>
      </w:r>
    </w:p>
    <w:p w14:paraId="0BC3CD6D" w14:textId="1430B353" w:rsidR="00332059" w:rsidRPr="00332059" w:rsidRDefault="00332059" w:rsidP="000D31C3">
      <w:pPr>
        <w:pStyle w:val="CERDBoxTableHeading"/>
      </w:pPr>
      <w:bookmarkStart w:id="75" w:name="_Toc425850311"/>
      <w:r w:rsidRPr="00332059">
        <w:t>New South Wales</w:t>
      </w:r>
      <w:bookmarkEnd w:id="75"/>
    </w:p>
    <w:p w14:paraId="71AC9421" w14:textId="3D97C1FD" w:rsidR="00332059" w:rsidRPr="00CA366F" w:rsidRDefault="00332059" w:rsidP="000D31C3">
      <w:pPr>
        <w:pStyle w:val="CERDBodyText1"/>
      </w:pPr>
      <w:r w:rsidRPr="00CA366F">
        <w:t>Total mental health funding in New South Wales inc</w:t>
      </w:r>
      <w:r w:rsidR="000611EB">
        <w:t>reased to $1.45 billion in 2013-</w:t>
      </w:r>
      <w:r w:rsidRPr="00CA366F">
        <w:t xml:space="preserve">14. The </w:t>
      </w:r>
      <w:r w:rsidRPr="00372BC7">
        <w:rPr>
          <w:i/>
        </w:rPr>
        <w:t>Mental Health Commission of New South Wales</w:t>
      </w:r>
      <w:r w:rsidRPr="002516AF">
        <w:rPr>
          <w:sz w:val="22"/>
          <w:szCs w:val="22"/>
          <w:vertAlign w:val="superscript"/>
        </w:rPr>
        <w:footnoteReference w:id="21"/>
      </w:r>
      <w:r w:rsidRPr="00CA366F">
        <w:t xml:space="preserve"> was established in 2012 as an independent body to drive reform in mental health service delivery in the state with funding of $30 million over three years. The commission works with the community towards sustained improvement in the support offered to people who experience mental illness and in their access to employment, education, housing, justice and health care.</w:t>
      </w:r>
    </w:p>
    <w:p w14:paraId="04BBA569" w14:textId="77777777" w:rsidR="00332059" w:rsidRPr="00332059" w:rsidRDefault="00332059" w:rsidP="000D31C3">
      <w:pPr>
        <w:pStyle w:val="CERDBoxTableHeading"/>
      </w:pPr>
      <w:bookmarkStart w:id="76" w:name="_Toc425850312"/>
      <w:r w:rsidRPr="00332059">
        <w:t>Northern Territory</w:t>
      </w:r>
      <w:bookmarkEnd w:id="76"/>
    </w:p>
    <w:p w14:paraId="2DC56485" w14:textId="77777777" w:rsidR="00332059" w:rsidRPr="00CA366F" w:rsidRDefault="00332059" w:rsidP="000D31C3">
      <w:pPr>
        <w:pStyle w:val="CERDBodyText1"/>
      </w:pPr>
      <w:r w:rsidRPr="00CA366F">
        <w:t>The Northern Territory delivers a comprehensive mental health service, including inpatient and community care, to all territorians. Clinicians from the community mental health service visit remote and very remote areas to provide clinics, education and support to primary health staff. Consumer assessment and follow-up is also facilitated by using telehealth facilities. Careflight and the Royal Flying Doctor Service are also active partners in providing mental health care and retrievals to and from remote communities.</w:t>
      </w:r>
    </w:p>
    <w:p w14:paraId="08ADFEB6" w14:textId="6B2729AC" w:rsidR="00332059" w:rsidRPr="00CA366F" w:rsidRDefault="00332059" w:rsidP="000D31C3">
      <w:pPr>
        <w:pStyle w:val="CERDBodyText1"/>
      </w:pPr>
      <w:r w:rsidRPr="00CA366F">
        <w:t xml:space="preserve">The Department of Health funds and also works collaboratively with non-government organisations to provide mental health care in the community, including residential rehabilitation services, day programs, and social, education and vocational support. The department invests significant resources into suicide prevention activities and </w:t>
      </w:r>
      <w:r w:rsidR="00372BC7">
        <w:t xml:space="preserve">services including CounterPunch - </w:t>
      </w:r>
      <w:r w:rsidRPr="00CA366F">
        <w:t>an early intervention program to enhance resilience and self-management in at-risk youth using boxing as a medium for engagement. Mental Health Services employs consumer and carer consultants and Aboriginal mental health workers to provide culturally safe care to Indigenous consumers.</w:t>
      </w:r>
    </w:p>
    <w:p w14:paraId="59B406FB" w14:textId="77777777" w:rsidR="00372BC7" w:rsidRDefault="00372BC7">
      <w:pPr>
        <w:rPr>
          <w:rFonts w:cstheme="minorHAnsi"/>
          <w:b/>
          <w:lang w:val="en-AU" w:eastAsia="en-US"/>
        </w:rPr>
      </w:pPr>
      <w:r>
        <w:br w:type="page"/>
      </w:r>
    </w:p>
    <w:p w14:paraId="6FE2C356" w14:textId="24F38D27" w:rsidR="00332059" w:rsidRPr="00332059" w:rsidRDefault="00332059" w:rsidP="000D31C3">
      <w:pPr>
        <w:pStyle w:val="CERDBoxTableHeading"/>
      </w:pPr>
      <w:bookmarkStart w:id="77" w:name="_Toc425850313"/>
      <w:r w:rsidRPr="00332059">
        <w:lastRenderedPageBreak/>
        <w:t>South Australia</w:t>
      </w:r>
      <w:bookmarkEnd w:id="77"/>
    </w:p>
    <w:p w14:paraId="696CAFCD" w14:textId="77777777" w:rsidR="00332059" w:rsidRPr="00CA366F" w:rsidRDefault="00332059" w:rsidP="000D31C3">
      <w:pPr>
        <w:pStyle w:val="CERDBodyText1"/>
      </w:pPr>
      <w:r w:rsidRPr="00CA366F">
        <w:t xml:space="preserve">South Australia introduced a new </w:t>
      </w:r>
      <w:r w:rsidRPr="00372BC7">
        <w:rPr>
          <w:i/>
        </w:rPr>
        <w:t>Mental Health Act 2009</w:t>
      </w:r>
      <w:r w:rsidRPr="00CA366F">
        <w:t xml:space="preserve"> (SA) that expands and protects the rights of people with mental illness, recognises the needs of people from culturally and linguistically diverse backgrounds, the role of carers and the circumstances of children who are experiencing, or who are affected by, people with a serious mental illness. An independent principal community visitor scheme was created to monitor the care people receive in mental health facilities.</w:t>
      </w:r>
    </w:p>
    <w:p w14:paraId="09A14B87" w14:textId="29385CFB" w:rsidR="00332059" w:rsidRPr="00CA366F" w:rsidRDefault="00332059" w:rsidP="000D31C3">
      <w:pPr>
        <w:pStyle w:val="CERDBodyText1"/>
      </w:pPr>
      <w:r w:rsidRPr="00CA366F">
        <w:t>South Australia has progressively implemented a new stepped system of care in line with the SA Social Inclu</w:t>
      </w:r>
      <w:r w:rsidR="00372BC7">
        <w:t xml:space="preserve">sion Board report </w:t>
      </w:r>
      <w:r w:rsidR="00372BC7" w:rsidRPr="00372BC7">
        <w:rPr>
          <w:i/>
        </w:rPr>
        <w:t xml:space="preserve">Stepping Up - </w:t>
      </w:r>
      <w:r w:rsidRPr="00372BC7">
        <w:rPr>
          <w:i/>
        </w:rPr>
        <w:t>A Social Inclusion Action Plan for Mental Health Reform 2007</w:t>
      </w:r>
      <w:r w:rsidR="00372BC7">
        <w:rPr>
          <w:i/>
        </w:rPr>
        <w:t>-</w:t>
      </w:r>
      <w:r w:rsidRPr="00372BC7">
        <w:rPr>
          <w:i/>
        </w:rPr>
        <w:t>2012</w:t>
      </w:r>
      <w:r w:rsidRPr="00CA366F">
        <w:t>. This will enable more appropriate treatment for the various stages of people’s illnesses including acute care, intermediate care, community rehabilitation services, supported accommodation and community care. Services are provided across different age groups. The government has invested over $330 million to create the necessary service and infrastructure changes.</w:t>
      </w:r>
    </w:p>
    <w:p w14:paraId="0BDB3DC8" w14:textId="2E50F3EC" w:rsidR="00332059" w:rsidRPr="00CA366F" w:rsidRDefault="00332059" w:rsidP="000D31C3">
      <w:pPr>
        <w:pStyle w:val="CERDBodyText1"/>
      </w:pPr>
      <w:r w:rsidRPr="00CA366F">
        <w:t xml:space="preserve">Under the </w:t>
      </w:r>
      <w:r w:rsidRPr="00372BC7">
        <w:rPr>
          <w:i/>
        </w:rPr>
        <w:t>National Partnership Agreement on Supporting Mental Health Reform</w:t>
      </w:r>
      <w:r w:rsidRPr="00CA366F">
        <w:t>, the government has been allocated funding of $14.2 million over five years (2011</w:t>
      </w:r>
      <w:r w:rsidR="000611EB">
        <w:t>-</w:t>
      </w:r>
      <w:r w:rsidRPr="00CA366F">
        <w:t>2016) for two projects: expanding the Assessment and Crisis Intervention Service to a 24 hour service at three metropolitan sites, and establishing walk-in mental health site.</w:t>
      </w:r>
      <w:r w:rsidRPr="002516AF">
        <w:rPr>
          <w:sz w:val="22"/>
          <w:szCs w:val="22"/>
          <w:vertAlign w:val="superscript"/>
        </w:rPr>
        <w:footnoteReference w:id="22"/>
      </w:r>
    </w:p>
    <w:p w14:paraId="3DAEC377" w14:textId="77777777" w:rsidR="00DB6B78" w:rsidRPr="00332059" w:rsidRDefault="00DB6B78" w:rsidP="000D31C3">
      <w:pPr>
        <w:pStyle w:val="CERDBoxTableHeading"/>
      </w:pPr>
      <w:bookmarkStart w:id="78" w:name="_Toc425850314"/>
      <w:r w:rsidRPr="00332059">
        <w:t>Tasmania</w:t>
      </w:r>
      <w:bookmarkEnd w:id="78"/>
    </w:p>
    <w:p w14:paraId="748D7E6D" w14:textId="77777777" w:rsidR="00DB6B78" w:rsidRPr="00CA366F" w:rsidRDefault="00DB6B78" w:rsidP="000D31C3">
      <w:pPr>
        <w:pStyle w:val="CERDBodyText1"/>
      </w:pPr>
      <w:r w:rsidRPr="00CA366F">
        <w:t xml:space="preserve">Tasmania’s Magistrates Court has run a Mental Health and Cognitive Disability Diversion program since May 2007. The Diversion List commenced as the Mental Health Diversion List in 2007. It operates under the provisions of the </w:t>
      </w:r>
      <w:r w:rsidRPr="000611EB">
        <w:rPr>
          <w:i/>
        </w:rPr>
        <w:t>Bail Act 1994</w:t>
      </w:r>
      <w:r w:rsidRPr="00CA366F">
        <w:t xml:space="preserve"> (TAS) and the </w:t>
      </w:r>
      <w:r w:rsidRPr="000611EB">
        <w:rPr>
          <w:i/>
        </w:rPr>
        <w:t>Sentencing Act 1997</w:t>
      </w:r>
      <w:r w:rsidRPr="00CA366F">
        <w:t xml:space="preserve"> (TAS) to divert mentally ill participants away from the regular criminal justice system and into appropriate treatment. Managed by the Magistrates Court, the Diversion List assists people with mental health issues or intellectual impairment by providing separate lists or sittings for them with dedicated magistrates and teams that focus on treatment and support.</w:t>
      </w:r>
    </w:p>
    <w:p w14:paraId="7337FF66" w14:textId="77777777" w:rsidR="00DB6B78" w:rsidRPr="00CA366F" w:rsidRDefault="00DB6B78" w:rsidP="000D31C3">
      <w:pPr>
        <w:pStyle w:val="CERDBodyText1"/>
      </w:pPr>
      <w:r w:rsidRPr="00CA366F">
        <w:t xml:space="preserve">Specialist mental health services are provided across the state and are delivered through the Tasmanian Health Organisations. The services are targeted at the estimated 3% of the community experiencing a severe mental illness and are focused on secondary and tertiary level care for people with a serious mental disorder. </w:t>
      </w:r>
    </w:p>
    <w:p w14:paraId="74DDDCEC" w14:textId="77777777" w:rsidR="00332059" w:rsidRPr="00332059" w:rsidRDefault="00332059" w:rsidP="000D31C3">
      <w:pPr>
        <w:pStyle w:val="CERDBoxTableHeading"/>
      </w:pPr>
      <w:bookmarkStart w:id="79" w:name="_Toc425850315"/>
      <w:r w:rsidRPr="00332059">
        <w:t>Western Australia</w:t>
      </w:r>
      <w:bookmarkEnd w:id="79"/>
    </w:p>
    <w:p w14:paraId="7E713D92" w14:textId="77777777" w:rsidR="00332059" w:rsidRPr="00CA366F" w:rsidRDefault="00332059" w:rsidP="000D31C3">
      <w:pPr>
        <w:pStyle w:val="CERDBodyText1"/>
      </w:pPr>
      <w:r w:rsidRPr="00CA366F">
        <w:t xml:space="preserve">Established in 2010, the Mental Health Commission plans, funds and oversees the delivery of a wide range of services and programs to help Western Australians with mental health problems to recover, stay well and live meaningful lives in the community. Its work is underpinned by the government’s 10 year strategic policy for mental health, </w:t>
      </w:r>
      <w:r w:rsidRPr="00372BC7">
        <w:rPr>
          <w:i/>
        </w:rPr>
        <w:t>Mental Health 2020: making it personal and everybody’s business</w:t>
      </w:r>
      <w:r w:rsidRPr="00CA366F">
        <w:t>.</w:t>
      </w:r>
    </w:p>
    <w:p w14:paraId="59540332" w14:textId="77777777" w:rsidR="00332059" w:rsidRPr="00CA366F" w:rsidRDefault="00332059" w:rsidP="000D31C3">
      <w:pPr>
        <w:pStyle w:val="CERDBodyText1"/>
      </w:pPr>
      <w:r w:rsidRPr="00CA366F">
        <w:t xml:space="preserve">Health is piloting the </w:t>
      </w:r>
      <w:r w:rsidRPr="00372BC7">
        <w:rPr>
          <w:i/>
        </w:rPr>
        <w:t>Mental health in multicultural Australia framework towards culturally inclusive service delivery</w:t>
      </w:r>
      <w:r w:rsidRPr="00CA366F">
        <w:t>. The Royal Perth Hospital and South Metropolitan Health Service offer cultural competency training for mental health staff. WA Health also has a languages services policy that provides guidelines for the use of interpreters.</w:t>
      </w:r>
    </w:p>
    <w:p w14:paraId="070B8A6E" w14:textId="77777777" w:rsidR="00332059" w:rsidRPr="00CA366F" w:rsidRDefault="00332059" w:rsidP="000D31C3">
      <w:pPr>
        <w:pStyle w:val="CERDBodyText1"/>
      </w:pPr>
      <w:r w:rsidRPr="00CA366F">
        <w:t xml:space="preserve">Health services in the state have had a key role in monitoring the healthy development and wellbeing of refugee infants, children and families. Community health staff support parents and carers by empowering them to gain skills and knowledge that will enhance their child’s health and </w:t>
      </w:r>
      <w:r w:rsidRPr="00CA366F">
        <w:lastRenderedPageBreak/>
        <w:t>development. A comprehensive schedule of contacts ensures that health issues are identified and addressed early, which maximises positive outcomes for families with children. Community health staff working with refugee families provide referral in and out of health services and support families to navigate their way through the health system.</w:t>
      </w:r>
    </w:p>
    <w:p w14:paraId="005AE6B7" w14:textId="2F9AE900" w:rsidR="00995B59" w:rsidRPr="000E5BF3" w:rsidRDefault="00995B59" w:rsidP="00995B59">
      <w:pPr>
        <w:pStyle w:val="CERDHeadingMinor2"/>
      </w:pPr>
      <w:bookmarkStart w:id="80" w:name="_Toc420490719"/>
      <w:bookmarkStart w:id="81" w:name="_Toc425850316"/>
      <w:r w:rsidRPr="000E5BF3">
        <w:t xml:space="preserve">Indigenous </w:t>
      </w:r>
      <w:r w:rsidR="00B9685C">
        <w:t>M</w:t>
      </w:r>
      <w:r>
        <w:t xml:space="preserve">ental </w:t>
      </w:r>
      <w:r w:rsidR="00B9685C">
        <w:t>H</w:t>
      </w:r>
      <w:r w:rsidRPr="000E5BF3">
        <w:t>ealth</w:t>
      </w:r>
      <w:bookmarkEnd w:id="80"/>
      <w:r w:rsidRPr="000E5BF3">
        <w:t xml:space="preserve"> </w:t>
      </w:r>
      <w:r w:rsidR="00B9685C">
        <w:t>S</w:t>
      </w:r>
      <w:r>
        <w:t>ervices</w:t>
      </w:r>
      <w:bookmarkEnd w:id="81"/>
    </w:p>
    <w:p w14:paraId="4E2CD5A4" w14:textId="77777777" w:rsidR="00332059" w:rsidRPr="00332059" w:rsidRDefault="00332059" w:rsidP="000D31C3">
      <w:pPr>
        <w:pStyle w:val="CERDBoxTableHeading"/>
      </w:pPr>
      <w:bookmarkStart w:id="82" w:name="_Toc425850317"/>
      <w:r w:rsidRPr="00332059">
        <w:t>Australian Capital Territory</w:t>
      </w:r>
      <w:bookmarkEnd w:id="82"/>
    </w:p>
    <w:p w14:paraId="290CD8D5" w14:textId="77777777" w:rsidR="00332059" w:rsidRPr="00CA366F" w:rsidRDefault="00332059" w:rsidP="000D31C3">
      <w:pPr>
        <w:pStyle w:val="CERDBodyText1"/>
      </w:pPr>
      <w:r w:rsidRPr="00CA366F">
        <w:t xml:space="preserve">In 2014, the Human Rights and Discrimination Commissioner undertook a human rights audit under the </w:t>
      </w:r>
      <w:r w:rsidRPr="00B62F6D">
        <w:rPr>
          <w:i/>
        </w:rPr>
        <w:t>Human Rights Act 2004</w:t>
      </w:r>
      <w:r w:rsidRPr="00CA366F">
        <w:t xml:space="preserve"> (ACT) and a motion inquiry under </w:t>
      </w:r>
      <w:r w:rsidRPr="00B62F6D">
        <w:t>the</w:t>
      </w:r>
      <w:r w:rsidRPr="00B62F6D">
        <w:rPr>
          <w:i/>
        </w:rPr>
        <w:t xml:space="preserve"> Discrimination Act 1991 </w:t>
      </w:r>
      <w:r w:rsidRPr="00CA366F">
        <w:t>(ACT) into the conditions of female detainees at the Alexander Maconochie Centre. It made 61 recommendations including those dealing with improved health care for Aboriginal and Torres Strait Islander women.</w:t>
      </w:r>
    </w:p>
    <w:p w14:paraId="6CE73E90" w14:textId="77777777" w:rsidR="00332059" w:rsidRPr="00332059" w:rsidRDefault="00332059" w:rsidP="000D31C3">
      <w:pPr>
        <w:pStyle w:val="CERDBoxTableHeading"/>
      </w:pPr>
      <w:bookmarkStart w:id="83" w:name="_Toc425850318"/>
      <w:r w:rsidRPr="00332059">
        <w:t>New South Wales</w:t>
      </w:r>
      <w:bookmarkEnd w:id="83"/>
    </w:p>
    <w:p w14:paraId="7EF35869" w14:textId="60CFB3A9" w:rsidR="007D6DAF" w:rsidRPr="000611EB" w:rsidRDefault="00332059" w:rsidP="000D31C3">
      <w:pPr>
        <w:pStyle w:val="CERDBodyText1"/>
        <w:rPr>
          <w:b/>
        </w:rPr>
      </w:pPr>
      <w:r w:rsidRPr="00CA366F">
        <w:t>The New South Wales Health Aboriginal Impact Statement and Guidelines are tools to ensure the health needs of Aboriginal people are embedded into the development, implementation and evaluation of all initiatives.</w:t>
      </w:r>
      <w:r w:rsidRPr="002516AF">
        <w:rPr>
          <w:sz w:val="22"/>
          <w:szCs w:val="22"/>
          <w:vertAlign w:val="superscript"/>
        </w:rPr>
        <w:footnoteReference w:id="23"/>
      </w:r>
      <w:r w:rsidR="002516AF">
        <w:t xml:space="preserve"> </w:t>
      </w:r>
    </w:p>
    <w:p w14:paraId="155167E1" w14:textId="6139BC22" w:rsidR="00332059" w:rsidRPr="00332059" w:rsidRDefault="00332059" w:rsidP="000D31C3">
      <w:pPr>
        <w:pStyle w:val="CERDBoxTableHeading"/>
      </w:pPr>
      <w:bookmarkStart w:id="84" w:name="_Toc425850319"/>
      <w:r w:rsidRPr="00332059">
        <w:t>Northern Territory</w:t>
      </w:r>
      <w:bookmarkEnd w:id="84"/>
    </w:p>
    <w:p w14:paraId="6F0AD16B" w14:textId="77777777" w:rsidR="00332059" w:rsidRPr="00CA366F" w:rsidRDefault="00332059" w:rsidP="000D31C3">
      <w:pPr>
        <w:pStyle w:val="CERDBodyText1"/>
      </w:pPr>
      <w:r w:rsidRPr="00CA366F">
        <w:t>The Northern Territory employs Aboriginal mental health workers to provide culturally appropriate mental health care to Aboriginal and Torres Strait Islander consumers and advise clinicians on engaging effectively with these communities. Top End Mental Health Service employs a men’s Aboriginal mental health worker to improve mental health and wellbeing. There is an Aboriginal suicide prevention officer who works alongside the suicide prevention coordinator to provide culturally appropriate advice and to liaise with Aboriginal and Torres Strait Islander communities and non-government organisations.</w:t>
      </w:r>
    </w:p>
    <w:p w14:paraId="0D10D5EF" w14:textId="77777777" w:rsidR="00332059" w:rsidRDefault="00332059" w:rsidP="000D31C3">
      <w:pPr>
        <w:pStyle w:val="CERDBodyText1"/>
      </w:pPr>
      <w:r w:rsidRPr="00CA366F">
        <w:t>As part of the Postnatal Depression Initiative, resources have been developed in various Aboriginal languages to provide information and education to Aboriginal women. The Department of Health works closely with Aboriginal medical services to provide mental health care to Aboriginal and Torres Strait Islander consumers and has worked closely with the Menzies School of Health Research to develop a series of Indigenous mental health screening tools, information resources and apps called AIMhi.</w:t>
      </w:r>
    </w:p>
    <w:p w14:paraId="0A8D797E" w14:textId="279DD05B" w:rsidR="0096670A" w:rsidRDefault="0096670A" w:rsidP="000D31C3">
      <w:pPr>
        <w:pStyle w:val="CERDBoxTableHeading"/>
      </w:pPr>
      <w:bookmarkStart w:id="85" w:name="_Toc425850320"/>
      <w:r>
        <w:t>Queensland</w:t>
      </w:r>
      <w:bookmarkEnd w:id="85"/>
    </w:p>
    <w:p w14:paraId="707A8719" w14:textId="4AB62B6D" w:rsidR="0096670A" w:rsidRDefault="0096670A" w:rsidP="000D31C3">
      <w:pPr>
        <w:pStyle w:val="CERDBodyText1"/>
      </w:pPr>
      <w:r w:rsidRPr="0096670A">
        <w:t>Mental health service provision to Aboriginal &amp; Torres Strait Islander people is provided through mainstream mental health services, which include Aboriginal &amp; Torres Strait Islander Mental Health Workers who provide culturally appropriate mental health &amp; social and emotional wellbeing promotion and prevention programs.</w:t>
      </w:r>
    </w:p>
    <w:p w14:paraId="59EBE00E" w14:textId="77777777" w:rsidR="00332059" w:rsidRPr="00332059" w:rsidRDefault="00332059" w:rsidP="000D31C3">
      <w:pPr>
        <w:pStyle w:val="CERDBoxTableHeading"/>
      </w:pPr>
      <w:bookmarkStart w:id="86" w:name="_Toc425850321"/>
      <w:r w:rsidRPr="00332059">
        <w:t>Western Australia</w:t>
      </w:r>
      <w:bookmarkEnd w:id="86"/>
    </w:p>
    <w:p w14:paraId="48FF55B2" w14:textId="77777777" w:rsidR="00332059" w:rsidRPr="00CA366F" w:rsidRDefault="00332059" w:rsidP="000D31C3">
      <w:pPr>
        <w:pStyle w:val="CERDBodyText1"/>
      </w:pPr>
      <w:r w:rsidRPr="00CA366F">
        <w:t>Operating since 2011, the Mental Health Commission’s state-wide specialist Aboriginal Mental Health Service provides a comprehensive range of specialist and community-based services to address the needs of Aboriginal people with severe and persistent mental illness.</w:t>
      </w:r>
      <w:r w:rsidRPr="002516AF">
        <w:rPr>
          <w:sz w:val="22"/>
          <w:szCs w:val="22"/>
          <w:vertAlign w:val="superscript"/>
        </w:rPr>
        <w:footnoteReference w:id="24"/>
      </w:r>
      <w:r w:rsidRPr="00CA366F">
        <w:t xml:space="preserve"> </w:t>
      </w:r>
    </w:p>
    <w:p w14:paraId="71F35F24" w14:textId="20B434DE" w:rsidR="00997FA3" w:rsidRPr="00A749B2" w:rsidRDefault="00332059" w:rsidP="00A749B2">
      <w:pPr>
        <w:pStyle w:val="CERDBodyText1"/>
        <w:rPr>
          <w:rFonts w:asciiTheme="majorHAnsi" w:eastAsiaTheme="majorEastAsia" w:hAnsiTheme="majorHAnsi" w:cs="Times New Roman"/>
          <w:bCs/>
          <w:i/>
          <w:szCs w:val="26"/>
        </w:rPr>
      </w:pPr>
      <w:r w:rsidRPr="00CA366F">
        <w:t>The State Suicide Prevention Strategy delivers suicide prevention activities, training and targeted support for high risk groups, including Aboriginal people, and a coordinated response to self-harm and suicide prevention.</w:t>
      </w:r>
      <w:r w:rsidRPr="002516AF">
        <w:rPr>
          <w:sz w:val="22"/>
          <w:szCs w:val="22"/>
          <w:vertAlign w:val="superscript"/>
        </w:rPr>
        <w:footnoteReference w:id="25"/>
      </w:r>
      <w:r w:rsidRPr="00CA366F">
        <w:t xml:space="preserve"> </w:t>
      </w:r>
      <w:r w:rsidR="00A749B2">
        <w:t xml:space="preserve">  </w:t>
      </w:r>
      <w:bookmarkStart w:id="87" w:name="_Toc413240404"/>
      <w:r w:rsidR="00997FA3">
        <w:br w:type="page"/>
      </w:r>
    </w:p>
    <w:p w14:paraId="1685EFEA" w14:textId="6A199198" w:rsidR="00332059" w:rsidRPr="00332059" w:rsidRDefault="00B9685C" w:rsidP="00A749B2">
      <w:pPr>
        <w:pStyle w:val="CERDHeadingMinor2"/>
        <w:rPr>
          <w:lang w:eastAsia="en-US"/>
        </w:rPr>
      </w:pPr>
      <w:bookmarkStart w:id="88" w:name="_Toc425850322"/>
      <w:r>
        <w:rPr>
          <w:lang w:eastAsia="en-US"/>
        </w:rPr>
        <w:lastRenderedPageBreak/>
        <w:t>Reducing I</w:t>
      </w:r>
      <w:r w:rsidR="00332059" w:rsidRPr="00332059">
        <w:rPr>
          <w:lang w:eastAsia="en-US"/>
        </w:rPr>
        <w:t xml:space="preserve">ncarceration </w:t>
      </w:r>
      <w:r>
        <w:rPr>
          <w:lang w:eastAsia="en-US"/>
        </w:rPr>
        <w:t>Rates of P</w:t>
      </w:r>
      <w:r w:rsidR="00332059" w:rsidRPr="00332059">
        <w:rPr>
          <w:lang w:eastAsia="en-US"/>
        </w:rPr>
        <w:t xml:space="preserve">eople with </w:t>
      </w:r>
      <w:r>
        <w:rPr>
          <w:lang w:eastAsia="en-US"/>
        </w:rPr>
        <w:t>M</w:t>
      </w:r>
      <w:r w:rsidR="00332059" w:rsidRPr="00332059">
        <w:rPr>
          <w:lang w:eastAsia="en-US"/>
        </w:rPr>
        <w:t xml:space="preserve">ental </w:t>
      </w:r>
      <w:r>
        <w:rPr>
          <w:lang w:eastAsia="en-US"/>
        </w:rPr>
        <w:t>I</w:t>
      </w:r>
      <w:r w:rsidR="00332059" w:rsidRPr="00332059">
        <w:rPr>
          <w:lang w:eastAsia="en-US"/>
        </w:rPr>
        <w:t>llness</w:t>
      </w:r>
      <w:bookmarkEnd w:id="87"/>
      <w:bookmarkEnd w:id="88"/>
      <w:r w:rsidR="00332059" w:rsidRPr="00332059">
        <w:rPr>
          <w:lang w:eastAsia="en-US"/>
        </w:rPr>
        <w:t xml:space="preserve"> </w:t>
      </w:r>
    </w:p>
    <w:p w14:paraId="2B5199BC" w14:textId="77777777" w:rsidR="00332059" w:rsidRPr="00332059" w:rsidRDefault="00332059" w:rsidP="000D31C3">
      <w:pPr>
        <w:pStyle w:val="CERDBoxTableHeading"/>
      </w:pPr>
      <w:bookmarkStart w:id="89" w:name="_Toc425850323"/>
      <w:r w:rsidRPr="00332059">
        <w:t>Australian Capital Territory</w:t>
      </w:r>
      <w:bookmarkEnd w:id="89"/>
    </w:p>
    <w:p w14:paraId="74837DD6" w14:textId="77777777" w:rsidR="00332059" w:rsidRPr="00CA366F" w:rsidRDefault="00332059" w:rsidP="000D31C3">
      <w:pPr>
        <w:pStyle w:val="CERDBodyText1"/>
      </w:pPr>
      <w:r w:rsidRPr="00CA366F">
        <w:t xml:space="preserve">The Alexander Maconochie Centre is considering the Hayes Ability Screening Index as part of its process to identify prisoners and remandees with intellectual disability. Training has been conducted with staff and consideration of its administration is ongoing. </w:t>
      </w:r>
    </w:p>
    <w:p w14:paraId="737F71F3" w14:textId="77777777" w:rsidR="00332059" w:rsidRPr="00CA366F" w:rsidRDefault="00332059" w:rsidP="000D31C3">
      <w:pPr>
        <w:pStyle w:val="CERDBodyText1"/>
      </w:pPr>
      <w:r w:rsidRPr="00CA366F">
        <w:t>The process is intended for people aged between 13 and late adulthood and was developed to indicate the possible presence of intellectual disability amongst those in contact with the criminal justice system. It also helps determine those who need to be referred for further full-scale diagnostic assessment. In police settings, the index is designed to identify people who may be vulnerable during detention or police interviews, so appropriate provisions can be made.</w:t>
      </w:r>
    </w:p>
    <w:p w14:paraId="7B43772D" w14:textId="77777777" w:rsidR="00332059" w:rsidRPr="00332059" w:rsidRDefault="00332059" w:rsidP="000D31C3">
      <w:pPr>
        <w:pStyle w:val="CERDBoxTableHeading"/>
      </w:pPr>
      <w:bookmarkStart w:id="90" w:name="_Toc425850324"/>
      <w:r w:rsidRPr="00332059">
        <w:t>New South Wales</w:t>
      </w:r>
      <w:bookmarkEnd w:id="90"/>
    </w:p>
    <w:p w14:paraId="663FFBF2" w14:textId="6A3C6186" w:rsidR="00332059" w:rsidRPr="00CA366F" w:rsidRDefault="00332059" w:rsidP="000D31C3">
      <w:pPr>
        <w:pStyle w:val="CERDBodyText1"/>
      </w:pPr>
      <w:r w:rsidRPr="00CA366F">
        <w:t>The Justice Health and Forensic Mental Health Network provides a range of mental health services to adults and young people across custodial, inpatient and community settings. All patients receive a comprehensive health assessment on entry to custody, so physical and mental health needs are identified, medications confirmed and referrals arranged for specialist follow-up appointments. This information is included in the comprehensive case plan developed for each inmate. The network also provides court liaison services for those with suspected mental illnesses. In 2013</w:t>
      </w:r>
      <w:r w:rsidR="007D6DAF">
        <w:t>-</w:t>
      </w:r>
      <w:r w:rsidRPr="00CA366F">
        <w:t>14, the network diverted 1,857 adults and 557 adolescents from custody in community-based treatment.</w:t>
      </w:r>
    </w:p>
    <w:p w14:paraId="3FB163D5" w14:textId="0B17070C" w:rsidR="00332059" w:rsidRPr="00332059" w:rsidRDefault="00332059" w:rsidP="000D31C3">
      <w:pPr>
        <w:pStyle w:val="CERDBoxTableHeading"/>
      </w:pPr>
      <w:bookmarkStart w:id="91" w:name="_Toc425850325"/>
      <w:r w:rsidRPr="00332059">
        <w:t>Northern Territory</w:t>
      </w:r>
      <w:bookmarkEnd w:id="91"/>
    </w:p>
    <w:p w14:paraId="134FB1F5" w14:textId="70D24547" w:rsidR="00332059" w:rsidRPr="00CA366F" w:rsidRDefault="00332059" w:rsidP="000D31C3">
      <w:pPr>
        <w:pStyle w:val="CERDBodyText1"/>
      </w:pPr>
      <w:r w:rsidRPr="00CA366F">
        <w:t xml:space="preserve">The Department of Health provides training to Northern Territory Police and Correctional Services to ensure it responds appropriately where mental health is a likely issue. Training includes identifying possible mental illness, communication techniques and relevant provisions of the </w:t>
      </w:r>
      <w:r w:rsidRPr="0096670A">
        <w:rPr>
          <w:i/>
        </w:rPr>
        <w:t>Mental Health and Related Services Act 2014</w:t>
      </w:r>
      <w:r w:rsidR="0096670A">
        <w:rPr>
          <w:i/>
        </w:rPr>
        <w:t xml:space="preserve"> </w:t>
      </w:r>
      <w:r w:rsidR="0096670A">
        <w:t>(NT)</w:t>
      </w:r>
      <w:r w:rsidRPr="00CA366F">
        <w:t>.</w:t>
      </w:r>
    </w:p>
    <w:p w14:paraId="2B1AC2BF" w14:textId="78D7440C" w:rsidR="0096670A" w:rsidRDefault="0096670A" w:rsidP="000D31C3">
      <w:pPr>
        <w:pStyle w:val="CERDBoxTableHeading"/>
      </w:pPr>
      <w:bookmarkStart w:id="92" w:name="_Toc425850326"/>
      <w:r>
        <w:t>Queensland</w:t>
      </w:r>
      <w:bookmarkEnd w:id="92"/>
    </w:p>
    <w:p w14:paraId="1066BDFA" w14:textId="101C3C28" w:rsidR="0096670A" w:rsidRDefault="0096670A" w:rsidP="000D31C3">
      <w:pPr>
        <w:pStyle w:val="CERDBodyText1"/>
      </w:pPr>
      <w:r>
        <w:t>Queensland Courts Referral (QCR) has been developed to address the needs of defendants appearing before the Brisbane Magistrates Court with drug and/or alcohol dependence, mental illness, intellectual disability, cognitive impairment, and homelessne</w:t>
      </w:r>
      <w:r w:rsidR="00AB37AB">
        <w:t xml:space="preserve">ss or at risk of homelessness. </w:t>
      </w:r>
      <w:r>
        <w:t xml:space="preserve">QCR is made up of a number of NGOs and Queensland Health who can give short term assistance prior to sentencing for accused persons with health and social needs by referral to treatment and community support services. Located at the Arrest Courts in the Brisbane Magistrates Courts jurisdiction, Magistrates in the normal conduct of the Court and while having regard to the provisions of the </w:t>
      </w:r>
      <w:r w:rsidRPr="00AB37AB">
        <w:rPr>
          <w:i/>
        </w:rPr>
        <w:t>Bail Act 1980</w:t>
      </w:r>
      <w:r>
        <w:t xml:space="preserve"> </w:t>
      </w:r>
      <w:r w:rsidR="00AB37AB">
        <w:t xml:space="preserve">(Qld) </w:t>
      </w:r>
      <w:r>
        <w:t>may grant bail to refer an accused person to attend a rehabilitation, treatment, or other interventions through QCR in conjunction with other reporting condit</w:t>
      </w:r>
      <w:r w:rsidR="00AB37AB">
        <w:t xml:space="preserve">ions (e.g., report to police). </w:t>
      </w:r>
      <w:r>
        <w:t>The QCR is both efficient in terms of dealing with the immediate issues of people appearing before the Court and provides Magistrates with the necessary bail and sentencing options to administer justice effectively.</w:t>
      </w:r>
    </w:p>
    <w:p w14:paraId="74EB7664" w14:textId="475ABF22" w:rsidR="00997FA3" w:rsidRPr="00A749B2" w:rsidRDefault="0096670A" w:rsidP="00A749B2">
      <w:pPr>
        <w:pStyle w:val="CERDBodyText1"/>
      </w:pPr>
      <w:r>
        <w:t>In Queensland, the prison system is not used to detain people with a disability not convicted of an offence through the justice system. If a person with an intellectual disability is found to be not fit for trial or of unsound mind by the Mental Health Court, a forensic order may be made to detain them in/to an authorised mental health service (managed by Queensland Health) or the Forensic Disability Service (managed by the Department of Communities, Child Saf</w:t>
      </w:r>
      <w:r w:rsidR="00997FA3">
        <w:t xml:space="preserve">ety and Disability Services). </w:t>
      </w:r>
      <w:r w:rsidR="00A749B2">
        <w:t xml:space="preserve">  </w:t>
      </w:r>
      <w:r w:rsidR="00997FA3">
        <w:br w:type="page"/>
      </w:r>
    </w:p>
    <w:p w14:paraId="3A69913B" w14:textId="08DF2DC4" w:rsidR="0096670A" w:rsidRDefault="0096670A" w:rsidP="000D31C3">
      <w:pPr>
        <w:pStyle w:val="CERDBodyText1"/>
      </w:pPr>
      <w:r>
        <w:lastRenderedPageBreak/>
        <w:t>The Forensic Disability Service was part of the government’s response to a report by the Honourable WJ Carter QC (</w:t>
      </w:r>
      <w:r w:rsidRPr="00AB37AB">
        <w:rPr>
          <w:i/>
        </w:rPr>
        <w:t>Challe</w:t>
      </w:r>
      <w:r w:rsidR="00997FA3">
        <w:rPr>
          <w:i/>
        </w:rPr>
        <w:t>nging Behaviour and Disability -</w:t>
      </w:r>
      <w:r w:rsidRPr="00AB37AB">
        <w:rPr>
          <w:i/>
        </w:rPr>
        <w:t xml:space="preserve"> A targeted response</w:t>
      </w:r>
      <w:r w:rsidR="00AB37AB">
        <w:t xml:space="preserve">). </w:t>
      </w:r>
      <w:r>
        <w:t>It is a facility built to provide specialist support and secure accommodation that meets the needs of adults with an intellectual or cognitive disability subject to a forensic order.</w:t>
      </w:r>
    </w:p>
    <w:p w14:paraId="22548176" w14:textId="34BA4AB4" w:rsidR="0096670A" w:rsidRDefault="0096670A" w:rsidP="000D31C3">
      <w:pPr>
        <w:pStyle w:val="CERDBodyText1"/>
      </w:pPr>
      <w:r>
        <w:t xml:space="preserve">The </w:t>
      </w:r>
      <w:r w:rsidRPr="00AB37AB">
        <w:rPr>
          <w:i/>
        </w:rPr>
        <w:t>Mental Health Act 2000</w:t>
      </w:r>
      <w:r>
        <w:t xml:space="preserve"> </w:t>
      </w:r>
      <w:r w:rsidR="00AB37AB">
        <w:t>(Qld)</w:t>
      </w:r>
      <w:r>
        <w:t xml:space="preserve"> provides for:</w:t>
      </w:r>
    </w:p>
    <w:p w14:paraId="1EF75F6A" w14:textId="77777777" w:rsidR="0096670A" w:rsidRDefault="0096670A" w:rsidP="000D31C3">
      <w:pPr>
        <w:pStyle w:val="CERDBodyTextDotPoint"/>
      </w:pPr>
      <w:r>
        <w:t>people with a mental illness to be diverted from custody (police or corrective services) for mental health assessment and treatment under the classified patient provisions – including individuals on remand or sentenced prisoners</w:t>
      </w:r>
    </w:p>
    <w:p w14:paraId="13142D4B" w14:textId="77777777" w:rsidR="0096670A" w:rsidRDefault="0096670A" w:rsidP="000D31C3">
      <w:pPr>
        <w:pStyle w:val="CERDBodyTextDotPoint"/>
      </w:pPr>
      <w:r>
        <w:t>the detention, treatment, and care of people with a mental illness or intellectual or cognitive disability in an Authorised Mental Health Service or disability forensic service where the person has been found by the Mental Health Court to be of unsound mind or unfit for trial and placed on a forensic order or disability forensic order by the Court.</w:t>
      </w:r>
    </w:p>
    <w:p w14:paraId="739C4F1A" w14:textId="4772FCE0" w:rsidR="0096670A" w:rsidRDefault="0096670A" w:rsidP="000D31C3">
      <w:pPr>
        <w:pStyle w:val="CERDBodyText1"/>
      </w:pPr>
      <w:r>
        <w:t>Regarding Magistrates Courts Service, there are two initiatives relating to Indigenous people.  The Indigenous Sentencing List (ISL) has been developed to support Indigenous people who have committed an offence and are willing to participate with service providers and support agencies to address the underlyin</w:t>
      </w:r>
      <w:r w:rsidR="00AB37AB">
        <w:t xml:space="preserve">g causes of their criminality. </w:t>
      </w:r>
      <w:r>
        <w:t xml:space="preserve">Employment services, drugs and alcohol support, and assistance with social issues (which may include emergency accommodation) are provided to clients as part of their bail. The ISL has engaged stakeholders, non-government organisation, and government agencies to provide support as part of their service delivery, including Indigenous with various disabilities. The ISL works closely with Indigenous organisations, including community justice groups, to provide cultural significance to the support provided, including facilitation of men’s and women’s groups and yarning circles.  </w:t>
      </w:r>
    </w:p>
    <w:p w14:paraId="736AB3BB" w14:textId="77777777" w:rsidR="00332059" w:rsidRPr="00332059" w:rsidRDefault="00332059" w:rsidP="000D31C3">
      <w:pPr>
        <w:pStyle w:val="CERDBoxTableHeading"/>
      </w:pPr>
      <w:bookmarkStart w:id="93" w:name="_Toc425850327"/>
      <w:r w:rsidRPr="00332059">
        <w:t>Western Australia</w:t>
      </w:r>
      <w:bookmarkEnd w:id="93"/>
    </w:p>
    <w:p w14:paraId="5F7E01D2" w14:textId="0829D165" w:rsidR="00332059" w:rsidRPr="00CA366F" w:rsidRDefault="00332059" w:rsidP="000D31C3">
      <w:pPr>
        <w:pStyle w:val="CERDBodyText1"/>
      </w:pPr>
      <w:r w:rsidRPr="00CA366F">
        <w:t>The Mental Health Court Diversion and Support Program pilot comprises an adult and children’s specialised mental health court program supported by a clinical team. The program aims to divert offenders with mental illness to appropriate support and reduce reoffending. A 12-month extensi</w:t>
      </w:r>
      <w:r w:rsidR="007D6DAF">
        <w:t>on of the pilot program in 2014-</w:t>
      </w:r>
      <w:r w:rsidRPr="00CA366F">
        <w:t xml:space="preserve">15 will allow for further consolidation and a comprehensive evaluation. It is an initiative of the Mental Health Commission and Department of the </w:t>
      </w:r>
      <w:r w:rsidR="00997FA3">
        <w:br/>
      </w:r>
      <w:r w:rsidRPr="00CA366F">
        <w:t>Attorney</w:t>
      </w:r>
      <w:r w:rsidR="007D6DAF">
        <w:t>-</w:t>
      </w:r>
      <w:r w:rsidRPr="00CA366F">
        <w:t>General.</w:t>
      </w:r>
      <w:r w:rsidRPr="002516AF">
        <w:rPr>
          <w:sz w:val="22"/>
          <w:szCs w:val="22"/>
          <w:vertAlign w:val="superscript"/>
        </w:rPr>
        <w:footnoteReference w:id="26"/>
      </w:r>
      <w:r w:rsidRPr="00066F36">
        <w:rPr>
          <w:vertAlign w:val="superscript"/>
        </w:rPr>
        <w:t xml:space="preserve"> </w:t>
      </w:r>
    </w:p>
    <w:p w14:paraId="50143EDD" w14:textId="62896066" w:rsidR="00332059" w:rsidRPr="00332059" w:rsidRDefault="00B9685C" w:rsidP="00995B59">
      <w:pPr>
        <w:pStyle w:val="CERDHeadingMinor2"/>
        <w:rPr>
          <w:lang w:eastAsia="en-US"/>
        </w:rPr>
      </w:pPr>
      <w:bookmarkStart w:id="94" w:name="_Toc413240405"/>
      <w:bookmarkStart w:id="95" w:name="_Toc425850328"/>
      <w:r>
        <w:rPr>
          <w:lang w:eastAsia="en-US"/>
        </w:rPr>
        <w:t>Mental H</w:t>
      </w:r>
      <w:r w:rsidR="00332059" w:rsidRPr="00332059">
        <w:rPr>
          <w:lang w:eastAsia="en-US"/>
        </w:rPr>
        <w:t xml:space="preserve">ealth </w:t>
      </w:r>
      <w:r>
        <w:rPr>
          <w:lang w:eastAsia="en-US"/>
        </w:rPr>
        <w:t>C</w:t>
      </w:r>
      <w:r w:rsidR="00332059" w:rsidRPr="00332059">
        <w:rPr>
          <w:lang w:eastAsia="en-US"/>
        </w:rPr>
        <w:t xml:space="preserve">are in </w:t>
      </w:r>
      <w:r>
        <w:rPr>
          <w:lang w:eastAsia="en-US"/>
        </w:rPr>
        <w:t>P</w:t>
      </w:r>
      <w:r w:rsidR="00332059" w:rsidRPr="00332059">
        <w:rPr>
          <w:lang w:eastAsia="en-US"/>
        </w:rPr>
        <w:t>risons</w:t>
      </w:r>
      <w:bookmarkEnd w:id="94"/>
      <w:bookmarkEnd w:id="95"/>
      <w:r w:rsidR="00332059" w:rsidRPr="00332059">
        <w:rPr>
          <w:lang w:eastAsia="en-US"/>
        </w:rPr>
        <w:t xml:space="preserve"> </w:t>
      </w:r>
    </w:p>
    <w:p w14:paraId="33BC86AB" w14:textId="77777777" w:rsidR="00332059" w:rsidRPr="00332059" w:rsidRDefault="00332059" w:rsidP="000D31C3">
      <w:pPr>
        <w:pStyle w:val="CERDBoxTableHeading"/>
      </w:pPr>
      <w:bookmarkStart w:id="96" w:name="_Toc425850329"/>
      <w:r w:rsidRPr="00332059">
        <w:t>Australian Capital Territory</w:t>
      </w:r>
      <w:bookmarkEnd w:id="96"/>
    </w:p>
    <w:p w14:paraId="62872230" w14:textId="77777777" w:rsidR="00332059" w:rsidRPr="00CA366F" w:rsidRDefault="00332059" w:rsidP="000D31C3">
      <w:pPr>
        <w:pStyle w:val="CERDBodyText1"/>
      </w:pPr>
      <w:r w:rsidRPr="00CA366F">
        <w:t xml:space="preserve">Mental health services in the ACT’s correctional centres operate on a </w:t>
      </w:r>
      <w:r w:rsidRPr="00997FA3">
        <w:rPr>
          <w:i/>
        </w:rPr>
        <w:t>no wrong door policy</w:t>
      </w:r>
      <w:r w:rsidRPr="00CA366F">
        <w:t xml:space="preserve">, meaning that referrals to the service can come in many forms, including from detainees, custodial staff, non-government organisations, other health agencies or detainee family and friends. Referrals designated ‘at risk’ must be actioned within two hours. A dedicated crisis support unit is available for those who require extra support. </w:t>
      </w:r>
    </w:p>
    <w:p w14:paraId="753783FF" w14:textId="77777777" w:rsidR="00332059" w:rsidRPr="00CA366F" w:rsidRDefault="00332059" w:rsidP="000D31C3">
      <w:pPr>
        <w:pStyle w:val="CERDBodyText1"/>
      </w:pPr>
      <w:r w:rsidRPr="00CA366F">
        <w:t xml:space="preserve">Regular mental health reviews and psychiatric clinics are conducted within the ACT’s adult correctional centre, the Alexander Maconochie Centre. Specific vulnerable populations are catered for such as Aboriginal and Torres Strait Islanders. A dedicated Aboriginal mental health liaison officer is on staff and those vulnerable to self-harm are with targeted group therapy. Detainees can be transported to the Adult Mental Health Unit should they require inpatient care. Clinicians meet with the ACT Public Advocate office each fortnight to discuss issues related to those with mental illness in custody. </w:t>
      </w:r>
    </w:p>
    <w:p w14:paraId="6DCFB170" w14:textId="77777777" w:rsidR="00332059" w:rsidRPr="00CA366F" w:rsidRDefault="00332059" w:rsidP="000D31C3">
      <w:pPr>
        <w:pStyle w:val="CERDBodyText1"/>
      </w:pPr>
      <w:r w:rsidRPr="00CA366F">
        <w:lastRenderedPageBreak/>
        <w:t xml:space="preserve">ACT Health is currently developing a Secure Mental Health Unit, planned for opening in late 2016. This 25-bed unit will provide services for forensic and civil consumers. Corrections detainees who meet clinical admission criteria will be transferred to the unit. Those leaving a corrections environment with mental illness will be able to access the Detention Exit Community Mental Health Outreach Program. </w:t>
      </w:r>
    </w:p>
    <w:p w14:paraId="53D713CA" w14:textId="77777777" w:rsidR="00332059" w:rsidRPr="00CA366F" w:rsidRDefault="00332059" w:rsidP="000D31C3">
      <w:pPr>
        <w:pStyle w:val="CERDBodyText1"/>
      </w:pPr>
      <w:r w:rsidRPr="00CA366F">
        <w:t>The ACT’s counselling and treatment service provides through-care support and psychosocial interventions to adults who are in and out of custody. A clinician is on site at the Alexander Maconochie Centre two days a week and on the Alcohol and Drug Service premises to ensure access for clients on remand or who have recently been released.</w:t>
      </w:r>
    </w:p>
    <w:p w14:paraId="7D1F2131" w14:textId="77777777" w:rsidR="00332059" w:rsidRPr="00CA366F" w:rsidRDefault="00332059" w:rsidP="000D31C3">
      <w:pPr>
        <w:pStyle w:val="CERDBodyText1"/>
      </w:pPr>
      <w:r w:rsidRPr="00CA366F">
        <w:t>On entry to the Alexander Maconochie Centre, a primary health nurse screens all detainees. If significant mental health issues are detected requiring immediate assessment or intervention, the detainee will be referred for a mental health induction. These must take place within 24 hours of referral and are conducted by a dedicated mental health clinician.</w:t>
      </w:r>
    </w:p>
    <w:p w14:paraId="2E495BD3" w14:textId="3A642DB9" w:rsidR="00332059" w:rsidRPr="00CA366F" w:rsidRDefault="00332059" w:rsidP="000D31C3">
      <w:pPr>
        <w:pStyle w:val="CERDBodyText1"/>
      </w:pPr>
      <w:r w:rsidRPr="00CA366F">
        <w:t>The Alcohol and Drug Services youth program provides a counselling and psychotherapy service to young people aged 12 to 25. Treatment occurs through a number of diverse settings including the community and youth, and adult detention centres and other inpatient settings. Given the through care model adopted by the youth treatment service and the complexity of those engaged in the service, young people are provided a continuity of care through the different treatment setting they may engage with. Youth through care treatment often involves transitioning of treatment in:</w:t>
      </w:r>
    </w:p>
    <w:p w14:paraId="4F546D44" w14:textId="77777777" w:rsidR="00332059" w:rsidRPr="00332059" w:rsidRDefault="00332059" w:rsidP="000D31C3">
      <w:pPr>
        <w:pStyle w:val="CERDBodyTextDotPoint"/>
      </w:pPr>
      <w:r w:rsidRPr="00332059">
        <w:t>community settings</w:t>
      </w:r>
    </w:p>
    <w:p w14:paraId="74F0ABB5" w14:textId="77777777" w:rsidR="00332059" w:rsidRPr="00332059" w:rsidRDefault="00332059" w:rsidP="000D31C3">
      <w:pPr>
        <w:pStyle w:val="CERDBodyTextDotPoint"/>
      </w:pPr>
      <w:r w:rsidRPr="00332059">
        <w:t>psychiatric and rehabilitation settings</w:t>
      </w:r>
    </w:p>
    <w:p w14:paraId="4FF82F12" w14:textId="77777777" w:rsidR="00332059" w:rsidRPr="00332059" w:rsidRDefault="00332059" w:rsidP="000D31C3">
      <w:pPr>
        <w:pStyle w:val="CERDBodyTextDotPoint"/>
      </w:pPr>
      <w:r w:rsidRPr="00332059">
        <w:t>youth detention and those transitioning to adult detention settings.</w:t>
      </w:r>
    </w:p>
    <w:p w14:paraId="7F32AA2A" w14:textId="429E7ADC" w:rsidR="00332059" w:rsidRPr="00CA366F" w:rsidRDefault="00332059" w:rsidP="000D31C3">
      <w:pPr>
        <w:pStyle w:val="CERDBodyText1"/>
      </w:pPr>
      <w:r w:rsidRPr="00CA366F">
        <w:t>The 2013</w:t>
      </w:r>
      <w:r w:rsidR="007D6DAF">
        <w:t>-</w:t>
      </w:r>
      <w:r w:rsidRPr="00CA366F">
        <w:t>14 ACT Budget provided funding for short-term psychosocial support to people with mental illness exiting the criminal justice system. This aims to help people re-engage with the community and regain independence post release. The program provides up to three months of intensive transitional support for individuals with a diagnosed mental dysfunction through a case management partnership model with a community sector provider.</w:t>
      </w:r>
    </w:p>
    <w:p w14:paraId="6A38DD4A" w14:textId="77777777" w:rsidR="00332059" w:rsidRPr="00332059" w:rsidRDefault="00332059" w:rsidP="000D31C3">
      <w:pPr>
        <w:pStyle w:val="CERDBoxTableHeading"/>
      </w:pPr>
      <w:bookmarkStart w:id="97" w:name="_Toc425850330"/>
      <w:r w:rsidRPr="00332059">
        <w:t>New South Wales</w:t>
      </w:r>
      <w:bookmarkEnd w:id="97"/>
    </w:p>
    <w:p w14:paraId="228E3DB2" w14:textId="77777777" w:rsidR="00332059" w:rsidRPr="00CA366F" w:rsidRDefault="00332059" w:rsidP="000D31C3">
      <w:pPr>
        <w:pStyle w:val="CERDBodyText1"/>
      </w:pPr>
      <w:r w:rsidRPr="00CA366F">
        <w:t xml:space="preserve">Juvenile Justice works collaboratively with the Justice Health and Forensic Mental Health Network and external organisations to help young people access programs in custody and the community. All Juvenile Justice staff are trained in mental health first aid which enables them to recognise symptoms of mental health issues in young people, respond appropriately to crises and help them access appropriate professional help. </w:t>
      </w:r>
    </w:p>
    <w:p w14:paraId="45E19906" w14:textId="77777777" w:rsidR="00332059" w:rsidRPr="00332059" w:rsidRDefault="00332059" w:rsidP="000D31C3">
      <w:pPr>
        <w:pStyle w:val="CERDBoxTableHeading"/>
      </w:pPr>
      <w:bookmarkStart w:id="98" w:name="_Toc425850331"/>
      <w:r w:rsidRPr="00332059">
        <w:t>Northern Territory</w:t>
      </w:r>
      <w:bookmarkEnd w:id="98"/>
    </w:p>
    <w:p w14:paraId="7AB86054" w14:textId="112CAFF0" w:rsidR="00332059" w:rsidRPr="00CA366F" w:rsidRDefault="00332059" w:rsidP="000D31C3">
      <w:pPr>
        <w:pStyle w:val="CERDBodyText1"/>
      </w:pPr>
      <w:r w:rsidRPr="00CA366F">
        <w:t>A paramount concern for the Northern Territory Department of C</w:t>
      </w:r>
      <w:r w:rsidR="00DF322F" w:rsidRPr="00CA366F">
        <w:t>orrectional</w:t>
      </w:r>
      <w:r w:rsidRPr="00CA366F">
        <w:t xml:space="preserve"> Services is the safety of people within the correctional system and its employees. It is committed to effective and timely intervention for people who demonstrate suicidal or self-harm behaviour. The department responds to all at-risk incidents in a way that demonstrates recognition, consideration of, responsiveness to and respect for the diversity and special needs of people.</w:t>
      </w:r>
    </w:p>
    <w:p w14:paraId="0E547EF7" w14:textId="77777777" w:rsidR="00332059" w:rsidRPr="00CA366F" w:rsidRDefault="00332059" w:rsidP="000D31C3">
      <w:pPr>
        <w:pStyle w:val="CERDBodyText1"/>
      </w:pPr>
      <w:r w:rsidRPr="00CA366F">
        <w:t xml:space="preserve">The Forensic Mental Health Team provides services to correctional centres, juvenile detention centres and with mental health consumers in the community who have committed a serious offence, and others who are at high risk of committing an offence. The Department of </w:t>
      </w:r>
      <w:r w:rsidRPr="00CA366F">
        <w:lastRenderedPageBreak/>
        <w:t>Health and the Department of Correctional Services have established a Complex Behavioural Unit in the new Correctional Precinct in Darwin.</w:t>
      </w:r>
    </w:p>
    <w:p w14:paraId="5A97745D" w14:textId="77777777" w:rsidR="00332059" w:rsidRPr="00CA366F" w:rsidRDefault="00332059" w:rsidP="000D31C3">
      <w:pPr>
        <w:pStyle w:val="CERDBodyText1"/>
      </w:pPr>
      <w:r w:rsidRPr="00CA366F">
        <w:t xml:space="preserve">In August 2013 the Northern Territory Department of Correctional Services released its revised At-Risk of Suicide and Self Harm Policy in recognition that Aboriginal and Torres Strait Islander people take their own lives at younger ages than non-Indigenous Australians (the rate of suicide for Aboriginal youth in the Northern Territory is five times higher than the national rate). </w:t>
      </w:r>
    </w:p>
    <w:p w14:paraId="01B48E69" w14:textId="441C0476" w:rsidR="00066F36" w:rsidRDefault="00066F36" w:rsidP="000D31C3">
      <w:pPr>
        <w:pStyle w:val="CERDBoxTableHeading"/>
      </w:pPr>
      <w:bookmarkStart w:id="99" w:name="_Toc425850332"/>
      <w:r>
        <w:t>Queensland</w:t>
      </w:r>
      <w:bookmarkEnd w:id="99"/>
    </w:p>
    <w:p w14:paraId="01E3EF83" w14:textId="73B0B7F3" w:rsidR="00066F36" w:rsidRPr="00066F36" w:rsidRDefault="00066F36" w:rsidP="000D31C3">
      <w:pPr>
        <w:pStyle w:val="CERDBodyText1"/>
      </w:pPr>
      <w:r w:rsidRPr="00066F36">
        <w:t xml:space="preserve">Prisoners in Queensland can access mental health care through a variety of pathways that are commensurate with their need. These include nursing screening and assessment, primary health care interventions, as well as specialist mental health services. Queensland’s public health system provides an in-reach prison mental health service that is coordinated across the state, and delivers mental health assessment, treatment and management in all major correctional centres across Queensland. These services are multi-disciplinary and include psychiatrists. The services aim to be equivalent to those available within the community. The </w:t>
      </w:r>
      <w:r w:rsidRPr="00066F36">
        <w:rPr>
          <w:i/>
        </w:rPr>
        <w:t>Mental Health Act 2000</w:t>
      </w:r>
      <w:r w:rsidRPr="00066F36">
        <w:t xml:space="preserve"> (Qld) enables the capacity to transfer individuals to psychiatric hospitals if they require inpatient treatment.</w:t>
      </w:r>
    </w:p>
    <w:p w14:paraId="593FEA0B" w14:textId="690A4B56" w:rsidR="00066F36" w:rsidRPr="00066F36" w:rsidRDefault="00066F36" w:rsidP="000D31C3">
      <w:pPr>
        <w:pStyle w:val="CERDBodyText1"/>
      </w:pPr>
      <w:r w:rsidRPr="00066F36">
        <w:t>Additionally, Queensland Police Service (QPS) employees are provided with training to enhance the identification of prisoners suffering from mental health issues. Employees are provided with a range of question</w:t>
      </w:r>
      <w:r>
        <w:t xml:space="preserve">s designed to identify issues. </w:t>
      </w:r>
      <w:r w:rsidRPr="00066F36">
        <w:t xml:space="preserve">Should mental health issues be identified, further processes as per the </w:t>
      </w:r>
      <w:r w:rsidRPr="00490622">
        <w:rPr>
          <w:i/>
        </w:rPr>
        <w:t>Operational Procedures Manual</w:t>
      </w:r>
      <w:r w:rsidRPr="00066F36">
        <w:t xml:space="preserve"> and local standard operating procedures are in place for mental health professionals to attend watch houses and co</w:t>
      </w:r>
      <w:r>
        <w:t xml:space="preserve">nduct appropriate assessments. </w:t>
      </w:r>
      <w:r w:rsidRPr="00066F36">
        <w:t xml:space="preserve">Internal QPS computer systems also assist watch house staff to identify prisoner mental health issues. </w:t>
      </w:r>
    </w:p>
    <w:p w14:paraId="59DB201C" w14:textId="77777777" w:rsidR="00EA5104" w:rsidRDefault="00EA5104" w:rsidP="000D31C3">
      <w:pPr>
        <w:pStyle w:val="CERDBoxTableHeading"/>
      </w:pPr>
      <w:bookmarkStart w:id="100" w:name="_Toc425850333"/>
      <w:r>
        <w:t>South Australia</w:t>
      </w:r>
      <w:bookmarkEnd w:id="100"/>
    </w:p>
    <w:p w14:paraId="466BB11B" w14:textId="4752B4EE" w:rsidR="00EA5104" w:rsidRPr="00CA366F" w:rsidRDefault="00EA5104" w:rsidP="000D31C3">
      <w:pPr>
        <w:pStyle w:val="CERDBodyText1"/>
      </w:pPr>
      <w:r w:rsidRPr="00CA366F">
        <w:t>All prisoners, on entering the prison system, are appropriately assessed in conjunction with the SA Prison Health Service. Mental health, drug and alcohol, and risk of suicide or self-harm issues are considered in addition to information provided by police.</w:t>
      </w:r>
    </w:p>
    <w:p w14:paraId="2C7637F8" w14:textId="4AF3F2DD" w:rsidR="00EA5104" w:rsidRPr="00CA366F" w:rsidRDefault="00EA5104" w:rsidP="000D31C3">
      <w:pPr>
        <w:pStyle w:val="CERDBodyText1"/>
      </w:pPr>
      <w:r w:rsidRPr="00CA366F">
        <w:t xml:space="preserve">A range of services are available for prisoners experiencing mental health issues or being at risk of self-harm. </w:t>
      </w:r>
    </w:p>
    <w:p w14:paraId="4E4DF2CB" w14:textId="0BB8F16A" w:rsidR="00EA5104" w:rsidRPr="00CA366F" w:rsidRDefault="00EA5104" w:rsidP="000D31C3">
      <w:pPr>
        <w:pStyle w:val="CERDBodyText1"/>
      </w:pPr>
      <w:r w:rsidRPr="00CA366F">
        <w:t>These services can be provided by Forensic Mental Health Services, SA Prison Health Services, Disability SA, the prison High Risk Assessment Teams, and departmental Psychologists.</w:t>
      </w:r>
    </w:p>
    <w:p w14:paraId="1F683D73" w14:textId="51121CEA" w:rsidR="00EA5104" w:rsidRPr="00CA366F" w:rsidRDefault="00EA5104" w:rsidP="000D31C3">
      <w:pPr>
        <w:pStyle w:val="CERDBodyText1"/>
      </w:pPr>
      <w:r w:rsidRPr="00CA366F">
        <w:t>Psychological services provided by the Department for Correctional Services to prisoners have a priority focus on the assessment of prisoners and the provision of crisis intervention and support services.</w:t>
      </w:r>
    </w:p>
    <w:p w14:paraId="7D0A273C" w14:textId="3EEC19B2" w:rsidR="00EA5104" w:rsidRPr="00CA366F" w:rsidRDefault="00EA5104" w:rsidP="000D31C3">
      <w:pPr>
        <w:pStyle w:val="CERDBodyText1"/>
      </w:pPr>
      <w:r w:rsidRPr="00CA366F">
        <w:t>If there is further cause for concern, prisoners can be transferred to the Royal Adelaide Hospital, or the nearest hospital for assessment and from there, a further determination can be made as to whether they are to be detained under the Mental Health Act. If they are detained, they can then be moved to a mental health facility. This is a decision for health professionals.</w:t>
      </w:r>
    </w:p>
    <w:p w14:paraId="1FB76645" w14:textId="02A28F98" w:rsidR="00EA5104" w:rsidRPr="00CA366F" w:rsidRDefault="00EA5104" w:rsidP="000D31C3">
      <w:pPr>
        <w:pStyle w:val="CERDBodyText1"/>
      </w:pPr>
      <w:r w:rsidRPr="00CA366F">
        <w:t>Joint System Protocols between Correctional Services and the Department of Health have been implemented for some years and include Forensic Mental Health Services as a signatory.</w:t>
      </w:r>
    </w:p>
    <w:p w14:paraId="7F57FB2F" w14:textId="77777777" w:rsidR="00332059" w:rsidRPr="00332059" w:rsidRDefault="00332059" w:rsidP="000D31C3">
      <w:pPr>
        <w:pStyle w:val="CERDBoxTableHeading"/>
      </w:pPr>
      <w:bookmarkStart w:id="101" w:name="_Toc425850334"/>
      <w:r w:rsidRPr="00332059">
        <w:t>Tasmania</w:t>
      </w:r>
      <w:bookmarkEnd w:id="101"/>
    </w:p>
    <w:p w14:paraId="6D4C2D63" w14:textId="2DCC8B0E" w:rsidR="00995B59" w:rsidRPr="00CA366F" w:rsidRDefault="00332059" w:rsidP="000D31C3">
      <w:pPr>
        <w:pStyle w:val="CERDBodyText1"/>
      </w:pPr>
      <w:r w:rsidRPr="00CA366F">
        <w:t xml:space="preserve">All people entering prison in Tasmania receive a mental health assessment, with referral for further treatment if required. Ongoing treatment and support is provided through the Tasmania Prison Service Therapeutic Services Unit. This works not only with individuals with a diagnosed </w:t>
      </w:r>
      <w:r w:rsidRPr="00CA366F">
        <w:lastRenderedPageBreak/>
        <w:t>mental illness but also with those who are distressed and struggling to cope in prison. Prisoners with severe mental health issues may be housed in the secure mental health unit of the Wilfred Lopes Centre.</w:t>
      </w:r>
    </w:p>
    <w:p w14:paraId="1E761DC9" w14:textId="77777777" w:rsidR="00332059" w:rsidRPr="00CA366F" w:rsidRDefault="00332059" w:rsidP="000D31C3">
      <w:pPr>
        <w:pStyle w:val="CERDBodyText1"/>
      </w:pPr>
      <w:r w:rsidRPr="00CA366F">
        <w:t>There is a range of support and treatment programs available for prisoners with mental health issues. Highly specialised, multi-disciplinary mental health treatment teams operate throughout the prison system. Tasmania Prison Service psychologists provided additional treatment services with support from the Royal Hobart Hospital and Forensic Mental Health Services.</w:t>
      </w:r>
    </w:p>
    <w:p w14:paraId="3461745F" w14:textId="77777777" w:rsidR="00332059" w:rsidRPr="00332059" w:rsidRDefault="00332059" w:rsidP="000D31C3">
      <w:pPr>
        <w:pStyle w:val="CERDBoxTableHeading"/>
      </w:pPr>
      <w:bookmarkStart w:id="102" w:name="_Toc425850335"/>
      <w:r w:rsidRPr="00332059">
        <w:t>Victoria</w:t>
      </w:r>
      <w:bookmarkEnd w:id="102"/>
    </w:p>
    <w:p w14:paraId="19BA3DE0" w14:textId="77777777" w:rsidR="00332059" w:rsidRPr="00CA366F" w:rsidRDefault="00332059" w:rsidP="000D31C3">
      <w:pPr>
        <w:pStyle w:val="CERDBodyText1"/>
      </w:pPr>
      <w:r w:rsidRPr="00CA366F">
        <w:t>Prisoners can access a range of mental health services equivalent to the community in Victoria. All people entering prison receive a mental health screening assessment performed by a mental health clinician. Prisoners who show signs of mental illness are referred to a clinician for a more comprehensive psychiatric assessment. As in the community, most prisoners access mental health care through primary health services. Prisoners with higher and more complex needs can access specialist mental health services.</w:t>
      </w:r>
    </w:p>
    <w:p w14:paraId="18E47A4B" w14:textId="77777777" w:rsidR="00332059" w:rsidRPr="00CA366F" w:rsidRDefault="00332059" w:rsidP="000D31C3">
      <w:pPr>
        <w:pStyle w:val="CERDBodyText1"/>
      </w:pPr>
      <w:r w:rsidRPr="00CA366F">
        <w:t>Prison health services conduct comprehensive discharge planning for prisoners with mental health problems and make referrals to community services as appropriate. The Community Integration Program also provides intensive clinical support for prisoners with a serious mental illness who are re-entering the community. Victoria is also developing an Aboriginal Emotional and Social Wellbeing Strategy that outlines a more coordinated approach to improving mental health outcomes for Aboriginal and Torres Strait Islander prisoners.</w:t>
      </w:r>
    </w:p>
    <w:p w14:paraId="10344067" w14:textId="77777777" w:rsidR="00332059" w:rsidRPr="00332059" w:rsidRDefault="00332059" w:rsidP="000D31C3">
      <w:pPr>
        <w:pStyle w:val="CERDBoxTableHeading"/>
      </w:pPr>
      <w:bookmarkStart w:id="103" w:name="_Toc425850336"/>
      <w:r w:rsidRPr="00332059">
        <w:t>Western Australia</w:t>
      </w:r>
      <w:bookmarkEnd w:id="103"/>
    </w:p>
    <w:p w14:paraId="3F9768E3" w14:textId="77777777" w:rsidR="00332059" w:rsidRPr="00CA366F" w:rsidRDefault="00332059" w:rsidP="000D31C3">
      <w:pPr>
        <w:pStyle w:val="CERDBodyText1"/>
      </w:pPr>
      <w:r w:rsidRPr="00CA366F">
        <w:t xml:space="preserve">Western Australia is reviewing its </w:t>
      </w:r>
      <w:r w:rsidRPr="00997FA3">
        <w:rPr>
          <w:i/>
        </w:rPr>
        <w:t>Criminal Law (Mentally Impaired Accused) Act 1996</w:t>
      </w:r>
      <w:r w:rsidRPr="00CA366F">
        <w:t xml:space="preserve"> to review the rights of those detained under this Act. If a possible mental health issue is identified during a prisoner’s initial health assessment on entry to prison, the prisoner is referred to a specialist mental health nurse to conduct a mental state examination. Depending on the outcome of this, the prisoner may be referred to a specialist psychiatrist for ongoing assessment, stabilisation and treatment. Prisoners are referred to tertiary mental health care institutions as necessary. On release from prison, care by state community mental health services is arranged if required.</w:t>
      </w:r>
    </w:p>
    <w:p w14:paraId="1FFD224C" w14:textId="57B43F92" w:rsidR="00332059" w:rsidRPr="00995B59" w:rsidRDefault="00332059" w:rsidP="00995B59">
      <w:pPr>
        <w:pStyle w:val="CERDHeadingMinor1"/>
        <w:rPr>
          <w:b w:val="0"/>
          <w:lang w:eastAsia="en-US"/>
        </w:rPr>
      </w:pPr>
      <w:bookmarkStart w:id="104" w:name="_Toc425850337"/>
      <w:r w:rsidRPr="00332059">
        <w:rPr>
          <w:lang w:eastAsia="en-US"/>
        </w:rPr>
        <w:t>Concluding Observation 31</w:t>
      </w:r>
      <w:r w:rsidR="00995B59">
        <w:rPr>
          <w:lang w:eastAsia="en-US"/>
        </w:rPr>
        <w:t xml:space="preserve"> - </w:t>
      </w:r>
      <w:r w:rsidR="00B9685C">
        <w:rPr>
          <w:b w:val="0"/>
          <w:lang w:eastAsia="en-US"/>
        </w:rPr>
        <w:t>Indigenous E</w:t>
      </w:r>
      <w:r w:rsidRPr="00995B59">
        <w:rPr>
          <w:b w:val="0"/>
          <w:lang w:eastAsia="en-US"/>
        </w:rPr>
        <w:t>ducation</w:t>
      </w:r>
      <w:bookmarkEnd w:id="104"/>
    </w:p>
    <w:p w14:paraId="4D197C2D" w14:textId="77777777" w:rsidR="00332059" w:rsidRPr="00332059" w:rsidRDefault="00332059" w:rsidP="000D31C3">
      <w:pPr>
        <w:pStyle w:val="CERDBoxTableHeading"/>
      </w:pPr>
      <w:bookmarkStart w:id="105" w:name="_Toc425850338"/>
      <w:r w:rsidRPr="00332059">
        <w:t>Australian Capital Territory</w:t>
      </w:r>
      <w:bookmarkEnd w:id="105"/>
    </w:p>
    <w:p w14:paraId="65BD9786" w14:textId="1F1971B4" w:rsidR="00332059" w:rsidRPr="00CA366F" w:rsidRDefault="00E87675" w:rsidP="000D31C3">
      <w:pPr>
        <w:pStyle w:val="CERDBodyText1"/>
      </w:pPr>
      <w:r w:rsidRPr="00CA366F">
        <w:t>The ACT Education and Training Directorate has established a suite of integrated programs and strategies to support Aboriginal and Torres Strait Islander student learning across the spectrum and from preschool to year 12. Strategies such as personalised learning plans, flexible learning options and employment pathways are universal in their approach; that is they support all learners. Programs such as Koori Preschool and the Aspirations Program are specific to Aboriginal and Torres Strait Islander students and families</w:t>
      </w:r>
      <w:r w:rsidR="00332059" w:rsidRPr="00CA366F">
        <w:t>.</w:t>
      </w:r>
    </w:p>
    <w:p w14:paraId="356ACCF7" w14:textId="77777777" w:rsidR="00332059" w:rsidRPr="00332059" w:rsidRDefault="00332059" w:rsidP="000D31C3">
      <w:pPr>
        <w:pStyle w:val="CERDBoxTableHeading"/>
      </w:pPr>
      <w:bookmarkStart w:id="106" w:name="_Toc425850339"/>
      <w:r w:rsidRPr="00332059">
        <w:t>New South Wales</w:t>
      </w:r>
      <w:bookmarkEnd w:id="106"/>
    </w:p>
    <w:p w14:paraId="5D45FF0A" w14:textId="77777777" w:rsidR="00332059" w:rsidRPr="00CA366F" w:rsidRDefault="00332059" w:rsidP="000D31C3">
      <w:pPr>
        <w:pStyle w:val="CERDBodyText1"/>
      </w:pPr>
      <w:r w:rsidRPr="00CA366F">
        <w:t xml:space="preserve">Connected Communities is a new approach to address the educational and social aspirations of Aboriginal children and young people living in a number of complex and diverse communities in New South Wales. The initiative positions 15 schools as ‘community hubs’ which deliver a range of services from birth through school to further training and employment. These schools work with Aboriginal leaders in the local community to improve education outcomes for young Aboriginal people. </w:t>
      </w:r>
    </w:p>
    <w:p w14:paraId="00D21D8D" w14:textId="77777777" w:rsidR="00997FA3" w:rsidRDefault="00997FA3">
      <w:pPr>
        <w:rPr>
          <w:rFonts w:cstheme="minorHAnsi"/>
          <w:b/>
          <w:lang w:val="en-AU" w:eastAsia="en-US"/>
        </w:rPr>
      </w:pPr>
      <w:r>
        <w:br w:type="page"/>
      </w:r>
    </w:p>
    <w:p w14:paraId="6155FE45" w14:textId="316B6A19" w:rsidR="00332059" w:rsidRPr="00332059" w:rsidRDefault="00332059" w:rsidP="000D31C3">
      <w:pPr>
        <w:pStyle w:val="CERDBoxTableHeading"/>
      </w:pPr>
      <w:bookmarkStart w:id="107" w:name="_Toc425850340"/>
      <w:r w:rsidRPr="00332059">
        <w:lastRenderedPageBreak/>
        <w:t>Northern Territory</w:t>
      </w:r>
      <w:bookmarkEnd w:id="107"/>
    </w:p>
    <w:p w14:paraId="3B087C87" w14:textId="1AB416EB" w:rsidR="00332059" w:rsidRDefault="00332059" w:rsidP="000D31C3">
      <w:pPr>
        <w:pStyle w:val="CERDBodyText1"/>
      </w:pPr>
      <w:r w:rsidRPr="00CA366F">
        <w:t>In 2013 the Minister for Education commissioned an independent review of Indigenous education in the territory. The final</w:t>
      </w:r>
      <w:r w:rsidR="00997FA3">
        <w:t xml:space="preserve"> report, </w:t>
      </w:r>
      <w:r w:rsidR="00997FA3" w:rsidRPr="00997FA3">
        <w:rPr>
          <w:i/>
        </w:rPr>
        <w:t>A share in the future -</w:t>
      </w:r>
      <w:r w:rsidRPr="00997FA3">
        <w:rPr>
          <w:i/>
        </w:rPr>
        <w:t xml:space="preserve"> review of Indigenous education in the Northern Territory</w:t>
      </w:r>
      <w:r w:rsidRPr="00CA366F">
        <w:t>, was published in May 2014. The report presented a picture of continued declining outcomes for many Indigenous students, particularly in remote and very remote schools. It provided 51 recommendations targeting all years of schooling and these have been incorporated into a 10 year s</w:t>
      </w:r>
      <w:r w:rsidR="00997FA3">
        <w:t xml:space="preserve">trategy: </w:t>
      </w:r>
      <w:r w:rsidR="00997FA3" w:rsidRPr="00997FA3">
        <w:rPr>
          <w:i/>
        </w:rPr>
        <w:t>A share in the future -</w:t>
      </w:r>
      <w:r w:rsidRPr="00997FA3">
        <w:rPr>
          <w:i/>
        </w:rPr>
        <w:t xml:space="preserve"> Indigenous education strategy 2015–2024</w:t>
      </w:r>
      <w:r w:rsidRPr="00CA366F">
        <w:t>.</w:t>
      </w:r>
      <w:r w:rsidRPr="002516AF">
        <w:rPr>
          <w:sz w:val="22"/>
          <w:szCs w:val="22"/>
          <w:vertAlign w:val="superscript"/>
        </w:rPr>
        <w:footnoteReference w:id="27"/>
      </w:r>
      <w:r w:rsidRPr="00CA366F">
        <w:t xml:space="preserve"> The strategy provides direction for major initiatives to improve education outcomes for Indigenous students in the Northern Territory. A phased implementation will enable careful monitoring to ensure there is a positive impact across all the elements of the strategy. Phase 1 will be released by the end of 2014.</w:t>
      </w:r>
    </w:p>
    <w:p w14:paraId="34A1CE14" w14:textId="43F5C9D0" w:rsidR="009A1FAE" w:rsidRDefault="009A1FAE" w:rsidP="000D31C3">
      <w:pPr>
        <w:pStyle w:val="CERDBoxTableHeading"/>
      </w:pPr>
      <w:bookmarkStart w:id="108" w:name="_Toc425850341"/>
      <w:r>
        <w:t>Queensland</w:t>
      </w:r>
      <w:bookmarkEnd w:id="108"/>
    </w:p>
    <w:p w14:paraId="5D67D033" w14:textId="67E5B4FC" w:rsidR="009A1FAE" w:rsidRPr="009A1FAE" w:rsidRDefault="009A1FAE" w:rsidP="000D31C3">
      <w:pPr>
        <w:pStyle w:val="CERDBodyText1"/>
      </w:pPr>
      <w:r w:rsidRPr="009A1FAE">
        <w:t>The Queensland Cultural Diversity Policy articulates the Queensland Government’s vision to provide equality of opportunity for all Queenslanders. The Queensland Cultural Diversity Action Plan, a whole-of-government response to the Queensland Government’s vision, provides a roadmap of how</w:t>
      </w:r>
      <w:r w:rsidR="000611EB">
        <w:t xml:space="preserve"> this vision will be achieved. </w:t>
      </w:r>
      <w:r w:rsidRPr="009A1FAE">
        <w:t>The Department of Education and Training (DET) is responsible for a number of actions relating to language independence, education, participation and attainment, economic independence and participation, and community participation.</w:t>
      </w:r>
    </w:p>
    <w:p w14:paraId="72AB11CF" w14:textId="77777777" w:rsidR="009A1FAE" w:rsidRPr="009A1FAE" w:rsidRDefault="009A1FAE" w:rsidP="000D31C3">
      <w:pPr>
        <w:pStyle w:val="CERDBodyText1"/>
      </w:pPr>
      <w:r w:rsidRPr="009A1FAE">
        <w:t>Under DET’s Inclusive Education Policy Statement schools are expected to be supportive and engaging places for all school community members where every day, in every classroom, every student is learning and achieving in a safe, supportive, inclusive and disciplined learning environment.</w:t>
      </w:r>
    </w:p>
    <w:p w14:paraId="27D737E0" w14:textId="77777777" w:rsidR="009A1FAE" w:rsidRPr="009A1FAE" w:rsidRDefault="009A1FAE" w:rsidP="000D31C3">
      <w:pPr>
        <w:pStyle w:val="CERDBodyText1"/>
      </w:pPr>
      <w:r w:rsidRPr="009A1FAE">
        <w:t xml:space="preserve">All Queensland schools are implementing the Australian Curriculum. The Australian Curriculum embeds the cross-curriculum priority, </w:t>
      </w:r>
      <w:r w:rsidRPr="009A1FAE">
        <w:rPr>
          <w:i/>
        </w:rPr>
        <w:t>Aboriginal and Torres Strait Islander histories and cultures</w:t>
      </w:r>
      <w:r w:rsidRPr="009A1FAE">
        <w:t xml:space="preserve">, and the general capability, </w:t>
      </w:r>
      <w:r w:rsidRPr="009A1FAE">
        <w:rPr>
          <w:i/>
        </w:rPr>
        <w:t>Intercultural understanding</w:t>
      </w:r>
      <w:r w:rsidRPr="009A1FAE">
        <w:t xml:space="preserve">, across the learning areas from Foundation to Year 10. In the Humanities and Social Sciences learning areas, particularly within the subjects of Civics and Citizenship and History, there is a significant emphasis on developing an understanding of the past and present experiences of Aboriginal and Torres Strait Islander peoples, their identity and the continuing value of their culture. </w:t>
      </w:r>
    </w:p>
    <w:p w14:paraId="068741A7" w14:textId="77777777" w:rsidR="009A1FAE" w:rsidRPr="009A1FAE" w:rsidRDefault="009A1FAE" w:rsidP="000D31C3">
      <w:pPr>
        <w:pStyle w:val="CERDBodyText1"/>
      </w:pPr>
      <w:r w:rsidRPr="009A1FAE">
        <w:t xml:space="preserve">Queensland state schools can choose to teach Aboriginal and Torres Strait Islander Languages. </w:t>
      </w:r>
    </w:p>
    <w:p w14:paraId="0DEE5CC4" w14:textId="77777777" w:rsidR="009A1FAE" w:rsidRPr="009A1FAE" w:rsidRDefault="009A1FAE" w:rsidP="000D31C3">
      <w:pPr>
        <w:pStyle w:val="CERDBodyText1"/>
      </w:pPr>
      <w:r w:rsidRPr="009A1FAE">
        <w:t>When selecting the language to offer, Queensland state schools consult with their community and consider a range of factors to ensure a quality language program. This includes ensuring continuity of learning from primary to secondary school as well as ongoing availability of quality teachers.</w:t>
      </w:r>
    </w:p>
    <w:p w14:paraId="0C698E6B" w14:textId="7784C382" w:rsidR="009A1FAE" w:rsidRPr="000611EB" w:rsidRDefault="009A1FAE" w:rsidP="000D31C3">
      <w:pPr>
        <w:pStyle w:val="CERDBodyText1"/>
      </w:pPr>
      <w:r w:rsidRPr="000611EB">
        <w:t>The Queensland Curriculum, Assessment and Reporting Authority offers a syllabus for Aboriginal and Torres Stra</w:t>
      </w:r>
      <w:r w:rsidR="000611EB" w:rsidRPr="000611EB">
        <w:t>it Islander Languages for Prep -</w:t>
      </w:r>
      <w:r w:rsidRPr="000611EB">
        <w:t xml:space="preserve"> Year 10 and for Years 11  12. </w:t>
      </w:r>
    </w:p>
    <w:p w14:paraId="48894FB9" w14:textId="77777777" w:rsidR="009A1FAE" w:rsidRPr="000611EB" w:rsidRDefault="009A1FAE" w:rsidP="000D31C3">
      <w:pPr>
        <w:pStyle w:val="CERDBodyText1"/>
      </w:pPr>
      <w:r w:rsidRPr="000611EB">
        <w:t>To support schools to implement this syllabus, Queensland developed the Aboriginal and Torres Strait Islander Languages in Education Queensland Schools: A guide to implementing the Aboriginal and Torres Strait islander Languages Syllabus.</w:t>
      </w:r>
    </w:p>
    <w:p w14:paraId="56C45687" w14:textId="77777777" w:rsidR="009A1FAE" w:rsidRPr="000611EB" w:rsidRDefault="009A1FAE" w:rsidP="000D31C3">
      <w:pPr>
        <w:pStyle w:val="CERDBodyText1"/>
      </w:pPr>
      <w:r w:rsidRPr="000611EB">
        <w:lastRenderedPageBreak/>
        <w:t>This guide provides comprehensive advice to principals on a range of topics including how to establish an Aboriginal and Torres Strait Islander Language program in their school through consultation with their local community.</w:t>
      </w:r>
    </w:p>
    <w:p w14:paraId="4F9E0A41" w14:textId="678E8173" w:rsidR="00332059" w:rsidRPr="00332059" w:rsidRDefault="00332059" w:rsidP="000D31C3">
      <w:pPr>
        <w:pStyle w:val="CERDBoxTableHeading"/>
      </w:pPr>
      <w:bookmarkStart w:id="109" w:name="_Toc425850342"/>
      <w:r w:rsidRPr="00332059">
        <w:t>South Australia</w:t>
      </w:r>
      <w:bookmarkEnd w:id="109"/>
    </w:p>
    <w:p w14:paraId="7CFC36D4" w14:textId="500F5304" w:rsidR="00332059" w:rsidRPr="00CA366F" w:rsidRDefault="00332059" w:rsidP="000D31C3">
      <w:pPr>
        <w:pStyle w:val="CERDBodyText1"/>
      </w:pPr>
      <w:r w:rsidRPr="00CA366F">
        <w:t xml:space="preserve">The South Australia Department for Education and Child Development has implemented the national </w:t>
      </w:r>
      <w:r w:rsidRPr="00997FA3">
        <w:rPr>
          <w:i/>
        </w:rPr>
        <w:t>Aboriginal and Torres Strait Isla</w:t>
      </w:r>
      <w:r w:rsidR="00997FA3">
        <w:rPr>
          <w:i/>
        </w:rPr>
        <w:t>nder education action plan 2010-</w:t>
      </w:r>
      <w:r w:rsidRPr="00997FA3">
        <w:rPr>
          <w:i/>
        </w:rPr>
        <w:t>2014</w:t>
      </w:r>
      <w:r w:rsidRPr="00CA366F">
        <w:t xml:space="preserve">, which requires identified focus schools to improve the education outcomes of Aboriginal students. In South Australia, 82 government focus schools include remote schools with Aboriginal student enrolments, including those in the APY Lands. </w:t>
      </w:r>
    </w:p>
    <w:p w14:paraId="72D04D56" w14:textId="77777777" w:rsidR="00332059" w:rsidRPr="00CA366F" w:rsidRDefault="00332059" w:rsidP="000D31C3">
      <w:pPr>
        <w:pStyle w:val="CERDBodyText1"/>
      </w:pPr>
      <w:r w:rsidRPr="00CA366F">
        <w:t xml:space="preserve">The state collects and monitors data on all students including Indigenous pre-school and school age children in remote areas. Data is collected on, but not limited to, areas of child health and development, disability, attendance, assessment and wellbeing. The data is analysed and used to inform and influence school education plans and strategies. School attendance data is collected each day. Alerts are automatically generated and emailed to schools for attendance when students have more than 10 consecutive days of unexplained absences. Alerts are also generated for health issues. </w:t>
      </w:r>
    </w:p>
    <w:p w14:paraId="3C33D2DB" w14:textId="77777777" w:rsidR="00332059" w:rsidRPr="00CA366F" w:rsidRDefault="00332059" w:rsidP="000D31C3">
      <w:pPr>
        <w:pStyle w:val="CERDBodyText1"/>
      </w:pPr>
      <w:r w:rsidRPr="00CA366F">
        <w:t>The department chairs the National Aboriginal and Torres Strait Islander Education Advisory Group. This is a cross-cutting initiative to support and provide strategic policy advice to the Education Council’s three standing working groups: the Schools Policy Group, the Early Childhood Policy Working Group and the Data Strategy Group. Initial priority work is planned to include advice on:</w:t>
      </w:r>
    </w:p>
    <w:p w14:paraId="2B2CE3B7" w14:textId="77777777" w:rsidR="00332059" w:rsidRPr="00332059" w:rsidRDefault="00332059" w:rsidP="000D31C3">
      <w:pPr>
        <w:pStyle w:val="CERDBodyTextDotPoint"/>
      </w:pPr>
      <w:r w:rsidRPr="00332059">
        <w:t>improving Aboriginal and Torres Strait Islander school attendance, with particular focus on remote schools and communities</w:t>
      </w:r>
    </w:p>
    <w:p w14:paraId="7428BA3F" w14:textId="77777777" w:rsidR="00332059" w:rsidRPr="00332059" w:rsidRDefault="00332059" w:rsidP="000D31C3">
      <w:pPr>
        <w:pStyle w:val="CERDBodyTextDotPoint"/>
      </w:pPr>
      <w:r w:rsidRPr="00332059">
        <w:t>strategies to improve transitions from secondary school to post-school options for Aboriginal and Torres Strait Islander students and school-leavers.</w:t>
      </w:r>
    </w:p>
    <w:p w14:paraId="597DE9C3" w14:textId="77777777" w:rsidR="00332059" w:rsidRPr="00332059" w:rsidRDefault="00332059" w:rsidP="000D31C3">
      <w:pPr>
        <w:pStyle w:val="CERDBoxTableHeading"/>
      </w:pPr>
      <w:bookmarkStart w:id="110" w:name="_Toc425850343"/>
      <w:r w:rsidRPr="00332059">
        <w:t>Victoria</w:t>
      </w:r>
      <w:bookmarkEnd w:id="110"/>
    </w:p>
    <w:p w14:paraId="4E7DC6D0" w14:textId="77777777" w:rsidR="00332059" w:rsidRPr="00CA366F" w:rsidRDefault="00332059" w:rsidP="000D31C3">
      <w:pPr>
        <w:pStyle w:val="CERDBodyText1"/>
      </w:pPr>
      <w:r w:rsidRPr="00CA366F">
        <w:t>The Victorian Government has a range of programs to support access to universal early education, aimed particularly at reducing financial, cultural and geographic barriers to participation. These include the:</w:t>
      </w:r>
    </w:p>
    <w:p w14:paraId="4A4105C2" w14:textId="77777777" w:rsidR="00332059" w:rsidRPr="00332059" w:rsidRDefault="00332059" w:rsidP="000D31C3">
      <w:pPr>
        <w:pStyle w:val="CERDBodyTextDotPoint"/>
      </w:pPr>
      <w:r w:rsidRPr="00332059">
        <w:t>Early Start kindergarten program and the kindergarten fee subsidy, which enable Aboriginal children to access free universal 3 to 4 year old kindergarten programs</w:t>
      </w:r>
    </w:p>
    <w:p w14:paraId="3B86C868" w14:textId="77777777" w:rsidR="00332059" w:rsidRPr="00332059" w:rsidRDefault="00332059" w:rsidP="000D31C3">
      <w:pPr>
        <w:pStyle w:val="CERDBodyTextDotPoint"/>
      </w:pPr>
      <w:r w:rsidRPr="00332059">
        <w:t>Koorie preschool assistants program which supports access and participation by Aboriginal children in kindergarten programs</w:t>
      </w:r>
    </w:p>
    <w:p w14:paraId="3CC30AF5" w14:textId="77777777" w:rsidR="00332059" w:rsidRPr="00332059" w:rsidRDefault="00332059" w:rsidP="000D31C3">
      <w:pPr>
        <w:pStyle w:val="CERDBodyTextDotPoint"/>
      </w:pPr>
      <w:r w:rsidRPr="00332059">
        <w:t>in-home support program, which helps vulnerable Aboriginal families to strengthen their parenting capacity and supports improved health, learning and wellbeing of Aboriginal children aged 0 to 3 years</w:t>
      </w:r>
    </w:p>
    <w:p w14:paraId="2188364B" w14:textId="77777777" w:rsidR="00332059" w:rsidRPr="00332059" w:rsidRDefault="00332059" w:rsidP="000D31C3">
      <w:pPr>
        <w:pStyle w:val="CERDBodyTextDotPoint"/>
      </w:pPr>
      <w:r w:rsidRPr="00332059">
        <w:t>home based learning programs for Aboriginal children which help Aboriginal families provide positive home learning environments for young children aged 3 to 5 years</w:t>
      </w:r>
    </w:p>
    <w:p w14:paraId="01979432" w14:textId="77777777" w:rsidR="00332059" w:rsidRPr="00332059" w:rsidRDefault="00332059" w:rsidP="000D31C3">
      <w:pPr>
        <w:pStyle w:val="CERDBodyTextDotPoint"/>
      </w:pPr>
      <w:r w:rsidRPr="00332059">
        <w:t>Aboriginal Best Start program, which supports Aboriginal families across all early years services to improve outcomes.</w:t>
      </w:r>
    </w:p>
    <w:p w14:paraId="7AA91162" w14:textId="35FBA61F" w:rsidR="001B0FEC" w:rsidRPr="001B0FEC" w:rsidRDefault="00332059" w:rsidP="001B0FEC">
      <w:pPr>
        <w:pStyle w:val="CERDBodyText1"/>
      </w:pPr>
      <w:r w:rsidRPr="00CA366F">
        <w:t>There has been strong growth in the number of Aboriginal children enrolled in four-year-old kindergarten and a significant reduction in the gap in participation rates with non-Aboriginal children. Victoria was the first state to support access of Aboriginal children in three-year- old kindergarten.</w:t>
      </w:r>
      <w:r w:rsidR="001B0FEC">
        <w:t xml:space="preserve">  </w:t>
      </w:r>
      <w:r w:rsidR="001B0FEC">
        <w:br w:type="page"/>
      </w:r>
    </w:p>
    <w:p w14:paraId="054D6327" w14:textId="77777777" w:rsidR="00332059" w:rsidRPr="00332059" w:rsidRDefault="00332059" w:rsidP="000D31C3">
      <w:pPr>
        <w:pStyle w:val="CERDBoxTableHeading"/>
      </w:pPr>
      <w:bookmarkStart w:id="111" w:name="_Toc425850344"/>
      <w:r w:rsidRPr="00332059">
        <w:lastRenderedPageBreak/>
        <w:t>Western Australia</w:t>
      </w:r>
      <w:bookmarkEnd w:id="111"/>
    </w:p>
    <w:p w14:paraId="04E17785" w14:textId="77777777" w:rsidR="00332059" w:rsidRPr="00CA366F" w:rsidRDefault="00332059" w:rsidP="000D31C3">
      <w:pPr>
        <w:pStyle w:val="CERDBodyText1"/>
      </w:pPr>
      <w:r w:rsidRPr="00CA366F">
        <w:t>Schools are provided in very remote locations under established criteria that includes access to service infrastructure such as water, electricity and sewerage.</w:t>
      </w:r>
    </w:p>
    <w:p w14:paraId="58B2E8D1" w14:textId="77777777" w:rsidR="00332059" w:rsidRPr="00CA366F" w:rsidRDefault="00332059" w:rsidP="000D31C3">
      <w:pPr>
        <w:pStyle w:val="CERDBodyText1"/>
      </w:pPr>
      <w:r w:rsidRPr="00CA366F">
        <w:t>The Aboriginal School Based Training (ASBT) program is delivered through an institutional and employment based training pathway (apprenticeships and traineeships). All apprenticeships and traineeships undertaken by Aboriginal students with the support of group training organisations through the Joint Group Training Program are classified as ASBT delivery. There are currently five qualifications available for delivery through the institutional pathway of ASBT.</w:t>
      </w:r>
    </w:p>
    <w:p w14:paraId="629A84A9" w14:textId="77777777" w:rsidR="00332059" w:rsidRPr="00CA366F" w:rsidRDefault="00332059" w:rsidP="000D31C3">
      <w:pPr>
        <w:pStyle w:val="CERDBodyText1"/>
      </w:pPr>
      <w:r w:rsidRPr="00CA366F">
        <w:t>The Department of Education has implemented a number of ongoing strategies to help close the gap in achievement between Aboriginal students and their peers, and to support Aboriginal students to develop the knowledge and skills to transition successfully from school to training, higher education and work. Some example programs include:</w:t>
      </w:r>
    </w:p>
    <w:p w14:paraId="5CE02ABF" w14:textId="77777777" w:rsidR="00332059" w:rsidRPr="00332059" w:rsidRDefault="00332059" w:rsidP="000D31C3">
      <w:pPr>
        <w:pStyle w:val="CERDBodyTextDotPoint"/>
      </w:pPr>
      <w:r w:rsidRPr="00332059">
        <w:t>Aboriginal School Based Training program, which provides pathways for Years 10 to 12 students to develop workplace readiness leading to school-based traineeships.</w:t>
      </w:r>
    </w:p>
    <w:p w14:paraId="1ED4DC0C" w14:textId="77777777" w:rsidR="00332059" w:rsidRPr="00332059" w:rsidRDefault="00332059" w:rsidP="000D31C3">
      <w:pPr>
        <w:pStyle w:val="CERDBodyTextDotPoint"/>
      </w:pPr>
      <w:r w:rsidRPr="00332059">
        <w:t>Indigenous Ranger Cadetships pilots in the Kimberley, which improve the retention of Aboriginal students to Year 12 and assist their transition to further education, training and work.</w:t>
      </w:r>
    </w:p>
    <w:p w14:paraId="670A7918" w14:textId="77777777" w:rsidR="00332059" w:rsidRPr="00332059" w:rsidRDefault="00332059" w:rsidP="000D31C3">
      <w:pPr>
        <w:pStyle w:val="CERDBodyTextDotPoint"/>
      </w:pPr>
      <w:r w:rsidRPr="00332059">
        <w:t>Follow the Dream: Partnerships for Success program</w:t>
      </w:r>
      <w:r w:rsidRPr="00332059">
        <w:rPr>
          <w:i/>
        </w:rPr>
        <w:t>,</w:t>
      </w:r>
      <w:r w:rsidRPr="00332059">
        <w:t xml:space="preserve"> which provides after-school tuition and mentoring to Aboriginal secondary students so they can finish school and enter university or high-level post-school vocational education and training.</w:t>
      </w:r>
    </w:p>
    <w:p w14:paraId="17D48B87" w14:textId="77777777" w:rsidR="00332059" w:rsidRPr="00332059" w:rsidRDefault="00332059" w:rsidP="000D31C3">
      <w:pPr>
        <w:pStyle w:val="CERDBodyTextDotPoint"/>
      </w:pPr>
      <w:r w:rsidRPr="00332059">
        <w:t xml:space="preserve">Aboriginal and Islander Education Officer Professional Learning Program, which provides training and support for these staff to become qualified teachers. </w:t>
      </w:r>
    </w:p>
    <w:p w14:paraId="4FF96C8B" w14:textId="4A3F3489" w:rsidR="00332059" w:rsidRPr="00332059" w:rsidRDefault="00332059" w:rsidP="00FD1EA9">
      <w:pPr>
        <w:pStyle w:val="CERDHeadingMinor2"/>
      </w:pPr>
      <w:bookmarkStart w:id="112" w:name="_Toc413240407"/>
      <w:bookmarkStart w:id="113" w:name="_Toc425850345"/>
      <w:r w:rsidRPr="00332059">
        <w:t xml:space="preserve">Early </w:t>
      </w:r>
      <w:r w:rsidR="00B9685C">
        <w:t>C</w:t>
      </w:r>
      <w:r w:rsidRPr="00332059">
        <w:t xml:space="preserve">hildhood </w:t>
      </w:r>
      <w:r w:rsidR="00B9685C">
        <w:t>E</w:t>
      </w:r>
      <w:r w:rsidRPr="00332059">
        <w:t>ducation</w:t>
      </w:r>
      <w:bookmarkEnd w:id="112"/>
      <w:bookmarkEnd w:id="113"/>
      <w:r w:rsidRPr="00332059">
        <w:t xml:space="preserve"> </w:t>
      </w:r>
    </w:p>
    <w:p w14:paraId="2EC5FAAC" w14:textId="77777777" w:rsidR="00332059" w:rsidRPr="00332059" w:rsidRDefault="00332059" w:rsidP="000D31C3">
      <w:pPr>
        <w:pStyle w:val="CERDBoxTableHeading"/>
      </w:pPr>
      <w:bookmarkStart w:id="114" w:name="_Toc425850346"/>
      <w:r w:rsidRPr="00332059">
        <w:t>Australian Capital Territory</w:t>
      </w:r>
      <w:bookmarkEnd w:id="114"/>
    </w:p>
    <w:p w14:paraId="7C2E5AB8" w14:textId="77777777" w:rsidR="00332059" w:rsidRPr="00CA366F" w:rsidRDefault="00332059" w:rsidP="000D31C3">
      <w:pPr>
        <w:pStyle w:val="CERDBodyText1"/>
      </w:pPr>
      <w:r w:rsidRPr="00CA366F">
        <w:t xml:space="preserve">The government is committed to ensuring that all ACT children benefit from a high quality, accessible education and care system. Five Koori preschool programs provide an early childhood education program for Aboriginal and Torres Strait Islander children aged four and five years old. Children under three years can attend the Koori Preschool Program when accompanied by a parent or guardian. </w:t>
      </w:r>
    </w:p>
    <w:p w14:paraId="195B3491" w14:textId="0FF925AA" w:rsidR="00332059" w:rsidRPr="00CA366F" w:rsidRDefault="00332059" w:rsidP="000D31C3">
      <w:pPr>
        <w:pStyle w:val="CERDBodyText1"/>
      </w:pPr>
      <w:r w:rsidRPr="00CA366F">
        <w:t>The ACT operates five early childhood schools that provide an integrated setting for children from birth to eight years of age. The schools support childcare and health services, and family and community support programs. The ACT also provides 15 hours a week of</w:t>
      </w:r>
      <w:r w:rsidR="00E87675" w:rsidRPr="00CA366F">
        <w:t xml:space="preserve"> free</w:t>
      </w:r>
      <w:r w:rsidRPr="00CA366F">
        <w:t xml:space="preserve"> preschool education in all 79 </w:t>
      </w:r>
      <w:r w:rsidR="00E87675" w:rsidRPr="00CA366F">
        <w:t>Canberra</w:t>
      </w:r>
      <w:r w:rsidRPr="00CA366F">
        <w:t xml:space="preserve"> public preschools. </w:t>
      </w:r>
    </w:p>
    <w:p w14:paraId="5AFC4B8E" w14:textId="77777777" w:rsidR="00332059" w:rsidRPr="00332059" w:rsidRDefault="00332059" w:rsidP="000D31C3">
      <w:pPr>
        <w:pStyle w:val="CERDBoxTableHeading"/>
      </w:pPr>
      <w:bookmarkStart w:id="115" w:name="_Toc425850347"/>
      <w:r w:rsidRPr="00332059">
        <w:t>New South Wales</w:t>
      </w:r>
      <w:bookmarkEnd w:id="115"/>
    </w:p>
    <w:p w14:paraId="1BEB7F39" w14:textId="0267082E" w:rsidR="00332059" w:rsidRPr="00CA366F" w:rsidRDefault="00332059" w:rsidP="000D31C3">
      <w:pPr>
        <w:pStyle w:val="CERDBodyText1"/>
      </w:pPr>
      <w:r w:rsidRPr="00CA366F">
        <w:t xml:space="preserve">The New South Wales Department of Education and Communities operates preschool classes in 100 government schools. These were established to provide an education for children one year before school entry in areas of disadvantage. </w:t>
      </w:r>
      <w:r w:rsidR="001B0FEC">
        <w:t xml:space="preserve">NSW </w:t>
      </w:r>
      <w:r w:rsidRPr="00CA366F">
        <w:t>Preschool enrolment procedures state that “schools should give priority to Aboriginal children whose families experience disadvantage; and to families experiencing financial hardship who are unable to access other children’s services”. Eleven of the Department’s 100 preschools are designated Aboriginal; four of these are in remote locations.</w:t>
      </w:r>
    </w:p>
    <w:p w14:paraId="0FC24C1C" w14:textId="77777777" w:rsidR="001B0FEC" w:rsidRDefault="001B0FEC">
      <w:pPr>
        <w:rPr>
          <w:rFonts w:cstheme="minorHAnsi"/>
          <w:b/>
          <w:lang w:val="en-AU" w:eastAsia="en-US"/>
        </w:rPr>
      </w:pPr>
      <w:r>
        <w:br w:type="page"/>
      </w:r>
    </w:p>
    <w:p w14:paraId="347C721E" w14:textId="1220CF6D" w:rsidR="00332059" w:rsidRPr="00332059" w:rsidRDefault="00332059" w:rsidP="000D31C3">
      <w:pPr>
        <w:pStyle w:val="CERDBoxTableHeading"/>
      </w:pPr>
      <w:bookmarkStart w:id="116" w:name="_Toc425850348"/>
      <w:r w:rsidRPr="00332059">
        <w:lastRenderedPageBreak/>
        <w:t>Northern Territory</w:t>
      </w:r>
      <w:bookmarkEnd w:id="116"/>
    </w:p>
    <w:p w14:paraId="2532BC85" w14:textId="77777777" w:rsidR="00332059" w:rsidRPr="00CA366F" w:rsidRDefault="00332059" w:rsidP="000D31C3">
      <w:pPr>
        <w:pStyle w:val="CERDBodyText1"/>
      </w:pPr>
      <w:r w:rsidRPr="00CA366F">
        <w:t>Under the National Partnership Agreement on Universal Access to Early Childhood Education Implementation Plan, the Northern Territory has a focus on two elements for Indigenous, vulnerable and disadvantaged children:</w:t>
      </w:r>
    </w:p>
    <w:p w14:paraId="26770911" w14:textId="77777777" w:rsidR="00332059" w:rsidRPr="00332059" w:rsidRDefault="00332059" w:rsidP="000D31C3">
      <w:pPr>
        <w:pStyle w:val="CERDBodyTextDotPoint"/>
      </w:pPr>
      <w:r w:rsidRPr="00332059">
        <w:t>maintain increased hours to preschool</w:t>
      </w:r>
    </w:p>
    <w:p w14:paraId="3FA3A758" w14:textId="77777777" w:rsidR="00332059" w:rsidRPr="00332059" w:rsidRDefault="00332059" w:rsidP="000D31C3">
      <w:pPr>
        <w:pStyle w:val="CERDBodyTextDotPoint"/>
      </w:pPr>
      <w:r w:rsidRPr="00332059">
        <w:t>target approaches to encourage attendance and engagement through parental capacity building.</w:t>
      </w:r>
    </w:p>
    <w:p w14:paraId="0457B077" w14:textId="60E2785E" w:rsidR="00332059" w:rsidRPr="00CA366F" w:rsidRDefault="00332059" w:rsidP="000D31C3">
      <w:pPr>
        <w:pStyle w:val="CERDBodyText1"/>
      </w:pPr>
      <w:r w:rsidRPr="00CA366F">
        <w:t xml:space="preserve">Investment through the National Partnership Agreement on Universal Access to Early Childhood Education enabled the </w:t>
      </w:r>
      <w:r w:rsidR="00DF322F" w:rsidRPr="00CA366F">
        <w:t>T</w:t>
      </w:r>
      <w:r w:rsidRPr="00CA366F">
        <w:t xml:space="preserve">erritory to increase access to preschool from 480 hours to over 600 hours in the year before full-time school. In addition to maintaining 600 hours of universal access, the focus is on increasing preschool attendance by supporting families to overcome barriers to regular preschool attendance, particularly Indigenous students and those who experience a high level of disadvantage. </w:t>
      </w:r>
    </w:p>
    <w:p w14:paraId="33198260" w14:textId="00330A8B" w:rsidR="00332059" w:rsidRPr="00CA366F" w:rsidRDefault="00332059" w:rsidP="000D31C3">
      <w:pPr>
        <w:pStyle w:val="CERDBodyText1"/>
      </w:pPr>
      <w:r w:rsidRPr="00CA366F">
        <w:t xml:space="preserve">The Northern Territory Government continues to invest in remote delivery of complementary programs that improve preschool access, attendance and participation, including programs such as Families as First Teachers. This program was established in 2008 and provides a culturally appropriate early learning and family support program for vulnerable and disadvantaged Indigenous families with children before they enter school (birth </w:t>
      </w:r>
      <w:r w:rsidR="00DF2C0C">
        <w:t>-</w:t>
      </w:r>
      <w:r w:rsidRPr="00CA366F">
        <w:t xml:space="preserve"> 5 years). It builds on the strengths of families to give remote Indigenous children the best start in life. In 2013 there were 2,106 children and 2,013 parents who participated in the program.</w:t>
      </w:r>
    </w:p>
    <w:p w14:paraId="74AB58BD" w14:textId="77777777" w:rsidR="00332059" w:rsidRPr="00CA366F" w:rsidRDefault="00332059" w:rsidP="000D31C3">
      <w:pPr>
        <w:pStyle w:val="CERDBodyText1"/>
      </w:pPr>
      <w:r w:rsidRPr="00CA366F">
        <w:t>The More Early Childhood Teachers Scholarships program is trailing alternative training models for Indigenous staff in remote areas. The scholarship program was developed to assist with the significant challenge in recruitment and retention of degree qualified early childhood teachers, particularly in remote areas.</w:t>
      </w:r>
    </w:p>
    <w:p w14:paraId="6C784FE1" w14:textId="77777777" w:rsidR="00332059" w:rsidRPr="002C66C9" w:rsidRDefault="00332059" w:rsidP="000D31C3">
      <w:pPr>
        <w:pStyle w:val="CERDBodyText1"/>
      </w:pPr>
      <w:r w:rsidRPr="002C66C9">
        <w:t>Under the National Partnership Agreement on Indigenous Early Childhood Development, five child and family centres in Gunbalanya, Maningrida, Ngukurr, Palmerston and Yuendumu were built. These centres deliver a range of integrated culturally responsive early childhood services including early childhood education and care, child and maternal health, and family support programs. These centres support strategies to address barriers to schooling.</w:t>
      </w:r>
    </w:p>
    <w:p w14:paraId="3155D1CB" w14:textId="6AC7CD2F" w:rsidR="009A1FAE" w:rsidRPr="002C66C9" w:rsidRDefault="009A1FAE" w:rsidP="000D31C3">
      <w:pPr>
        <w:pStyle w:val="CERDBoxTableHeading"/>
      </w:pPr>
      <w:bookmarkStart w:id="117" w:name="_Toc425850349"/>
      <w:r w:rsidRPr="002C66C9">
        <w:t>Queensland</w:t>
      </w:r>
      <w:bookmarkEnd w:id="117"/>
    </w:p>
    <w:p w14:paraId="77C7F05D" w14:textId="77777777" w:rsidR="009A1FAE" w:rsidRPr="002C66C9" w:rsidRDefault="009A1FAE" w:rsidP="000D31C3">
      <w:pPr>
        <w:pStyle w:val="CERDBodyText1"/>
      </w:pPr>
      <w:r w:rsidRPr="002C66C9">
        <w:t xml:space="preserve">Queensland recognises that participation in education is a major contributor to reducing lifetime disadvantage and aiding self-empowerment. Engagement in quality education and care from an early age is known to improve educational outcomes for children, thereby improving life opportunities and decreasing   unemployment, poverty and illness. </w:t>
      </w:r>
    </w:p>
    <w:p w14:paraId="2C2538B6" w14:textId="77777777" w:rsidR="009A1FAE" w:rsidRPr="002C66C9" w:rsidRDefault="009A1FAE" w:rsidP="000D31C3">
      <w:pPr>
        <w:pStyle w:val="CERDBodyText1"/>
      </w:pPr>
      <w:r w:rsidRPr="002C66C9">
        <w:t>The Queensland Government has established and implemented a range of Early Childhood Education and Care (ECEC) programs and initiatives to support Aboriginal and Torres Strait Islander children.</w:t>
      </w:r>
    </w:p>
    <w:p w14:paraId="445E253F" w14:textId="548056C2" w:rsidR="009A1FAE" w:rsidRDefault="009A1FAE" w:rsidP="000D31C3">
      <w:pPr>
        <w:pStyle w:val="CERDBodyText1"/>
      </w:pPr>
      <w:r w:rsidRPr="002C66C9">
        <w:t>The Queensland Government has adopted, in full, the Education and Care Services National Law Act 2010 and its associated Education and Care Services Regulations, committing to supporting, regulating, monitoring and ensuring the quality of early childhood development services throughout the state. The guiding principles of the National Law Act commit Queensland to ensuring ‘that the principles of equity, inclusion and diversity underlie this law’ and ‘that Australia’s Aboriginal and Torres Strait Islander cultures are valued.’</w:t>
      </w:r>
    </w:p>
    <w:p w14:paraId="3DADFDD2" w14:textId="77777777" w:rsidR="00DF2C0C" w:rsidRDefault="00DF2C0C">
      <w:pPr>
        <w:rPr>
          <w:rFonts w:cstheme="minorHAnsi"/>
          <w:i/>
          <w:lang w:val="en-AU" w:eastAsia="en-US"/>
        </w:rPr>
      </w:pPr>
      <w:r>
        <w:rPr>
          <w:i/>
        </w:rPr>
        <w:br w:type="page"/>
      </w:r>
    </w:p>
    <w:p w14:paraId="738AB9DE" w14:textId="41282F5E" w:rsidR="00DE4223" w:rsidRPr="00AF787E" w:rsidRDefault="00DE4223" w:rsidP="000D31C3">
      <w:pPr>
        <w:pStyle w:val="CERDBodyText1"/>
        <w:rPr>
          <w:i/>
        </w:rPr>
      </w:pPr>
      <w:r w:rsidRPr="00AF787E">
        <w:rPr>
          <w:i/>
        </w:rPr>
        <w:lastRenderedPageBreak/>
        <w:t>Universal access to kindergarten</w:t>
      </w:r>
    </w:p>
    <w:p w14:paraId="2C0971C3" w14:textId="77777777" w:rsidR="00DE4223" w:rsidRDefault="00DE4223" w:rsidP="000D31C3">
      <w:pPr>
        <w:pStyle w:val="CERDBodyText1"/>
        <w:numPr>
          <w:ilvl w:val="0"/>
          <w:numId w:val="0"/>
        </w:numPr>
      </w:pPr>
      <w:r>
        <w:t>The Queensland Government has committed to providing universal access to a quality kindergarten program for every child, and recognises the additional support that may be required by Aboriginal and Torres Strait Islander children.</w:t>
      </w:r>
    </w:p>
    <w:p w14:paraId="0E2F5EB8" w14:textId="77777777" w:rsidR="00DE4223" w:rsidRDefault="00DE4223" w:rsidP="000D31C3">
      <w:pPr>
        <w:pStyle w:val="CERDBodyText1"/>
        <w:numPr>
          <w:ilvl w:val="0"/>
          <w:numId w:val="0"/>
        </w:numPr>
      </w:pPr>
      <w:r>
        <w:t xml:space="preserve">Further, the Queensland Government has continued to provide free kindergarten programs for children in 35 Indigenous communities. </w:t>
      </w:r>
    </w:p>
    <w:p w14:paraId="33C8FF87" w14:textId="77777777" w:rsidR="00DE4223" w:rsidRPr="00AF787E" w:rsidRDefault="00DE4223" w:rsidP="000D31C3">
      <w:pPr>
        <w:pStyle w:val="CERDBodyText1"/>
        <w:rPr>
          <w:i/>
        </w:rPr>
      </w:pPr>
      <w:r w:rsidRPr="00AF787E">
        <w:rPr>
          <w:i/>
        </w:rPr>
        <w:t>Remote Area Aboriginal and Torres Strait Islander Child Care (RAATSICC)</w:t>
      </w:r>
    </w:p>
    <w:p w14:paraId="40FFB57C" w14:textId="77777777" w:rsidR="00DE4223" w:rsidRDefault="00DE4223" w:rsidP="000D31C3">
      <w:pPr>
        <w:pStyle w:val="CERDBodyText1"/>
        <w:numPr>
          <w:ilvl w:val="0"/>
          <w:numId w:val="0"/>
        </w:numPr>
      </w:pPr>
      <w:r>
        <w:t>Under the RAATSICC program, the Queensland Government provides funding for child care and family support services within remote Aboriginal and Torres Strait communities, specifically across Cape York Peninsula, the Gulf of Carpentaria and the Torres Strait Islands.</w:t>
      </w:r>
    </w:p>
    <w:p w14:paraId="2CE22EEA" w14:textId="77777777" w:rsidR="00DE4223" w:rsidRDefault="00DE4223" w:rsidP="000D31C3">
      <w:pPr>
        <w:pStyle w:val="CERDBodyText1"/>
        <w:numPr>
          <w:ilvl w:val="0"/>
          <w:numId w:val="0"/>
        </w:numPr>
      </w:pPr>
      <w:r>
        <w:t>The program aims to promote and support the well-being of Aboriginal and Torres Strait Islander children within their extended family and community and to ensure services are developed in accordance with community needs and aspirations, and comply with relevant legislation and standards.</w:t>
      </w:r>
    </w:p>
    <w:p w14:paraId="7C2E8AD1" w14:textId="77777777" w:rsidR="00DE4223" w:rsidRDefault="00DE4223" w:rsidP="000D31C3">
      <w:pPr>
        <w:pStyle w:val="CERDBodyText1"/>
        <w:numPr>
          <w:ilvl w:val="0"/>
          <w:numId w:val="0"/>
        </w:numPr>
      </w:pPr>
      <w:r>
        <w:t>Services are delivered by non-government organisations and local government authorities in centre-based and/or other community settings.  A range of service types are funded including long day care, kindergarten, outside school hours and vacation care, child and family hubs, playgroups, Child and Family Support (CAFS), advisory and resource services.</w:t>
      </w:r>
    </w:p>
    <w:p w14:paraId="5D3A7065" w14:textId="47E75C58" w:rsidR="00DE4223" w:rsidRPr="00AF787E" w:rsidRDefault="00DE4223" w:rsidP="000D31C3">
      <w:pPr>
        <w:pStyle w:val="CERDBodyText1"/>
        <w:rPr>
          <w:i/>
        </w:rPr>
      </w:pPr>
      <w:r w:rsidRPr="00AF787E">
        <w:rPr>
          <w:i/>
        </w:rPr>
        <w:t>Early Years Centres</w:t>
      </w:r>
    </w:p>
    <w:p w14:paraId="25F6CC3A" w14:textId="77777777" w:rsidR="00DE4223" w:rsidRDefault="00DE4223" w:rsidP="000D31C3">
      <w:pPr>
        <w:pStyle w:val="CERDBodyText1"/>
        <w:numPr>
          <w:ilvl w:val="0"/>
          <w:numId w:val="0"/>
        </w:numPr>
      </w:pPr>
      <w:r>
        <w:t>In addition to its commitment to universal access to kindergarten, the Queensland Government has established four Early Years Centres (EYCs), each of which has satellite and outreach services that extend service delivery into neighbouring communities. EYCs provide integrated early childhood education and care, parenting and family support and maternal and child health services. EYCs provide targeted support for Aboriginal and Torres Strait Islander and CALD children and their families in their provision of culturally sensitive support, referrals to culturally appropriate services, and the establishment of community links.</w:t>
      </w:r>
    </w:p>
    <w:p w14:paraId="59B36368" w14:textId="77777777" w:rsidR="00DE4223" w:rsidRPr="00AF787E" w:rsidRDefault="00DE4223" w:rsidP="000D31C3">
      <w:pPr>
        <w:pStyle w:val="CERDBodyText1"/>
        <w:rPr>
          <w:i/>
        </w:rPr>
      </w:pPr>
      <w:r w:rsidRPr="00AF787E">
        <w:rPr>
          <w:i/>
        </w:rPr>
        <w:t>Children and Family Centres</w:t>
      </w:r>
    </w:p>
    <w:p w14:paraId="51F96007" w14:textId="77777777" w:rsidR="00DE4223" w:rsidRDefault="00DE4223" w:rsidP="000D31C3">
      <w:pPr>
        <w:pStyle w:val="CERDBodyText1"/>
        <w:numPr>
          <w:ilvl w:val="0"/>
          <w:numId w:val="0"/>
        </w:numPr>
      </w:pPr>
      <w:r>
        <w:t>The Queensland and Australian Governments have made a joint commitment under the Indigenous Early Childhood Development National Partnership Agreement (IECD NP) to improve early childhood outcomes for Aboriginal and Torres Strait Islander children.</w:t>
      </w:r>
    </w:p>
    <w:p w14:paraId="5A55FB93" w14:textId="66E5BED0" w:rsidR="00DE4223" w:rsidRDefault="00DE4223" w:rsidP="000D31C3">
      <w:pPr>
        <w:pStyle w:val="CERDBodyText1"/>
        <w:numPr>
          <w:ilvl w:val="0"/>
          <w:numId w:val="0"/>
        </w:numPr>
      </w:pPr>
      <w:r>
        <w:t>CFCs bring together early childhood education and care, parenting and family support, and child and maternal health services so that families can access the services they need to support their children’s development in one location.</w:t>
      </w:r>
    </w:p>
    <w:p w14:paraId="5E9D694A" w14:textId="77777777" w:rsidR="00332059" w:rsidRPr="002C66C9" w:rsidRDefault="00332059" w:rsidP="000D31C3">
      <w:pPr>
        <w:pStyle w:val="CERDBoxTableHeading"/>
      </w:pPr>
      <w:bookmarkStart w:id="118" w:name="_Toc425850350"/>
      <w:r w:rsidRPr="002C66C9">
        <w:t>South Australia</w:t>
      </w:r>
      <w:bookmarkEnd w:id="118"/>
    </w:p>
    <w:p w14:paraId="57DD3424" w14:textId="33C95CA6" w:rsidR="00332059" w:rsidRPr="002C66C9" w:rsidRDefault="00332059" w:rsidP="000D31C3">
      <w:pPr>
        <w:pStyle w:val="CERDBodyText1"/>
      </w:pPr>
      <w:r w:rsidRPr="002C66C9">
        <w:t>South Australia’s Department for Education and Child Devel</w:t>
      </w:r>
      <w:r w:rsidR="007D6DAF" w:rsidRPr="002C66C9">
        <w:t>opment Aboriginal Strategy 2013-</w:t>
      </w:r>
      <w:r w:rsidRPr="002C66C9">
        <w:t xml:space="preserve">2016 sets key initiatives to increase the proportion of Aboriginal and Torres Strait islander students participating in quality early childhood education and childcare. It also sets key strategies for Aboriginal and Torres Strait Islander students to perform at equivalent or better rates to other students when assessed for numeracy and literacy skills before starting pre-school. In 2013, an assessment was conducted of the </w:t>
      </w:r>
      <w:r w:rsidRPr="00DF2C0C">
        <w:rPr>
          <w:i/>
        </w:rPr>
        <w:t>Closing the Gap</w:t>
      </w:r>
      <w:r w:rsidRPr="002C66C9">
        <w:t xml:space="preserve"> target to ensure access to preschool for all Aboriginal four year olds in remote communities by 2013. Based on this assessment, the department is confident that access to preschool is being provided to all Aboriginal children residing in remote and very remote areas.</w:t>
      </w:r>
    </w:p>
    <w:p w14:paraId="5C26375F" w14:textId="77777777" w:rsidR="00332059" w:rsidRPr="00332059" w:rsidRDefault="00332059" w:rsidP="000D31C3">
      <w:pPr>
        <w:pStyle w:val="CERDBoxTableHeading"/>
      </w:pPr>
      <w:bookmarkStart w:id="119" w:name="_Toc425850351"/>
      <w:r w:rsidRPr="00332059">
        <w:lastRenderedPageBreak/>
        <w:t>Tasmania</w:t>
      </w:r>
      <w:bookmarkEnd w:id="119"/>
    </w:p>
    <w:p w14:paraId="41271FBD" w14:textId="77777777" w:rsidR="00332059" w:rsidRPr="00CA366F" w:rsidRDefault="00332059" w:rsidP="000D31C3">
      <w:pPr>
        <w:pStyle w:val="CERDBodyText1"/>
      </w:pPr>
      <w:r w:rsidRPr="00CA366F">
        <w:t>Child and Family Centres are funded by the Tasmanian Government</w:t>
      </w:r>
      <w:r w:rsidRPr="00CA366F" w:rsidDel="00BB14D6">
        <w:t xml:space="preserve"> </w:t>
      </w:r>
      <w:r w:rsidRPr="00CA366F">
        <w:t>and provide a holistic approach to supporting families and their young children (birth to age 6). A total of 11 centres are now operating around the state with the 12th currently under construction. The Launching into Learning initiative gives Tasmania’s young children the best possible start in learning and helps with the transition into kindergarten. All schools receive resources to provide programs designed to meet the needs of young children (birth to kindergarten) and their families. The initiative helps support parents and priority is given to the most vulnerable families.</w:t>
      </w:r>
    </w:p>
    <w:p w14:paraId="14F9628A" w14:textId="77777777" w:rsidR="00332059" w:rsidRPr="00332059" w:rsidRDefault="00332059" w:rsidP="000D31C3">
      <w:pPr>
        <w:pStyle w:val="CERDBoxTableHeading"/>
      </w:pPr>
      <w:bookmarkStart w:id="120" w:name="_Toc425850352"/>
      <w:r w:rsidRPr="00332059">
        <w:t>Western Australia</w:t>
      </w:r>
      <w:bookmarkEnd w:id="120"/>
    </w:p>
    <w:p w14:paraId="3E46098C" w14:textId="12EC4C18" w:rsidR="00332059" w:rsidRPr="00CA366F" w:rsidRDefault="00332059" w:rsidP="000D31C3">
      <w:pPr>
        <w:pStyle w:val="CERDBodyText1"/>
      </w:pPr>
      <w:r w:rsidRPr="00CA366F">
        <w:t xml:space="preserve">For nearly two decades in Western Australia, all children who turn four on or before 30 June have been entitled to a kindergarten place (pre-school is called kindergarten in </w:t>
      </w:r>
      <w:r w:rsidR="00156076" w:rsidRPr="00CA366F">
        <w:t>Western</w:t>
      </w:r>
      <w:r w:rsidRPr="00CA366F">
        <w:t xml:space="preserve"> Australia). This includes Aboriginal children in remote locations. In public schools, kindergarten is free of compulsory charges. Since 2013, kindergarten has been available for 15 hours a week. </w:t>
      </w:r>
    </w:p>
    <w:p w14:paraId="1FE9094B" w14:textId="77777777" w:rsidR="00332059" w:rsidRPr="00CA366F" w:rsidRDefault="00332059" w:rsidP="000D31C3">
      <w:pPr>
        <w:pStyle w:val="CERDBodyText1"/>
      </w:pPr>
      <w:r w:rsidRPr="00CA366F">
        <w:t xml:space="preserve">Families with Aboriginal children may choose to enroll their child in a mainstream kindergarten program or where available, an Aboriginal kindergarten. Aboriginal children turning four between July 1 and December 31 may also participate in kindergarten programs at an Aboriginal kindergarten or remote community school where places exist within existing resources, effectively completing two years of Kindergarten. </w:t>
      </w:r>
    </w:p>
    <w:p w14:paraId="520EF7B1" w14:textId="4011164C" w:rsidR="00332059" w:rsidRPr="00424727" w:rsidRDefault="00332059" w:rsidP="00424727">
      <w:pPr>
        <w:pStyle w:val="CERDHeadingMinor1"/>
      </w:pPr>
      <w:bookmarkStart w:id="121" w:name="_Toc425850353"/>
      <w:r w:rsidRPr="00424727">
        <w:t>Concluding Observation 33</w:t>
      </w:r>
      <w:r w:rsidR="00FD1EA9" w:rsidRPr="00424727">
        <w:t xml:space="preserve"> - </w:t>
      </w:r>
      <w:r w:rsidR="00424727" w:rsidRPr="00424727">
        <w:rPr>
          <w:b w:val="0"/>
        </w:rPr>
        <w:t>Promotion and Protection of Indigenous Culture</w:t>
      </w:r>
      <w:bookmarkEnd w:id="121"/>
    </w:p>
    <w:p w14:paraId="6784FBC7" w14:textId="73BBF67A" w:rsidR="00424727" w:rsidRDefault="00424727" w:rsidP="00424727">
      <w:pPr>
        <w:pStyle w:val="CERDHeadingMinor2"/>
      </w:pPr>
      <w:bookmarkStart w:id="122" w:name="_Toc425850354"/>
      <w:r w:rsidRPr="00424727">
        <w:t>Indigenous Culture</w:t>
      </w:r>
      <w:bookmarkEnd w:id="122"/>
    </w:p>
    <w:p w14:paraId="23411107" w14:textId="77777777" w:rsidR="00332059" w:rsidRPr="00332059" w:rsidRDefault="00332059" w:rsidP="000D31C3">
      <w:pPr>
        <w:pStyle w:val="CERDBoxTableHeading"/>
      </w:pPr>
      <w:bookmarkStart w:id="123" w:name="_Toc425850355"/>
      <w:r w:rsidRPr="00332059">
        <w:t>New South Wales</w:t>
      </w:r>
      <w:bookmarkEnd w:id="123"/>
    </w:p>
    <w:p w14:paraId="1236F736" w14:textId="77777777" w:rsidR="00332059" w:rsidRPr="00CA366F" w:rsidRDefault="00332059" w:rsidP="000D31C3">
      <w:pPr>
        <w:pStyle w:val="CERDBodyText1"/>
      </w:pPr>
      <w:r w:rsidRPr="00CA366F">
        <w:t xml:space="preserve">The </w:t>
      </w:r>
      <w:r w:rsidRPr="00DF2C0C">
        <w:rPr>
          <w:i/>
        </w:rPr>
        <w:t>OCHRE</w:t>
      </w:r>
      <w:r w:rsidRPr="00CA366F">
        <w:t xml:space="preserve"> plan focuses on preserving and promoting Aboriginal language and culture, including by establishing five language and culture nests. These are intended to:</w:t>
      </w:r>
    </w:p>
    <w:p w14:paraId="61B698E6" w14:textId="77777777" w:rsidR="00332059" w:rsidRPr="00332059" w:rsidRDefault="00332059" w:rsidP="000D31C3">
      <w:pPr>
        <w:pStyle w:val="CERDBodyTextDotPoint"/>
      </w:pPr>
      <w:r w:rsidRPr="00332059">
        <w:t>improve knowledge of, and competency in, Aboriginal languages</w:t>
      </w:r>
    </w:p>
    <w:p w14:paraId="351497EE" w14:textId="77777777" w:rsidR="00332059" w:rsidRPr="00332059" w:rsidRDefault="00332059" w:rsidP="000D31C3">
      <w:pPr>
        <w:pStyle w:val="CERDBodyTextDotPoint"/>
      </w:pPr>
      <w:r w:rsidRPr="00332059">
        <w:t>strengthen Aboriginal identity, pride and community resilience</w:t>
      </w:r>
    </w:p>
    <w:p w14:paraId="72156045" w14:textId="77777777" w:rsidR="00332059" w:rsidRPr="00332059" w:rsidRDefault="00332059" w:rsidP="000D31C3">
      <w:pPr>
        <w:pStyle w:val="CERDBodyTextDotPoint"/>
      </w:pPr>
      <w:r w:rsidRPr="00332059">
        <w:t>increase the number of language learners</w:t>
      </w:r>
    </w:p>
    <w:p w14:paraId="391B3CF7" w14:textId="77777777" w:rsidR="00332059" w:rsidRPr="00332059" w:rsidRDefault="00332059" w:rsidP="000D31C3">
      <w:pPr>
        <w:pStyle w:val="CERDBodyTextDotPoint"/>
      </w:pPr>
      <w:r w:rsidRPr="00332059">
        <w:t>increase the number of language teachers</w:t>
      </w:r>
    </w:p>
    <w:p w14:paraId="64FE99FC" w14:textId="77777777" w:rsidR="00332059" w:rsidRPr="00332059" w:rsidRDefault="00332059" w:rsidP="000D31C3">
      <w:pPr>
        <w:pStyle w:val="CERDBodyTextDotPoint"/>
      </w:pPr>
      <w:r w:rsidRPr="00332059">
        <w:t>contribute to increased school attendance and retention.</w:t>
      </w:r>
    </w:p>
    <w:p w14:paraId="1666329D" w14:textId="77777777" w:rsidR="00332059" w:rsidRPr="00332059" w:rsidRDefault="00332059" w:rsidP="000D31C3">
      <w:pPr>
        <w:pStyle w:val="CERDBoxTableHeading"/>
      </w:pPr>
      <w:bookmarkStart w:id="124" w:name="_Toc425850356"/>
      <w:r w:rsidRPr="00332059">
        <w:t>Northern Territory</w:t>
      </w:r>
      <w:bookmarkEnd w:id="124"/>
    </w:p>
    <w:p w14:paraId="69B0713F" w14:textId="77777777" w:rsidR="00332059" w:rsidRPr="00CA366F" w:rsidRDefault="00332059" w:rsidP="000D31C3">
      <w:pPr>
        <w:pStyle w:val="CERDBodyText1"/>
      </w:pPr>
      <w:r w:rsidRPr="00CA366F">
        <w:t xml:space="preserve">The Framing the Future foundation plan for the Northern Territory sets the guidelines for a prosperous economy, strong society, confident culture and balanced environment. One of the three objectives of ‘to develop a confident culture’ is to recognise Aboriginal culture and allow territorians to follow their traditions and languages to focus on an inclusive and participative society. Actions are focused on promoting recognition and respect for Aboriginal people, organisations, culture and language. The facilitation of Indigenous economic development is an integral part of this. </w:t>
      </w:r>
    </w:p>
    <w:p w14:paraId="30F57147" w14:textId="77777777" w:rsidR="00332059" w:rsidRPr="00676D9B" w:rsidRDefault="00332059" w:rsidP="000D31C3">
      <w:pPr>
        <w:pStyle w:val="CERDBodyText1"/>
      </w:pPr>
      <w:r w:rsidRPr="00676D9B">
        <w:t>Cross-cultural training for all Northern Territory Government officers is compulsory. The level of training is higher for those officers involved in direct Indigenous service delivery and policy development. It is also compulsory for all selection criteria for public service vacancies to have the criterion ‘an ability to interact effectively with people of different cultures’.</w:t>
      </w:r>
    </w:p>
    <w:p w14:paraId="01B72195" w14:textId="55CE1751" w:rsidR="00676D9B" w:rsidRDefault="00676D9B" w:rsidP="000D31C3">
      <w:pPr>
        <w:pStyle w:val="CERDBoxTableHeading"/>
      </w:pPr>
      <w:bookmarkStart w:id="125" w:name="_Toc425850357"/>
      <w:r>
        <w:t>Queensland</w:t>
      </w:r>
      <w:bookmarkEnd w:id="125"/>
    </w:p>
    <w:p w14:paraId="321AAEEF" w14:textId="77777777" w:rsidR="00676D9B" w:rsidRPr="006073A3" w:rsidRDefault="00676D9B" w:rsidP="000D31C3">
      <w:pPr>
        <w:pStyle w:val="CERDBodyText1"/>
      </w:pPr>
      <w:r w:rsidRPr="006073A3">
        <w:t xml:space="preserve">In Queensland, there are a number of Acts which protect the cultural heritage traditional land rights of Aboriginal and Torres Strait Island peoples. Corporate bodies representing the rights of Aboriginal and Torres Strait Island peoples may be established under Commonwealth Legislation </w:t>
      </w:r>
      <w:r w:rsidRPr="006073A3">
        <w:lastRenderedPageBreak/>
        <w:t xml:space="preserve">which ensures they run properly, according to their own rules and cultures, without breaking the law. Support, advice and training is offered to help these corporations do the best job for their communities, in a manner consistent with principles of sound corporate governance and in the context of current and emerging Australian and international law. </w:t>
      </w:r>
    </w:p>
    <w:p w14:paraId="44B5E2FC" w14:textId="05816F1A" w:rsidR="00676D9B" w:rsidRPr="006073A3" w:rsidRDefault="00676D9B" w:rsidP="000D31C3">
      <w:pPr>
        <w:pStyle w:val="CERDBodyText1"/>
      </w:pPr>
      <w:r w:rsidRPr="006073A3">
        <w:t xml:space="preserve">The Office of the Registrar of Indigenous Corporations (ORIC), has been set up to help the Registrar administer the </w:t>
      </w:r>
      <w:r w:rsidRPr="00676D9B">
        <w:rPr>
          <w:i/>
        </w:rPr>
        <w:t xml:space="preserve">Corporations (Aboriginal and Torres Strait Islander) Act 2006 </w:t>
      </w:r>
      <w:r w:rsidRPr="006073A3">
        <w:t>(</w:t>
      </w:r>
      <w:r>
        <w:t>Qld</w:t>
      </w:r>
      <w:r w:rsidRPr="006073A3">
        <w:t>) and to support and regulate corporations for Aboriginal and Torres Strait Island people throughout Australia. ORIC also provides an avenue for new incorporations, delivering a tailored service that responds to the special needs of Aboriginal and Torres Strait Island groups and corporations, and striving for national and international best practice in corporate governance.</w:t>
      </w:r>
    </w:p>
    <w:p w14:paraId="10D1C76C" w14:textId="77777777" w:rsidR="00676D9B" w:rsidRPr="006073A3" w:rsidRDefault="00676D9B" w:rsidP="000D31C3">
      <w:pPr>
        <w:pStyle w:val="CERDBodyText1"/>
      </w:pPr>
      <w:r w:rsidRPr="006073A3">
        <w:t xml:space="preserve">In addition, the Queensland Government works with Traditional Owners and local Aboriginal and Torres Strait Island communities when tenders have been awarded to companies working on Indigenous lands. </w:t>
      </w:r>
    </w:p>
    <w:p w14:paraId="61CBCCA1" w14:textId="77777777" w:rsidR="00332059" w:rsidRPr="00332059" w:rsidRDefault="00332059" w:rsidP="000D31C3">
      <w:pPr>
        <w:pStyle w:val="CERDBoxTableHeading"/>
      </w:pPr>
      <w:bookmarkStart w:id="126" w:name="_Toc425850358"/>
      <w:r w:rsidRPr="00332059">
        <w:t>Western Australia</w:t>
      </w:r>
      <w:bookmarkEnd w:id="126"/>
    </w:p>
    <w:p w14:paraId="62761760" w14:textId="77777777" w:rsidR="00332059" w:rsidRPr="00CA366F" w:rsidRDefault="00332059" w:rsidP="000D31C3">
      <w:pPr>
        <w:pStyle w:val="CERDBodyText1"/>
      </w:pPr>
      <w:r w:rsidRPr="00CA366F">
        <w:t>Western Australia’s Department of Culture and the Arts, state cultural institutions and government-funded arts organisations assist Indigenous people to preserve and communicate their identity and culture. The Department of Culture and the Arts has also partnered with state and federal counterparts to deliver an Indigenous intellectual property toolkit to increase awareness of this issue and promote best practice among Indigenous communities, consumers and commercial operators.</w:t>
      </w:r>
    </w:p>
    <w:p w14:paraId="676BA460" w14:textId="7B40D8DB" w:rsidR="00332059" w:rsidRPr="00332059" w:rsidRDefault="00332059" w:rsidP="00424727">
      <w:pPr>
        <w:pStyle w:val="CERDHeadingMinor2"/>
        <w:rPr>
          <w:lang w:eastAsia="en-US"/>
        </w:rPr>
      </w:pPr>
      <w:bookmarkStart w:id="127" w:name="_Toc413240413"/>
      <w:bookmarkStart w:id="128" w:name="_Toc425850359"/>
      <w:r w:rsidRPr="00332059">
        <w:rPr>
          <w:lang w:eastAsia="en-US"/>
        </w:rPr>
        <w:t xml:space="preserve">Protecting Indigenous </w:t>
      </w:r>
      <w:r w:rsidR="00B9685C">
        <w:rPr>
          <w:lang w:eastAsia="en-US"/>
        </w:rPr>
        <w:t>C</w:t>
      </w:r>
      <w:r w:rsidRPr="00332059">
        <w:rPr>
          <w:lang w:eastAsia="en-US"/>
        </w:rPr>
        <w:t xml:space="preserve">ultural and </w:t>
      </w:r>
      <w:r w:rsidR="00B9685C">
        <w:rPr>
          <w:lang w:eastAsia="en-US"/>
        </w:rPr>
        <w:t>Traditional K</w:t>
      </w:r>
      <w:r w:rsidRPr="00332059">
        <w:rPr>
          <w:lang w:eastAsia="en-US"/>
        </w:rPr>
        <w:t>nowledge</w:t>
      </w:r>
      <w:bookmarkEnd w:id="127"/>
      <w:bookmarkEnd w:id="128"/>
    </w:p>
    <w:p w14:paraId="278DE34C" w14:textId="77777777" w:rsidR="00332059" w:rsidRPr="00332059" w:rsidRDefault="00332059" w:rsidP="000D31C3">
      <w:pPr>
        <w:pStyle w:val="CERDBoxTableHeading"/>
      </w:pPr>
      <w:bookmarkStart w:id="129" w:name="_Toc425850360"/>
      <w:r w:rsidRPr="00332059">
        <w:t>Australian Capital Territory</w:t>
      </w:r>
      <w:bookmarkEnd w:id="129"/>
    </w:p>
    <w:p w14:paraId="0955AE15" w14:textId="77777777" w:rsidR="00332059" w:rsidRPr="00CA366F" w:rsidRDefault="00332059" w:rsidP="000D31C3">
      <w:pPr>
        <w:pStyle w:val="CERDBodyText1"/>
      </w:pPr>
      <w:r w:rsidRPr="00CA366F">
        <w:t xml:space="preserve">The ACT Human Rights and Discrimination Commissioner formally advocated to the ACT Government that the cultural rights of Aboriginal and Torres Strait Islander people be explicitly protected in the ACT </w:t>
      </w:r>
      <w:r w:rsidRPr="00DF2C0C">
        <w:rPr>
          <w:i/>
        </w:rPr>
        <w:t>Human Rights Act 2004</w:t>
      </w:r>
      <w:r w:rsidRPr="00CA366F">
        <w:t>. In addition, the commissioner supports the findings of the Australian National University’s ACT economic, social and cultural rights research project to include these rights, including the right to work, in the Act.</w:t>
      </w:r>
      <w:r w:rsidRPr="002516AF">
        <w:rPr>
          <w:sz w:val="22"/>
          <w:szCs w:val="22"/>
          <w:vertAlign w:val="superscript"/>
        </w:rPr>
        <w:footnoteReference w:id="28"/>
      </w:r>
      <w:r w:rsidRPr="00CA366F">
        <w:t xml:space="preserve"> </w:t>
      </w:r>
    </w:p>
    <w:p w14:paraId="37041C71" w14:textId="77777777" w:rsidR="00332059" w:rsidRPr="00CA366F" w:rsidRDefault="00332059" w:rsidP="000D31C3">
      <w:pPr>
        <w:pStyle w:val="CERDBodyText1"/>
      </w:pPr>
      <w:r w:rsidRPr="00CA366F">
        <w:t xml:space="preserve">The ACT Government will incorporate cultural rights for Aboriginal and Torres Strait Islander Peoples into its </w:t>
      </w:r>
      <w:r w:rsidRPr="00DF2C0C">
        <w:rPr>
          <w:i/>
        </w:rPr>
        <w:t>Human Rights Act 2004</w:t>
      </w:r>
      <w:r w:rsidRPr="00CA366F">
        <w:t xml:space="preserve"> in a similar form to section 19(2) of </w:t>
      </w:r>
      <w:r w:rsidRPr="00DF2C0C">
        <w:rPr>
          <w:i/>
        </w:rPr>
        <w:t>the Charter of Rights and Responsibilities 2006</w:t>
      </w:r>
      <w:r w:rsidRPr="00CA366F">
        <w:t xml:space="preserve"> (VIC). Section 19(2) of the charter recognises the rights of Aboriginal people to enjoy their identity and culture, maintain and use their language, and to maintain their kinship ties and distinctive spiritual, material and economic relationship with the land and waters and other resources with which they have a connection under traditional laws and customs. </w:t>
      </w:r>
    </w:p>
    <w:p w14:paraId="33C3F976" w14:textId="77777777" w:rsidR="00332059" w:rsidRPr="00CA366F" w:rsidRDefault="00332059" w:rsidP="000D31C3">
      <w:pPr>
        <w:pStyle w:val="CERDBodyText1"/>
      </w:pPr>
      <w:r w:rsidRPr="00CA366F">
        <w:t xml:space="preserve">The rights of minorities are protected under Section 27 of the </w:t>
      </w:r>
      <w:r w:rsidRPr="00DF2C0C">
        <w:rPr>
          <w:i/>
        </w:rPr>
        <w:t>Human Rights Act 2004</w:t>
      </w:r>
      <w:r w:rsidRPr="00CA366F">
        <w:t>. The ACT Government is consulting with the ACT Aboriginal and Torres Strait Islander elected body to progress the inclusion of Indigenous cultural rights.</w:t>
      </w:r>
    </w:p>
    <w:p w14:paraId="0506AB07" w14:textId="6845BC9F" w:rsidR="00A21CF6" w:rsidRPr="00CA366F" w:rsidRDefault="00A21CF6" w:rsidP="000D31C3">
      <w:pPr>
        <w:pStyle w:val="CERDBodyText1"/>
      </w:pPr>
      <w:r w:rsidRPr="00CA366F">
        <w:t xml:space="preserve">ACT schools are implementing the </w:t>
      </w:r>
      <w:r w:rsidRPr="00DF2C0C">
        <w:rPr>
          <w:i/>
        </w:rPr>
        <w:t>Australian Curriculum</w:t>
      </w:r>
      <w:r w:rsidRPr="00CA366F">
        <w:t xml:space="preserve">, which includes the </w:t>
      </w:r>
      <w:r w:rsidRPr="00CA366F">
        <w:br/>
        <w:t xml:space="preserve">cross-curriculum priority of Aboriginal and Torres Strait Islander histories and cultures. This cross-curriculum priority provides opportunities for learners to deepen their knowledge of Australia by embedding essential knowledge, understandings and skills about Aboriginal and Torres Strait Islander histories and cultures in each learning area of the </w:t>
      </w:r>
      <w:r w:rsidRPr="00DF2C0C">
        <w:rPr>
          <w:i/>
        </w:rPr>
        <w:t>Australian Curriculum</w:t>
      </w:r>
      <w:r w:rsidRPr="00CA366F">
        <w:t>.</w:t>
      </w:r>
    </w:p>
    <w:p w14:paraId="175F6339" w14:textId="6AF4A98D" w:rsidR="00332059" w:rsidRPr="00424727" w:rsidRDefault="00424727" w:rsidP="00424727">
      <w:pPr>
        <w:pStyle w:val="CERDHeadingMinor1"/>
        <w:rPr>
          <w:b w:val="0"/>
          <w:lang w:eastAsia="en-US"/>
        </w:rPr>
      </w:pPr>
      <w:bookmarkStart w:id="130" w:name="_Toc425850361"/>
      <w:r>
        <w:rPr>
          <w:lang w:eastAsia="en-US"/>
        </w:rPr>
        <w:lastRenderedPageBreak/>
        <w:t>C</w:t>
      </w:r>
      <w:r w:rsidR="00332059" w:rsidRPr="00332059">
        <w:rPr>
          <w:lang w:eastAsia="en-US"/>
        </w:rPr>
        <w:t>oncluding Observation 34</w:t>
      </w:r>
      <w:r>
        <w:rPr>
          <w:lang w:eastAsia="en-US"/>
        </w:rPr>
        <w:t xml:space="preserve"> - </w:t>
      </w:r>
      <w:r w:rsidRPr="00424727">
        <w:rPr>
          <w:b w:val="0"/>
          <w:lang w:eastAsia="en-US"/>
        </w:rPr>
        <w:t>Human Rights Education</w:t>
      </w:r>
      <w:bookmarkEnd w:id="130"/>
    </w:p>
    <w:p w14:paraId="416E406C" w14:textId="77777777" w:rsidR="00332059" w:rsidRPr="00332059" w:rsidRDefault="00332059" w:rsidP="000D31C3">
      <w:pPr>
        <w:pStyle w:val="CERDBoxTableHeading"/>
      </w:pPr>
      <w:bookmarkStart w:id="131" w:name="_Toc425850362"/>
      <w:r w:rsidRPr="00332059">
        <w:t>Australian Capital Territory</w:t>
      </w:r>
      <w:bookmarkEnd w:id="131"/>
    </w:p>
    <w:p w14:paraId="3DAA58B7" w14:textId="77777777" w:rsidR="00332059" w:rsidRPr="00CA366F" w:rsidRDefault="00332059" w:rsidP="000D31C3">
      <w:pPr>
        <w:pStyle w:val="CERDBodyText1"/>
      </w:pPr>
      <w:r w:rsidRPr="00CA366F">
        <w:t>The ACT Human Rights Commission provides tailored training on issues to do with:</w:t>
      </w:r>
    </w:p>
    <w:p w14:paraId="4B1A3C99" w14:textId="77777777" w:rsidR="00332059" w:rsidRPr="00332059" w:rsidRDefault="00332059" w:rsidP="000D31C3">
      <w:pPr>
        <w:pStyle w:val="CERDBodyTextDotPoint"/>
      </w:pPr>
      <w:r w:rsidRPr="00332059">
        <w:t>children and young people</w:t>
      </w:r>
    </w:p>
    <w:p w14:paraId="4893846F" w14:textId="77777777" w:rsidR="00332059" w:rsidRPr="00332059" w:rsidRDefault="00332059" w:rsidP="000D31C3">
      <w:pPr>
        <w:pStyle w:val="CERDBodyTextDotPoint"/>
      </w:pPr>
      <w:r w:rsidRPr="00332059">
        <w:t>disability</w:t>
      </w:r>
    </w:p>
    <w:p w14:paraId="5E4C81C5" w14:textId="77777777" w:rsidR="00332059" w:rsidRPr="00332059" w:rsidRDefault="00332059" w:rsidP="000D31C3">
      <w:pPr>
        <w:pStyle w:val="CERDBodyTextDotPoint"/>
      </w:pPr>
      <w:r w:rsidRPr="00332059">
        <w:t>discrimination</w:t>
      </w:r>
    </w:p>
    <w:p w14:paraId="381B4E8A" w14:textId="77777777" w:rsidR="00332059" w:rsidRPr="00332059" w:rsidRDefault="00332059" w:rsidP="000D31C3">
      <w:pPr>
        <w:pStyle w:val="CERDBodyTextDotPoint"/>
      </w:pPr>
      <w:r w:rsidRPr="00332059">
        <w:t>health (including health records)</w:t>
      </w:r>
    </w:p>
    <w:p w14:paraId="0AA0D429" w14:textId="77777777" w:rsidR="00332059" w:rsidRPr="00332059" w:rsidRDefault="00332059" w:rsidP="000D31C3">
      <w:pPr>
        <w:pStyle w:val="CERDBodyTextDotPoint"/>
      </w:pPr>
      <w:r w:rsidRPr="00332059">
        <w:t>human rights.</w:t>
      </w:r>
    </w:p>
    <w:p w14:paraId="56F7DC12" w14:textId="77777777" w:rsidR="00332059" w:rsidRPr="00CA366F" w:rsidRDefault="00332059" w:rsidP="000D31C3">
      <w:pPr>
        <w:pStyle w:val="CERDBodyText1"/>
      </w:pPr>
      <w:r w:rsidRPr="00CA366F">
        <w:t>Free training on discrimination law is also provided to the community.</w:t>
      </w:r>
    </w:p>
    <w:p w14:paraId="7DC27AB3" w14:textId="77777777" w:rsidR="00332059" w:rsidRPr="00CA366F" w:rsidRDefault="00332059" w:rsidP="000D31C3">
      <w:pPr>
        <w:pStyle w:val="CERDBodyText1"/>
      </w:pPr>
      <w:r w:rsidRPr="00CA366F">
        <w:t xml:space="preserve">The ACT Human Rights Commissioner co-convened a workshop in early 2014 with the Australian Council of Human Rights Education and the ACT Education and Training Directorate for school teachers, to discuss how to implement human rights into their curriculum. </w:t>
      </w:r>
    </w:p>
    <w:p w14:paraId="28EA0EE7" w14:textId="77777777" w:rsidR="00332059" w:rsidRPr="00CA366F" w:rsidRDefault="00332059" w:rsidP="000D31C3">
      <w:pPr>
        <w:pStyle w:val="CERDBodyText1"/>
      </w:pPr>
      <w:r w:rsidRPr="00CA366F">
        <w:t>All new ACT Corrective Services custodial officer recruits and most community corrections recruits are trained on human rights legislation and its impacts on their roles. All staff working with young people in the Bimberi youth justice centre are required to complete human rights training.</w:t>
      </w:r>
    </w:p>
    <w:p w14:paraId="364A80B8" w14:textId="77777777" w:rsidR="00332059" w:rsidRPr="00332059" w:rsidRDefault="00332059" w:rsidP="000D31C3">
      <w:pPr>
        <w:pStyle w:val="CERDBoxTableHeading"/>
      </w:pPr>
      <w:bookmarkStart w:id="132" w:name="_Toc425850363"/>
      <w:r w:rsidRPr="00332059">
        <w:t>New South Wales</w:t>
      </w:r>
      <w:bookmarkEnd w:id="132"/>
    </w:p>
    <w:p w14:paraId="6338F3A6" w14:textId="77777777" w:rsidR="00332059" w:rsidRPr="00CA366F" w:rsidRDefault="00332059" w:rsidP="000D31C3">
      <w:pPr>
        <w:pStyle w:val="CERDBodyText1"/>
      </w:pPr>
      <w:r w:rsidRPr="00CA366F">
        <w:t>New South Wales students can study aspects of human rights throughout their schooling.</w:t>
      </w:r>
    </w:p>
    <w:p w14:paraId="1AE81B39" w14:textId="77777777" w:rsidR="00332059" w:rsidRPr="00332059" w:rsidRDefault="00332059" w:rsidP="000D31C3">
      <w:pPr>
        <w:pStyle w:val="CERDBoxTableHeading"/>
      </w:pPr>
      <w:bookmarkStart w:id="133" w:name="_Toc425850364"/>
      <w:r w:rsidRPr="00332059">
        <w:t>Northern Territory</w:t>
      </w:r>
      <w:bookmarkEnd w:id="133"/>
    </w:p>
    <w:p w14:paraId="55690D1B" w14:textId="77777777" w:rsidR="00332059" w:rsidRPr="00CA366F" w:rsidRDefault="00332059" w:rsidP="000D31C3">
      <w:pPr>
        <w:pStyle w:val="CERDBodyText1"/>
      </w:pPr>
      <w:r w:rsidRPr="00CA366F">
        <w:t>The Northern Territory is working to implement the Australian Curriculum, which treats Aboriginal and Torres Strait Islander histories and cultures as a cross curriculum priority embedded in all learning areas.</w:t>
      </w:r>
    </w:p>
    <w:p w14:paraId="3A28B5E0" w14:textId="77777777" w:rsidR="00332059" w:rsidRPr="00CA366F" w:rsidRDefault="00332059" w:rsidP="000D31C3">
      <w:pPr>
        <w:pStyle w:val="CERDBodyText1"/>
      </w:pPr>
      <w:r w:rsidRPr="00CA366F">
        <w:t>Northern Territory teachers are also able to access a set of Indigenous studies modules that have been developed using local stories, histories and cultures. These are currently being reworked to ensure alignment with the Australian Curriculum. The modules support teachers to develop knowledge and understanding of Indigenous perspectives and to authentically integrate these across learning areas. By teaching the Indigenous Studies: History and Identity modules, teachers can support students to gain an appreciation of the importance of Aboriginal and Torres Strait Islander cultures as part of the heritage of every Australian. The modules enable students to understand that Aboriginal and Torres Strait Islander identity is not a narrowly defined concept but includes the spectrum of people’s perceptions of themselves and their changing lifestyles. They can also help students understand that there are many complex and varied issues confronting Aboriginal and Torres Strait Islander peoples today.</w:t>
      </w:r>
    </w:p>
    <w:p w14:paraId="21F7E551" w14:textId="57F6B81D" w:rsidR="00332059" w:rsidRDefault="00332059" w:rsidP="000D31C3">
      <w:pPr>
        <w:pStyle w:val="CERDBodyText1"/>
      </w:pPr>
      <w:r w:rsidRPr="00CA366F">
        <w:t xml:space="preserve">The Northern Territory Police Force implements appropriate cultural awareness training for its members. </w:t>
      </w:r>
    </w:p>
    <w:p w14:paraId="2F0D0F5D" w14:textId="34C74F43" w:rsidR="000D31C3" w:rsidRDefault="000D31C3" w:rsidP="000D31C3">
      <w:pPr>
        <w:pStyle w:val="CERDBoxTableHeading"/>
      </w:pPr>
      <w:bookmarkStart w:id="134" w:name="_Toc425850365"/>
      <w:r>
        <w:t>Queensland</w:t>
      </w:r>
      <w:bookmarkEnd w:id="134"/>
    </w:p>
    <w:p w14:paraId="5E77181B" w14:textId="2777285C" w:rsidR="000D31C3" w:rsidRPr="006073A3" w:rsidRDefault="000D31C3" w:rsidP="000D31C3">
      <w:pPr>
        <w:pStyle w:val="CERDBodyText1"/>
      </w:pPr>
      <w:r w:rsidRPr="006073A3">
        <w:t xml:space="preserve">The </w:t>
      </w:r>
      <w:r w:rsidRPr="00AF787E">
        <w:rPr>
          <w:i/>
        </w:rPr>
        <w:t>Anti-Discrimination Act 1991</w:t>
      </w:r>
      <w:r w:rsidRPr="006073A3">
        <w:t xml:space="preserve"> </w:t>
      </w:r>
      <w:r w:rsidR="00AF787E">
        <w:t xml:space="preserve">(Qld) </w:t>
      </w:r>
      <w:r w:rsidRPr="006073A3">
        <w:t xml:space="preserve">(ADA) established the Anti-Discrimination Commission Queensland (ADCQ), which has the function of promoting “an understanding and acceptance, and the public discussion, of human rights in Queensland”. The ADCQ provides training on request to any sector of the community in the operation of the ADA, including the human rights principles on which it is based. The ADCQ also provides information about the ADA in hard copy and electronic formats, and in spoken word formats (i.e., compact disc or audio cassette) and maintains </w:t>
      </w:r>
      <w:r w:rsidRPr="006073A3">
        <w:lastRenderedPageBreak/>
        <w:t>a comprehensive and accessible website which provides information about the ADA in more than 30 languages other than English.</w:t>
      </w:r>
    </w:p>
    <w:p w14:paraId="19E4B3AE" w14:textId="7AF5F6FE" w:rsidR="000D31C3" w:rsidRPr="006073A3" w:rsidRDefault="000D31C3" w:rsidP="000D31C3">
      <w:pPr>
        <w:pStyle w:val="CERDBodyText1"/>
      </w:pPr>
      <w:r w:rsidRPr="006073A3">
        <w:t xml:space="preserve">The Queensland Department of Education and Training (DET) developed an online Diversity training program in 2011 to raise employee awareness of legislation and policies, including the Queensland </w:t>
      </w:r>
      <w:r w:rsidRPr="00AF787E">
        <w:rPr>
          <w:i/>
        </w:rPr>
        <w:t>Anti-Discrimination Act 1991</w:t>
      </w:r>
      <w:r w:rsidRPr="006073A3">
        <w:t xml:space="preserve">, the Commonwealth </w:t>
      </w:r>
      <w:r w:rsidRPr="00AF787E">
        <w:rPr>
          <w:i/>
        </w:rPr>
        <w:t>Sex Discrimination Act 1984</w:t>
      </w:r>
      <w:r w:rsidRPr="006073A3">
        <w:t xml:space="preserve">, the </w:t>
      </w:r>
      <w:r w:rsidRPr="00AF787E">
        <w:rPr>
          <w:i/>
        </w:rPr>
        <w:t>Australian Human Rights Commission Act 1986</w:t>
      </w:r>
      <w:r w:rsidR="00AF787E">
        <w:t xml:space="preserve"> (Cth)</w:t>
      </w:r>
      <w:r w:rsidRPr="006073A3">
        <w:t xml:space="preserve"> and the DET Workforce Diversity Guidelines.  Over 1,000 participants are enrolled in this program at any given time.</w:t>
      </w:r>
    </w:p>
    <w:p w14:paraId="7635D12F" w14:textId="27307D02" w:rsidR="00332059" w:rsidRPr="00332059" w:rsidRDefault="00332059" w:rsidP="000D31C3">
      <w:pPr>
        <w:pStyle w:val="CERDBoxTableHeading"/>
      </w:pPr>
      <w:bookmarkStart w:id="135" w:name="_Toc425850366"/>
      <w:r w:rsidRPr="00332059">
        <w:t>Tasmania</w:t>
      </w:r>
      <w:bookmarkEnd w:id="135"/>
    </w:p>
    <w:p w14:paraId="09A6E027" w14:textId="77777777" w:rsidR="00332059" w:rsidRPr="00CA366F" w:rsidRDefault="00332059" w:rsidP="000D31C3">
      <w:pPr>
        <w:pStyle w:val="CERDBodyText1"/>
      </w:pPr>
      <w:r w:rsidRPr="00CA366F">
        <w:t xml:space="preserve">Section 104 of the </w:t>
      </w:r>
      <w:r w:rsidRPr="00A75B42">
        <w:rPr>
          <w:i/>
        </w:rPr>
        <w:t>Anti-Discrimination Act 1998</w:t>
      </w:r>
      <w:r w:rsidRPr="00CA366F">
        <w:t xml:space="preserve"> (TAS) requires organisations to ensure that its members are aware of the prohibitions against discrimination set out in the Act. Human Rights training is integrated into a number of training programs for Tasmanian Government employees. The Office of the Anti-Discrimination Commissioner also provides training and community education for the promotion of human rights. </w:t>
      </w:r>
    </w:p>
    <w:p w14:paraId="61F1F72E" w14:textId="77777777" w:rsidR="00332059" w:rsidRPr="00CA366F" w:rsidRDefault="00332059" w:rsidP="000D31C3">
      <w:pPr>
        <w:pStyle w:val="CERDBodyText1"/>
      </w:pPr>
      <w:r w:rsidRPr="00CA366F">
        <w:t>The recruitment process for police officers in Tasmania includes rigorous psychometric testing that screens for racist, sexist and homophobic attitudes. Police officers also receive training on cultural awareness to enhance their knowledge and skills in interacting with a diverse community.</w:t>
      </w:r>
    </w:p>
    <w:p w14:paraId="1AA496B3" w14:textId="77777777" w:rsidR="00332059" w:rsidRPr="00332059" w:rsidRDefault="00332059" w:rsidP="000D31C3">
      <w:pPr>
        <w:pStyle w:val="CERDBoxTableHeading"/>
      </w:pPr>
      <w:bookmarkStart w:id="136" w:name="_Toc425850367"/>
      <w:r w:rsidRPr="00332059">
        <w:t>Western Australia</w:t>
      </w:r>
      <w:bookmarkEnd w:id="136"/>
    </w:p>
    <w:p w14:paraId="64183838" w14:textId="5F2F28A4" w:rsidR="00F22EC5" w:rsidRPr="000D31C3" w:rsidRDefault="00332059" w:rsidP="000D31C3">
      <w:pPr>
        <w:pStyle w:val="CERDBodyText1"/>
      </w:pPr>
      <w:r w:rsidRPr="000D31C3">
        <w:t>The Western Australia pre-primary to Year 10 curriculum for Humanities and Social Sciences will be adapted from the Australian curriculum.</w:t>
      </w:r>
    </w:p>
    <w:sectPr w:rsidR="00F22EC5" w:rsidRPr="000D31C3" w:rsidSect="000A08CB">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D79E5" w14:textId="77777777" w:rsidR="0042608F" w:rsidRDefault="0042608F" w:rsidP="0001067E">
      <w:r>
        <w:separator/>
      </w:r>
    </w:p>
  </w:endnote>
  <w:endnote w:type="continuationSeparator" w:id="0">
    <w:p w14:paraId="659702F4" w14:textId="77777777" w:rsidR="0042608F" w:rsidRDefault="0042608F" w:rsidP="0001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Times New Roman"/>
    <w:panose1 w:val="020B05030304030202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049EF" w14:textId="77777777" w:rsidR="009A25DE" w:rsidRDefault="009A25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16"/>
        <w:szCs w:val="16"/>
      </w:rPr>
      <w:id w:val="-2108720392"/>
      <w:docPartObj>
        <w:docPartGallery w:val="Page Numbers (Bottom of Page)"/>
        <w:docPartUnique/>
      </w:docPartObj>
    </w:sdtPr>
    <w:sdtEndPr/>
    <w:sdtContent>
      <w:sdt>
        <w:sdtPr>
          <w:rPr>
            <w:b/>
            <w:sz w:val="16"/>
            <w:szCs w:val="16"/>
          </w:rPr>
          <w:id w:val="860082579"/>
          <w:docPartObj>
            <w:docPartGallery w:val="Page Numbers (Top of Page)"/>
            <w:docPartUnique/>
          </w:docPartObj>
        </w:sdtPr>
        <w:sdtEndPr/>
        <w:sdtContent>
          <w:p w14:paraId="5B5B50CC" w14:textId="77777777" w:rsidR="0042608F" w:rsidRPr="00A339B0" w:rsidRDefault="0042608F" w:rsidP="00C413D7">
            <w:pPr>
              <w:pStyle w:val="Footer"/>
              <w:spacing w:before="80"/>
              <w:jc w:val="center"/>
              <w:rPr>
                <w:b/>
                <w:caps/>
                <w:color w:val="C00000"/>
                <w:sz w:val="16"/>
                <w:szCs w:val="16"/>
                <w:lang w:val="en-AU"/>
              </w:rPr>
            </w:pPr>
            <w:r w:rsidRPr="00A339B0">
              <w:rPr>
                <w:b/>
                <w:caps/>
                <w:color w:val="C00000"/>
                <w:sz w:val="16"/>
                <w:szCs w:val="16"/>
              </w:rPr>
              <w:t>Unclassified</w:t>
            </w:r>
          </w:p>
          <w:p w14:paraId="1242E612" w14:textId="44947D2B" w:rsidR="0042608F" w:rsidRPr="00A339B0" w:rsidRDefault="0042608F" w:rsidP="00C413D7">
            <w:pPr>
              <w:pStyle w:val="Footer"/>
              <w:spacing w:before="80"/>
              <w:jc w:val="right"/>
              <w:rPr>
                <w:b/>
                <w:sz w:val="16"/>
                <w:szCs w:val="16"/>
              </w:rPr>
            </w:pPr>
            <w:r w:rsidRPr="00A339B0">
              <w:rPr>
                <w:b/>
                <w:sz w:val="16"/>
                <w:szCs w:val="16"/>
              </w:rPr>
              <w:t xml:space="preserve">Page </w:t>
            </w:r>
            <w:r w:rsidRPr="00A339B0">
              <w:rPr>
                <w:b/>
                <w:bCs/>
                <w:sz w:val="16"/>
                <w:szCs w:val="16"/>
              </w:rPr>
              <w:fldChar w:fldCharType="begin"/>
            </w:r>
            <w:r w:rsidRPr="00A339B0">
              <w:rPr>
                <w:b/>
                <w:bCs/>
                <w:sz w:val="16"/>
                <w:szCs w:val="16"/>
              </w:rPr>
              <w:instrText xml:space="preserve"> PAGE </w:instrText>
            </w:r>
            <w:r w:rsidRPr="00A339B0">
              <w:rPr>
                <w:b/>
                <w:bCs/>
                <w:sz w:val="16"/>
                <w:szCs w:val="16"/>
              </w:rPr>
              <w:fldChar w:fldCharType="separate"/>
            </w:r>
            <w:r w:rsidR="009A25DE">
              <w:rPr>
                <w:b/>
                <w:bCs/>
                <w:noProof/>
                <w:sz w:val="16"/>
                <w:szCs w:val="16"/>
              </w:rPr>
              <w:t>5</w:t>
            </w:r>
            <w:r w:rsidRPr="00A339B0">
              <w:rPr>
                <w:b/>
                <w:bCs/>
                <w:sz w:val="16"/>
                <w:szCs w:val="16"/>
              </w:rPr>
              <w:fldChar w:fldCharType="end"/>
            </w:r>
            <w:r w:rsidRPr="00A339B0">
              <w:rPr>
                <w:b/>
                <w:sz w:val="16"/>
                <w:szCs w:val="16"/>
              </w:rPr>
              <w:t xml:space="preserve"> of </w:t>
            </w:r>
            <w:r w:rsidRPr="00A339B0">
              <w:rPr>
                <w:b/>
                <w:bCs/>
                <w:sz w:val="16"/>
                <w:szCs w:val="16"/>
              </w:rPr>
              <w:fldChar w:fldCharType="begin"/>
            </w:r>
            <w:r w:rsidRPr="00A339B0">
              <w:rPr>
                <w:b/>
                <w:bCs/>
                <w:sz w:val="16"/>
                <w:szCs w:val="16"/>
              </w:rPr>
              <w:instrText xml:space="preserve"> NUMPAGES  </w:instrText>
            </w:r>
            <w:r w:rsidRPr="00A339B0">
              <w:rPr>
                <w:b/>
                <w:bCs/>
                <w:sz w:val="16"/>
                <w:szCs w:val="16"/>
              </w:rPr>
              <w:fldChar w:fldCharType="separate"/>
            </w:r>
            <w:r w:rsidR="009A25DE">
              <w:rPr>
                <w:b/>
                <w:bCs/>
                <w:noProof/>
                <w:sz w:val="16"/>
                <w:szCs w:val="16"/>
              </w:rPr>
              <w:t>45</w:t>
            </w:r>
            <w:r w:rsidRPr="00A339B0">
              <w:rPr>
                <w:b/>
                <w:bCs/>
                <w:sz w:val="16"/>
                <w:szCs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CF105" w14:textId="77777777" w:rsidR="009A25DE" w:rsidRDefault="009A25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378A4" w14:textId="77777777" w:rsidR="0042608F" w:rsidRDefault="0042608F" w:rsidP="0001067E">
      <w:r>
        <w:separator/>
      </w:r>
    </w:p>
  </w:footnote>
  <w:footnote w:type="continuationSeparator" w:id="0">
    <w:p w14:paraId="5A7CF609" w14:textId="77777777" w:rsidR="0042608F" w:rsidRDefault="0042608F" w:rsidP="0001067E">
      <w:r>
        <w:continuationSeparator/>
      </w:r>
    </w:p>
  </w:footnote>
  <w:footnote w:id="1">
    <w:p w14:paraId="6EE4AC88" w14:textId="77777777" w:rsidR="0042608F" w:rsidRPr="009E7F27" w:rsidRDefault="0042608F" w:rsidP="009E7F27">
      <w:pPr>
        <w:pStyle w:val="FootnoteText"/>
        <w:spacing w:before="40" w:line="240" w:lineRule="auto"/>
        <w:jc w:val="left"/>
        <w:rPr>
          <w:rFonts w:cs="Calibri"/>
          <w:sz w:val="15"/>
          <w:szCs w:val="15"/>
        </w:rPr>
      </w:pPr>
      <w:r w:rsidRPr="009E7F27">
        <w:rPr>
          <w:rStyle w:val="FootnoteReference"/>
          <w:rFonts w:cs="Calibri"/>
          <w:sz w:val="15"/>
          <w:szCs w:val="15"/>
        </w:rPr>
        <w:footnoteRef/>
      </w:r>
      <w:r w:rsidRPr="009E7F27">
        <w:rPr>
          <w:rFonts w:cs="Calibri"/>
          <w:sz w:val="15"/>
          <w:szCs w:val="15"/>
        </w:rPr>
        <w:t xml:space="preserve"> The terms Koori and Koories are used in this report, along with Aboriginal and Indigenous, to describe the traditional inhabitants of Victoria and the Australian Capital Territory.</w:t>
      </w:r>
    </w:p>
  </w:footnote>
  <w:footnote w:id="2">
    <w:p w14:paraId="55BBC10F" w14:textId="77777777" w:rsidR="0042608F" w:rsidRPr="009E7F27" w:rsidRDefault="0042608F" w:rsidP="009E7F27">
      <w:pPr>
        <w:pStyle w:val="FootnoteText"/>
        <w:spacing w:before="40" w:line="240" w:lineRule="auto"/>
        <w:jc w:val="left"/>
        <w:rPr>
          <w:rFonts w:cs="Calibri"/>
          <w:sz w:val="15"/>
          <w:szCs w:val="15"/>
        </w:rPr>
      </w:pPr>
      <w:r w:rsidRPr="009E7F27">
        <w:rPr>
          <w:rStyle w:val="FootnoteReference"/>
          <w:rFonts w:cs="Calibri"/>
          <w:sz w:val="15"/>
          <w:szCs w:val="15"/>
        </w:rPr>
        <w:footnoteRef/>
      </w:r>
      <w:r w:rsidRPr="009E7F27">
        <w:rPr>
          <w:rFonts w:cs="Calibri"/>
          <w:sz w:val="15"/>
          <w:szCs w:val="15"/>
        </w:rPr>
        <w:t xml:space="preserve"> </w:t>
      </w:r>
      <w:hyperlink r:id="rId1" w:history="1">
        <w:r w:rsidRPr="009E7F27">
          <w:rPr>
            <w:rFonts w:eastAsiaTheme="minorEastAsia" w:cs="Calibri"/>
            <w:sz w:val="15"/>
            <w:szCs w:val="15"/>
            <w:lang w:eastAsia="ja-JP"/>
          </w:rPr>
          <w:t>Further</w:t>
        </w:r>
      </w:hyperlink>
      <w:r w:rsidRPr="009E7F27">
        <w:rPr>
          <w:rFonts w:eastAsiaTheme="minorEastAsia" w:cs="Calibri"/>
          <w:sz w:val="15"/>
          <w:szCs w:val="15"/>
          <w:lang w:eastAsia="ja-JP"/>
        </w:rPr>
        <w:t xml:space="preserve"> information available at: </w:t>
      </w:r>
      <w:hyperlink r:id="rId2" w:history="1">
        <w:r w:rsidRPr="009E7F27">
          <w:rPr>
            <w:rStyle w:val="Hyperlink"/>
            <w:rFonts w:cs="Calibri"/>
            <w:sz w:val="15"/>
            <w:szCs w:val="15"/>
          </w:rPr>
          <w:t>http://www.dpac.tas.gov.au/divisions/csrt/policy/our_policies/disability_framework_for_action</w:t>
        </w:r>
      </w:hyperlink>
    </w:p>
  </w:footnote>
  <w:footnote w:id="3">
    <w:p w14:paraId="1EEA4C9F" w14:textId="77777777" w:rsidR="0042608F" w:rsidRPr="009E7F27" w:rsidRDefault="0042608F" w:rsidP="009E7F27">
      <w:pPr>
        <w:spacing w:before="40"/>
        <w:jc w:val="left"/>
        <w:rPr>
          <w:rFonts w:ascii="Calibri" w:hAnsi="Calibri" w:cs="Calibri"/>
          <w:sz w:val="15"/>
          <w:szCs w:val="15"/>
          <w:lang w:val="en-AU"/>
        </w:rPr>
      </w:pPr>
      <w:r w:rsidRPr="009E7F27">
        <w:rPr>
          <w:rStyle w:val="FootnoteReference"/>
          <w:rFonts w:ascii="Calibri" w:hAnsi="Calibri" w:cs="Calibri"/>
          <w:sz w:val="15"/>
          <w:szCs w:val="15"/>
        </w:rPr>
        <w:footnoteRef/>
      </w:r>
      <w:r w:rsidRPr="009E7F27">
        <w:rPr>
          <w:rFonts w:ascii="Calibri" w:hAnsi="Calibri" w:cs="Calibri"/>
          <w:sz w:val="15"/>
          <w:szCs w:val="15"/>
        </w:rPr>
        <w:t xml:space="preserve"> Further information available at: </w:t>
      </w:r>
      <w:hyperlink r:id="rId3" w:history="1">
        <w:r w:rsidRPr="009E7F27">
          <w:rPr>
            <w:rStyle w:val="Hyperlink"/>
            <w:rFonts w:ascii="Calibri" w:hAnsi="Calibri" w:cs="Calibri"/>
            <w:sz w:val="15"/>
            <w:szCs w:val="15"/>
          </w:rPr>
          <w:t>www.women.nsw.gov.au/violence_prevention/Domestic_and_Family_Violence_Reforms</w:t>
        </w:r>
      </w:hyperlink>
    </w:p>
  </w:footnote>
  <w:footnote w:id="4">
    <w:p w14:paraId="0562CF83" w14:textId="71CD8F4B" w:rsidR="0042608F" w:rsidRPr="009E7F27" w:rsidRDefault="0042608F" w:rsidP="009E7F27">
      <w:pPr>
        <w:pStyle w:val="FootnoteText"/>
        <w:spacing w:before="40" w:line="240" w:lineRule="auto"/>
        <w:jc w:val="left"/>
        <w:rPr>
          <w:sz w:val="15"/>
          <w:szCs w:val="15"/>
          <w:lang w:val="en-AU"/>
        </w:rPr>
      </w:pPr>
      <w:r w:rsidRPr="009E7F27">
        <w:rPr>
          <w:rStyle w:val="FootnoteReference"/>
          <w:sz w:val="15"/>
          <w:szCs w:val="15"/>
        </w:rPr>
        <w:footnoteRef/>
      </w:r>
      <w:r w:rsidRPr="009E7F27">
        <w:rPr>
          <w:sz w:val="15"/>
          <w:szCs w:val="15"/>
        </w:rPr>
        <w:t xml:space="preserve"> </w:t>
      </w:r>
      <w:r w:rsidRPr="009E7F27">
        <w:rPr>
          <w:rFonts w:cs="Calibri"/>
          <w:sz w:val="15"/>
          <w:szCs w:val="15"/>
        </w:rPr>
        <w:t xml:space="preserve">Further information available at: </w:t>
      </w:r>
      <w:hyperlink r:id="rId4" w:history="1">
        <w:r w:rsidRPr="009E7F27">
          <w:rPr>
            <w:rStyle w:val="Hyperlink"/>
            <w:sz w:val="15"/>
            <w:szCs w:val="15"/>
          </w:rPr>
          <w:t>http://www.domesticviolence.nsw.gov.au/publications/service-providers-iit-stops-here-safer-pathwayi</w:t>
        </w:r>
      </w:hyperlink>
      <w:r w:rsidRPr="009E7F27">
        <w:rPr>
          <w:sz w:val="15"/>
          <w:szCs w:val="15"/>
        </w:rPr>
        <w:t xml:space="preserve"> </w:t>
      </w:r>
    </w:p>
  </w:footnote>
  <w:footnote w:id="5">
    <w:p w14:paraId="1D8A2005" w14:textId="77777777" w:rsidR="0042608F" w:rsidRPr="009E7F27" w:rsidRDefault="0042608F" w:rsidP="009E7F27">
      <w:pPr>
        <w:spacing w:before="40"/>
        <w:jc w:val="left"/>
        <w:rPr>
          <w:rFonts w:ascii="Calibri" w:hAnsi="Calibri" w:cs="Calibri"/>
          <w:sz w:val="15"/>
          <w:szCs w:val="15"/>
          <w:lang w:val="en-AU"/>
        </w:rPr>
      </w:pPr>
      <w:r w:rsidRPr="009E7F27">
        <w:rPr>
          <w:rStyle w:val="FootnoteReference"/>
          <w:rFonts w:ascii="Calibri" w:hAnsi="Calibri" w:cs="Calibri"/>
          <w:sz w:val="15"/>
          <w:szCs w:val="15"/>
        </w:rPr>
        <w:footnoteRef/>
      </w:r>
      <w:r w:rsidRPr="009E7F27">
        <w:rPr>
          <w:rFonts w:ascii="Calibri" w:hAnsi="Calibri" w:cs="Calibri"/>
          <w:sz w:val="15"/>
          <w:szCs w:val="15"/>
        </w:rPr>
        <w:t xml:space="preserve"> Reference: NSW Bureau of Crime Statistics and Research (Reference: sr14-12602) </w:t>
      </w:r>
      <w:r w:rsidRPr="009E7F27">
        <w:rPr>
          <w:rFonts w:ascii="Calibri" w:hAnsi="Calibri" w:cs="Calibri"/>
          <w:i/>
          <w:sz w:val="15"/>
          <w:szCs w:val="15"/>
        </w:rPr>
        <w:t>Interactive Crime Tool</w:t>
      </w:r>
      <w:r w:rsidRPr="009E7F27">
        <w:rPr>
          <w:rFonts w:ascii="Calibri" w:hAnsi="Calibri" w:cs="Calibri"/>
          <w:sz w:val="15"/>
          <w:szCs w:val="15"/>
        </w:rPr>
        <w:t xml:space="preserve">, June 2014; and </w:t>
      </w:r>
      <w:r w:rsidRPr="009E7F27">
        <w:rPr>
          <w:rFonts w:ascii="Calibri" w:hAnsi="Calibri" w:cs="Calibri"/>
          <w:sz w:val="15"/>
          <w:szCs w:val="15"/>
        </w:rPr>
        <w:br/>
        <w:t xml:space="preserve">NSW Bureau of Crime Statistics and Research; </w:t>
      </w:r>
      <w:r w:rsidRPr="009E7F27">
        <w:rPr>
          <w:rFonts w:ascii="Calibri" w:hAnsi="Calibri" w:cs="Calibri"/>
          <w:i/>
          <w:sz w:val="15"/>
          <w:szCs w:val="15"/>
        </w:rPr>
        <w:t>Crime and Justice Statistics, Issues Paper No. 91</w:t>
      </w:r>
      <w:r w:rsidRPr="009E7F27">
        <w:rPr>
          <w:rFonts w:ascii="Calibri" w:hAnsi="Calibri" w:cs="Calibri"/>
          <w:sz w:val="15"/>
          <w:szCs w:val="15"/>
        </w:rPr>
        <w:t xml:space="preserve">, October 2013. Further information available at: </w:t>
      </w:r>
      <w:hyperlink r:id="rId5" w:history="1">
        <w:r w:rsidRPr="009E7F27">
          <w:rPr>
            <w:rStyle w:val="Hyperlink"/>
            <w:rFonts w:ascii="Calibri" w:hAnsi="Calibri" w:cs="Calibri"/>
            <w:sz w:val="15"/>
            <w:szCs w:val="15"/>
          </w:rPr>
          <w:t>http://www.bocsar.nsw.gov.au/bocsar/bocsar_index.html</w:t>
        </w:r>
      </w:hyperlink>
    </w:p>
  </w:footnote>
  <w:footnote w:id="6">
    <w:p w14:paraId="56FB1264" w14:textId="77777777" w:rsidR="0042608F" w:rsidRPr="009E7F27" w:rsidRDefault="0042608F" w:rsidP="009E7F27">
      <w:pPr>
        <w:pStyle w:val="FootnoteText"/>
        <w:spacing w:before="40" w:line="240" w:lineRule="auto"/>
        <w:jc w:val="left"/>
        <w:rPr>
          <w:rFonts w:cs="Calibri"/>
          <w:sz w:val="15"/>
          <w:szCs w:val="15"/>
        </w:rPr>
      </w:pPr>
      <w:r w:rsidRPr="009E7F27">
        <w:rPr>
          <w:rStyle w:val="FootnoteReference"/>
          <w:rFonts w:cs="Calibri"/>
          <w:sz w:val="15"/>
          <w:szCs w:val="15"/>
        </w:rPr>
        <w:footnoteRef/>
      </w:r>
      <w:r w:rsidRPr="009E7F27">
        <w:rPr>
          <w:rFonts w:cs="Calibri"/>
          <w:sz w:val="15"/>
          <w:szCs w:val="15"/>
        </w:rPr>
        <w:t xml:space="preserve"> Further information available at: </w:t>
      </w:r>
      <w:hyperlink r:id="rId6" w:history="1">
        <w:r w:rsidRPr="009E7F27">
          <w:rPr>
            <w:rStyle w:val="Hyperlink"/>
            <w:rFonts w:cs="Calibri"/>
            <w:sz w:val="15"/>
            <w:szCs w:val="15"/>
          </w:rPr>
          <w:t>http://www.domesticviolence.nt.gov.au/documents/Domestic_Violence_Strategy.pdf</w:t>
        </w:r>
      </w:hyperlink>
    </w:p>
  </w:footnote>
  <w:footnote w:id="7">
    <w:p w14:paraId="78FD7777" w14:textId="77777777" w:rsidR="0042608F" w:rsidRPr="009E7F27" w:rsidRDefault="0042608F" w:rsidP="009E7F27">
      <w:pPr>
        <w:pStyle w:val="FootnoteText"/>
        <w:spacing w:before="40" w:line="240" w:lineRule="auto"/>
        <w:jc w:val="left"/>
        <w:rPr>
          <w:rFonts w:cs="Calibri"/>
          <w:sz w:val="15"/>
          <w:szCs w:val="15"/>
        </w:rPr>
      </w:pPr>
      <w:r w:rsidRPr="009E7F27">
        <w:rPr>
          <w:rStyle w:val="FootnoteReference"/>
          <w:rFonts w:cs="Calibri"/>
          <w:sz w:val="15"/>
          <w:szCs w:val="15"/>
        </w:rPr>
        <w:footnoteRef/>
      </w:r>
      <w:r w:rsidRPr="009E7F27">
        <w:rPr>
          <w:rFonts w:cs="Calibri"/>
          <w:sz w:val="15"/>
          <w:szCs w:val="15"/>
        </w:rPr>
        <w:t xml:space="preserve"> Further information available at: </w:t>
      </w:r>
      <w:hyperlink r:id="rId7" w:history="1">
        <w:r w:rsidRPr="009E7F27">
          <w:rPr>
            <w:rStyle w:val="Hyperlink"/>
            <w:rFonts w:cs="Calibri"/>
            <w:sz w:val="15"/>
            <w:szCs w:val="15"/>
          </w:rPr>
          <w:t>www.pfes.nt.gov.au/Police/Community-safety/Northern-Territory-Crime-Statistics.aspx</w:t>
        </w:r>
      </w:hyperlink>
    </w:p>
  </w:footnote>
  <w:footnote w:id="8">
    <w:p w14:paraId="2EDD1B13" w14:textId="77777777" w:rsidR="0042608F" w:rsidRPr="009E7F27" w:rsidRDefault="0042608F" w:rsidP="009E7F27">
      <w:pPr>
        <w:pStyle w:val="FootnoteText"/>
        <w:spacing w:before="40" w:line="240" w:lineRule="auto"/>
        <w:jc w:val="left"/>
        <w:rPr>
          <w:rFonts w:cs="Calibri"/>
          <w:sz w:val="15"/>
          <w:szCs w:val="15"/>
        </w:rPr>
      </w:pPr>
      <w:r w:rsidRPr="009E7F27">
        <w:rPr>
          <w:rStyle w:val="FootnoteReference"/>
          <w:rFonts w:cs="Calibri"/>
          <w:sz w:val="15"/>
          <w:szCs w:val="15"/>
        </w:rPr>
        <w:footnoteRef/>
      </w:r>
      <w:r w:rsidRPr="009E7F27">
        <w:rPr>
          <w:rFonts w:cs="Calibri"/>
          <w:sz w:val="15"/>
          <w:szCs w:val="15"/>
        </w:rPr>
        <w:t xml:space="preserve"> Further information available at: </w:t>
      </w:r>
      <w:hyperlink r:id="rId8" w:history="1">
        <w:r w:rsidRPr="009E7F27">
          <w:rPr>
            <w:rStyle w:val="Hyperlink"/>
            <w:rFonts w:cs="Calibri"/>
            <w:sz w:val="15"/>
            <w:szCs w:val="15"/>
          </w:rPr>
          <w:t>www.nt.gov.au/justice/policycoord/documents/statistics/nt_annual_crime_statistics_2012.pdf</w:t>
        </w:r>
      </w:hyperlink>
    </w:p>
  </w:footnote>
  <w:footnote w:id="9">
    <w:p w14:paraId="736471B4" w14:textId="77777777" w:rsidR="0042608F" w:rsidRPr="009E7F27" w:rsidRDefault="0042608F" w:rsidP="009E7F27">
      <w:pPr>
        <w:pStyle w:val="FootnoteText"/>
        <w:spacing w:before="40" w:line="240" w:lineRule="auto"/>
        <w:jc w:val="left"/>
        <w:rPr>
          <w:rFonts w:cs="Calibri"/>
          <w:sz w:val="15"/>
          <w:szCs w:val="15"/>
        </w:rPr>
      </w:pPr>
      <w:r w:rsidRPr="009E7F27">
        <w:rPr>
          <w:rStyle w:val="FootnoteReference"/>
          <w:rFonts w:eastAsiaTheme="minorHAnsi" w:cs="Calibri"/>
          <w:sz w:val="15"/>
          <w:szCs w:val="15"/>
        </w:rPr>
        <w:footnoteRef/>
      </w:r>
      <w:r w:rsidRPr="009E7F27">
        <w:rPr>
          <w:rFonts w:cs="Calibri"/>
          <w:sz w:val="15"/>
          <w:szCs w:val="15"/>
        </w:rPr>
        <w:t xml:space="preserve"> The Australian Institute of Health and Welfare maintains the National Hospital Morbidity Database, which consists of data compiled from all jurisdictions in Australia relating to hospital (both public and private) separations. This includes the causes of injury that are coded using the International Statistical Classification of Diseases and related Health Problems, 10</w:t>
      </w:r>
      <w:r w:rsidRPr="009E7F27">
        <w:rPr>
          <w:rFonts w:cs="Calibri"/>
          <w:sz w:val="15"/>
          <w:szCs w:val="15"/>
          <w:vertAlign w:val="superscript"/>
        </w:rPr>
        <w:t>th</w:t>
      </w:r>
      <w:r w:rsidRPr="009E7F27">
        <w:rPr>
          <w:rFonts w:cs="Calibri"/>
          <w:sz w:val="15"/>
          <w:szCs w:val="15"/>
        </w:rPr>
        <w:t xml:space="preserve"> revision, Australian Modification (ICD-10-AM). The present review concerns hospital separations that occurred as a result of assault. A four-year period is reviewed from 2008–09 to 2011–12. These data represent the latest publically available data of their type and while not capturing the full picture of community and family violence they do provide a clear marker for risk. Hospital admissions are arguably a more valid and reliable measure of exposure to family and community violence than other commonly reported statistics because they are based on actual harm rather than self-report.</w:t>
      </w:r>
    </w:p>
  </w:footnote>
  <w:footnote w:id="10">
    <w:p w14:paraId="6F6B035E" w14:textId="77777777" w:rsidR="0042608F" w:rsidRPr="009E7F27" w:rsidRDefault="0042608F" w:rsidP="009E7F27">
      <w:pPr>
        <w:pStyle w:val="FootnoteText"/>
        <w:spacing w:before="40" w:line="240" w:lineRule="auto"/>
        <w:jc w:val="left"/>
        <w:rPr>
          <w:rFonts w:cs="Calibri"/>
          <w:sz w:val="15"/>
          <w:szCs w:val="15"/>
        </w:rPr>
      </w:pPr>
      <w:r w:rsidRPr="009E7F27">
        <w:rPr>
          <w:rStyle w:val="FootnoteReference"/>
          <w:rFonts w:cs="Calibri"/>
          <w:sz w:val="15"/>
          <w:szCs w:val="15"/>
        </w:rPr>
        <w:footnoteRef/>
      </w:r>
      <w:r w:rsidRPr="009E7F27">
        <w:rPr>
          <w:rFonts w:cs="Calibri"/>
          <w:sz w:val="15"/>
          <w:szCs w:val="15"/>
        </w:rPr>
        <w:t xml:space="preserve"> Further information available in, </w:t>
      </w:r>
      <w:r w:rsidRPr="009E7F27">
        <w:rPr>
          <w:rFonts w:cs="Calibri"/>
          <w:i/>
          <w:sz w:val="15"/>
          <w:szCs w:val="15"/>
        </w:rPr>
        <w:t>South Australian Strategic Plan Target 18: Violence against women: a significant and sustained reduction in violence against women through to 2022</w:t>
      </w:r>
      <w:r w:rsidRPr="009E7F27">
        <w:rPr>
          <w:rFonts w:cs="Calibri"/>
          <w:sz w:val="15"/>
          <w:szCs w:val="15"/>
        </w:rPr>
        <w:t xml:space="preserve"> at: </w:t>
      </w:r>
      <w:hyperlink r:id="rId9" w:history="1">
        <w:r w:rsidRPr="009E7F27">
          <w:rPr>
            <w:rStyle w:val="Hyperlink"/>
            <w:rFonts w:cs="Calibri"/>
            <w:sz w:val="15"/>
            <w:szCs w:val="15"/>
          </w:rPr>
          <w:t>http://saplan.org.au/targets/18-violence-against-women</w:t>
        </w:r>
      </w:hyperlink>
    </w:p>
  </w:footnote>
  <w:footnote w:id="11">
    <w:p w14:paraId="776D2C73" w14:textId="77777777" w:rsidR="0042608F" w:rsidRPr="009E7F27" w:rsidRDefault="0042608F" w:rsidP="009E7F27">
      <w:pPr>
        <w:pStyle w:val="FootnoteText"/>
        <w:spacing w:before="40" w:line="240" w:lineRule="auto"/>
        <w:jc w:val="left"/>
        <w:rPr>
          <w:rFonts w:cs="Calibri"/>
          <w:sz w:val="15"/>
          <w:szCs w:val="15"/>
        </w:rPr>
      </w:pPr>
      <w:r w:rsidRPr="009E7F27">
        <w:rPr>
          <w:rStyle w:val="FootnoteReference"/>
          <w:rFonts w:cs="Calibri"/>
          <w:sz w:val="15"/>
          <w:szCs w:val="15"/>
        </w:rPr>
        <w:footnoteRef/>
      </w:r>
      <w:r w:rsidRPr="009E7F27">
        <w:rPr>
          <w:rFonts w:cs="Calibri"/>
          <w:sz w:val="15"/>
          <w:szCs w:val="15"/>
        </w:rPr>
        <w:t xml:space="preserve"> Further information available at: </w:t>
      </w:r>
      <w:hyperlink r:id="rId10" w:history="1">
        <w:r w:rsidRPr="009E7F27">
          <w:rPr>
            <w:rStyle w:val="Hyperlink"/>
            <w:rFonts w:cs="Calibri"/>
            <w:sz w:val="15"/>
            <w:szCs w:val="15"/>
          </w:rPr>
          <w:t>http://www.officeforwomen.sa.gov.au/__data/assets/pdf_file/0010/5140/A-Right-to-Safety.pdf</w:t>
        </w:r>
      </w:hyperlink>
    </w:p>
  </w:footnote>
  <w:footnote w:id="12">
    <w:p w14:paraId="324F28FF" w14:textId="77777777" w:rsidR="0042608F" w:rsidRPr="009E7F27" w:rsidRDefault="0042608F" w:rsidP="009E7F27">
      <w:pPr>
        <w:pStyle w:val="FootnoteText"/>
        <w:spacing w:before="40" w:line="240" w:lineRule="auto"/>
        <w:jc w:val="left"/>
        <w:rPr>
          <w:rFonts w:cs="Calibri"/>
          <w:sz w:val="15"/>
          <w:szCs w:val="15"/>
        </w:rPr>
      </w:pPr>
      <w:r w:rsidRPr="009E7F27">
        <w:rPr>
          <w:rStyle w:val="FootnoteReference"/>
          <w:rFonts w:cs="Calibri"/>
          <w:sz w:val="15"/>
          <w:szCs w:val="15"/>
        </w:rPr>
        <w:footnoteRef/>
      </w:r>
      <w:r w:rsidRPr="009E7F27">
        <w:rPr>
          <w:rFonts w:cs="Calibri"/>
          <w:sz w:val="15"/>
          <w:szCs w:val="15"/>
        </w:rPr>
        <w:t xml:space="preserve"> Further information available at: </w:t>
      </w:r>
      <w:hyperlink r:id="rId11" w:history="1">
        <w:r w:rsidRPr="009E7F27">
          <w:rPr>
            <w:rStyle w:val="Hyperlink"/>
            <w:rFonts w:cs="Calibri"/>
            <w:sz w:val="15"/>
            <w:szCs w:val="15"/>
          </w:rPr>
          <w:t>http://www.officeforwomen.sa.gov.au/__data/assets/pdf_file/0003/19767/Taking-A-Stand.pdf</w:t>
        </w:r>
      </w:hyperlink>
    </w:p>
  </w:footnote>
  <w:footnote w:id="13">
    <w:p w14:paraId="21E483CC" w14:textId="77777777" w:rsidR="0042608F" w:rsidRPr="009E7F27" w:rsidRDefault="0042608F" w:rsidP="009E7F27">
      <w:pPr>
        <w:pStyle w:val="FootnoteText"/>
        <w:spacing w:before="40" w:line="240" w:lineRule="auto"/>
        <w:jc w:val="left"/>
        <w:rPr>
          <w:rFonts w:cs="Calibri"/>
          <w:sz w:val="15"/>
          <w:szCs w:val="15"/>
        </w:rPr>
      </w:pPr>
      <w:r w:rsidRPr="009E7F27">
        <w:rPr>
          <w:rStyle w:val="FootnoteReference"/>
          <w:rFonts w:cs="Calibri"/>
          <w:sz w:val="15"/>
          <w:szCs w:val="15"/>
        </w:rPr>
        <w:footnoteRef/>
      </w:r>
      <w:r w:rsidRPr="009E7F27">
        <w:rPr>
          <w:rFonts w:cs="Calibri"/>
          <w:sz w:val="15"/>
          <w:szCs w:val="15"/>
        </w:rPr>
        <w:t xml:space="preserve"> Report available at: </w:t>
      </w:r>
      <w:hyperlink r:id="rId12" w:history="1">
        <w:r w:rsidRPr="009E7F27">
          <w:rPr>
            <w:rStyle w:val="Hyperlink"/>
            <w:rFonts w:cs="Calibri"/>
            <w:sz w:val="15"/>
            <w:szCs w:val="15"/>
          </w:rPr>
          <w:t>http://www.dpac.tas.gov.au/__data/assets/pdf_file/0010/236890/Women_and_Girls_in_Tasmania_Report_2013.pdf</w:t>
        </w:r>
      </w:hyperlink>
    </w:p>
  </w:footnote>
  <w:footnote w:id="14">
    <w:p w14:paraId="56A0F5AF" w14:textId="77777777" w:rsidR="0042608F" w:rsidRPr="009E7F27" w:rsidRDefault="0042608F" w:rsidP="009E7F27">
      <w:pPr>
        <w:pStyle w:val="FootnoteText"/>
        <w:spacing w:before="40" w:line="240" w:lineRule="auto"/>
        <w:jc w:val="left"/>
        <w:rPr>
          <w:rFonts w:cs="Calibri"/>
          <w:sz w:val="15"/>
          <w:szCs w:val="15"/>
        </w:rPr>
      </w:pPr>
      <w:r w:rsidRPr="009E7F27">
        <w:rPr>
          <w:rStyle w:val="FootnoteReference"/>
          <w:rFonts w:cs="Calibri"/>
          <w:sz w:val="15"/>
          <w:szCs w:val="15"/>
        </w:rPr>
        <w:footnoteRef/>
      </w:r>
      <w:r w:rsidRPr="009E7F27">
        <w:rPr>
          <w:rFonts w:cs="Calibri"/>
          <w:sz w:val="15"/>
          <w:szCs w:val="15"/>
        </w:rPr>
        <w:t xml:space="preserve"> Report available at: </w:t>
      </w:r>
      <w:hyperlink r:id="rId13" w:history="1">
        <w:r w:rsidRPr="009E7F27">
          <w:rPr>
            <w:rStyle w:val="Hyperlink"/>
            <w:rFonts w:cs="Calibri"/>
            <w:sz w:val="15"/>
            <w:szCs w:val="15"/>
          </w:rPr>
          <w:t>www.dpc.vic.gov.au/aboriginalaffairsreport</w:t>
        </w:r>
      </w:hyperlink>
    </w:p>
  </w:footnote>
  <w:footnote w:id="15">
    <w:p w14:paraId="3D90C751" w14:textId="77777777" w:rsidR="0042608F" w:rsidRPr="009E7F27" w:rsidRDefault="0042608F" w:rsidP="009E7F27">
      <w:pPr>
        <w:pStyle w:val="FootnoteText"/>
        <w:spacing w:before="40" w:line="240" w:lineRule="auto"/>
        <w:jc w:val="left"/>
        <w:rPr>
          <w:rFonts w:cs="Calibri"/>
          <w:sz w:val="15"/>
          <w:szCs w:val="15"/>
        </w:rPr>
      </w:pPr>
      <w:r w:rsidRPr="009E7F27">
        <w:rPr>
          <w:rStyle w:val="FootnoteReference"/>
          <w:rFonts w:cs="Calibri"/>
          <w:sz w:val="15"/>
          <w:szCs w:val="15"/>
        </w:rPr>
        <w:footnoteRef/>
      </w:r>
      <w:r w:rsidRPr="009E7F27">
        <w:rPr>
          <w:rFonts w:cs="Calibri"/>
          <w:sz w:val="15"/>
          <w:szCs w:val="15"/>
        </w:rPr>
        <w:t xml:space="preserve"> Report available at: </w:t>
      </w:r>
      <w:hyperlink r:id="rId14" w:history="1">
        <w:r w:rsidRPr="009E7F27">
          <w:rPr>
            <w:rStyle w:val="Hyperlink"/>
            <w:rFonts w:cs="Calibri"/>
            <w:sz w:val="15"/>
            <w:szCs w:val="15"/>
          </w:rPr>
          <w:t>www.dcp.wa.gov.au/CrisisAndEmergency/FDV/Documents/Achievement%20Report%20to%202013.pdf</w:t>
        </w:r>
      </w:hyperlink>
    </w:p>
  </w:footnote>
  <w:footnote w:id="16">
    <w:p w14:paraId="6D0B0E04" w14:textId="77777777" w:rsidR="0042608F" w:rsidRPr="009E7F27" w:rsidRDefault="0042608F" w:rsidP="009E7F27">
      <w:pPr>
        <w:pStyle w:val="FootnoteText"/>
        <w:spacing w:before="40" w:line="240" w:lineRule="auto"/>
        <w:jc w:val="left"/>
        <w:rPr>
          <w:rFonts w:cs="Calibri"/>
          <w:sz w:val="15"/>
          <w:szCs w:val="15"/>
        </w:rPr>
      </w:pPr>
      <w:r w:rsidRPr="009E7F27">
        <w:rPr>
          <w:rStyle w:val="FootnoteReference"/>
          <w:rFonts w:cs="Calibri"/>
          <w:sz w:val="15"/>
          <w:szCs w:val="15"/>
        </w:rPr>
        <w:footnoteRef/>
      </w:r>
      <w:r w:rsidRPr="009E7F27">
        <w:rPr>
          <w:rFonts w:cs="Calibri"/>
          <w:sz w:val="15"/>
          <w:szCs w:val="15"/>
        </w:rPr>
        <w:t xml:space="preserve"> Refer also Australia’s eighth periodic report under the </w:t>
      </w:r>
      <w:r w:rsidRPr="009E7F27">
        <w:rPr>
          <w:rFonts w:cs="Calibri"/>
          <w:sz w:val="15"/>
          <w:szCs w:val="15"/>
          <w:lang w:val="en-AU"/>
        </w:rPr>
        <w:t>Convention on the Elimination of All Forms of Discrimination against Women</w:t>
      </w:r>
      <w:r w:rsidRPr="009E7F27">
        <w:rPr>
          <w:rFonts w:cs="Calibri"/>
          <w:sz w:val="15"/>
          <w:szCs w:val="15"/>
        </w:rPr>
        <w:t>; specifically article 13 (</w:t>
      </w:r>
      <w:r w:rsidRPr="009E7F27">
        <w:rPr>
          <w:rFonts w:cs="Calibri"/>
          <w:i/>
          <w:sz w:val="15"/>
          <w:szCs w:val="15"/>
        </w:rPr>
        <w:t>Housing and Women with Disability in and the elderly</w:t>
      </w:r>
      <w:r w:rsidRPr="009E7F27">
        <w:rPr>
          <w:rFonts w:cs="Calibri"/>
          <w:sz w:val="15"/>
          <w:szCs w:val="15"/>
        </w:rPr>
        <w:t xml:space="preserve">) for information on NSW Government’s </w:t>
      </w:r>
      <w:r w:rsidRPr="009E7F27">
        <w:rPr>
          <w:rFonts w:cs="Calibri"/>
          <w:i/>
          <w:sz w:val="15"/>
          <w:szCs w:val="15"/>
        </w:rPr>
        <w:t>Disability and Housing Initiative</w:t>
      </w:r>
      <w:r w:rsidRPr="009E7F27">
        <w:rPr>
          <w:rFonts w:cs="Calibri"/>
          <w:sz w:val="15"/>
          <w:szCs w:val="15"/>
        </w:rPr>
        <w:t xml:space="preserve">. </w:t>
      </w:r>
    </w:p>
  </w:footnote>
  <w:footnote w:id="17">
    <w:p w14:paraId="5C25AE75" w14:textId="77777777" w:rsidR="0042608F" w:rsidRPr="009E7F27" w:rsidRDefault="0042608F" w:rsidP="009E7F27">
      <w:pPr>
        <w:spacing w:before="40"/>
        <w:jc w:val="left"/>
        <w:rPr>
          <w:rFonts w:ascii="Calibri" w:hAnsi="Calibri" w:cs="Calibri"/>
          <w:sz w:val="15"/>
          <w:szCs w:val="15"/>
          <w:lang w:val="en-AU"/>
        </w:rPr>
      </w:pPr>
      <w:r w:rsidRPr="009E7F27">
        <w:rPr>
          <w:rStyle w:val="FootnoteReference"/>
          <w:rFonts w:ascii="Calibri" w:hAnsi="Calibri" w:cs="Calibri"/>
          <w:sz w:val="15"/>
          <w:szCs w:val="15"/>
        </w:rPr>
        <w:footnoteRef/>
      </w:r>
      <w:r w:rsidRPr="009E7F27">
        <w:rPr>
          <w:rFonts w:ascii="Calibri" w:hAnsi="Calibri" w:cs="Calibri"/>
          <w:sz w:val="15"/>
          <w:szCs w:val="15"/>
        </w:rPr>
        <w:t xml:space="preserve"> HAP available at: </w:t>
      </w:r>
      <w:hyperlink r:id="rId15" w:history="1">
        <w:r w:rsidRPr="009E7F27">
          <w:rPr>
            <w:rStyle w:val="Hyperlink"/>
            <w:rFonts w:ascii="Calibri" w:hAnsi="Calibri" w:cs="Calibri"/>
            <w:sz w:val="15"/>
            <w:szCs w:val="15"/>
          </w:rPr>
          <w:t>http://www.housing.nsw.gov.au/Help+with+Housing/Homelessness/NSW+Homelessness+Action+Plan+(HAP).htm</w:t>
        </w:r>
      </w:hyperlink>
    </w:p>
  </w:footnote>
  <w:footnote w:id="18">
    <w:p w14:paraId="2CA293D9" w14:textId="77777777" w:rsidR="0042608F" w:rsidRPr="009E7F27" w:rsidRDefault="0042608F" w:rsidP="009E7F27">
      <w:pPr>
        <w:spacing w:before="40"/>
        <w:jc w:val="left"/>
        <w:rPr>
          <w:rFonts w:ascii="Calibri" w:hAnsi="Calibri" w:cs="Calibri"/>
          <w:sz w:val="15"/>
          <w:szCs w:val="15"/>
        </w:rPr>
      </w:pPr>
      <w:r w:rsidRPr="009E7F27">
        <w:rPr>
          <w:rStyle w:val="FootnoteReference"/>
          <w:rFonts w:ascii="Calibri" w:hAnsi="Calibri" w:cs="Calibri"/>
          <w:sz w:val="15"/>
          <w:szCs w:val="15"/>
        </w:rPr>
        <w:footnoteRef/>
      </w:r>
      <w:r w:rsidRPr="009E7F27">
        <w:rPr>
          <w:rFonts w:ascii="Calibri" w:hAnsi="Calibri" w:cs="Calibri"/>
          <w:sz w:val="15"/>
          <w:szCs w:val="15"/>
        </w:rPr>
        <w:t xml:space="preserve"> Further information available at: </w:t>
      </w:r>
      <w:hyperlink r:id="rId16" w:history="1">
        <w:r w:rsidRPr="009E7F27">
          <w:rPr>
            <w:rStyle w:val="Hyperlink"/>
            <w:rFonts w:ascii="Calibri" w:hAnsi="Calibri" w:cs="Calibri"/>
            <w:sz w:val="15"/>
            <w:szCs w:val="15"/>
          </w:rPr>
          <w:t>http://www.legalaid.nsw.gov.au/for-lawyers/policyonline/policies/6.-civil-law-matters-when-legal-aid-is-available/6.4.-loss-of-home-if-there-is-a-likelihood-the-applicant-may-lose-their-home</w:t>
        </w:r>
      </w:hyperlink>
    </w:p>
  </w:footnote>
  <w:footnote w:id="19">
    <w:p w14:paraId="6D48BA62" w14:textId="36E6DD3F" w:rsidR="0042608F" w:rsidRPr="009E7F27" w:rsidRDefault="0042608F" w:rsidP="009E7F27">
      <w:pPr>
        <w:pStyle w:val="FootnoteText"/>
        <w:spacing w:before="40" w:line="240" w:lineRule="auto"/>
        <w:jc w:val="left"/>
        <w:rPr>
          <w:sz w:val="15"/>
          <w:szCs w:val="15"/>
          <w:lang w:val="en-AU"/>
        </w:rPr>
      </w:pPr>
      <w:r w:rsidRPr="009E7F27">
        <w:rPr>
          <w:rStyle w:val="FootnoteReference"/>
          <w:sz w:val="15"/>
          <w:szCs w:val="15"/>
        </w:rPr>
        <w:footnoteRef/>
      </w:r>
      <w:r w:rsidRPr="009E7F27">
        <w:rPr>
          <w:sz w:val="15"/>
          <w:szCs w:val="15"/>
        </w:rPr>
        <w:t xml:space="preserve"> </w:t>
      </w:r>
      <w:r w:rsidRPr="009E7F27">
        <w:rPr>
          <w:sz w:val="15"/>
          <w:szCs w:val="15"/>
          <w:lang w:val="en-AU"/>
        </w:rPr>
        <w:t xml:space="preserve">Further information available at: </w:t>
      </w:r>
      <w:hyperlink r:id="rId17" w:history="1">
        <w:r w:rsidRPr="009E7F27">
          <w:rPr>
            <w:rStyle w:val="Hyperlink"/>
            <w:sz w:val="15"/>
            <w:szCs w:val="15"/>
            <w:lang w:val="en-AU"/>
          </w:rPr>
          <w:t>https://www.sa.gov.au/topics/housing-property-and-land/housing/emergency-shelter-and-homelessness/homelessness-services-providers/client-and-case-management-system</w:t>
        </w:r>
      </w:hyperlink>
      <w:r w:rsidRPr="009E7F27">
        <w:rPr>
          <w:sz w:val="15"/>
          <w:szCs w:val="15"/>
          <w:lang w:val="en-AU"/>
        </w:rPr>
        <w:t xml:space="preserve">  </w:t>
      </w:r>
    </w:p>
  </w:footnote>
  <w:footnote w:id="20">
    <w:p w14:paraId="740EC166" w14:textId="1FCBEE83" w:rsidR="0042608F" w:rsidRPr="009E7F27" w:rsidRDefault="0042608F" w:rsidP="009E7F27">
      <w:pPr>
        <w:pStyle w:val="FootnoteText"/>
        <w:spacing w:before="40" w:line="240" w:lineRule="auto"/>
        <w:jc w:val="left"/>
        <w:rPr>
          <w:rFonts w:cs="Calibri"/>
          <w:sz w:val="15"/>
          <w:szCs w:val="15"/>
        </w:rPr>
      </w:pPr>
      <w:r w:rsidRPr="009E7F27">
        <w:rPr>
          <w:rStyle w:val="FootnoteReference"/>
          <w:rFonts w:cs="Calibri"/>
          <w:sz w:val="15"/>
          <w:szCs w:val="15"/>
        </w:rPr>
        <w:footnoteRef/>
      </w:r>
      <w:r w:rsidRPr="009E7F27">
        <w:rPr>
          <w:rFonts w:cs="Calibri"/>
          <w:sz w:val="15"/>
          <w:szCs w:val="15"/>
        </w:rPr>
        <w:t xml:space="preserve"> Refer also; Australia’s combined 18</w:t>
      </w:r>
      <w:r w:rsidRPr="009E7F27">
        <w:rPr>
          <w:rFonts w:cs="Calibri"/>
          <w:sz w:val="15"/>
          <w:szCs w:val="15"/>
          <w:vertAlign w:val="superscript"/>
        </w:rPr>
        <w:t>th</w:t>
      </w:r>
      <w:r>
        <w:rPr>
          <w:rFonts w:cs="Calibri"/>
          <w:sz w:val="15"/>
          <w:szCs w:val="15"/>
        </w:rPr>
        <w:t>-</w:t>
      </w:r>
      <w:r w:rsidRPr="009E7F27">
        <w:rPr>
          <w:rFonts w:cs="Calibri"/>
          <w:sz w:val="15"/>
          <w:szCs w:val="15"/>
        </w:rPr>
        <w:t>20</w:t>
      </w:r>
      <w:r w:rsidRPr="009E7F27">
        <w:rPr>
          <w:rFonts w:cs="Calibri"/>
          <w:sz w:val="15"/>
          <w:szCs w:val="15"/>
          <w:vertAlign w:val="superscript"/>
        </w:rPr>
        <w:t>th</w:t>
      </w:r>
      <w:r w:rsidRPr="009E7F27">
        <w:rPr>
          <w:rFonts w:cs="Calibri"/>
          <w:sz w:val="15"/>
          <w:szCs w:val="15"/>
        </w:rPr>
        <w:t xml:space="preserve"> Periodic Report under the </w:t>
      </w:r>
      <w:r w:rsidRPr="009E7F27">
        <w:rPr>
          <w:rFonts w:cs="Calibri"/>
          <w:sz w:val="15"/>
          <w:szCs w:val="15"/>
          <w:lang w:val="en-AU"/>
        </w:rPr>
        <w:t>Convention on the Elimination of all Forms of Racial Discrimination</w:t>
      </w:r>
      <w:r w:rsidRPr="009E7F27">
        <w:rPr>
          <w:rFonts w:cs="Calibri"/>
          <w:sz w:val="15"/>
          <w:szCs w:val="15"/>
        </w:rPr>
        <w:t>, Concluding Observation 20, for more information about this policy.</w:t>
      </w:r>
    </w:p>
  </w:footnote>
  <w:footnote w:id="21">
    <w:p w14:paraId="751E5086" w14:textId="77777777" w:rsidR="0042608F" w:rsidRPr="009E7F27" w:rsidRDefault="0042608F" w:rsidP="009E7F27">
      <w:pPr>
        <w:spacing w:before="40"/>
        <w:jc w:val="left"/>
        <w:rPr>
          <w:rFonts w:ascii="Calibri" w:hAnsi="Calibri" w:cs="Calibri"/>
          <w:sz w:val="15"/>
          <w:szCs w:val="15"/>
        </w:rPr>
      </w:pPr>
      <w:r w:rsidRPr="009E7F27">
        <w:rPr>
          <w:rStyle w:val="FootnoteReference"/>
          <w:rFonts w:ascii="Calibri" w:hAnsi="Calibri" w:cs="Calibri"/>
          <w:sz w:val="15"/>
          <w:szCs w:val="15"/>
        </w:rPr>
        <w:footnoteRef/>
      </w:r>
      <w:r w:rsidRPr="009E7F27">
        <w:rPr>
          <w:rFonts w:ascii="Calibri" w:hAnsi="Calibri" w:cs="Calibri"/>
          <w:sz w:val="15"/>
          <w:szCs w:val="15"/>
        </w:rPr>
        <w:t xml:space="preserve"> Further information available at: </w:t>
      </w:r>
      <w:hyperlink r:id="rId18" w:history="1">
        <w:r w:rsidRPr="009E7F27">
          <w:rPr>
            <w:rStyle w:val="Hyperlink"/>
            <w:rFonts w:ascii="Calibri" w:hAnsi="Calibri" w:cs="Calibri"/>
            <w:sz w:val="15"/>
            <w:szCs w:val="15"/>
          </w:rPr>
          <w:t>http://nswmentalhealthcommission.com.au/about-us</w:t>
        </w:r>
      </w:hyperlink>
      <w:r w:rsidRPr="009E7F27">
        <w:rPr>
          <w:rFonts w:ascii="Calibri" w:hAnsi="Calibri" w:cs="Calibri"/>
          <w:sz w:val="15"/>
          <w:szCs w:val="15"/>
        </w:rPr>
        <w:t xml:space="preserve"> &amp; </w:t>
      </w:r>
      <w:hyperlink r:id="rId19" w:history="1">
        <w:r w:rsidRPr="009E7F27">
          <w:rPr>
            <w:rStyle w:val="Hyperlink"/>
            <w:rFonts w:ascii="Calibri" w:hAnsi="Calibri" w:cs="Calibri"/>
            <w:sz w:val="15"/>
            <w:szCs w:val="15"/>
          </w:rPr>
          <w:t>www.health.nsw.gov.au/mhdao/Pages/program-info.aspx</w:t>
        </w:r>
      </w:hyperlink>
    </w:p>
  </w:footnote>
  <w:footnote w:id="22">
    <w:p w14:paraId="2704293B" w14:textId="77777777" w:rsidR="0042608F" w:rsidRPr="009E7F27" w:rsidRDefault="0042608F" w:rsidP="009E7F27">
      <w:pPr>
        <w:pStyle w:val="FootnoteText"/>
        <w:spacing w:before="40" w:line="240" w:lineRule="auto"/>
        <w:jc w:val="left"/>
        <w:rPr>
          <w:rFonts w:cs="Calibri"/>
          <w:sz w:val="15"/>
          <w:szCs w:val="15"/>
        </w:rPr>
      </w:pPr>
      <w:r w:rsidRPr="009E7F27">
        <w:rPr>
          <w:rStyle w:val="FootnoteReference"/>
          <w:rFonts w:cs="Calibri"/>
          <w:sz w:val="15"/>
          <w:szCs w:val="15"/>
        </w:rPr>
        <w:footnoteRef/>
      </w:r>
      <w:r w:rsidRPr="009E7F27">
        <w:rPr>
          <w:rFonts w:cs="Calibri"/>
          <w:sz w:val="15"/>
          <w:szCs w:val="15"/>
        </w:rPr>
        <w:t xml:space="preserve"> Further information available at: </w:t>
      </w:r>
      <w:hyperlink r:id="rId20" w:history="1">
        <w:r w:rsidRPr="009E7F27">
          <w:rPr>
            <w:rStyle w:val="Hyperlink"/>
            <w:rFonts w:cs="Calibri"/>
            <w:sz w:val="15"/>
            <w:szCs w:val="15"/>
          </w:rPr>
          <w:t>www.federalfinancialrelations.gov.au/content/npa/health_mental/national-reform/SA_IP.pdf</w:t>
        </w:r>
      </w:hyperlink>
    </w:p>
  </w:footnote>
  <w:footnote w:id="23">
    <w:p w14:paraId="65AE7C58" w14:textId="1B2C3AAE" w:rsidR="0042608F" w:rsidRPr="009E7F27" w:rsidRDefault="0042608F" w:rsidP="009E7F27">
      <w:pPr>
        <w:spacing w:before="40"/>
        <w:jc w:val="left"/>
        <w:rPr>
          <w:rFonts w:ascii="Calibri" w:hAnsi="Calibri" w:cs="Calibri"/>
          <w:sz w:val="15"/>
          <w:szCs w:val="15"/>
        </w:rPr>
      </w:pPr>
      <w:r w:rsidRPr="009E7F27">
        <w:rPr>
          <w:rStyle w:val="FootnoteReference"/>
          <w:rFonts w:ascii="Calibri" w:hAnsi="Calibri" w:cs="Calibri"/>
          <w:sz w:val="15"/>
          <w:szCs w:val="15"/>
        </w:rPr>
        <w:footnoteRef/>
      </w:r>
      <w:r>
        <w:rPr>
          <w:rFonts w:ascii="Calibri" w:hAnsi="Calibri" w:cs="Calibri"/>
          <w:sz w:val="15"/>
          <w:szCs w:val="15"/>
        </w:rPr>
        <w:t xml:space="preserve"> </w:t>
      </w:r>
      <w:r w:rsidRPr="009E7F27">
        <w:rPr>
          <w:rFonts w:ascii="Calibri" w:hAnsi="Calibri" w:cs="Calibri"/>
          <w:sz w:val="15"/>
          <w:szCs w:val="15"/>
        </w:rPr>
        <w:t xml:space="preserve">Further information available at: </w:t>
      </w:r>
      <w:hyperlink r:id="rId21" w:history="1">
        <w:r w:rsidRPr="009E7F27">
          <w:rPr>
            <w:rStyle w:val="Hyperlink"/>
            <w:rFonts w:ascii="Calibri" w:hAnsi="Calibri" w:cs="Calibri"/>
            <w:sz w:val="15"/>
            <w:szCs w:val="15"/>
          </w:rPr>
          <w:t>www.naccho.org.au/download/aboriginal-health/NSW%20Aboriginal%20health%20Plan%202013-2023.pdf</w:t>
        </w:r>
      </w:hyperlink>
      <w:r w:rsidRPr="009E7F27">
        <w:rPr>
          <w:rFonts w:ascii="Calibri" w:hAnsi="Calibri" w:cs="Calibri"/>
          <w:sz w:val="15"/>
          <w:szCs w:val="15"/>
        </w:rPr>
        <w:t xml:space="preserve"> &amp; </w:t>
      </w:r>
      <w:hyperlink r:id="rId22" w:history="1">
        <w:r w:rsidRPr="009E7F27">
          <w:rPr>
            <w:rStyle w:val="Hyperlink"/>
            <w:rFonts w:ascii="Calibri" w:hAnsi="Calibri" w:cs="Calibri"/>
            <w:sz w:val="15"/>
            <w:szCs w:val="15"/>
          </w:rPr>
          <w:t>www.health.nsw.gov.au/aboriginal/Pages/default.aspx</w:t>
        </w:r>
      </w:hyperlink>
    </w:p>
  </w:footnote>
  <w:footnote w:id="24">
    <w:p w14:paraId="71E539D8" w14:textId="77777777" w:rsidR="0042608F" w:rsidRPr="009E7F27" w:rsidRDefault="0042608F" w:rsidP="009E7F27">
      <w:pPr>
        <w:pStyle w:val="FootnoteText"/>
        <w:spacing w:before="40" w:line="240" w:lineRule="auto"/>
        <w:jc w:val="left"/>
        <w:rPr>
          <w:rFonts w:cs="Calibri"/>
          <w:sz w:val="15"/>
          <w:szCs w:val="15"/>
        </w:rPr>
      </w:pPr>
      <w:r w:rsidRPr="009E7F27">
        <w:rPr>
          <w:rStyle w:val="FootnoteReference"/>
          <w:rFonts w:cs="Calibri"/>
          <w:sz w:val="15"/>
          <w:szCs w:val="15"/>
        </w:rPr>
        <w:footnoteRef/>
      </w:r>
      <w:r w:rsidRPr="009E7F27">
        <w:rPr>
          <w:rFonts w:cs="Calibri"/>
          <w:sz w:val="15"/>
          <w:szCs w:val="15"/>
        </w:rPr>
        <w:t xml:space="preserve"> Further information available at: </w:t>
      </w:r>
      <w:hyperlink r:id="rId23" w:history="1">
        <w:r w:rsidRPr="009E7F27">
          <w:rPr>
            <w:rStyle w:val="Hyperlink"/>
            <w:rFonts w:cs="Calibri"/>
            <w:sz w:val="15"/>
            <w:szCs w:val="15"/>
          </w:rPr>
          <w:t>www.mentalhealth.wa.gov.au/ournewapproach/Aboriginal.aspx</w:t>
        </w:r>
      </w:hyperlink>
    </w:p>
  </w:footnote>
  <w:footnote w:id="25">
    <w:p w14:paraId="01E919AB" w14:textId="77777777" w:rsidR="0042608F" w:rsidRPr="009E7F27" w:rsidRDefault="0042608F" w:rsidP="009E7F27">
      <w:pPr>
        <w:pStyle w:val="FootnoteText"/>
        <w:spacing w:before="40" w:line="240" w:lineRule="auto"/>
        <w:jc w:val="left"/>
        <w:rPr>
          <w:rFonts w:cs="Calibri"/>
          <w:sz w:val="15"/>
          <w:szCs w:val="15"/>
        </w:rPr>
      </w:pPr>
      <w:r w:rsidRPr="009E7F27">
        <w:rPr>
          <w:rStyle w:val="FootnoteReference"/>
          <w:rFonts w:cs="Calibri"/>
          <w:sz w:val="15"/>
          <w:szCs w:val="15"/>
        </w:rPr>
        <w:footnoteRef/>
      </w:r>
      <w:r w:rsidRPr="009E7F27">
        <w:rPr>
          <w:rFonts w:cs="Calibri"/>
          <w:sz w:val="15"/>
          <w:szCs w:val="15"/>
        </w:rPr>
        <w:t xml:space="preserve"> Further information available at: </w:t>
      </w:r>
      <w:hyperlink r:id="rId24" w:history="1">
        <w:r w:rsidRPr="009E7F27">
          <w:rPr>
            <w:rStyle w:val="Hyperlink"/>
            <w:rFonts w:cs="Calibri"/>
            <w:sz w:val="15"/>
            <w:szCs w:val="15"/>
          </w:rPr>
          <w:t>http://www.mentalhealth.wa.gov.au/mental_illness_and_health/mh_aboriginal.aspx</w:t>
        </w:r>
      </w:hyperlink>
    </w:p>
  </w:footnote>
  <w:footnote w:id="26">
    <w:p w14:paraId="668A74E2" w14:textId="77777777" w:rsidR="0042608F" w:rsidRPr="009E7F27" w:rsidRDefault="0042608F" w:rsidP="009E7F27">
      <w:pPr>
        <w:pStyle w:val="FootnoteText"/>
        <w:spacing w:before="40" w:line="240" w:lineRule="auto"/>
        <w:jc w:val="left"/>
        <w:rPr>
          <w:rFonts w:cs="Calibri"/>
          <w:sz w:val="15"/>
          <w:szCs w:val="15"/>
        </w:rPr>
      </w:pPr>
      <w:r w:rsidRPr="009E7F27">
        <w:rPr>
          <w:rStyle w:val="FootnoteReference"/>
          <w:rFonts w:cs="Calibri"/>
          <w:sz w:val="15"/>
          <w:szCs w:val="15"/>
        </w:rPr>
        <w:footnoteRef/>
      </w:r>
      <w:r w:rsidRPr="009E7F27">
        <w:rPr>
          <w:rFonts w:cs="Calibri"/>
          <w:sz w:val="15"/>
          <w:szCs w:val="15"/>
        </w:rPr>
        <w:t xml:space="preserve"> Further information available at: </w:t>
      </w:r>
      <w:hyperlink r:id="rId25" w:history="1">
        <w:r w:rsidRPr="009E7F27">
          <w:rPr>
            <w:rStyle w:val="Hyperlink"/>
            <w:rFonts w:cs="Calibri"/>
            <w:sz w:val="15"/>
            <w:szCs w:val="15"/>
          </w:rPr>
          <w:t>www.mentalhealth.wa.gov.au/mentalhealth_changes/Mental_Health_Court_Diversion.aspx</w:t>
        </w:r>
      </w:hyperlink>
    </w:p>
  </w:footnote>
  <w:footnote w:id="27">
    <w:p w14:paraId="68B2F20B" w14:textId="77777777" w:rsidR="0042608F" w:rsidRPr="009E7F27" w:rsidRDefault="0042608F" w:rsidP="009E7F27">
      <w:pPr>
        <w:spacing w:before="40"/>
        <w:jc w:val="left"/>
        <w:rPr>
          <w:rFonts w:ascii="Calibri" w:hAnsi="Calibri" w:cs="Calibri"/>
          <w:sz w:val="15"/>
          <w:szCs w:val="15"/>
        </w:rPr>
      </w:pPr>
      <w:r w:rsidRPr="009E7F27">
        <w:rPr>
          <w:rStyle w:val="FootnoteReference"/>
          <w:rFonts w:ascii="Calibri" w:hAnsi="Calibri" w:cs="Calibri"/>
          <w:sz w:val="15"/>
          <w:szCs w:val="15"/>
        </w:rPr>
        <w:footnoteRef/>
      </w:r>
      <w:r w:rsidRPr="009E7F27">
        <w:rPr>
          <w:rFonts w:ascii="Calibri" w:hAnsi="Calibri" w:cs="Calibri"/>
          <w:sz w:val="15"/>
          <w:szCs w:val="15"/>
        </w:rPr>
        <w:t xml:space="preserve"> Strategy available at: </w:t>
      </w:r>
      <w:hyperlink r:id="rId26" w:history="1">
        <w:r w:rsidRPr="009E7F27">
          <w:rPr>
            <w:rStyle w:val="Hyperlink"/>
            <w:rFonts w:ascii="Calibri" w:hAnsi="Calibri" w:cs="Calibri"/>
            <w:sz w:val="15"/>
            <w:szCs w:val="15"/>
          </w:rPr>
          <w:t>http://www.education.nt.gov.au/__data/assets/pdf_file/0007/37294/A-Share-in-the-Future-The-Review-of-Indigenous-Education-in-the-Northern-Territory.pdf</w:t>
        </w:r>
      </w:hyperlink>
    </w:p>
  </w:footnote>
  <w:footnote w:id="28">
    <w:p w14:paraId="33FC8F13" w14:textId="0AD3E85A" w:rsidR="0042608F" w:rsidRPr="009E7F27" w:rsidRDefault="0042608F" w:rsidP="009E7F27">
      <w:pPr>
        <w:pStyle w:val="FootnoteText"/>
        <w:spacing w:before="40" w:line="240" w:lineRule="auto"/>
        <w:jc w:val="left"/>
        <w:rPr>
          <w:rFonts w:cs="Calibri"/>
          <w:sz w:val="15"/>
          <w:szCs w:val="15"/>
        </w:rPr>
      </w:pPr>
      <w:r w:rsidRPr="009E7F27">
        <w:rPr>
          <w:rStyle w:val="FootnoteReference"/>
          <w:rFonts w:cs="Calibri"/>
          <w:sz w:val="15"/>
          <w:szCs w:val="15"/>
        </w:rPr>
        <w:footnoteRef/>
      </w:r>
      <w:r w:rsidRPr="009E7F27">
        <w:rPr>
          <w:rFonts w:cs="Calibri"/>
          <w:sz w:val="15"/>
          <w:szCs w:val="15"/>
        </w:rPr>
        <w:t xml:space="preserve"> Report available at: </w:t>
      </w:r>
      <w:hyperlink r:id="rId27" w:history="1">
        <w:r w:rsidRPr="009E7F27">
          <w:rPr>
            <w:rStyle w:val="Hyperlink"/>
            <w:rFonts w:cs="Calibri"/>
            <w:sz w:val="15"/>
            <w:szCs w:val="15"/>
          </w:rPr>
          <w:t>http://acthra.anu.edu.au/documents/ACTESCR_project_final_report.pdf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C137B" w14:textId="77777777" w:rsidR="009A25DE" w:rsidRDefault="009A25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6E218" w14:textId="77777777" w:rsidR="0042608F" w:rsidRPr="00A339B0" w:rsidRDefault="0042608F" w:rsidP="00C413D7">
    <w:pPr>
      <w:pStyle w:val="Footer"/>
      <w:spacing w:after="80"/>
      <w:jc w:val="center"/>
      <w:rPr>
        <w:caps/>
        <w:color w:val="C00000"/>
        <w:sz w:val="16"/>
        <w:szCs w:val="16"/>
        <w:lang w:val="en-AU"/>
      </w:rPr>
    </w:pPr>
    <w:r w:rsidRPr="00A339B0">
      <w:rPr>
        <w:b/>
        <w:caps/>
        <w:color w:val="C00000"/>
        <w:sz w:val="16"/>
        <w:szCs w:val="16"/>
      </w:rPr>
      <w:t>Unclassified</w:t>
    </w:r>
  </w:p>
  <w:p w14:paraId="0B67EDB1" w14:textId="44C17D07" w:rsidR="0042608F" w:rsidRPr="00A339B0" w:rsidRDefault="0042608F" w:rsidP="00C413D7">
    <w:pPr>
      <w:pStyle w:val="Header"/>
      <w:spacing w:after="80"/>
      <w:jc w:val="right"/>
      <w:rPr>
        <w:b/>
        <w:sz w:val="16"/>
        <w:szCs w:val="16"/>
      </w:rPr>
    </w:pPr>
    <w:r w:rsidRPr="00A339B0">
      <w:rPr>
        <w:b/>
        <w:sz w:val="16"/>
        <w:szCs w:val="16"/>
      </w:rPr>
      <w:t>Appendix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2F9E8" w14:textId="77777777" w:rsidR="009A25DE" w:rsidRDefault="009A25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32505"/>
    <w:multiLevelType w:val="hybridMultilevel"/>
    <w:tmpl w:val="B4EA2774"/>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35C37F7"/>
    <w:multiLevelType w:val="hybridMultilevel"/>
    <w:tmpl w:val="423C6EC2"/>
    <w:lvl w:ilvl="0" w:tplc="823A5158">
      <w:start w:val="1"/>
      <w:numFmt w:val="decimal"/>
      <w:pStyle w:val="CERDBodyText1"/>
      <w:lvlText w:val="%1."/>
      <w:lvlJc w:val="left"/>
      <w:pPr>
        <w:ind w:left="1211" w:hanging="360"/>
      </w:pPr>
      <w:rPr>
        <w:rFonts w:hint="default"/>
        <w:b w:val="0"/>
        <w:i w:val="0"/>
        <w:color w:val="auto"/>
        <w:sz w:val="24"/>
      </w:rPr>
    </w:lvl>
    <w:lvl w:ilvl="1" w:tplc="C554D464">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259C7BC4"/>
    <w:multiLevelType w:val="hybridMultilevel"/>
    <w:tmpl w:val="FD961F3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nsid w:val="27A76A83"/>
    <w:multiLevelType w:val="hybridMultilevel"/>
    <w:tmpl w:val="F8F8022A"/>
    <w:lvl w:ilvl="0" w:tplc="8020E0C4">
      <w:start w:val="1"/>
      <w:numFmt w:val="bullet"/>
      <w:pStyle w:val="ICESCRBoxDotPoint"/>
      <w:lvlText w:val=""/>
      <w:lvlJc w:val="left"/>
      <w:pPr>
        <w:ind w:left="720" w:hanging="360"/>
      </w:pPr>
      <w:rPr>
        <w:rFonts w:ascii="Wingdings" w:hAnsi="Wingdings" w:hint="default"/>
        <w:b/>
        <w:i w:val="0"/>
        <w:position w:val="2"/>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8560AB3"/>
    <w:multiLevelType w:val="hybridMultilevel"/>
    <w:tmpl w:val="4DBA35C2"/>
    <w:lvl w:ilvl="0" w:tplc="BDEEEB58">
      <w:start w:val="1"/>
      <w:numFmt w:val="bullet"/>
      <w:lvlText w:val=""/>
      <w:lvlJc w:val="left"/>
      <w:pPr>
        <w:tabs>
          <w:tab w:val="num" w:pos="720"/>
        </w:tabs>
        <w:ind w:left="720" w:hanging="360"/>
      </w:pPr>
      <w:rPr>
        <w:rFonts w:ascii="Symbol" w:hAnsi="Symbol" w:hint="default"/>
        <w:b w:val="0"/>
        <w:i w:val="0"/>
        <w:color w:val="auto"/>
      </w:rPr>
    </w:lvl>
    <w:lvl w:ilvl="1" w:tplc="BDEEEB58">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63186B2A"/>
    <w:multiLevelType w:val="hybridMultilevel"/>
    <w:tmpl w:val="9A5AFF36"/>
    <w:lvl w:ilvl="0" w:tplc="645CAF02">
      <w:start w:val="1"/>
      <w:numFmt w:val="decimal"/>
      <w:pStyle w:val="CERDTableNumberdPoin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51D1927"/>
    <w:multiLevelType w:val="hybridMultilevel"/>
    <w:tmpl w:val="F6501518"/>
    <w:lvl w:ilvl="0" w:tplc="7C7E6C60">
      <w:start w:val="1"/>
      <w:numFmt w:val="upperRoman"/>
      <w:pStyle w:val="Heading1"/>
      <w:lvlText w:val="%1."/>
      <w:lvlJc w:val="right"/>
      <w:pPr>
        <w:ind w:left="720" w:hanging="360"/>
      </w:pPr>
    </w:lvl>
    <w:lvl w:ilvl="1" w:tplc="0D8C2C56">
      <w:numFmt w:val="bullet"/>
      <w:lvlText w:val="•"/>
      <w:lvlJc w:val="left"/>
      <w:pPr>
        <w:ind w:left="1440" w:hanging="360"/>
      </w:pPr>
      <w:rPr>
        <w:rFonts w:ascii="Calibri" w:eastAsiaTheme="minorEastAsia"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66C5853"/>
    <w:multiLevelType w:val="hybridMultilevel"/>
    <w:tmpl w:val="738AE424"/>
    <w:lvl w:ilvl="0" w:tplc="DD56D440">
      <w:start w:val="1"/>
      <w:numFmt w:val="upperRoman"/>
      <w:pStyle w:val="ICESCRHeadingMajo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78B63451"/>
    <w:multiLevelType w:val="hybridMultilevel"/>
    <w:tmpl w:val="6C3EFBB8"/>
    <w:lvl w:ilvl="0" w:tplc="6E6219DE">
      <w:start w:val="1"/>
      <w:numFmt w:val="bullet"/>
      <w:pStyle w:val="CERDBodyTextDotPoint"/>
      <w:lvlText w:val=""/>
      <w:lvlJc w:val="left"/>
      <w:pPr>
        <w:ind w:left="1070" w:hanging="360"/>
      </w:pPr>
      <w:rPr>
        <w:rFonts w:ascii="Wingdings" w:hAnsi="Wingdings" w:hint="default"/>
        <w:b/>
        <w:i w:val="0"/>
        <w:position w:val="2"/>
        <w:sz w:val="12"/>
      </w:rPr>
    </w:lvl>
    <w:lvl w:ilvl="1" w:tplc="0C090003">
      <w:start w:val="1"/>
      <w:numFmt w:val="bullet"/>
      <w:lvlText w:val="o"/>
      <w:lvlJc w:val="left"/>
      <w:pPr>
        <w:ind w:left="1937" w:hanging="360"/>
      </w:pPr>
      <w:rPr>
        <w:rFonts w:ascii="Courier New" w:hAnsi="Courier New" w:cs="Courier New" w:hint="default"/>
      </w:rPr>
    </w:lvl>
    <w:lvl w:ilvl="2" w:tplc="0C090005" w:tentative="1">
      <w:start w:val="1"/>
      <w:numFmt w:val="bullet"/>
      <w:lvlText w:val=""/>
      <w:lvlJc w:val="left"/>
      <w:pPr>
        <w:ind w:left="2657" w:hanging="360"/>
      </w:pPr>
      <w:rPr>
        <w:rFonts w:ascii="Wingdings" w:hAnsi="Wingdings" w:hint="default"/>
      </w:rPr>
    </w:lvl>
    <w:lvl w:ilvl="3" w:tplc="0C090001" w:tentative="1">
      <w:start w:val="1"/>
      <w:numFmt w:val="bullet"/>
      <w:lvlText w:val=""/>
      <w:lvlJc w:val="left"/>
      <w:pPr>
        <w:ind w:left="3377" w:hanging="360"/>
      </w:pPr>
      <w:rPr>
        <w:rFonts w:ascii="Symbol" w:hAnsi="Symbol" w:hint="default"/>
      </w:rPr>
    </w:lvl>
    <w:lvl w:ilvl="4" w:tplc="0C090003" w:tentative="1">
      <w:start w:val="1"/>
      <w:numFmt w:val="bullet"/>
      <w:lvlText w:val="o"/>
      <w:lvlJc w:val="left"/>
      <w:pPr>
        <w:ind w:left="4097" w:hanging="360"/>
      </w:pPr>
      <w:rPr>
        <w:rFonts w:ascii="Courier New" w:hAnsi="Courier New" w:cs="Courier New" w:hint="default"/>
      </w:rPr>
    </w:lvl>
    <w:lvl w:ilvl="5" w:tplc="0C090005" w:tentative="1">
      <w:start w:val="1"/>
      <w:numFmt w:val="bullet"/>
      <w:lvlText w:val=""/>
      <w:lvlJc w:val="left"/>
      <w:pPr>
        <w:ind w:left="4817" w:hanging="360"/>
      </w:pPr>
      <w:rPr>
        <w:rFonts w:ascii="Wingdings" w:hAnsi="Wingdings" w:hint="default"/>
      </w:rPr>
    </w:lvl>
    <w:lvl w:ilvl="6" w:tplc="0C090001" w:tentative="1">
      <w:start w:val="1"/>
      <w:numFmt w:val="bullet"/>
      <w:lvlText w:val=""/>
      <w:lvlJc w:val="left"/>
      <w:pPr>
        <w:ind w:left="5537" w:hanging="360"/>
      </w:pPr>
      <w:rPr>
        <w:rFonts w:ascii="Symbol" w:hAnsi="Symbol" w:hint="default"/>
      </w:rPr>
    </w:lvl>
    <w:lvl w:ilvl="7" w:tplc="0C090003" w:tentative="1">
      <w:start w:val="1"/>
      <w:numFmt w:val="bullet"/>
      <w:lvlText w:val="o"/>
      <w:lvlJc w:val="left"/>
      <w:pPr>
        <w:ind w:left="6257" w:hanging="360"/>
      </w:pPr>
      <w:rPr>
        <w:rFonts w:ascii="Courier New" w:hAnsi="Courier New" w:cs="Courier New" w:hint="default"/>
      </w:rPr>
    </w:lvl>
    <w:lvl w:ilvl="8" w:tplc="0C090005" w:tentative="1">
      <w:start w:val="1"/>
      <w:numFmt w:val="bullet"/>
      <w:lvlText w:val=""/>
      <w:lvlJc w:val="left"/>
      <w:pPr>
        <w:ind w:left="6977" w:hanging="360"/>
      </w:pPr>
      <w:rPr>
        <w:rFonts w:ascii="Wingdings" w:hAnsi="Wingdings" w:hint="default"/>
      </w:rPr>
    </w:lvl>
  </w:abstractNum>
  <w:abstractNum w:abstractNumId="9">
    <w:nsid w:val="7B94420A"/>
    <w:multiLevelType w:val="hybridMultilevel"/>
    <w:tmpl w:val="7982EEA8"/>
    <w:lvl w:ilvl="0" w:tplc="36D29CE0">
      <w:start w:val="1"/>
      <w:numFmt w:val="bullet"/>
      <w:pStyle w:val="CERDTableDotPoint"/>
      <w:lvlText w:val=""/>
      <w:lvlJc w:val="left"/>
      <w:pPr>
        <w:ind w:left="720" w:hanging="360"/>
      </w:pPr>
      <w:rPr>
        <w:rFonts w:ascii="Wingdings" w:hAnsi="Wingdings" w:hint="default"/>
        <w:b/>
        <w:i w:val="0"/>
        <w:position w:val="2"/>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8"/>
  </w:num>
  <w:num w:numId="5">
    <w:abstractNumId w:val="9"/>
  </w:num>
  <w:num w:numId="6">
    <w:abstractNumId w:val="5"/>
  </w:num>
  <w:num w:numId="7">
    <w:abstractNumId w:val="7"/>
  </w:num>
  <w:num w:numId="8">
    <w:abstractNumId w:val="3"/>
  </w:num>
  <w:num w:numId="9">
    <w:abstractNumId w:val="1"/>
  </w:num>
  <w:num w:numId="10">
    <w:abstractNumId w:val="8"/>
  </w:num>
  <w:num w:numId="11">
    <w:abstractNumId w:val="1"/>
  </w:num>
  <w:num w:numId="12">
    <w:abstractNumId w:val="1"/>
  </w:num>
  <w:num w:numId="13">
    <w:abstractNumId w:val="8"/>
  </w:num>
  <w:num w:numId="14">
    <w:abstractNumId w:val="8"/>
  </w:num>
  <w:num w:numId="15">
    <w:abstractNumId w:val="1"/>
  </w:num>
  <w:num w:numId="16">
    <w:abstractNumId w:val="1"/>
    <w:lvlOverride w:ilvl="0">
      <w:startOverride w:val="1"/>
    </w:lvlOverride>
  </w:num>
  <w:num w:numId="17">
    <w:abstractNumId w:val="1"/>
  </w:num>
  <w:num w:numId="18">
    <w:abstractNumId w:val="1"/>
  </w:num>
  <w:num w:numId="19">
    <w:abstractNumId w:val="2"/>
  </w:num>
  <w:num w:numId="20">
    <w:abstractNumId w:val="1"/>
  </w:num>
  <w:num w:numId="21">
    <w:abstractNumId w:val="1"/>
  </w:num>
  <w:num w:numId="22">
    <w:abstractNumId w:val="1"/>
  </w:num>
  <w:num w:numId="23">
    <w:abstractNumId w:val="1"/>
  </w:num>
  <w:num w:numId="24">
    <w:abstractNumId w:val="1"/>
  </w:num>
  <w:num w:numId="25">
    <w:abstractNumId w:val="4"/>
  </w:num>
  <w:num w:numId="26">
    <w:abstractNumId w:val="1"/>
  </w:num>
  <w:num w:numId="27">
    <w:abstractNumId w:val="1"/>
  </w:num>
  <w:num w:numId="28">
    <w:abstractNumId w:val="1"/>
  </w:num>
  <w:num w:numId="29">
    <w:abstractNumId w:val="1"/>
  </w:num>
  <w:num w:numId="3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57345"/>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7E"/>
    <w:rsid w:val="000020EF"/>
    <w:rsid w:val="00003318"/>
    <w:rsid w:val="00005B15"/>
    <w:rsid w:val="00005B98"/>
    <w:rsid w:val="0000694B"/>
    <w:rsid w:val="00007612"/>
    <w:rsid w:val="0001067E"/>
    <w:rsid w:val="000129C8"/>
    <w:rsid w:val="0001777D"/>
    <w:rsid w:val="00020592"/>
    <w:rsid w:val="000209C3"/>
    <w:rsid w:val="00021631"/>
    <w:rsid w:val="00022F5F"/>
    <w:rsid w:val="00030219"/>
    <w:rsid w:val="0003081E"/>
    <w:rsid w:val="000309AC"/>
    <w:rsid w:val="00034825"/>
    <w:rsid w:val="00040065"/>
    <w:rsid w:val="00043810"/>
    <w:rsid w:val="00047EBD"/>
    <w:rsid w:val="00050067"/>
    <w:rsid w:val="000532CB"/>
    <w:rsid w:val="00054B23"/>
    <w:rsid w:val="00054FFB"/>
    <w:rsid w:val="000611EB"/>
    <w:rsid w:val="00062F12"/>
    <w:rsid w:val="00065CD9"/>
    <w:rsid w:val="00066E7B"/>
    <w:rsid w:val="00066F36"/>
    <w:rsid w:val="0006767D"/>
    <w:rsid w:val="00070B8A"/>
    <w:rsid w:val="00073BD8"/>
    <w:rsid w:val="000749A8"/>
    <w:rsid w:val="00074DB0"/>
    <w:rsid w:val="00081481"/>
    <w:rsid w:val="00083069"/>
    <w:rsid w:val="000845C6"/>
    <w:rsid w:val="0008495D"/>
    <w:rsid w:val="0008556E"/>
    <w:rsid w:val="00085B81"/>
    <w:rsid w:val="00086F6E"/>
    <w:rsid w:val="000912C6"/>
    <w:rsid w:val="00093234"/>
    <w:rsid w:val="00097638"/>
    <w:rsid w:val="000A08CB"/>
    <w:rsid w:val="000A2A69"/>
    <w:rsid w:val="000A410B"/>
    <w:rsid w:val="000A7A7E"/>
    <w:rsid w:val="000B08FF"/>
    <w:rsid w:val="000B1394"/>
    <w:rsid w:val="000B3D5A"/>
    <w:rsid w:val="000B4AE0"/>
    <w:rsid w:val="000C0B00"/>
    <w:rsid w:val="000C1D87"/>
    <w:rsid w:val="000C2A72"/>
    <w:rsid w:val="000C37F6"/>
    <w:rsid w:val="000C4CCE"/>
    <w:rsid w:val="000C62FA"/>
    <w:rsid w:val="000D31C3"/>
    <w:rsid w:val="000E00AC"/>
    <w:rsid w:val="000E449C"/>
    <w:rsid w:val="000E4671"/>
    <w:rsid w:val="000E7AD0"/>
    <w:rsid w:val="000F18DA"/>
    <w:rsid w:val="000F1DC7"/>
    <w:rsid w:val="000F4B99"/>
    <w:rsid w:val="001003D2"/>
    <w:rsid w:val="00100A4B"/>
    <w:rsid w:val="001021D2"/>
    <w:rsid w:val="0010249B"/>
    <w:rsid w:val="001026D9"/>
    <w:rsid w:val="00103D07"/>
    <w:rsid w:val="00103D83"/>
    <w:rsid w:val="00105781"/>
    <w:rsid w:val="0011078D"/>
    <w:rsid w:val="00111061"/>
    <w:rsid w:val="00111527"/>
    <w:rsid w:val="00113AC2"/>
    <w:rsid w:val="00114E67"/>
    <w:rsid w:val="00117AEA"/>
    <w:rsid w:val="00120B69"/>
    <w:rsid w:val="0012117B"/>
    <w:rsid w:val="00126FB2"/>
    <w:rsid w:val="001323A8"/>
    <w:rsid w:val="00133243"/>
    <w:rsid w:val="00136AE4"/>
    <w:rsid w:val="00136C83"/>
    <w:rsid w:val="00136DEF"/>
    <w:rsid w:val="001370E9"/>
    <w:rsid w:val="001376ED"/>
    <w:rsid w:val="00143A3D"/>
    <w:rsid w:val="001445BB"/>
    <w:rsid w:val="0014464A"/>
    <w:rsid w:val="00144DA2"/>
    <w:rsid w:val="00156076"/>
    <w:rsid w:val="00163303"/>
    <w:rsid w:val="001665B4"/>
    <w:rsid w:val="00166BB0"/>
    <w:rsid w:val="001674EA"/>
    <w:rsid w:val="00167688"/>
    <w:rsid w:val="00172015"/>
    <w:rsid w:val="001735EB"/>
    <w:rsid w:val="0018142B"/>
    <w:rsid w:val="001873FC"/>
    <w:rsid w:val="0019047E"/>
    <w:rsid w:val="00191B31"/>
    <w:rsid w:val="0019340E"/>
    <w:rsid w:val="00193F15"/>
    <w:rsid w:val="001945AB"/>
    <w:rsid w:val="001A1DFA"/>
    <w:rsid w:val="001A3579"/>
    <w:rsid w:val="001A4315"/>
    <w:rsid w:val="001A4888"/>
    <w:rsid w:val="001B0FEC"/>
    <w:rsid w:val="001B1F45"/>
    <w:rsid w:val="001B32E1"/>
    <w:rsid w:val="001B5D2E"/>
    <w:rsid w:val="001C0679"/>
    <w:rsid w:val="001C102A"/>
    <w:rsid w:val="001C3F99"/>
    <w:rsid w:val="001C41EA"/>
    <w:rsid w:val="001C493C"/>
    <w:rsid w:val="001C4DD2"/>
    <w:rsid w:val="001C61C7"/>
    <w:rsid w:val="001C767C"/>
    <w:rsid w:val="001C77F1"/>
    <w:rsid w:val="001C7F7B"/>
    <w:rsid w:val="001E255F"/>
    <w:rsid w:val="001E64B0"/>
    <w:rsid w:val="001E7381"/>
    <w:rsid w:val="001E7B79"/>
    <w:rsid w:val="001F15C2"/>
    <w:rsid w:val="001F6C6C"/>
    <w:rsid w:val="001F77F4"/>
    <w:rsid w:val="00201F7E"/>
    <w:rsid w:val="00205821"/>
    <w:rsid w:val="00207795"/>
    <w:rsid w:val="00210BC7"/>
    <w:rsid w:val="002112A4"/>
    <w:rsid w:val="00212375"/>
    <w:rsid w:val="002223ED"/>
    <w:rsid w:val="002264A9"/>
    <w:rsid w:val="00236B3D"/>
    <w:rsid w:val="00237049"/>
    <w:rsid w:val="00241222"/>
    <w:rsid w:val="002459ED"/>
    <w:rsid w:val="0024612D"/>
    <w:rsid w:val="00246A22"/>
    <w:rsid w:val="002516AF"/>
    <w:rsid w:val="00252371"/>
    <w:rsid w:val="0025320A"/>
    <w:rsid w:val="00255106"/>
    <w:rsid w:val="002666E1"/>
    <w:rsid w:val="0027205F"/>
    <w:rsid w:val="0027222D"/>
    <w:rsid w:val="00286EDF"/>
    <w:rsid w:val="00286FEF"/>
    <w:rsid w:val="002903BC"/>
    <w:rsid w:val="00290F60"/>
    <w:rsid w:val="002914F2"/>
    <w:rsid w:val="00293895"/>
    <w:rsid w:val="00295584"/>
    <w:rsid w:val="002B1861"/>
    <w:rsid w:val="002B482B"/>
    <w:rsid w:val="002C0F0A"/>
    <w:rsid w:val="002C45F2"/>
    <w:rsid w:val="002C57C9"/>
    <w:rsid w:val="002C66C9"/>
    <w:rsid w:val="002C6D8C"/>
    <w:rsid w:val="002C6E85"/>
    <w:rsid w:val="002D3A2A"/>
    <w:rsid w:val="002D3E45"/>
    <w:rsid w:val="002D6DDA"/>
    <w:rsid w:val="002D7D0D"/>
    <w:rsid w:val="002E0732"/>
    <w:rsid w:val="002E0B18"/>
    <w:rsid w:val="002E4512"/>
    <w:rsid w:val="002E54E6"/>
    <w:rsid w:val="002F08BB"/>
    <w:rsid w:val="002F4D17"/>
    <w:rsid w:val="002F6088"/>
    <w:rsid w:val="00305874"/>
    <w:rsid w:val="0030741E"/>
    <w:rsid w:val="00307E8F"/>
    <w:rsid w:val="00310A86"/>
    <w:rsid w:val="003113D9"/>
    <w:rsid w:val="003121F3"/>
    <w:rsid w:val="00312A09"/>
    <w:rsid w:val="003212AA"/>
    <w:rsid w:val="00321800"/>
    <w:rsid w:val="00323689"/>
    <w:rsid w:val="003274CD"/>
    <w:rsid w:val="00327C93"/>
    <w:rsid w:val="00332059"/>
    <w:rsid w:val="00336A21"/>
    <w:rsid w:val="0034216E"/>
    <w:rsid w:val="00343093"/>
    <w:rsid w:val="00343306"/>
    <w:rsid w:val="00344A74"/>
    <w:rsid w:val="003450EB"/>
    <w:rsid w:val="00345A0E"/>
    <w:rsid w:val="003471A3"/>
    <w:rsid w:val="00351B2D"/>
    <w:rsid w:val="00351B8D"/>
    <w:rsid w:val="00354AD8"/>
    <w:rsid w:val="003555F3"/>
    <w:rsid w:val="003563A0"/>
    <w:rsid w:val="003630AC"/>
    <w:rsid w:val="00367335"/>
    <w:rsid w:val="00372073"/>
    <w:rsid w:val="00372BC7"/>
    <w:rsid w:val="00376AE6"/>
    <w:rsid w:val="00377B8E"/>
    <w:rsid w:val="003840AD"/>
    <w:rsid w:val="0038712B"/>
    <w:rsid w:val="00396DB5"/>
    <w:rsid w:val="003A184C"/>
    <w:rsid w:val="003A1B94"/>
    <w:rsid w:val="003A380B"/>
    <w:rsid w:val="003A3B40"/>
    <w:rsid w:val="003A5F55"/>
    <w:rsid w:val="003A6FF3"/>
    <w:rsid w:val="003B01D7"/>
    <w:rsid w:val="003B0902"/>
    <w:rsid w:val="003B2C67"/>
    <w:rsid w:val="003B406C"/>
    <w:rsid w:val="003B44F8"/>
    <w:rsid w:val="003B51FE"/>
    <w:rsid w:val="003B6BB1"/>
    <w:rsid w:val="003C0A38"/>
    <w:rsid w:val="003C106C"/>
    <w:rsid w:val="003C4257"/>
    <w:rsid w:val="003C5FE4"/>
    <w:rsid w:val="003D21AD"/>
    <w:rsid w:val="003D2393"/>
    <w:rsid w:val="003D3F44"/>
    <w:rsid w:val="003D57D1"/>
    <w:rsid w:val="003E3A4C"/>
    <w:rsid w:val="003E51E3"/>
    <w:rsid w:val="003F1333"/>
    <w:rsid w:val="003F545C"/>
    <w:rsid w:val="00402478"/>
    <w:rsid w:val="00412722"/>
    <w:rsid w:val="00413C5A"/>
    <w:rsid w:val="00413ECE"/>
    <w:rsid w:val="0042082E"/>
    <w:rsid w:val="004213DA"/>
    <w:rsid w:val="00422A95"/>
    <w:rsid w:val="00422EBB"/>
    <w:rsid w:val="00424480"/>
    <w:rsid w:val="00424727"/>
    <w:rsid w:val="00425EF6"/>
    <w:rsid w:val="0042608F"/>
    <w:rsid w:val="0042700A"/>
    <w:rsid w:val="00432B51"/>
    <w:rsid w:val="00433D40"/>
    <w:rsid w:val="00435C3B"/>
    <w:rsid w:val="00436D0D"/>
    <w:rsid w:val="00440633"/>
    <w:rsid w:val="0044481E"/>
    <w:rsid w:val="00444A3B"/>
    <w:rsid w:val="0044642C"/>
    <w:rsid w:val="00452F69"/>
    <w:rsid w:val="00460C7F"/>
    <w:rsid w:val="00460FA0"/>
    <w:rsid w:val="004670C1"/>
    <w:rsid w:val="004676D3"/>
    <w:rsid w:val="004706BF"/>
    <w:rsid w:val="00472C19"/>
    <w:rsid w:val="004746CF"/>
    <w:rsid w:val="0048055A"/>
    <w:rsid w:val="0048060B"/>
    <w:rsid w:val="00482078"/>
    <w:rsid w:val="00484F4E"/>
    <w:rsid w:val="00485E40"/>
    <w:rsid w:val="004877A1"/>
    <w:rsid w:val="00487B1F"/>
    <w:rsid w:val="00490622"/>
    <w:rsid w:val="00494ED4"/>
    <w:rsid w:val="004965C7"/>
    <w:rsid w:val="00496D43"/>
    <w:rsid w:val="00496D48"/>
    <w:rsid w:val="00497ED5"/>
    <w:rsid w:val="004A0B7D"/>
    <w:rsid w:val="004A0DB5"/>
    <w:rsid w:val="004A48EC"/>
    <w:rsid w:val="004A6C33"/>
    <w:rsid w:val="004B4500"/>
    <w:rsid w:val="004B64F7"/>
    <w:rsid w:val="004C232A"/>
    <w:rsid w:val="004C248C"/>
    <w:rsid w:val="004C29EE"/>
    <w:rsid w:val="004C3728"/>
    <w:rsid w:val="004C3CE9"/>
    <w:rsid w:val="004C44DF"/>
    <w:rsid w:val="004C4552"/>
    <w:rsid w:val="004C4CC7"/>
    <w:rsid w:val="004C7C7D"/>
    <w:rsid w:val="004D7A17"/>
    <w:rsid w:val="004E40CA"/>
    <w:rsid w:val="004E5D89"/>
    <w:rsid w:val="004F121D"/>
    <w:rsid w:val="004F5D92"/>
    <w:rsid w:val="005019B8"/>
    <w:rsid w:val="00504EBD"/>
    <w:rsid w:val="00512442"/>
    <w:rsid w:val="005179F2"/>
    <w:rsid w:val="00520300"/>
    <w:rsid w:val="0052144B"/>
    <w:rsid w:val="00531A7C"/>
    <w:rsid w:val="00536998"/>
    <w:rsid w:val="00543AF1"/>
    <w:rsid w:val="005460A4"/>
    <w:rsid w:val="005464F6"/>
    <w:rsid w:val="00550CB9"/>
    <w:rsid w:val="00551B42"/>
    <w:rsid w:val="005545EB"/>
    <w:rsid w:val="00556BB0"/>
    <w:rsid w:val="005602CC"/>
    <w:rsid w:val="005604FA"/>
    <w:rsid w:val="00567780"/>
    <w:rsid w:val="00567EB4"/>
    <w:rsid w:val="005723B7"/>
    <w:rsid w:val="00575004"/>
    <w:rsid w:val="00575BAB"/>
    <w:rsid w:val="00576CC3"/>
    <w:rsid w:val="00582894"/>
    <w:rsid w:val="005833F2"/>
    <w:rsid w:val="00583FBD"/>
    <w:rsid w:val="00584B1B"/>
    <w:rsid w:val="0059343D"/>
    <w:rsid w:val="005943B9"/>
    <w:rsid w:val="00595E38"/>
    <w:rsid w:val="00597619"/>
    <w:rsid w:val="005A2F85"/>
    <w:rsid w:val="005A5690"/>
    <w:rsid w:val="005B53A0"/>
    <w:rsid w:val="005B6D34"/>
    <w:rsid w:val="005C3D38"/>
    <w:rsid w:val="005C47F2"/>
    <w:rsid w:val="005C75CF"/>
    <w:rsid w:val="005D78AE"/>
    <w:rsid w:val="005E1349"/>
    <w:rsid w:val="005E230B"/>
    <w:rsid w:val="005E7C92"/>
    <w:rsid w:val="005E7EE4"/>
    <w:rsid w:val="005F3489"/>
    <w:rsid w:val="005F6B50"/>
    <w:rsid w:val="005F7F20"/>
    <w:rsid w:val="006032F9"/>
    <w:rsid w:val="006051EA"/>
    <w:rsid w:val="006103CA"/>
    <w:rsid w:val="00610CCB"/>
    <w:rsid w:val="006137D3"/>
    <w:rsid w:val="00614E2E"/>
    <w:rsid w:val="0061710F"/>
    <w:rsid w:val="00617B58"/>
    <w:rsid w:val="00620856"/>
    <w:rsid w:val="0063029C"/>
    <w:rsid w:val="00630694"/>
    <w:rsid w:val="00630932"/>
    <w:rsid w:val="00631F96"/>
    <w:rsid w:val="00634E9D"/>
    <w:rsid w:val="006408F0"/>
    <w:rsid w:val="006411C4"/>
    <w:rsid w:val="006412EB"/>
    <w:rsid w:val="0064754D"/>
    <w:rsid w:val="0065336F"/>
    <w:rsid w:val="00661546"/>
    <w:rsid w:val="006670DB"/>
    <w:rsid w:val="00667DCA"/>
    <w:rsid w:val="00671D83"/>
    <w:rsid w:val="00674DB3"/>
    <w:rsid w:val="00676D9B"/>
    <w:rsid w:val="006824D5"/>
    <w:rsid w:val="00683B6E"/>
    <w:rsid w:val="00684B81"/>
    <w:rsid w:val="006863A7"/>
    <w:rsid w:val="00690118"/>
    <w:rsid w:val="00690314"/>
    <w:rsid w:val="0069206B"/>
    <w:rsid w:val="00692874"/>
    <w:rsid w:val="00695480"/>
    <w:rsid w:val="006966F7"/>
    <w:rsid w:val="006B1C95"/>
    <w:rsid w:val="006B3554"/>
    <w:rsid w:val="006C16FD"/>
    <w:rsid w:val="006C2806"/>
    <w:rsid w:val="006C2CF1"/>
    <w:rsid w:val="006C6148"/>
    <w:rsid w:val="006D45BD"/>
    <w:rsid w:val="006E517F"/>
    <w:rsid w:val="006E5324"/>
    <w:rsid w:val="006E605F"/>
    <w:rsid w:val="006E6721"/>
    <w:rsid w:val="006E70D2"/>
    <w:rsid w:val="006F0BA7"/>
    <w:rsid w:val="006F499A"/>
    <w:rsid w:val="006F52FF"/>
    <w:rsid w:val="00702F3E"/>
    <w:rsid w:val="00704088"/>
    <w:rsid w:val="00704D96"/>
    <w:rsid w:val="00706285"/>
    <w:rsid w:val="007063F8"/>
    <w:rsid w:val="00710773"/>
    <w:rsid w:val="007114A0"/>
    <w:rsid w:val="00715396"/>
    <w:rsid w:val="00726A57"/>
    <w:rsid w:val="00730F06"/>
    <w:rsid w:val="007326CE"/>
    <w:rsid w:val="0073786F"/>
    <w:rsid w:val="00740000"/>
    <w:rsid w:val="00750875"/>
    <w:rsid w:val="00751DA7"/>
    <w:rsid w:val="00753296"/>
    <w:rsid w:val="007535AF"/>
    <w:rsid w:val="0075655F"/>
    <w:rsid w:val="00757210"/>
    <w:rsid w:val="007602C9"/>
    <w:rsid w:val="0076708E"/>
    <w:rsid w:val="00771ABA"/>
    <w:rsid w:val="00772471"/>
    <w:rsid w:val="0077537D"/>
    <w:rsid w:val="007754CE"/>
    <w:rsid w:val="00775DD5"/>
    <w:rsid w:val="007854FF"/>
    <w:rsid w:val="00791477"/>
    <w:rsid w:val="00796C71"/>
    <w:rsid w:val="007A4BC0"/>
    <w:rsid w:val="007B3A7D"/>
    <w:rsid w:val="007C15F0"/>
    <w:rsid w:val="007C2E1E"/>
    <w:rsid w:val="007C37FB"/>
    <w:rsid w:val="007C485C"/>
    <w:rsid w:val="007D1026"/>
    <w:rsid w:val="007D208F"/>
    <w:rsid w:val="007D6DAF"/>
    <w:rsid w:val="007E1832"/>
    <w:rsid w:val="007E4293"/>
    <w:rsid w:val="007F16A1"/>
    <w:rsid w:val="007F19C3"/>
    <w:rsid w:val="007F1E3F"/>
    <w:rsid w:val="007F5784"/>
    <w:rsid w:val="007F5ADA"/>
    <w:rsid w:val="007F5C0C"/>
    <w:rsid w:val="007F5EB0"/>
    <w:rsid w:val="007F6108"/>
    <w:rsid w:val="00803FA5"/>
    <w:rsid w:val="00804604"/>
    <w:rsid w:val="00804D09"/>
    <w:rsid w:val="0080571A"/>
    <w:rsid w:val="008106B6"/>
    <w:rsid w:val="00811012"/>
    <w:rsid w:val="00813DCE"/>
    <w:rsid w:val="00814893"/>
    <w:rsid w:val="008163D0"/>
    <w:rsid w:val="00821B37"/>
    <w:rsid w:val="00822198"/>
    <w:rsid w:val="00823B50"/>
    <w:rsid w:val="00824BFB"/>
    <w:rsid w:val="008322C0"/>
    <w:rsid w:val="0085543F"/>
    <w:rsid w:val="00860D5B"/>
    <w:rsid w:val="00861EB2"/>
    <w:rsid w:val="008638D5"/>
    <w:rsid w:val="00867168"/>
    <w:rsid w:val="00867582"/>
    <w:rsid w:val="0087326D"/>
    <w:rsid w:val="0087499B"/>
    <w:rsid w:val="00876003"/>
    <w:rsid w:val="0087723B"/>
    <w:rsid w:val="008805C1"/>
    <w:rsid w:val="0088197E"/>
    <w:rsid w:val="00882082"/>
    <w:rsid w:val="00883F7E"/>
    <w:rsid w:val="00884CDD"/>
    <w:rsid w:val="00887232"/>
    <w:rsid w:val="00887D51"/>
    <w:rsid w:val="008900FC"/>
    <w:rsid w:val="00890DC6"/>
    <w:rsid w:val="008938ED"/>
    <w:rsid w:val="0089556C"/>
    <w:rsid w:val="008A67CE"/>
    <w:rsid w:val="008A6EDF"/>
    <w:rsid w:val="008A7FA8"/>
    <w:rsid w:val="008B0365"/>
    <w:rsid w:val="008B0D3B"/>
    <w:rsid w:val="008B54E9"/>
    <w:rsid w:val="008B5742"/>
    <w:rsid w:val="008B5A38"/>
    <w:rsid w:val="008C0DA8"/>
    <w:rsid w:val="008C0F52"/>
    <w:rsid w:val="008C1BAA"/>
    <w:rsid w:val="008C55CE"/>
    <w:rsid w:val="008C57A5"/>
    <w:rsid w:val="008C6EFF"/>
    <w:rsid w:val="008D111F"/>
    <w:rsid w:val="008D404F"/>
    <w:rsid w:val="008D6BDA"/>
    <w:rsid w:val="008F0CCC"/>
    <w:rsid w:val="008F18EE"/>
    <w:rsid w:val="008F5348"/>
    <w:rsid w:val="0090364A"/>
    <w:rsid w:val="009045DF"/>
    <w:rsid w:val="0090603E"/>
    <w:rsid w:val="00911D03"/>
    <w:rsid w:val="009122C4"/>
    <w:rsid w:val="00913F38"/>
    <w:rsid w:val="0091415C"/>
    <w:rsid w:val="009175D1"/>
    <w:rsid w:val="009230F7"/>
    <w:rsid w:val="00923118"/>
    <w:rsid w:val="00923E33"/>
    <w:rsid w:val="0092455A"/>
    <w:rsid w:val="00934F88"/>
    <w:rsid w:val="00935F98"/>
    <w:rsid w:val="00936998"/>
    <w:rsid w:val="00936B00"/>
    <w:rsid w:val="009409A2"/>
    <w:rsid w:val="00943FEA"/>
    <w:rsid w:val="00946B7E"/>
    <w:rsid w:val="00946CFE"/>
    <w:rsid w:val="009521AD"/>
    <w:rsid w:val="00952658"/>
    <w:rsid w:val="00952ED4"/>
    <w:rsid w:val="00953C78"/>
    <w:rsid w:val="00954949"/>
    <w:rsid w:val="009549A5"/>
    <w:rsid w:val="009559F3"/>
    <w:rsid w:val="00955E49"/>
    <w:rsid w:val="00957365"/>
    <w:rsid w:val="009613D9"/>
    <w:rsid w:val="009622B7"/>
    <w:rsid w:val="0096670A"/>
    <w:rsid w:val="009672EC"/>
    <w:rsid w:val="00977909"/>
    <w:rsid w:val="00977C73"/>
    <w:rsid w:val="0098066D"/>
    <w:rsid w:val="0098081F"/>
    <w:rsid w:val="00980D81"/>
    <w:rsid w:val="00983E53"/>
    <w:rsid w:val="009904F9"/>
    <w:rsid w:val="00995B59"/>
    <w:rsid w:val="00997FA3"/>
    <w:rsid w:val="009A14A4"/>
    <w:rsid w:val="009A1FAE"/>
    <w:rsid w:val="009A25DE"/>
    <w:rsid w:val="009A3A05"/>
    <w:rsid w:val="009A45CA"/>
    <w:rsid w:val="009B04F8"/>
    <w:rsid w:val="009C0ADA"/>
    <w:rsid w:val="009C5ACA"/>
    <w:rsid w:val="009C5E64"/>
    <w:rsid w:val="009C790E"/>
    <w:rsid w:val="009C7C10"/>
    <w:rsid w:val="009D1192"/>
    <w:rsid w:val="009D3143"/>
    <w:rsid w:val="009D3E62"/>
    <w:rsid w:val="009D3F2F"/>
    <w:rsid w:val="009D5920"/>
    <w:rsid w:val="009D782D"/>
    <w:rsid w:val="009E071D"/>
    <w:rsid w:val="009E09FF"/>
    <w:rsid w:val="009E14EB"/>
    <w:rsid w:val="009E2B3A"/>
    <w:rsid w:val="009E4F83"/>
    <w:rsid w:val="009E576A"/>
    <w:rsid w:val="009E7F27"/>
    <w:rsid w:val="009F7506"/>
    <w:rsid w:val="00A0787F"/>
    <w:rsid w:val="00A10E12"/>
    <w:rsid w:val="00A1103B"/>
    <w:rsid w:val="00A137ED"/>
    <w:rsid w:val="00A14383"/>
    <w:rsid w:val="00A156D8"/>
    <w:rsid w:val="00A21CF6"/>
    <w:rsid w:val="00A22DDD"/>
    <w:rsid w:val="00A26DEF"/>
    <w:rsid w:val="00A27285"/>
    <w:rsid w:val="00A32139"/>
    <w:rsid w:val="00A33131"/>
    <w:rsid w:val="00A339B0"/>
    <w:rsid w:val="00A353CB"/>
    <w:rsid w:val="00A35B8F"/>
    <w:rsid w:val="00A37923"/>
    <w:rsid w:val="00A419A3"/>
    <w:rsid w:val="00A42099"/>
    <w:rsid w:val="00A47806"/>
    <w:rsid w:val="00A47CB2"/>
    <w:rsid w:val="00A5100B"/>
    <w:rsid w:val="00A63BFB"/>
    <w:rsid w:val="00A67CD3"/>
    <w:rsid w:val="00A7073E"/>
    <w:rsid w:val="00A70747"/>
    <w:rsid w:val="00A714E2"/>
    <w:rsid w:val="00A749B2"/>
    <w:rsid w:val="00A75B42"/>
    <w:rsid w:val="00A8071A"/>
    <w:rsid w:val="00A81DB1"/>
    <w:rsid w:val="00A81E1D"/>
    <w:rsid w:val="00A8262B"/>
    <w:rsid w:val="00A8392A"/>
    <w:rsid w:val="00A869AC"/>
    <w:rsid w:val="00A87A32"/>
    <w:rsid w:val="00A97EE1"/>
    <w:rsid w:val="00AA189F"/>
    <w:rsid w:val="00AA4BAE"/>
    <w:rsid w:val="00AA5399"/>
    <w:rsid w:val="00AA57BA"/>
    <w:rsid w:val="00AA69D8"/>
    <w:rsid w:val="00AA7C55"/>
    <w:rsid w:val="00AB020B"/>
    <w:rsid w:val="00AB1684"/>
    <w:rsid w:val="00AB37AB"/>
    <w:rsid w:val="00AB4AEC"/>
    <w:rsid w:val="00AB5352"/>
    <w:rsid w:val="00AC0D92"/>
    <w:rsid w:val="00AC252C"/>
    <w:rsid w:val="00AC3102"/>
    <w:rsid w:val="00AD0553"/>
    <w:rsid w:val="00AD2BAA"/>
    <w:rsid w:val="00AD2FD2"/>
    <w:rsid w:val="00AD7133"/>
    <w:rsid w:val="00AE20B3"/>
    <w:rsid w:val="00AE356E"/>
    <w:rsid w:val="00AE3EA6"/>
    <w:rsid w:val="00AE460E"/>
    <w:rsid w:val="00AE4985"/>
    <w:rsid w:val="00AE4A18"/>
    <w:rsid w:val="00AE746E"/>
    <w:rsid w:val="00AE7D2B"/>
    <w:rsid w:val="00AF2AA1"/>
    <w:rsid w:val="00AF787E"/>
    <w:rsid w:val="00B00138"/>
    <w:rsid w:val="00B01340"/>
    <w:rsid w:val="00B014D4"/>
    <w:rsid w:val="00B01921"/>
    <w:rsid w:val="00B03049"/>
    <w:rsid w:val="00B05DB6"/>
    <w:rsid w:val="00B0659F"/>
    <w:rsid w:val="00B0684E"/>
    <w:rsid w:val="00B06946"/>
    <w:rsid w:val="00B06F39"/>
    <w:rsid w:val="00B101F1"/>
    <w:rsid w:val="00B169E6"/>
    <w:rsid w:val="00B2408B"/>
    <w:rsid w:val="00B303A6"/>
    <w:rsid w:val="00B31EC1"/>
    <w:rsid w:val="00B325C7"/>
    <w:rsid w:val="00B32AD9"/>
    <w:rsid w:val="00B343E9"/>
    <w:rsid w:val="00B34D17"/>
    <w:rsid w:val="00B4431B"/>
    <w:rsid w:val="00B502B0"/>
    <w:rsid w:val="00B50B53"/>
    <w:rsid w:val="00B516B1"/>
    <w:rsid w:val="00B5351E"/>
    <w:rsid w:val="00B55C5B"/>
    <w:rsid w:val="00B570A2"/>
    <w:rsid w:val="00B611D4"/>
    <w:rsid w:val="00B6149C"/>
    <w:rsid w:val="00B62778"/>
    <w:rsid w:val="00B62F6D"/>
    <w:rsid w:val="00B646B2"/>
    <w:rsid w:val="00B666A6"/>
    <w:rsid w:val="00B73DA7"/>
    <w:rsid w:val="00B759B3"/>
    <w:rsid w:val="00B7645D"/>
    <w:rsid w:val="00B775FB"/>
    <w:rsid w:val="00B81171"/>
    <w:rsid w:val="00B81C87"/>
    <w:rsid w:val="00B824AF"/>
    <w:rsid w:val="00B90EF5"/>
    <w:rsid w:val="00B94D82"/>
    <w:rsid w:val="00B95C57"/>
    <w:rsid w:val="00B9685C"/>
    <w:rsid w:val="00BA1751"/>
    <w:rsid w:val="00BA2FDD"/>
    <w:rsid w:val="00BB4B7F"/>
    <w:rsid w:val="00BB629C"/>
    <w:rsid w:val="00BB6D15"/>
    <w:rsid w:val="00BB7AEE"/>
    <w:rsid w:val="00BB7D91"/>
    <w:rsid w:val="00BC0627"/>
    <w:rsid w:val="00BC0CFD"/>
    <w:rsid w:val="00BC6A95"/>
    <w:rsid w:val="00BD1717"/>
    <w:rsid w:val="00BD50B1"/>
    <w:rsid w:val="00BE07CC"/>
    <w:rsid w:val="00BE2BF9"/>
    <w:rsid w:val="00BF138D"/>
    <w:rsid w:val="00BF1691"/>
    <w:rsid w:val="00BF2060"/>
    <w:rsid w:val="00BF6398"/>
    <w:rsid w:val="00BF6BAC"/>
    <w:rsid w:val="00C01BF8"/>
    <w:rsid w:val="00C10EFA"/>
    <w:rsid w:val="00C11ED3"/>
    <w:rsid w:val="00C1566D"/>
    <w:rsid w:val="00C17DEB"/>
    <w:rsid w:val="00C21189"/>
    <w:rsid w:val="00C2225F"/>
    <w:rsid w:val="00C227F2"/>
    <w:rsid w:val="00C23A6D"/>
    <w:rsid w:val="00C26070"/>
    <w:rsid w:val="00C324C7"/>
    <w:rsid w:val="00C325BC"/>
    <w:rsid w:val="00C33CD0"/>
    <w:rsid w:val="00C34A97"/>
    <w:rsid w:val="00C3755C"/>
    <w:rsid w:val="00C413D7"/>
    <w:rsid w:val="00C45E94"/>
    <w:rsid w:val="00C462F5"/>
    <w:rsid w:val="00C50222"/>
    <w:rsid w:val="00C5592D"/>
    <w:rsid w:val="00C62BFF"/>
    <w:rsid w:val="00C63A5F"/>
    <w:rsid w:val="00C63B8C"/>
    <w:rsid w:val="00C72E4F"/>
    <w:rsid w:val="00C80E16"/>
    <w:rsid w:val="00C81CFE"/>
    <w:rsid w:val="00C820B0"/>
    <w:rsid w:val="00C82D82"/>
    <w:rsid w:val="00C82F42"/>
    <w:rsid w:val="00C854DB"/>
    <w:rsid w:val="00C904C4"/>
    <w:rsid w:val="00C91CF3"/>
    <w:rsid w:val="00C92925"/>
    <w:rsid w:val="00C93099"/>
    <w:rsid w:val="00C93825"/>
    <w:rsid w:val="00C964B9"/>
    <w:rsid w:val="00C9684A"/>
    <w:rsid w:val="00CA08D8"/>
    <w:rsid w:val="00CA2682"/>
    <w:rsid w:val="00CA366F"/>
    <w:rsid w:val="00CA3718"/>
    <w:rsid w:val="00CA6011"/>
    <w:rsid w:val="00CA683A"/>
    <w:rsid w:val="00CB14CF"/>
    <w:rsid w:val="00CB1F9F"/>
    <w:rsid w:val="00CB44EC"/>
    <w:rsid w:val="00CB5043"/>
    <w:rsid w:val="00CB51FD"/>
    <w:rsid w:val="00CC475A"/>
    <w:rsid w:val="00CC5969"/>
    <w:rsid w:val="00CC6A06"/>
    <w:rsid w:val="00CD22F0"/>
    <w:rsid w:val="00CD2632"/>
    <w:rsid w:val="00CD3C03"/>
    <w:rsid w:val="00CD5E28"/>
    <w:rsid w:val="00CD6F30"/>
    <w:rsid w:val="00CF4209"/>
    <w:rsid w:val="00D00DA0"/>
    <w:rsid w:val="00D03DA8"/>
    <w:rsid w:val="00D0735F"/>
    <w:rsid w:val="00D12EC3"/>
    <w:rsid w:val="00D20D0D"/>
    <w:rsid w:val="00D22918"/>
    <w:rsid w:val="00D23110"/>
    <w:rsid w:val="00D2592D"/>
    <w:rsid w:val="00D2606E"/>
    <w:rsid w:val="00D34933"/>
    <w:rsid w:val="00D35E7E"/>
    <w:rsid w:val="00D41326"/>
    <w:rsid w:val="00D43FA2"/>
    <w:rsid w:val="00D44266"/>
    <w:rsid w:val="00D47D3E"/>
    <w:rsid w:val="00D50361"/>
    <w:rsid w:val="00D53A14"/>
    <w:rsid w:val="00D54F9E"/>
    <w:rsid w:val="00D56735"/>
    <w:rsid w:val="00D5679E"/>
    <w:rsid w:val="00D61B7C"/>
    <w:rsid w:val="00D64185"/>
    <w:rsid w:val="00D739E5"/>
    <w:rsid w:val="00D765C5"/>
    <w:rsid w:val="00D831D7"/>
    <w:rsid w:val="00D839A3"/>
    <w:rsid w:val="00D87A58"/>
    <w:rsid w:val="00D87CB4"/>
    <w:rsid w:val="00D904AE"/>
    <w:rsid w:val="00D94310"/>
    <w:rsid w:val="00DA1B00"/>
    <w:rsid w:val="00DA417C"/>
    <w:rsid w:val="00DA77DA"/>
    <w:rsid w:val="00DB40DD"/>
    <w:rsid w:val="00DB68D0"/>
    <w:rsid w:val="00DB6B78"/>
    <w:rsid w:val="00DC19A3"/>
    <w:rsid w:val="00DC23DA"/>
    <w:rsid w:val="00DC2543"/>
    <w:rsid w:val="00DC2C4D"/>
    <w:rsid w:val="00DC30FA"/>
    <w:rsid w:val="00DC54EA"/>
    <w:rsid w:val="00DD4710"/>
    <w:rsid w:val="00DE2A6E"/>
    <w:rsid w:val="00DE2BD1"/>
    <w:rsid w:val="00DE4223"/>
    <w:rsid w:val="00DE618A"/>
    <w:rsid w:val="00DE7C6D"/>
    <w:rsid w:val="00DF2189"/>
    <w:rsid w:val="00DF2C0C"/>
    <w:rsid w:val="00DF322F"/>
    <w:rsid w:val="00DF635F"/>
    <w:rsid w:val="00E02496"/>
    <w:rsid w:val="00E03495"/>
    <w:rsid w:val="00E044AC"/>
    <w:rsid w:val="00E04A6F"/>
    <w:rsid w:val="00E066A0"/>
    <w:rsid w:val="00E10FCC"/>
    <w:rsid w:val="00E115BA"/>
    <w:rsid w:val="00E11D32"/>
    <w:rsid w:val="00E128E9"/>
    <w:rsid w:val="00E13E76"/>
    <w:rsid w:val="00E1548E"/>
    <w:rsid w:val="00E16559"/>
    <w:rsid w:val="00E2106F"/>
    <w:rsid w:val="00E376C9"/>
    <w:rsid w:val="00E42865"/>
    <w:rsid w:val="00E434E4"/>
    <w:rsid w:val="00E435F4"/>
    <w:rsid w:val="00E51ED0"/>
    <w:rsid w:val="00E57CF1"/>
    <w:rsid w:val="00E57E7A"/>
    <w:rsid w:val="00E608F3"/>
    <w:rsid w:val="00E609FB"/>
    <w:rsid w:val="00E679B9"/>
    <w:rsid w:val="00E67DDB"/>
    <w:rsid w:val="00E71B52"/>
    <w:rsid w:val="00E72692"/>
    <w:rsid w:val="00E73DEE"/>
    <w:rsid w:val="00E74EDF"/>
    <w:rsid w:val="00E756AE"/>
    <w:rsid w:val="00E76558"/>
    <w:rsid w:val="00E76A25"/>
    <w:rsid w:val="00E772A3"/>
    <w:rsid w:val="00E7731E"/>
    <w:rsid w:val="00E81085"/>
    <w:rsid w:val="00E85075"/>
    <w:rsid w:val="00E8705E"/>
    <w:rsid w:val="00E87625"/>
    <w:rsid w:val="00E87675"/>
    <w:rsid w:val="00E93EC3"/>
    <w:rsid w:val="00E97B34"/>
    <w:rsid w:val="00EA28F3"/>
    <w:rsid w:val="00EA322D"/>
    <w:rsid w:val="00EA4C95"/>
    <w:rsid w:val="00EA5104"/>
    <w:rsid w:val="00EB068D"/>
    <w:rsid w:val="00EB0A39"/>
    <w:rsid w:val="00EB3AD5"/>
    <w:rsid w:val="00EB3D9B"/>
    <w:rsid w:val="00EC44CD"/>
    <w:rsid w:val="00EC7B79"/>
    <w:rsid w:val="00ED1772"/>
    <w:rsid w:val="00ED339C"/>
    <w:rsid w:val="00ED40A2"/>
    <w:rsid w:val="00ED4151"/>
    <w:rsid w:val="00EE26AB"/>
    <w:rsid w:val="00EE5D49"/>
    <w:rsid w:val="00EF2D00"/>
    <w:rsid w:val="00EF2D3B"/>
    <w:rsid w:val="00EF7D1A"/>
    <w:rsid w:val="00F002A6"/>
    <w:rsid w:val="00F00AB0"/>
    <w:rsid w:val="00F042C2"/>
    <w:rsid w:val="00F04E41"/>
    <w:rsid w:val="00F07B8E"/>
    <w:rsid w:val="00F07D92"/>
    <w:rsid w:val="00F10F9F"/>
    <w:rsid w:val="00F11601"/>
    <w:rsid w:val="00F120F2"/>
    <w:rsid w:val="00F14832"/>
    <w:rsid w:val="00F17214"/>
    <w:rsid w:val="00F2294E"/>
    <w:rsid w:val="00F22EC5"/>
    <w:rsid w:val="00F23C7D"/>
    <w:rsid w:val="00F26006"/>
    <w:rsid w:val="00F2622D"/>
    <w:rsid w:val="00F30899"/>
    <w:rsid w:val="00F31359"/>
    <w:rsid w:val="00F3162E"/>
    <w:rsid w:val="00F3202C"/>
    <w:rsid w:val="00F33085"/>
    <w:rsid w:val="00F34A9A"/>
    <w:rsid w:val="00F37047"/>
    <w:rsid w:val="00F40E6B"/>
    <w:rsid w:val="00F417CD"/>
    <w:rsid w:val="00F41928"/>
    <w:rsid w:val="00F42D6E"/>
    <w:rsid w:val="00F448DB"/>
    <w:rsid w:val="00F45B4F"/>
    <w:rsid w:val="00F51A35"/>
    <w:rsid w:val="00F55E62"/>
    <w:rsid w:val="00F565C3"/>
    <w:rsid w:val="00F62E9B"/>
    <w:rsid w:val="00F63763"/>
    <w:rsid w:val="00F63CAC"/>
    <w:rsid w:val="00F7160B"/>
    <w:rsid w:val="00F7619F"/>
    <w:rsid w:val="00F77DAA"/>
    <w:rsid w:val="00F80774"/>
    <w:rsid w:val="00F838E2"/>
    <w:rsid w:val="00F83CDD"/>
    <w:rsid w:val="00F9416C"/>
    <w:rsid w:val="00FA156E"/>
    <w:rsid w:val="00FA4663"/>
    <w:rsid w:val="00FA685B"/>
    <w:rsid w:val="00FA7F3B"/>
    <w:rsid w:val="00FB083A"/>
    <w:rsid w:val="00FB2469"/>
    <w:rsid w:val="00FB4795"/>
    <w:rsid w:val="00FB4B9A"/>
    <w:rsid w:val="00FC0868"/>
    <w:rsid w:val="00FC1199"/>
    <w:rsid w:val="00FC1D85"/>
    <w:rsid w:val="00FC23C6"/>
    <w:rsid w:val="00FC2C5D"/>
    <w:rsid w:val="00FD00C0"/>
    <w:rsid w:val="00FD1EA9"/>
    <w:rsid w:val="00FD2137"/>
    <w:rsid w:val="00FD2E6B"/>
    <w:rsid w:val="00FD557A"/>
    <w:rsid w:val="00FF2102"/>
    <w:rsid w:val="00FF5335"/>
    <w:rsid w:val="00FF561E"/>
    <w:rsid w:val="00FF5DA3"/>
    <w:rsid w:val="00FF630A"/>
    <w:rsid w:val="00FF7A63"/>
    <w:rsid w:val="00FF7AA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3E9A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pPr>
        <w:jc w:val="both"/>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067E"/>
    <w:rPr>
      <w:rFonts w:asciiTheme="minorHAnsi" w:eastAsiaTheme="minorEastAsia" w:hAnsiTheme="minorHAnsi" w:cstheme="minorBidi"/>
      <w:sz w:val="24"/>
      <w:szCs w:val="24"/>
      <w:lang w:val="en-US" w:eastAsia="ja-JP"/>
    </w:rPr>
  </w:style>
  <w:style w:type="paragraph" w:styleId="Heading1">
    <w:name w:val="heading 1"/>
    <w:basedOn w:val="Normal"/>
    <w:next w:val="Normal"/>
    <w:link w:val="Heading1Char"/>
    <w:autoRedefine/>
    <w:uiPriority w:val="9"/>
    <w:qFormat/>
    <w:rsid w:val="002C45F2"/>
    <w:pPr>
      <w:keepNext/>
      <w:keepLines/>
      <w:numPr>
        <w:numId w:val="2"/>
      </w:numPr>
      <w:spacing w:after="120"/>
      <w:ind w:left="721" w:hanging="437"/>
      <w:outlineLvl w:val="0"/>
    </w:pPr>
    <w:rPr>
      <w:rFonts w:asciiTheme="majorHAnsi" w:eastAsiaTheme="majorEastAsia" w:hAnsiTheme="majorHAnsi" w:cstheme="majorBidi"/>
      <w:b/>
      <w:bCs/>
      <w:caps/>
      <w:color w:val="000000" w:themeColor="text1"/>
      <w:sz w:val="32"/>
      <w:szCs w:val="32"/>
    </w:rPr>
  </w:style>
  <w:style w:type="paragraph" w:styleId="Heading2">
    <w:name w:val="heading 2"/>
    <w:basedOn w:val="Normal"/>
    <w:next w:val="Normal"/>
    <w:link w:val="Heading2Char"/>
    <w:autoRedefine/>
    <w:uiPriority w:val="9"/>
    <w:unhideWhenUsed/>
    <w:qFormat/>
    <w:rsid w:val="00887232"/>
    <w:pPr>
      <w:keepNext/>
      <w:keepLines/>
      <w:spacing w:before="200"/>
      <w:outlineLvl w:val="1"/>
    </w:pPr>
    <w:rPr>
      <w:rFonts w:asciiTheme="majorHAnsi" w:eastAsiaTheme="majorEastAsia" w:hAnsiTheme="majorHAnsi" w:cs="Times New Roman"/>
      <w:bCs/>
      <w:i/>
      <w:sz w:val="26"/>
      <w:szCs w:val="26"/>
    </w:rPr>
  </w:style>
  <w:style w:type="paragraph" w:styleId="Heading3">
    <w:name w:val="heading 3"/>
    <w:basedOn w:val="Normal"/>
    <w:next w:val="Normal"/>
    <w:link w:val="Heading3Char"/>
    <w:uiPriority w:val="9"/>
    <w:unhideWhenUsed/>
    <w:qFormat/>
    <w:rsid w:val="001323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7062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067E"/>
    <w:pPr>
      <w:tabs>
        <w:tab w:val="center" w:pos="4513"/>
        <w:tab w:val="right" w:pos="9026"/>
      </w:tabs>
    </w:pPr>
  </w:style>
  <w:style w:type="character" w:customStyle="1" w:styleId="HeaderChar">
    <w:name w:val="Header Char"/>
    <w:basedOn w:val="DefaultParagraphFont"/>
    <w:link w:val="Header"/>
    <w:rsid w:val="0001067E"/>
    <w:rPr>
      <w:rFonts w:asciiTheme="minorHAnsi" w:eastAsiaTheme="minorEastAsia" w:hAnsiTheme="minorHAnsi" w:cstheme="minorBidi"/>
      <w:sz w:val="24"/>
      <w:szCs w:val="24"/>
      <w:lang w:val="en-US" w:eastAsia="ja-JP"/>
    </w:rPr>
  </w:style>
  <w:style w:type="paragraph" w:styleId="Footer">
    <w:name w:val="footer"/>
    <w:basedOn w:val="Normal"/>
    <w:link w:val="FooterChar"/>
    <w:uiPriority w:val="99"/>
    <w:rsid w:val="0001067E"/>
    <w:pPr>
      <w:tabs>
        <w:tab w:val="center" w:pos="4513"/>
        <w:tab w:val="right" w:pos="9026"/>
      </w:tabs>
    </w:pPr>
  </w:style>
  <w:style w:type="character" w:customStyle="1" w:styleId="FooterChar">
    <w:name w:val="Footer Char"/>
    <w:basedOn w:val="DefaultParagraphFont"/>
    <w:link w:val="Footer"/>
    <w:uiPriority w:val="99"/>
    <w:rsid w:val="0001067E"/>
    <w:rPr>
      <w:rFonts w:asciiTheme="minorHAnsi" w:eastAsiaTheme="minorEastAsia" w:hAnsiTheme="minorHAnsi" w:cstheme="minorBidi"/>
      <w:sz w:val="24"/>
      <w:szCs w:val="24"/>
      <w:lang w:val="en-US" w:eastAsia="ja-JP"/>
    </w:rPr>
  </w:style>
  <w:style w:type="paragraph" w:styleId="ListParagraph">
    <w:name w:val="List Paragraph"/>
    <w:aliases w:val="List Paragraph1,List Paragraph11,Bullet point,Recommendation,List Paragraph Number,L,CV text,Table text,F5 List Paragraph,Dot pt,Medium Grid 1 - Accent 21,Numbered Paragraph,List Paragraph111,List Paragraph2,Bulleted Para,FooterText,列出段落"/>
    <w:basedOn w:val="Normal"/>
    <w:link w:val="ListParagraphChar"/>
    <w:uiPriority w:val="99"/>
    <w:qFormat/>
    <w:rsid w:val="0001067E"/>
    <w:pPr>
      <w:ind w:left="720"/>
      <w:contextualSpacing/>
    </w:pPr>
  </w:style>
  <w:style w:type="character" w:customStyle="1" w:styleId="Heading1Char">
    <w:name w:val="Heading 1 Char"/>
    <w:basedOn w:val="DefaultParagraphFont"/>
    <w:link w:val="Heading1"/>
    <w:uiPriority w:val="9"/>
    <w:rsid w:val="002C45F2"/>
    <w:rPr>
      <w:rFonts w:asciiTheme="majorHAnsi" w:eastAsiaTheme="majorEastAsia" w:hAnsiTheme="majorHAnsi" w:cstheme="majorBidi"/>
      <w:b/>
      <w:bCs/>
      <w:caps/>
      <w:color w:val="000000" w:themeColor="text1"/>
      <w:sz w:val="32"/>
      <w:szCs w:val="32"/>
      <w:lang w:val="en-US" w:eastAsia="ja-JP"/>
    </w:rPr>
  </w:style>
  <w:style w:type="character" w:customStyle="1" w:styleId="Heading2Char">
    <w:name w:val="Heading 2 Char"/>
    <w:basedOn w:val="DefaultParagraphFont"/>
    <w:link w:val="Heading2"/>
    <w:uiPriority w:val="9"/>
    <w:rsid w:val="00887232"/>
    <w:rPr>
      <w:rFonts w:asciiTheme="majorHAnsi" w:eastAsiaTheme="majorEastAsia" w:hAnsiTheme="majorHAnsi"/>
      <w:bCs/>
      <w:i/>
      <w:sz w:val="26"/>
      <w:szCs w:val="26"/>
      <w:lang w:val="en-US" w:eastAsia="ja-JP"/>
    </w:rPr>
  </w:style>
  <w:style w:type="character" w:styleId="CommentReference">
    <w:name w:val="annotation reference"/>
    <w:basedOn w:val="DefaultParagraphFont"/>
    <w:unhideWhenUsed/>
    <w:rsid w:val="0001067E"/>
    <w:rPr>
      <w:sz w:val="16"/>
      <w:szCs w:val="16"/>
    </w:rPr>
  </w:style>
  <w:style w:type="paragraph" w:styleId="CommentText">
    <w:name w:val="annotation text"/>
    <w:basedOn w:val="Normal"/>
    <w:link w:val="CommentTextChar"/>
    <w:uiPriority w:val="99"/>
    <w:unhideWhenUsed/>
    <w:rsid w:val="0001067E"/>
    <w:rPr>
      <w:sz w:val="20"/>
      <w:szCs w:val="20"/>
    </w:rPr>
  </w:style>
  <w:style w:type="character" w:customStyle="1" w:styleId="CommentTextChar">
    <w:name w:val="Comment Text Char"/>
    <w:basedOn w:val="DefaultParagraphFont"/>
    <w:link w:val="CommentText"/>
    <w:uiPriority w:val="99"/>
    <w:rsid w:val="0001067E"/>
    <w:rPr>
      <w:rFonts w:asciiTheme="minorHAnsi" w:eastAsiaTheme="minorEastAsia" w:hAnsiTheme="minorHAnsi" w:cstheme="minorBidi"/>
      <w:lang w:val="en-US" w:eastAsia="ja-JP"/>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 Char,(NECG) Footnote Text"/>
    <w:basedOn w:val="Normal"/>
    <w:link w:val="FootnoteTextChar"/>
    <w:uiPriority w:val="99"/>
    <w:unhideWhenUsed/>
    <w:qFormat/>
    <w:rsid w:val="0001067E"/>
    <w:pPr>
      <w:spacing w:line="276" w:lineRule="auto"/>
    </w:pPr>
    <w:rPr>
      <w:rFonts w:ascii="Calibri" w:eastAsia="Calibri" w:hAnsi="Calibri" w:cs="Times New Roman"/>
      <w:sz w:val="20"/>
      <w:szCs w:val="20"/>
      <w:lang w:eastAsia="en-US"/>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01067E"/>
    <w:rPr>
      <w:rFonts w:ascii="Calibri" w:eastAsia="Calibri" w:hAnsi="Calibri"/>
      <w:lang w:val="en-US" w:eastAsia="en-US"/>
    </w:rPr>
  </w:style>
  <w:style w:type="character" w:styleId="FootnoteReference">
    <w:name w:val="footnote reference"/>
    <w:aliases w:val="4_G,(NECG) Footnote Reference"/>
    <w:uiPriority w:val="99"/>
    <w:unhideWhenUsed/>
    <w:rsid w:val="0001067E"/>
    <w:rPr>
      <w:vertAlign w:val="superscript"/>
    </w:rPr>
  </w:style>
  <w:style w:type="paragraph" w:styleId="BalloonText">
    <w:name w:val="Balloon Text"/>
    <w:basedOn w:val="Normal"/>
    <w:link w:val="BalloonTextChar"/>
    <w:uiPriority w:val="99"/>
    <w:rsid w:val="0001067E"/>
    <w:rPr>
      <w:rFonts w:ascii="Tahoma" w:hAnsi="Tahoma" w:cs="Tahoma"/>
      <w:sz w:val="16"/>
      <w:szCs w:val="16"/>
    </w:rPr>
  </w:style>
  <w:style w:type="character" w:customStyle="1" w:styleId="BalloonTextChar">
    <w:name w:val="Balloon Text Char"/>
    <w:basedOn w:val="DefaultParagraphFont"/>
    <w:link w:val="BalloonText"/>
    <w:uiPriority w:val="99"/>
    <w:rsid w:val="0001067E"/>
    <w:rPr>
      <w:rFonts w:ascii="Tahoma" w:eastAsiaTheme="minorEastAsia" w:hAnsi="Tahoma" w:cs="Tahoma"/>
      <w:sz w:val="16"/>
      <w:szCs w:val="16"/>
      <w:lang w:val="en-US" w:eastAsia="ja-JP"/>
    </w:rPr>
  </w:style>
  <w:style w:type="paragraph" w:styleId="Subtitle">
    <w:name w:val="Subtitle"/>
    <w:basedOn w:val="Normal"/>
    <w:next w:val="Normal"/>
    <w:link w:val="SubtitleChar"/>
    <w:qFormat/>
    <w:rsid w:val="00A869A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869AC"/>
    <w:rPr>
      <w:rFonts w:asciiTheme="majorHAnsi" w:eastAsiaTheme="majorEastAsia" w:hAnsiTheme="majorHAnsi" w:cstheme="majorBidi"/>
      <w:i/>
      <w:iCs/>
      <w:color w:val="4F81BD" w:themeColor="accent1"/>
      <w:spacing w:val="15"/>
      <w:sz w:val="24"/>
      <w:szCs w:val="24"/>
      <w:lang w:val="en-US" w:eastAsia="ja-JP"/>
    </w:rPr>
  </w:style>
  <w:style w:type="paragraph" w:styleId="CommentSubject">
    <w:name w:val="annotation subject"/>
    <w:basedOn w:val="CommentText"/>
    <w:next w:val="CommentText"/>
    <w:link w:val="CommentSubjectChar"/>
    <w:rsid w:val="00DD4710"/>
    <w:rPr>
      <w:b/>
      <w:bCs/>
    </w:rPr>
  </w:style>
  <w:style w:type="character" w:customStyle="1" w:styleId="CommentSubjectChar">
    <w:name w:val="Comment Subject Char"/>
    <w:basedOn w:val="CommentTextChar"/>
    <w:link w:val="CommentSubject"/>
    <w:rsid w:val="00DD4710"/>
    <w:rPr>
      <w:rFonts w:asciiTheme="minorHAnsi" w:eastAsiaTheme="minorEastAsia" w:hAnsiTheme="minorHAnsi" w:cstheme="minorBidi"/>
      <w:b/>
      <w:bCs/>
      <w:lang w:val="en-US" w:eastAsia="ja-JP"/>
    </w:rPr>
  </w:style>
  <w:style w:type="character" w:styleId="Hyperlink">
    <w:name w:val="Hyperlink"/>
    <w:basedOn w:val="DefaultParagraphFont"/>
    <w:uiPriority w:val="99"/>
    <w:unhideWhenUsed/>
    <w:rsid w:val="00487B1F"/>
    <w:rPr>
      <w:color w:val="0000FF" w:themeColor="hyperlink"/>
      <w:u w:val="single"/>
    </w:rPr>
  </w:style>
  <w:style w:type="paragraph" w:styleId="TOC1">
    <w:name w:val="toc 1"/>
    <w:basedOn w:val="Normal"/>
    <w:next w:val="Normal"/>
    <w:autoRedefine/>
    <w:uiPriority w:val="39"/>
    <w:unhideWhenUsed/>
    <w:rsid w:val="00CF4209"/>
    <w:pPr>
      <w:spacing w:before="240" w:after="120"/>
    </w:pPr>
    <w:rPr>
      <w:rFonts w:ascii="Times New Roman" w:hAnsi="Times New Roman"/>
      <w:b/>
      <w:caps/>
      <w:sz w:val="23"/>
      <w:szCs w:val="22"/>
      <w:u w:val="single"/>
    </w:rPr>
  </w:style>
  <w:style w:type="character" w:customStyle="1" w:styleId="Heading3Char">
    <w:name w:val="Heading 3 Char"/>
    <w:basedOn w:val="DefaultParagraphFont"/>
    <w:link w:val="Heading3"/>
    <w:uiPriority w:val="9"/>
    <w:rsid w:val="001323A8"/>
    <w:rPr>
      <w:rFonts w:asciiTheme="majorHAnsi" w:eastAsiaTheme="majorEastAsia" w:hAnsiTheme="majorHAnsi" w:cstheme="majorBidi"/>
      <w:b/>
      <w:bCs/>
      <w:color w:val="4F81BD" w:themeColor="accent1"/>
      <w:sz w:val="24"/>
      <w:szCs w:val="24"/>
      <w:lang w:val="en-US" w:eastAsia="ja-JP"/>
    </w:rPr>
  </w:style>
  <w:style w:type="table" w:styleId="TableGrid">
    <w:name w:val="Table Grid"/>
    <w:basedOn w:val="TableNormal"/>
    <w:rsid w:val="00074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74DB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7C2E1E"/>
    <w:rPr>
      <w:b/>
      <w:bCs/>
    </w:rPr>
  </w:style>
  <w:style w:type="paragraph" w:customStyle="1" w:styleId="SingleTxtG">
    <w:name w:val="_ Single Txt_G"/>
    <w:basedOn w:val="Normal"/>
    <w:rsid w:val="007C2E1E"/>
    <w:pPr>
      <w:suppressAutoHyphens/>
      <w:spacing w:after="120" w:line="240" w:lineRule="atLeast"/>
      <w:ind w:left="1134" w:right="1134"/>
    </w:pPr>
    <w:rPr>
      <w:rFonts w:ascii="Times New Roman" w:eastAsia="Times New Roman" w:hAnsi="Times New Roman" w:cs="Times New Roman"/>
      <w:sz w:val="20"/>
      <w:szCs w:val="20"/>
      <w:lang w:val="en-GB" w:eastAsia="en-US"/>
    </w:rPr>
  </w:style>
  <w:style w:type="character" w:styleId="BookTitle">
    <w:name w:val="Book Title"/>
    <w:uiPriority w:val="33"/>
    <w:qFormat/>
    <w:rsid w:val="00290F60"/>
    <w:rPr>
      <w:i/>
      <w:iCs/>
      <w:smallCaps/>
      <w:spacing w:val="5"/>
    </w:rPr>
  </w:style>
  <w:style w:type="paragraph" w:styleId="NoSpacing">
    <w:name w:val="No Spacing"/>
    <w:uiPriority w:val="1"/>
    <w:qFormat/>
    <w:rsid w:val="00290F60"/>
    <w:rPr>
      <w:sz w:val="24"/>
      <w:szCs w:val="24"/>
      <w:lang w:eastAsia="en-US"/>
    </w:rPr>
  </w:style>
  <w:style w:type="character" w:styleId="Emphasis">
    <w:name w:val="Emphasis"/>
    <w:basedOn w:val="DefaultParagraphFont"/>
    <w:uiPriority w:val="20"/>
    <w:qFormat/>
    <w:rsid w:val="00F07B8E"/>
    <w:rPr>
      <w:i/>
      <w:iCs/>
    </w:rPr>
  </w:style>
  <w:style w:type="character" w:customStyle="1" w:styleId="Heading4Char">
    <w:name w:val="Heading 4 Char"/>
    <w:basedOn w:val="DefaultParagraphFont"/>
    <w:link w:val="Heading4"/>
    <w:semiHidden/>
    <w:rsid w:val="00706285"/>
    <w:rPr>
      <w:rFonts w:asciiTheme="majorHAnsi" w:eastAsiaTheme="majorEastAsia" w:hAnsiTheme="majorHAnsi" w:cstheme="majorBidi"/>
      <w:b/>
      <w:bCs/>
      <w:i/>
      <w:iCs/>
      <w:color w:val="4F81BD" w:themeColor="accent1"/>
      <w:sz w:val="24"/>
      <w:szCs w:val="24"/>
      <w:lang w:val="en-US" w:eastAsia="ja-JP"/>
    </w:rPr>
  </w:style>
  <w:style w:type="paragraph" w:styleId="NormalWeb">
    <w:name w:val="Normal (Web)"/>
    <w:basedOn w:val="Normal"/>
    <w:uiPriority w:val="99"/>
    <w:unhideWhenUsed/>
    <w:rsid w:val="00706285"/>
    <w:pPr>
      <w:spacing w:before="180" w:after="100" w:afterAutospacing="1"/>
    </w:pPr>
    <w:rPr>
      <w:rFonts w:ascii="Times New Roman" w:eastAsia="Times New Roman" w:hAnsi="Times New Roman" w:cs="Times New Roman"/>
      <w:lang w:val="en-AU" w:eastAsia="en-AU"/>
    </w:rPr>
  </w:style>
  <w:style w:type="paragraph" w:customStyle="1" w:styleId="VEOHRCBodytext">
    <w:name w:val="VEOHRC Body text"/>
    <w:link w:val="VEOHRCBodytextChar"/>
    <w:autoRedefine/>
    <w:uiPriority w:val="99"/>
    <w:rsid w:val="002E4512"/>
    <w:pPr>
      <w:spacing w:before="80" w:after="120"/>
    </w:pPr>
    <w:rPr>
      <w:rFonts w:ascii="Arial" w:eastAsia="Arial Unicode MS" w:hAnsi="Arial"/>
      <w:sz w:val="24"/>
      <w:szCs w:val="24"/>
      <w:lang w:val="en-GB"/>
    </w:rPr>
  </w:style>
  <w:style w:type="character" w:customStyle="1" w:styleId="VEOHRCBodytextChar">
    <w:name w:val="VEOHRC Body text Char"/>
    <w:basedOn w:val="DefaultParagraphFont"/>
    <w:link w:val="VEOHRCBodytext"/>
    <w:uiPriority w:val="99"/>
    <w:locked/>
    <w:rsid w:val="002E4512"/>
    <w:rPr>
      <w:rFonts w:ascii="Arial" w:eastAsia="Arial Unicode MS" w:hAnsi="Arial"/>
      <w:sz w:val="24"/>
      <w:szCs w:val="24"/>
      <w:lang w:val="en-GB"/>
    </w:rPr>
  </w:style>
  <w:style w:type="paragraph" w:customStyle="1" w:styleId="Style0">
    <w:name w:val="Style0"/>
    <w:uiPriority w:val="99"/>
    <w:rsid w:val="00472C19"/>
    <w:pPr>
      <w:autoSpaceDE w:val="0"/>
      <w:autoSpaceDN w:val="0"/>
      <w:adjustRightInd w:val="0"/>
    </w:pPr>
    <w:rPr>
      <w:rFonts w:ascii="Arial" w:hAnsi="Arial"/>
      <w:sz w:val="24"/>
      <w:szCs w:val="24"/>
    </w:rPr>
  </w:style>
  <w:style w:type="paragraph" w:customStyle="1" w:styleId="CM12">
    <w:name w:val="CM12"/>
    <w:basedOn w:val="Normal"/>
    <w:uiPriority w:val="99"/>
    <w:rsid w:val="00867582"/>
    <w:pPr>
      <w:autoSpaceDE w:val="0"/>
      <w:autoSpaceDN w:val="0"/>
      <w:spacing w:line="300" w:lineRule="atLeast"/>
    </w:pPr>
    <w:rPr>
      <w:rFonts w:ascii="Myriad Pro" w:eastAsiaTheme="minorHAnsi" w:hAnsi="Myriad Pro" w:cs="Times New Roman"/>
      <w:lang w:val="en-AU" w:eastAsia="en-AU"/>
    </w:rPr>
  </w:style>
  <w:style w:type="character" w:customStyle="1" w:styleId="ListParagraphChar">
    <w:name w:val="List Paragraph Char"/>
    <w:aliases w:val="List Paragraph1 Char,List Paragraph11 Char,Bullet point Char,Recommendation Char,List Paragraph Number Char,L Char,CV text Char,Table text Char,F5 List Paragraph Char,Dot pt Char,Medium Grid 1 - Accent 21 Char,Numbered Paragraph Char"/>
    <w:basedOn w:val="DefaultParagraphFont"/>
    <w:link w:val="ListParagraph"/>
    <w:uiPriority w:val="34"/>
    <w:qFormat/>
    <w:locked/>
    <w:rsid w:val="00F07D92"/>
    <w:rPr>
      <w:rFonts w:asciiTheme="minorHAnsi" w:eastAsiaTheme="minorEastAsia" w:hAnsiTheme="minorHAnsi" w:cstheme="minorBidi"/>
      <w:sz w:val="24"/>
      <w:szCs w:val="24"/>
      <w:lang w:val="en-US" w:eastAsia="ja-JP"/>
    </w:rPr>
  </w:style>
  <w:style w:type="paragraph" w:styleId="BodyText3">
    <w:name w:val="Body Text 3"/>
    <w:basedOn w:val="Normal"/>
    <w:link w:val="BodyText3Char"/>
    <w:rsid w:val="004A0DB5"/>
    <w:pPr>
      <w:spacing w:after="120"/>
      <w:jc w:val="left"/>
    </w:pPr>
    <w:rPr>
      <w:rFonts w:ascii="Times New Roman" w:eastAsia="Times New Roman" w:hAnsi="Times New Roman" w:cs="Times New Roman"/>
      <w:sz w:val="16"/>
      <w:szCs w:val="16"/>
      <w:lang w:val="en-AU" w:eastAsia="en-US"/>
    </w:rPr>
  </w:style>
  <w:style w:type="character" w:customStyle="1" w:styleId="BodyText3Char">
    <w:name w:val="Body Text 3 Char"/>
    <w:basedOn w:val="DefaultParagraphFont"/>
    <w:link w:val="BodyText3"/>
    <w:rsid w:val="004A0DB5"/>
    <w:rPr>
      <w:sz w:val="16"/>
      <w:szCs w:val="16"/>
      <w:lang w:eastAsia="en-US"/>
    </w:rPr>
  </w:style>
  <w:style w:type="paragraph" w:styleId="HTMLPreformatted">
    <w:name w:val="HTML Preformatted"/>
    <w:basedOn w:val="Normal"/>
    <w:link w:val="HTMLPreformattedChar"/>
    <w:uiPriority w:val="99"/>
    <w:unhideWhenUsed/>
    <w:rsid w:val="003B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rsid w:val="003B6BB1"/>
    <w:rPr>
      <w:rFonts w:ascii="Courier New" w:hAnsi="Courier New" w:cs="Courier New"/>
    </w:rPr>
  </w:style>
  <w:style w:type="paragraph" w:styleId="BodyText2">
    <w:name w:val="Body Text 2"/>
    <w:basedOn w:val="Normal"/>
    <w:link w:val="BodyText2Char"/>
    <w:rsid w:val="00EE26AB"/>
    <w:pPr>
      <w:spacing w:after="120" w:line="480" w:lineRule="auto"/>
      <w:jc w:val="left"/>
    </w:pPr>
    <w:rPr>
      <w:rFonts w:ascii="Times New Roman" w:eastAsia="Times New Roman" w:hAnsi="Times New Roman" w:cs="Times New Roman"/>
      <w:lang w:val="en-AU" w:eastAsia="en-AU"/>
    </w:rPr>
  </w:style>
  <w:style w:type="character" w:customStyle="1" w:styleId="BodyText2Char">
    <w:name w:val="Body Text 2 Char"/>
    <w:basedOn w:val="DefaultParagraphFont"/>
    <w:link w:val="BodyText2"/>
    <w:rsid w:val="00EE26AB"/>
    <w:rPr>
      <w:sz w:val="24"/>
      <w:szCs w:val="24"/>
    </w:rPr>
  </w:style>
  <w:style w:type="paragraph" w:styleId="TOCHeading">
    <w:name w:val="TOC Heading"/>
    <w:basedOn w:val="Heading1"/>
    <w:next w:val="Normal"/>
    <w:uiPriority w:val="39"/>
    <w:unhideWhenUsed/>
    <w:qFormat/>
    <w:rsid w:val="00D5679E"/>
    <w:pPr>
      <w:numPr>
        <w:numId w:val="0"/>
      </w:numPr>
      <w:spacing w:before="480" w:line="276" w:lineRule="auto"/>
      <w:jc w:val="left"/>
      <w:outlineLvl w:val="9"/>
    </w:pPr>
    <w:rPr>
      <w:color w:val="365F91" w:themeColor="accent1" w:themeShade="BF"/>
      <w:sz w:val="28"/>
      <w:szCs w:val="28"/>
    </w:rPr>
  </w:style>
  <w:style w:type="paragraph" w:styleId="TOC2">
    <w:name w:val="toc 2"/>
    <w:basedOn w:val="Normal"/>
    <w:next w:val="Normal"/>
    <w:autoRedefine/>
    <w:uiPriority w:val="39"/>
    <w:rsid w:val="00A137ED"/>
    <w:pPr>
      <w:tabs>
        <w:tab w:val="right" w:leader="dot" w:pos="9639"/>
      </w:tabs>
      <w:spacing w:after="100"/>
      <w:ind w:left="240"/>
      <w:jc w:val="left"/>
    </w:pPr>
    <w:rPr>
      <w:rFonts w:ascii="Times New Roman" w:hAnsi="Times New Roman"/>
      <w:b/>
      <w:sz w:val="23"/>
    </w:rPr>
  </w:style>
  <w:style w:type="paragraph" w:styleId="TOC3">
    <w:name w:val="toc 3"/>
    <w:basedOn w:val="Normal"/>
    <w:next w:val="Normal"/>
    <w:autoRedefine/>
    <w:uiPriority w:val="39"/>
    <w:rsid w:val="00210BC7"/>
    <w:pPr>
      <w:spacing w:after="100"/>
      <w:ind w:left="480"/>
    </w:pPr>
    <w:rPr>
      <w:rFonts w:ascii="Times New Roman" w:hAnsi="Times New Roman"/>
      <w:sz w:val="23"/>
    </w:rPr>
  </w:style>
  <w:style w:type="paragraph" w:customStyle="1" w:styleId="H23G">
    <w:name w:val="_ H_2/3_G"/>
    <w:basedOn w:val="Normal"/>
    <w:next w:val="Normal"/>
    <w:rsid w:val="00E1548E"/>
    <w:pPr>
      <w:keepNext/>
      <w:keepLines/>
      <w:tabs>
        <w:tab w:val="right" w:pos="851"/>
      </w:tabs>
      <w:suppressAutoHyphens/>
      <w:spacing w:before="240" w:after="120" w:line="240" w:lineRule="exact"/>
      <w:ind w:left="1134" w:right="1134" w:hanging="1134"/>
      <w:jc w:val="left"/>
    </w:pPr>
    <w:rPr>
      <w:rFonts w:ascii="Times New Roman" w:eastAsia="MS Mincho" w:hAnsi="Times New Roman" w:cs="Times New Roman"/>
      <w:b/>
      <w:sz w:val="20"/>
      <w:szCs w:val="20"/>
      <w:lang w:val="en-GB" w:eastAsia="en-US"/>
    </w:rPr>
  </w:style>
  <w:style w:type="character" w:customStyle="1" w:styleId="st">
    <w:name w:val="st"/>
    <w:basedOn w:val="DefaultParagraphFont"/>
    <w:rsid w:val="00114E67"/>
  </w:style>
  <w:style w:type="paragraph" w:customStyle="1" w:styleId="HeadingMajor">
    <w:name w:val="Heading Major"/>
    <w:basedOn w:val="Normal"/>
    <w:qFormat/>
    <w:rsid w:val="002C45F2"/>
    <w:pPr>
      <w:spacing w:before="120" w:after="120"/>
      <w:jc w:val="left"/>
    </w:pPr>
    <w:rPr>
      <w:rFonts w:asciiTheme="majorHAnsi" w:hAnsiTheme="majorHAnsi" w:cs="Times New Roman"/>
      <w:b/>
      <w:caps/>
      <w:sz w:val="32"/>
      <w:lang w:val="en-AU"/>
    </w:rPr>
  </w:style>
  <w:style w:type="paragraph" w:customStyle="1" w:styleId="CERDBodyText1">
    <w:name w:val="CERD Body Text 1"/>
    <w:basedOn w:val="ListParagraph"/>
    <w:qFormat/>
    <w:rsid w:val="000D31C3"/>
    <w:pPr>
      <w:numPr>
        <w:numId w:val="1"/>
      </w:numPr>
      <w:spacing w:after="120"/>
      <w:ind w:left="0" w:right="-142" w:firstLine="0"/>
      <w:contextualSpacing w:val="0"/>
      <w:jc w:val="left"/>
    </w:pPr>
    <w:rPr>
      <w:rFonts w:cstheme="minorHAnsi"/>
      <w:lang w:val="en-AU" w:eastAsia="en-US"/>
    </w:rPr>
  </w:style>
  <w:style w:type="paragraph" w:customStyle="1" w:styleId="FootnoteNumbers">
    <w:name w:val="Footnote Numbers"/>
    <w:basedOn w:val="CERDBodyText1"/>
    <w:rsid w:val="004C3728"/>
    <w:rPr>
      <w:vertAlign w:val="superscript"/>
    </w:rPr>
  </w:style>
  <w:style w:type="paragraph" w:customStyle="1" w:styleId="CERDFootnotes">
    <w:name w:val="CERD Footnotes"/>
    <w:basedOn w:val="CERDBodyText1"/>
    <w:rsid w:val="004C3728"/>
    <w:rPr>
      <w:vertAlign w:val="superscript"/>
    </w:rPr>
  </w:style>
  <w:style w:type="paragraph" w:customStyle="1" w:styleId="CERDHeadingMinor1">
    <w:name w:val="CERD Heading Minor 1"/>
    <w:basedOn w:val="Heading2"/>
    <w:qFormat/>
    <w:rsid w:val="00210BC7"/>
    <w:pPr>
      <w:spacing w:before="120" w:after="120"/>
      <w:jc w:val="left"/>
    </w:pPr>
    <w:rPr>
      <w:b/>
      <w:lang w:val="en-AU"/>
    </w:rPr>
  </w:style>
  <w:style w:type="paragraph" w:customStyle="1" w:styleId="CERDBOXHeading">
    <w:name w:val="CERD BOX Heading"/>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before="60" w:after="60"/>
      <w:ind w:left="11" w:hanging="11"/>
      <w:jc w:val="left"/>
    </w:pPr>
    <w:rPr>
      <w:b/>
      <w:sz w:val="23"/>
      <w:szCs w:val="22"/>
      <w:lang w:val="en-AU"/>
    </w:rPr>
  </w:style>
  <w:style w:type="paragraph" w:customStyle="1" w:styleId="CERDBOXText">
    <w:name w:val="CERD BOX Text"/>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after="60"/>
      <w:jc w:val="left"/>
    </w:pPr>
    <w:rPr>
      <w:sz w:val="22"/>
    </w:rPr>
  </w:style>
  <w:style w:type="paragraph" w:customStyle="1" w:styleId="CERDHeadingMinor2">
    <w:name w:val="CERD Heading Minor 2"/>
    <w:basedOn w:val="CERDHeadingMinor1"/>
    <w:qFormat/>
    <w:rsid w:val="00496D43"/>
    <w:rPr>
      <w:b w:val="0"/>
      <w:sz w:val="24"/>
    </w:rPr>
  </w:style>
  <w:style w:type="paragraph" w:customStyle="1" w:styleId="CERDBoxTableHeading">
    <w:name w:val="CERD Box Table Heading"/>
    <w:basedOn w:val="CERDBodyText1"/>
    <w:qFormat/>
    <w:rsid w:val="00120B69"/>
    <w:pPr>
      <w:numPr>
        <w:numId w:val="0"/>
      </w:numPr>
      <w:spacing w:before="60" w:after="60"/>
      <w:ind w:right="0"/>
    </w:pPr>
    <w:rPr>
      <w:b/>
    </w:rPr>
  </w:style>
  <w:style w:type="paragraph" w:customStyle="1" w:styleId="CERDBOXTableText">
    <w:name w:val="CERD BOX Table Text"/>
    <w:basedOn w:val="CERDBoxTableHeading"/>
    <w:qFormat/>
    <w:rsid w:val="00120B69"/>
    <w:rPr>
      <w:b w:val="0"/>
      <w:sz w:val="22"/>
    </w:rPr>
  </w:style>
  <w:style w:type="paragraph" w:customStyle="1" w:styleId="CERDTableDotPoint">
    <w:name w:val="CERD Table Dot Point"/>
    <w:next w:val="CERDBOXTableText"/>
    <w:qFormat/>
    <w:rsid w:val="0090364A"/>
    <w:pPr>
      <w:numPr>
        <w:numId w:val="5"/>
      </w:numPr>
      <w:spacing w:before="40" w:after="40"/>
    </w:pPr>
    <w:rPr>
      <w:rFonts w:asciiTheme="minorHAnsi" w:eastAsiaTheme="minorEastAsia" w:hAnsiTheme="minorHAnsi"/>
      <w:sz w:val="22"/>
      <w:szCs w:val="24"/>
      <w:lang w:eastAsia="ja-JP"/>
    </w:rPr>
  </w:style>
  <w:style w:type="paragraph" w:styleId="Revision">
    <w:name w:val="Revision"/>
    <w:hidden/>
    <w:uiPriority w:val="99"/>
    <w:semiHidden/>
    <w:rsid w:val="00AE7D2B"/>
    <w:pPr>
      <w:jc w:val="left"/>
    </w:pPr>
    <w:rPr>
      <w:rFonts w:asciiTheme="minorHAnsi" w:eastAsiaTheme="minorEastAsia" w:hAnsiTheme="minorHAnsi" w:cstheme="minorBidi"/>
      <w:sz w:val="24"/>
      <w:szCs w:val="24"/>
      <w:lang w:val="en-US" w:eastAsia="ja-JP"/>
    </w:rPr>
  </w:style>
  <w:style w:type="paragraph" w:customStyle="1" w:styleId="CERDBodyTextDotPoint">
    <w:name w:val="CERD Body Text Dot Point"/>
    <w:basedOn w:val="CERDBodyText1"/>
    <w:qFormat/>
    <w:rsid w:val="000611EB"/>
    <w:pPr>
      <w:numPr>
        <w:numId w:val="4"/>
      </w:numPr>
      <w:spacing w:after="80"/>
      <w:ind w:left="567" w:hanging="283"/>
    </w:pPr>
  </w:style>
  <w:style w:type="paragraph" w:customStyle="1" w:styleId="Style1">
    <w:name w:val="Style1"/>
    <w:basedOn w:val="CERDTableDotPoint"/>
    <w:qFormat/>
    <w:rsid w:val="0090364A"/>
    <w:pPr>
      <w:numPr>
        <w:numId w:val="0"/>
      </w:numPr>
    </w:pPr>
  </w:style>
  <w:style w:type="paragraph" w:customStyle="1" w:styleId="CERDTableNumberdPoint">
    <w:name w:val="CERD Table Numberd Point"/>
    <w:basedOn w:val="CERDTableDotPoint"/>
    <w:next w:val="CERDBOXTableText"/>
    <w:qFormat/>
    <w:rsid w:val="0090364A"/>
    <w:pPr>
      <w:numPr>
        <w:numId w:val="6"/>
      </w:numPr>
      <w:ind w:left="356" w:hanging="356"/>
    </w:pPr>
  </w:style>
  <w:style w:type="character" w:styleId="FollowedHyperlink">
    <w:name w:val="FollowedHyperlink"/>
    <w:basedOn w:val="DefaultParagraphFont"/>
    <w:rsid w:val="00497ED5"/>
    <w:rPr>
      <w:color w:val="800080" w:themeColor="followedHyperlink"/>
      <w:u w:val="single"/>
    </w:rPr>
  </w:style>
  <w:style w:type="paragraph" w:styleId="TOC4">
    <w:name w:val="toc 4"/>
    <w:basedOn w:val="Normal"/>
    <w:next w:val="Normal"/>
    <w:autoRedefine/>
    <w:uiPriority w:val="39"/>
    <w:rsid w:val="00210BC7"/>
    <w:pPr>
      <w:spacing w:after="100"/>
      <w:ind w:left="720"/>
    </w:pPr>
    <w:rPr>
      <w:rFonts w:ascii="Times New Roman" w:hAnsi="Times New Roman"/>
      <w:sz w:val="23"/>
    </w:rPr>
  </w:style>
  <w:style w:type="paragraph" w:customStyle="1" w:styleId="ICESCRBodyText">
    <w:name w:val="ICESCR Body Text"/>
    <w:basedOn w:val="ListParagraph"/>
    <w:qFormat/>
    <w:rsid w:val="000C37F6"/>
    <w:pPr>
      <w:spacing w:after="120"/>
      <w:ind w:left="567" w:right="-143" w:hanging="567"/>
      <w:contextualSpacing w:val="0"/>
      <w:jc w:val="left"/>
    </w:pPr>
    <w:rPr>
      <w:rFonts w:ascii="Times New Roman" w:hAnsi="Times New Roman" w:cs="Times New Roman"/>
      <w:sz w:val="23"/>
      <w:szCs w:val="23"/>
      <w:lang w:val="en-AU"/>
    </w:rPr>
  </w:style>
  <w:style w:type="paragraph" w:styleId="TOC5">
    <w:name w:val="toc 5"/>
    <w:basedOn w:val="Normal"/>
    <w:next w:val="Normal"/>
    <w:autoRedefine/>
    <w:uiPriority w:val="39"/>
    <w:unhideWhenUsed/>
    <w:rsid w:val="00F3162E"/>
    <w:pPr>
      <w:spacing w:after="100" w:line="276" w:lineRule="auto"/>
      <w:ind w:left="880"/>
      <w:jc w:val="left"/>
    </w:pPr>
    <w:rPr>
      <w:sz w:val="22"/>
      <w:szCs w:val="22"/>
      <w:lang w:val="en-AU" w:eastAsia="en-AU"/>
    </w:rPr>
  </w:style>
  <w:style w:type="paragraph" w:styleId="TOC6">
    <w:name w:val="toc 6"/>
    <w:basedOn w:val="Normal"/>
    <w:next w:val="Normal"/>
    <w:autoRedefine/>
    <w:uiPriority w:val="39"/>
    <w:unhideWhenUsed/>
    <w:rsid w:val="00F3162E"/>
    <w:pPr>
      <w:spacing w:after="100" w:line="276" w:lineRule="auto"/>
      <w:ind w:left="1100"/>
      <w:jc w:val="left"/>
    </w:pPr>
    <w:rPr>
      <w:sz w:val="22"/>
      <w:szCs w:val="22"/>
      <w:lang w:val="en-AU" w:eastAsia="en-AU"/>
    </w:rPr>
  </w:style>
  <w:style w:type="paragraph" w:styleId="TOC7">
    <w:name w:val="toc 7"/>
    <w:basedOn w:val="Normal"/>
    <w:next w:val="Normal"/>
    <w:autoRedefine/>
    <w:uiPriority w:val="39"/>
    <w:unhideWhenUsed/>
    <w:rsid w:val="00F3162E"/>
    <w:pPr>
      <w:spacing w:after="100" w:line="276" w:lineRule="auto"/>
      <w:ind w:left="1320"/>
      <w:jc w:val="left"/>
    </w:pPr>
    <w:rPr>
      <w:sz w:val="22"/>
      <w:szCs w:val="22"/>
      <w:lang w:val="en-AU" w:eastAsia="en-AU"/>
    </w:rPr>
  </w:style>
  <w:style w:type="paragraph" w:styleId="TOC8">
    <w:name w:val="toc 8"/>
    <w:basedOn w:val="Normal"/>
    <w:next w:val="Normal"/>
    <w:autoRedefine/>
    <w:uiPriority w:val="39"/>
    <w:unhideWhenUsed/>
    <w:rsid w:val="00F3162E"/>
    <w:pPr>
      <w:spacing w:after="100" w:line="276" w:lineRule="auto"/>
      <w:ind w:left="1540"/>
      <w:jc w:val="left"/>
    </w:pPr>
    <w:rPr>
      <w:sz w:val="22"/>
      <w:szCs w:val="22"/>
      <w:lang w:val="en-AU" w:eastAsia="en-AU"/>
    </w:rPr>
  </w:style>
  <w:style w:type="paragraph" w:styleId="TOC9">
    <w:name w:val="toc 9"/>
    <w:basedOn w:val="Normal"/>
    <w:next w:val="Normal"/>
    <w:autoRedefine/>
    <w:uiPriority w:val="39"/>
    <w:unhideWhenUsed/>
    <w:rsid w:val="00F3162E"/>
    <w:pPr>
      <w:spacing w:after="100" w:line="276" w:lineRule="auto"/>
      <w:ind w:left="1760"/>
      <w:jc w:val="left"/>
    </w:pPr>
    <w:rPr>
      <w:sz w:val="22"/>
      <w:szCs w:val="22"/>
      <w:lang w:val="en-AU" w:eastAsia="en-AU"/>
    </w:rPr>
  </w:style>
  <w:style w:type="paragraph" w:customStyle="1" w:styleId="ICESCRHeadingMajor">
    <w:name w:val="ICESCR Heading Major"/>
    <w:basedOn w:val="Heading1"/>
    <w:next w:val="Normal"/>
    <w:qFormat/>
    <w:rsid w:val="00F3162E"/>
    <w:pPr>
      <w:numPr>
        <w:numId w:val="7"/>
      </w:numPr>
      <w:spacing w:before="120"/>
      <w:ind w:left="567" w:hanging="567"/>
      <w:jc w:val="left"/>
    </w:pPr>
    <w:rPr>
      <w:color w:val="auto"/>
      <w:lang w:val="en-AU"/>
    </w:rPr>
  </w:style>
  <w:style w:type="numbering" w:customStyle="1" w:styleId="NoList1">
    <w:name w:val="No List1"/>
    <w:next w:val="NoList"/>
    <w:uiPriority w:val="99"/>
    <w:semiHidden/>
    <w:unhideWhenUsed/>
    <w:rsid w:val="00332059"/>
  </w:style>
  <w:style w:type="paragraph" w:customStyle="1" w:styleId="ICESCRBoxText">
    <w:name w:val="ICESCR Box Text"/>
    <w:basedOn w:val="Normal"/>
    <w:qFormat/>
    <w:rsid w:val="00332059"/>
    <w:pPr>
      <w:spacing w:after="80"/>
      <w:jc w:val="left"/>
    </w:pPr>
    <w:rPr>
      <w:rFonts w:cs="Cambria"/>
      <w:sz w:val="22"/>
      <w:szCs w:val="22"/>
      <w:lang w:val="en-AU"/>
    </w:rPr>
  </w:style>
  <w:style w:type="paragraph" w:customStyle="1" w:styleId="ICESCRBoxHeading">
    <w:name w:val="ICESCR Box Heading"/>
    <w:basedOn w:val="ICESCRBoxText"/>
    <w:qFormat/>
    <w:rsid w:val="00332059"/>
    <w:pPr>
      <w:spacing w:before="80"/>
    </w:pPr>
    <w:rPr>
      <w:b/>
    </w:rPr>
  </w:style>
  <w:style w:type="paragraph" w:customStyle="1" w:styleId="ICESCRBoxDotPoint">
    <w:name w:val="ICESCR Box Dot Point"/>
    <w:basedOn w:val="ICESCRBoxText"/>
    <w:next w:val="ICESCRBoxText"/>
    <w:qFormat/>
    <w:rsid w:val="00332059"/>
    <w:pPr>
      <w:numPr>
        <w:numId w:val="8"/>
      </w:numPr>
      <w:ind w:left="284" w:hanging="284"/>
    </w:pPr>
  </w:style>
  <w:style w:type="paragraph" w:customStyle="1" w:styleId="ICESCRHeadingMinor2">
    <w:name w:val="ICESCR Heading Minor 2"/>
    <w:basedOn w:val="Normal"/>
    <w:next w:val="ICESCRBodyText"/>
    <w:qFormat/>
    <w:rsid w:val="00332059"/>
    <w:pPr>
      <w:keepNext/>
      <w:keepLines/>
      <w:spacing w:before="120" w:after="120"/>
      <w:jc w:val="left"/>
      <w:outlineLvl w:val="2"/>
    </w:pPr>
    <w:rPr>
      <w:rFonts w:ascii="Calibri" w:eastAsia="MS Gothic" w:hAnsi="Calibri" w:cs="Times New Roman"/>
      <w:bCs/>
      <w:i/>
      <w:lang w:val="en-AU"/>
    </w:rPr>
  </w:style>
  <w:style w:type="table" w:customStyle="1" w:styleId="TableGrid1">
    <w:name w:val="Table Grid1"/>
    <w:basedOn w:val="TableNormal"/>
    <w:next w:val="TableGrid"/>
    <w:uiPriority w:val="59"/>
    <w:rsid w:val="00332059"/>
    <w:pPr>
      <w:jc w:val="left"/>
    </w:pPr>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B6B78"/>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6F36"/>
    <w:pPr>
      <w:autoSpaceDE w:val="0"/>
      <w:autoSpaceDN w:val="0"/>
      <w:adjustRightInd w:val="0"/>
      <w:jc w:val="left"/>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pPr>
        <w:jc w:val="both"/>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067E"/>
    <w:rPr>
      <w:rFonts w:asciiTheme="minorHAnsi" w:eastAsiaTheme="minorEastAsia" w:hAnsiTheme="minorHAnsi" w:cstheme="minorBidi"/>
      <w:sz w:val="24"/>
      <w:szCs w:val="24"/>
      <w:lang w:val="en-US" w:eastAsia="ja-JP"/>
    </w:rPr>
  </w:style>
  <w:style w:type="paragraph" w:styleId="Heading1">
    <w:name w:val="heading 1"/>
    <w:basedOn w:val="Normal"/>
    <w:next w:val="Normal"/>
    <w:link w:val="Heading1Char"/>
    <w:autoRedefine/>
    <w:uiPriority w:val="9"/>
    <w:qFormat/>
    <w:rsid w:val="002C45F2"/>
    <w:pPr>
      <w:keepNext/>
      <w:keepLines/>
      <w:numPr>
        <w:numId w:val="2"/>
      </w:numPr>
      <w:spacing w:after="120"/>
      <w:ind w:left="721" w:hanging="437"/>
      <w:outlineLvl w:val="0"/>
    </w:pPr>
    <w:rPr>
      <w:rFonts w:asciiTheme="majorHAnsi" w:eastAsiaTheme="majorEastAsia" w:hAnsiTheme="majorHAnsi" w:cstheme="majorBidi"/>
      <w:b/>
      <w:bCs/>
      <w:caps/>
      <w:color w:val="000000" w:themeColor="text1"/>
      <w:sz w:val="32"/>
      <w:szCs w:val="32"/>
    </w:rPr>
  </w:style>
  <w:style w:type="paragraph" w:styleId="Heading2">
    <w:name w:val="heading 2"/>
    <w:basedOn w:val="Normal"/>
    <w:next w:val="Normal"/>
    <w:link w:val="Heading2Char"/>
    <w:autoRedefine/>
    <w:uiPriority w:val="9"/>
    <w:unhideWhenUsed/>
    <w:qFormat/>
    <w:rsid w:val="00887232"/>
    <w:pPr>
      <w:keepNext/>
      <w:keepLines/>
      <w:spacing w:before="200"/>
      <w:outlineLvl w:val="1"/>
    </w:pPr>
    <w:rPr>
      <w:rFonts w:asciiTheme="majorHAnsi" w:eastAsiaTheme="majorEastAsia" w:hAnsiTheme="majorHAnsi" w:cs="Times New Roman"/>
      <w:bCs/>
      <w:i/>
      <w:sz w:val="26"/>
      <w:szCs w:val="26"/>
    </w:rPr>
  </w:style>
  <w:style w:type="paragraph" w:styleId="Heading3">
    <w:name w:val="heading 3"/>
    <w:basedOn w:val="Normal"/>
    <w:next w:val="Normal"/>
    <w:link w:val="Heading3Char"/>
    <w:uiPriority w:val="9"/>
    <w:unhideWhenUsed/>
    <w:qFormat/>
    <w:rsid w:val="001323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7062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067E"/>
    <w:pPr>
      <w:tabs>
        <w:tab w:val="center" w:pos="4513"/>
        <w:tab w:val="right" w:pos="9026"/>
      </w:tabs>
    </w:pPr>
  </w:style>
  <w:style w:type="character" w:customStyle="1" w:styleId="HeaderChar">
    <w:name w:val="Header Char"/>
    <w:basedOn w:val="DefaultParagraphFont"/>
    <w:link w:val="Header"/>
    <w:rsid w:val="0001067E"/>
    <w:rPr>
      <w:rFonts w:asciiTheme="minorHAnsi" w:eastAsiaTheme="minorEastAsia" w:hAnsiTheme="minorHAnsi" w:cstheme="minorBidi"/>
      <w:sz w:val="24"/>
      <w:szCs w:val="24"/>
      <w:lang w:val="en-US" w:eastAsia="ja-JP"/>
    </w:rPr>
  </w:style>
  <w:style w:type="paragraph" w:styleId="Footer">
    <w:name w:val="footer"/>
    <w:basedOn w:val="Normal"/>
    <w:link w:val="FooterChar"/>
    <w:uiPriority w:val="99"/>
    <w:rsid w:val="0001067E"/>
    <w:pPr>
      <w:tabs>
        <w:tab w:val="center" w:pos="4513"/>
        <w:tab w:val="right" w:pos="9026"/>
      </w:tabs>
    </w:pPr>
  </w:style>
  <w:style w:type="character" w:customStyle="1" w:styleId="FooterChar">
    <w:name w:val="Footer Char"/>
    <w:basedOn w:val="DefaultParagraphFont"/>
    <w:link w:val="Footer"/>
    <w:uiPriority w:val="99"/>
    <w:rsid w:val="0001067E"/>
    <w:rPr>
      <w:rFonts w:asciiTheme="minorHAnsi" w:eastAsiaTheme="minorEastAsia" w:hAnsiTheme="minorHAnsi" w:cstheme="minorBidi"/>
      <w:sz w:val="24"/>
      <w:szCs w:val="24"/>
      <w:lang w:val="en-US" w:eastAsia="ja-JP"/>
    </w:rPr>
  </w:style>
  <w:style w:type="paragraph" w:styleId="ListParagraph">
    <w:name w:val="List Paragraph"/>
    <w:aliases w:val="List Paragraph1,List Paragraph11,Bullet point,Recommendation,List Paragraph Number,L,CV text,Table text,F5 List Paragraph,Dot pt,Medium Grid 1 - Accent 21,Numbered Paragraph,List Paragraph111,List Paragraph2,Bulleted Para,FooterText,列出段落"/>
    <w:basedOn w:val="Normal"/>
    <w:link w:val="ListParagraphChar"/>
    <w:uiPriority w:val="99"/>
    <w:qFormat/>
    <w:rsid w:val="0001067E"/>
    <w:pPr>
      <w:ind w:left="720"/>
      <w:contextualSpacing/>
    </w:pPr>
  </w:style>
  <w:style w:type="character" w:customStyle="1" w:styleId="Heading1Char">
    <w:name w:val="Heading 1 Char"/>
    <w:basedOn w:val="DefaultParagraphFont"/>
    <w:link w:val="Heading1"/>
    <w:uiPriority w:val="9"/>
    <w:rsid w:val="002C45F2"/>
    <w:rPr>
      <w:rFonts w:asciiTheme="majorHAnsi" w:eastAsiaTheme="majorEastAsia" w:hAnsiTheme="majorHAnsi" w:cstheme="majorBidi"/>
      <w:b/>
      <w:bCs/>
      <w:caps/>
      <w:color w:val="000000" w:themeColor="text1"/>
      <w:sz w:val="32"/>
      <w:szCs w:val="32"/>
      <w:lang w:val="en-US" w:eastAsia="ja-JP"/>
    </w:rPr>
  </w:style>
  <w:style w:type="character" w:customStyle="1" w:styleId="Heading2Char">
    <w:name w:val="Heading 2 Char"/>
    <w:basedOn w:val="DefaultParagraphFont"/>
    <w:link w:val="Heading2"/>
    <w:uiPriority w:val="9"/>
    <w:rsid w:val="00887232"/>
    <w:rPr>
      <w:rFonts w:asciiTheme="majorHAnsi" w:eastAsiaTheme="majorEastAsia" w:hAnsiTheme="majorHAnsi"/>
      <w:bCs/>
      <w:i/>
      <w:sz w:val="26"/>
      <w:szCs w:val="26"/>
      <w:lang w:val="en-US" w:eastAsia="ja-JP"/>
    </w:rPr>
  </w:style>
  <w:style w:type="character" w:styleId="CommentReference">
    <w:name w:val="annotation reference"/>
    <w:basedOn w:val="DefaultParagraphFont"/>
    <w:unhideWhenUsed/>
    <w:rsid w:val="0001067E"/>
    <w:rPr>
      <w:sz w:val="16"/>
      <w:szCs w:val="16"/>
    </w:rPr>
  </w:style>
  <w:style w:type="paragraph" w:styleId="CommentText">
    <w:name w:val="annotation text"/>
    <w:basedOn w:val="Normal"/>
    <w:link w:val="CommentTextChar"/>
    <w:uiPriority w:val="99"/>
    <w:unhideWhenUsed/>
    <w:rsid w:val="0001067E"/>
    <w:rPr>
      <w:sz w:val="20"/>
      <w:szCs w:val="20"/>
    </w:rPr>
  </w:style>
  <w:style w:type="character" w:customStyle="1" w:styleId="CommentTextChar">
    <w:name w:val="Comment Text Char"/>
    <w:basedOn w:val="DefaultParagraphFont"/>
    <w:link w:val="CommentText"/>
    <w:uiPriority w:val="99"/>
    <w:rsid w:val="0001067E"/>
    <w:rPr>
      <w:rFonts w:asciiTheme="minorHAnsi" w:eastAsiaTheme="minorEastAsia" w:hAnsiTheme="minorHAnsi" w:cstheme="minorBidi"/>
      <w:lang w:val="en-US" w:eastAsia="ja-JP"/>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 Char,(NECG) Footnote Text"/>
    <w:basedOn w:val="Normal"/>
    <w:link w:val="FootnoteTextChar"/>
    <w:uiPriority w:val="99"/>
    <w:unhideWhenUsed/>
    <w:qFormat/>
    <w:rsid w:val="0001067E"/>
    <w:pPr>
      <w:spacing w:line="276" w:lineRule="auto"/>
    </w:pPr>
    <w:rPr>
      <w:rFonts w:ascii="Calibri" w:eastAsia="Calibri" w:hAnsi="Calibri" w:cs="Times New Roman"/>
      <w:sz w:val="20"/>
      <w:szCs w:val="20"/>
      <w:lang w:eastAsia="en-US"/>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01067E"/>
    <w:rPr>
      <w:rFonts w:ascii="Calibri" w:eastAsia="Calibri" w:hAnsi="Calibri"/>
      <w:lang w:val="en-US" w:eastAsia="en-US"/>
    </w:rPr>
  </w:style>
  <w:style w:type="character" w:styleId="FootnoteReference">
    <w:name w:val="footnote reference"/>
    <w:aliases w:val="4_G,(NECG) Footnote Reference"/>
    <w:uiPriority w:val="99"/>
    <w:unhideWhenUsed/>
    <w:rsid w:val="0001067E"/>
    <w:rPr>
      <w:vertAlign w:val="superscript"/>
    </w:rPr>
  </w:style>
  <w:style w:type="paragraph" w:styleId="BalloonText">
    <w:name w:val="Balloon Text"/>
    <w:basedOn w:val="Normal"/>
    <w:link w:val="BalloonTextChar"/>
    <w:uiPriority w:val="99"/>
    <w:rsid w:val="0001067E"/>
    <w:rPr>
      <w:rFonts w:ascii="Tahoma" w:hAnsi="Tahoma" w:cs="Tahoma"/>
      <w:sz w:val="16"/>
      <w:szCs w:val="16"/>
    </w:rPr>
  </w:style>
  <w:style w:type="character" w:customStyle="1" w:styleId="BalloonTextChar">
    <w:name w:val="Balloon Text Char"/>
    <w:basedOn w:val="DefaultParagraphFont"/>
    <w:link w:val="BalloonText"/>
    <w:uiPriority w:val="99"/>
    <w:rsid w:val="0001067E"/>
    <w:rPr>
      <w:rFonts w:ascii="Tahoma" w:eastAsiaTheme="minorEastAsia" w:hAnsi="Tahoma" w:cs="Tahoma"/>
      <w:sz w:val="16"/>
      <w:szCs w:val="16"/>
      <w:lang w:val="en-US" w:eastAsia="ja-JP"/>
    </w:rPr>
  </w:style>
  <w:style w:type="paragraph" w:styleId="Subtitle">
    <w:name w:val="Subtitle"/>
    <w:basedOn w:val="Normal"/>
    <w:next w:val="Normal"/>
    <w:link w:val="SubtitleChar"/>
    <w:qFormat/>
    <w:rsid w:val="00A869A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869AC"/>
    <w:rPr>
      <w:rFonts w:asciiTheme="majorHAnsi" w:eastAsiaTheme="majorEastAsia" w:hAnsiTheme="majorHAnsi" w:cstheme="majorBidi"/>
      <w:i/>
      <w:iCs/>
      <w:color w:val="4F81BD" w:themeColor="accent1"/>
      <w:spacing w:val="15"/>
      <w:sz w:val="24"/>
      <w:szCs w:val="24"/>
      <w:lang w:val="en-US" w:eastAsia="ja-JP"/>
    </w:rPr>
  </w:style>
  <w:style w:type="paragraph" w:styleId="CommentSubject">
    <w:name w:val="annotation subject"/>
    <w:basedOn w:val="CommentText"/>
    <w:next w:val="CommentText"/>
    <w:link w:val="CommentSubjectChar"/>
    <w:rsid w:val="00DD4710"/>
    <w:rPr>
      <w:b/>
      <w:bCs/>
    </w:rPr>
  </w:style>
  <w:style w:type="character" w:customStyle="1" w:styleId="CommentSubjectChar">
    <w:name w:val="Comment Subject Char"/>
    <w:basedOn w:val="CommentTextChar"/>
    <w:link w:val="CommentSubject"/>
    <w:rsid w:val="00DD4710"/>
    <w:rPr>
      <w:rFonts w:asciiTheme="minorHAnsi" w:eastAsiaTheme="minorEastAsia" w:hAnsiTheme="minorHAnsi" w:cstheme="minorBidi"/>
      <w:b/>
      <w:bCs/>
      <w:lang w:val="en-US" w:eastAsia="ja-JP"/>
    </w:rPr>
  </w:style>
  <w:style w:type="character" w:styleId="Hyperlink">
    <w:name w:val="Hyperlink"/>
    <w:basedOn w:val="DefaultParagraphFont"/>
    <w:uiPriority w:val="99"/>
    <w:unhideWhenUsed/>
    <w:rsid w:val="00487B1F"/>
    <w:rPr>
      <w:color w:val="0000FF" w:themeColor="hyperlink"/>
      <w:u w:val="single"/>
    </w:rPr>
  </w:style>
  <w:style w:type="paragraph" w:styleId="TOC1">
    <w:name w:val="toc 1"/>
    <w:basedOn w:val="Normal"/>
    <w:next w:val="Normal"/>
    <w:autoRedefine/>
    <w:uiPriority w:val="39"/>
    <w:unhideWhenUsed/>
    <w:rsid w:val="00CF4209"/>
    <w:pPr>
      <w:spacing w:before="240" w:after="120"/>
    </w:pPr>
    <w:rPr>
      <w:rFonts w:ascii="Times New Roman" w:hAnsi="Times New Roman"/>
      <w:b/>
      <w:caps/>
      <w:sz w:val="23"/>
      <w:szCs w:val="22"/>
      <w:u w:val="single"/>
    </w:rPr>
  </w:style>
  <w:style w:type="character" w:customStyle="1" w:styleId="Heading3Char">
    <w:name w:val="Heading 3 Char"/>
    <w:basedOn w:val="DefaultParagraphFont"/>
    <w:link w:val="Heading3"/>
    <w:uiPriority w:val="9"/>
    <w:rsid w:val="001323A8"/>
    <w:rPr>
      <w:rFonts w:asciiTheme="majorHAnsi" w:eastAsiaTheme="majorEastAsia" w:hAnsiTheme="majorHAnsi" w:cstheme="majorBidi"/>
      <w:b/>
      <w:bCs/>
      <w:color w:val="4F81BD" w:themeColor="accent1"/>
      <w:sz w:val="24"/>
      <w:szCs w:val="24"/>
      <w:lang w:val="en-US" w:eastAsia="ja-JP"/>
    </w:rPr>
  </w:style>
  <w:style w:type="table" w:styleId="TableGrid">
    <w:name w:val="Table Grid"/>
    <w:basedOn w:val="TableNormal"/>
    <w:rsid w:val="00074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74DB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7C2E1E"/>
    <w:rPr>
      <w:b/>
      <w:bCs/>
    </w:rPr>
  </w:style>
  <w:style w:type="paragraph" w:customStyle="1" w:styleId="SingleTxtG">
    <w:name w:val="_ Single Txt_G"/>
    <w:basedOn w:val="Normal"/>
    <w:rsid w:val="007C2E1E"/>
    <w:pPr>
      <w:suppressAutoHyphens/>
      <w:spacing w:after="120" w:line="240" w:lineRule="atLeast"/>
      <w:ind w:left="1134" w:right="1134"/>
    </w:pPr>
    <w:rPr>
      <w:rFonts w:ascii="Times New Roman" w:eastAsia="Times New Roman" w:hAnsi="Times New Roman" w:cs="Times New Roman"/>
      <w:sz w:val="20"/>
      <w:szCs w:val="20"/>
      <w:lang w:val="en-GB" w:eastAsia="en-US"/>
    </w:rPr>
  </w:style>
  <w:style w:type="character" w:styleId="BookTitle">
    <w:name w:val="Book Title"/>
    <w:uiPriority w:val="33"/>
    <w:qFormat/>
    <w:rsid w:val="00290F60"/>
    <w:rPr>
      <w:i/>
      <w:iCs/>
      <w:smallCaps/>
      <w:spacing w:val="5"/>
    </w:rPr>
  </w:style>
  <w:style w:type="paragraph" w:styleId="NoSpacing">
    <w:name w:val="No Spacing"/>
    <w:uiPriority w:val="1"/>
    <w:qFormat/>
    <w:rsid w:val="00290F60"/>
    <w:rPr>
      <w:sz w:val="24"/>
      <w:szCs w:val="24"/>
      <w:lang w:eastAsia="en-US"/>
    </w:rPr>
  </w:style>
  <w:style w:type="character" w:styleId="Emphasis">
    <w:name w:val="Emphasis"/>
    <w:basedOn w:val="DefaultParagraphFont"/>
    <w:uiPriority w:val="20"/>
    <w:qFormat/>
    <w:rsid w:val="00F07B8E"/>
    <w:rPr>
      <w:i/>
      <w:iCs/>
    </w:rPr>
  </w:style>
  <w:style w:type="character" w:customStyle="1" w:styleId="Heading4Char">
    <w:name w:val="Heading 4 Char"/>
    <w:basedOn w:val="DefaultParagraphFont"/>
    <w:link w:val="Heading4"/>
    <w:semiHidden/>
    <w:rsid w:val="00706285"/>
    <w:rPr>
      <w:rFonts w:asciiTheme="majorHAnsi" w:eastAsiaTheme="majorEastAsia" w:hAnsiTheme="majorHAnsi" w:cstheme="majorBidi"/>
      <w:b/>
      <w:bCs/>
      <w:i/>
      <w:iCs/>
      <w:color w:val="4F81BD" w:themeColor="accent1"/>
      <w:sz w:val="24"/>
      <w:szCs w:val="24"/>
      <w:lang w:val="en-US" w:eastAsia="ja-JP"/>
    </w:rPr>
  </w:style>
  <w:style w:type="paragraph" w:styleId="NormalWeb">
    <w:name w:val="Normal (Web)"/>
    <w:basedOn w:val="Normal"/>
    <w:uiPriority w:val="99"/>
    <w:unhideWhenUsed/>
    <w:rsid w:val="00706285"/>
    <w:pPr>
      <w:spacing w:before="180" w:after="100" w:afterAutospacing="1"/>
    </w:pPr>
    <w:rPr>
      <w:rFonts w:ascii="Times New Roman" w:eastAsia="Times New Roman" w:hAnsi="Times New Roman" w:cs="Times New Roman"/>
      <w:lang w:val="en-AU" w:eastAsia="en-AU"/>
    </w:rPr>
  </w:style>
  <w:style w:type="paragraph" w:customStyle="1" w:styleId="VEOHRCBodytext">
    <w:name w:val="VEOHRC Body text"/>
    <w:link w:val="VEOHRCBodytextChar"/>
    <w:autoRedefine/>
    <w:uiPriority w:val="99"/>
    <w:rsid w:val="002E4512"/>
    <w:pPr>
      <w:spacing w:before="80" w:after="120"/>
    </w:pPr>
    <w:rPr>
      <w:rFonts w:ascii="Arial" w:eastAsia="Arial Unicode MS" w:hAnsi="Arial"/>
      <w:sz w:val="24"/>
      <w:szCs w:val="24"/>
      <w:lang w:val="en-GB"/>
    </w:rPr>
  </w:style>
  <w:style w:type="character" w:customStyle="1" w:styleId="VEOHRCBodytextChar">
    <w:name w:val="VEOHRC Body text Char"/>
    <w:basedOn w:val="DefaultParagraphFont"/>
    <w:link w:val="VEOHRCBodytext"/>
    <w:uiPriority w:val="99"/>
    <w:locked/>
    <w:rsid w:val="002E4512"/>
    <w:rPr>
      <w:rFonts w:ascii="Arial" w:eastAsia="Arial Unicode MS" w:hAnsi="Arial"/>
      <w:sz w:val="24"/>
      <w:szCs w:val="24"/>
      <w:lang w:val="en-GB"/>
    </w:rPr>
  </w:style>
  <w:style w:type="paragraph" w:customStyle="1" w:styleId="Style0">
    <w:name w:val="Style0"/>
    <w:uiPriority w:val="99"/>
    <w:rsid w:val="00472C19"/>
    <w:pPr>
      <w:autoSpaceDE w:val="0"/>
      <w:autoSpaceDN w:val="0"/>
      <w:adjustRightInd w:val="0"/>
    </w:pPr>
    <w:rPr>
      <w:rFonts w:ascii="Arial" w:hAnsi="Arial"/>
      <w:sz w:val="24"/>
      <w:szCs w:val="24"/>
    </w:rPr>
  </w:style>
  <w:style w:type="paragraph" w:customStyle="1" w:styleId="CM12">
    <w:name w:val="CM12"/>
    <w:basedOn w:val="Normal"/>
    <w:uiPriority w:val="99"/>
    <w:rsid w:val="00867582"/>
    <w:pPr>
      <w:autoSpaceDE w:val="0"/>
      <w:autoSpaceDN w:val="0"/>
      <w:spacing w:line="300" w:lineRule="atLeast"/>
    </w:pPr>
    <w:rPr>
      <w:rFonts w:ascii="Myriad Pro" w:eastAsiaTheme="minorHAnsi" w:hAnsi="Myriad Pro" w:cs="Times New Roman"/>
      <w:lang w:val="en-AU" w:eastAsia="en-AU"/>
    </w:rPr>
  </w:style>
  <w:style w:type="character" w:customStyle="1" w:styleId="ListParagraphChar">
    <w:name w:val="List Paragraph Char"/>
    <w:aliases w:val="List Paragraph1 Char,List Paragraph11 Char,Bullet point Char,Recommendation Char,List Paragraph Number Char,L Char,CV text Char,Table text Char,F5 List Paragraph Char,Dot pt Char,Medium Grid 1 - Accent 21 Char,Numbered Paragraph Char"/>
    <w:basedOn w:val="DefaultParagraphFont"/>
    <w:link w:val="ListParagraph"/>
    <w:uiPriority w:val="34"/>
    <w:qFormat/>
    <w:locked/>
    <w:rsid w:val="00F07D92"/>
    <w:rPr>
      <w:rFonts w:asciiTheme="minorHAnsi" w:eastAsiaTheme="minorEastAsia" w:hAnsiTheme="minorHAnsi" w:cstheme="minorBidi"/>
      <w:sz w:val="24"/>
      <w:szCs w:val="24"/>
      <w:lang w:val="en-US" w:eastAsia="ja-JP"/>
    </w:rPr>
  </w:style>
  <w:style w:type="paragraph" w:styleId="BodyText3">
    <w:name w:val="Body Text 3"/>
    <w:basedOn w:val="Normal"/>
    <w:link w:val="BodyText3Char"/>
    <w:rsid w:val="004A0DB5"/>
    <w:pPr>
      <w:spacing w:after="120"/>
      <w:jc w:val="left"/>
    </w:pPr>
    <w:rPr>
      <w:rFonts w:ascii="Times New Roman" w:eastAsia="Times New Roman" w:hAnsi="Times New Roman" w:cs="Times New Roman"/>
      <w:sz w:val="16"/>
      <w:szCs w:val="16"/>
      <w:lang w:val="en-AU" w:eastAsia="en-US"/>
    </w:rPr>
  </w:style>
  <w:style w:type="character" w:customStyle="1" w:styleId="BodyText3Char">
    <w:name w:val="Body Text 3 Char"/>
    <w:basedOn w:val="DefaultParagraphFont"/>
    <w:link w:val="BodyText3"/>
    <w:rsid w:val="004A0DB5"/>
    <w:rPr>
      <w:sz w:val="16"/>
      <w:szCs w:val="16"/>
      <w:lang w:eastAsia="en-US"/>
    </w:rPr>
  </w:style>
  <w:style w:type="paragraph" w:styleId="HTMLPreformatted">
    <w:name w:val="HTML Preformatted"/>
    <w:basedOn w:val="Normal"/>
    <w:link w:val="HTMLPreformattedChar"/>
    <w:uiPriority w:val="99"/>
    <w:unhideWhenUsed/>
    <w:rsid w:val="003B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rsid w:val="003B6BB1"/>
    <w:rPr>
      <w:rFonts w:ascii="Courier New" w:hAnsi="Courier New" w:cs="Courier New"/>
    </w:rPr>
  </w:style>
  <w:style w:type="paragraph" w:styleId="BodyText2">
    <w:name w:val="Body Text 2"/>
    <w:basedOn w:val="Normal"/>
    <w:link w:val="BodyText2Char"/>
    <w:rsid w:val="00EE26AB"/>
    <w:pPr>
      <w:spacing w:after="120" w:line="480" w:lineRule="auto"/>
      <w:jc w:val="left"/>
    </w:pPr>
    <w:rPr>
      <w:rFonts w:ascii="Times New Roman" w:eastAsia="Times New Roman" w:hAnsi="Times New Roman" w:cs="Times New Roman"/>
      <w:lang w:val="en-AU" w:eastAsia="en-AU"/>
    </w:rPr>
  </w:style>
  <w:style w:type="character" w:customStyle="1" w:styleId="BodyText2Char">
    <w:name w:val="Body Text 2 Char"/>
    <w:basedOn w:val="DefaultParagraphFont"/>
    <w:link w:val="BodyText2"/>
    <w:rsid w:val="00EE26AB"/>
    <w:rPr>
      <w:sz w:val="24"/>
      <w:szCs w:val="24"/>
    </w:rPr>
  </w:style>
  <w:style w:type="paragraph" w:styleId="TOCHeading">
    <w:name w:val="TOC Heading"/>
    <w:basedOn w:val="Heading1"/>
    <w:next w:val="Normal"/>
    <w:uiPriority w:val="39"/>
    <w:unhideWhenUsed/>
    <w:qFormat/>
    <w:rsid w:val="00D5679E"/>
    <w:pPr>
      <w:numPr>
        <w:numId w:val="0"/>
      </w:numPr>
      <w:spacing w:before="480" w:line="276" w:lineRule="auto"/>
      <w:jc w:val="left"/>
      <w:outlineLvl w:val="9"/>
    </w:pPr>
    <w:rPr>
      <w:color w:val="365F91" w:themeColor="accent1" w:themeShade="BF"/>
      <w:sz w:val="28"/>
      <w:szCs w:val="28"/>
    </w:rPr>
  </w:style>
  <w:style w:type="paragraph" w:styleId="TOC2">
    <w:name w:val="toc 2"/>
    <w:basedOn w:val="Normal"/>
    <w:next w:val="Normal"/>
    <w:autoRedefine/>
    <w:uiPriority w:val="39"/>
    <w:rsid w:val="00A137ED"/>
    <w:pPr>
      <w:tabs>
        <w:tab w:val="right" w:leader="dot" w:pos="9639"/>
      </w:tabs>
      <w:spacing w:after="100"/>
      <w:ind w:left="240"/>
      <w:jc w:val="left"/>
    </w:pPr>
    <w:rPr>
      <w:rFonts w:ascii="Times New Roman" w:hAnsi="Times New Roman"/>
      <w:b/>
      <w:sz w:val="23"/>
    </w:rPr>
  </w:style>
  <w:style w:type="paragraph" w:styleId="TOC3">
    <w:name w:val="toc 3"/>
    <w:basedOn w:val="Normal"/>
    <w:next w:val="Normal"/>
    <w:autoRedefine/>
    <w:uiPriority w:val="39"/>
    <w:rsid w:val="00210BC7"/>
    <w:pPr>
      <w:spacing w:after="100"/>
      <w:ind w:left="480"/>
    </w:pPr>
    <w:rPr>
      <w:rFonts w:ascii="Times New Roman" w:hAnsi="Times New Roman"/>
      <w:sz w:val="23"/>
    </w:rPr>
  </w:style>
  <w:style w:type="paragraph" w:customStyle="1" w:styleId="H23G">
    <w:name w:val="_ H_2/3_G"/>
    <w:basedOn w:val="Normal"/>
    <w:next w:val="Normal"/>
    <w:rsid w:val="00E1548E"/>
    <w:pPr>
      <w:keepNext/>
      <w:keepLines/>
      <w:tabs>
        <w:tab w:val="right" w:pos="851"/>
      </w:tabs>
      <w:suppressAutoHyphens/>
      <w:spacing w:before="240" w:after="120" w:line="240" w:lineRule="exact"/>
      <w:ind w:left="1134" w:right="1134" w:hanging="1134"/>
      <w:jc w:val="left"/>
    </w:pPr>
    <w:rPr>
      <w:rFonts w:ascii="Times New Roman" w:eastAsia="MS Mincho" w:hAnsi="Times New Roman" w:cs="Times New Roman"/>
      <w:b/>
      <w:sz w:val="20"/>
      <w:szCs w:val="20"/>
      <w:lang w:val="en-GB" w:eastAsia="en-US"/>
    </w:rPr>
  </w:style>
  <w:style w:type="character" w:customStyle="1" w:styleId="st">
    <w:name w:val="st"/>
    <w:basedOn w:val="DefaultParagraphFont"/>
    <w:rsid w:val="00114E67"/>
  </w:style>
  <w:style w:type="paragraph" w:customStyle="1" w:styleId="HeadingMajor">
    <w:name w:val="Heading Major"/>
    <w:basedOn w:val="Normal"/>
    <w:qFormat/>
    <w:rsid w:val="002C45F2"/>
    <w:pPr>
      <w:spacing w:before="120" w:after="120"/>
      <w:jc w:val="left"/>
    </w:pPr>
    <w:rPr>
      <w:rFonts w:asciiTheme="majorHAnsi" w:hAnsiTheme="majorHAnsi" w:cs="Times New Roman"/>
      <w:b/>
      <w:caps/>
      <w:sz w:val="32"/>
      <w:lang w:val="en-AU"/>
    </w:rPr>
  </w:style>
  <w:style w:type="paragraph" w:customStyle="1" w:styleId="CERDBodyText1">
    <w:name w:val="CERD Body Text 1"/>
    <w:basedOn w:val="ListParagraph"/>
    <w:qFormat/>
    <w:rsid w:val="000D31C3"/>
    <w:pPr>
      <w:numPr>
        <w:numId w:val="1"/>
      </w:numPr>
      <w:spacing w:after="120"/>
      <w:ind w:left="0" w:right="-142" w:firstLine="0"/>
      <w:contextualSpacing w:val="0"/>
      <w:jc w:val="left"/>
    </w:pPr>
    <w:rPr>
      <w:rFonts w:cstheme="minorHAnsi"/>
      <w:lang w:val="en-AU" w:eastAsia="en-US"/>
    </w:rPr>
  </w:style>
  <w:style w:type="paragraph" w:customStyle="1" w:styleId="FootnoteNumbers">
    <w:name w:val="Footnote Numbers"/>
    <w:basedOn w:val="CERDBodyText1"/>
    <w:rsid w:val="004C3728"/>
    <w:rPr>
      <w:vertAlign w:val="superscript"/>
    </w:rPr>
  </w:style>
  <w:style w:type="paragraph" w:customStyle="1" w:styleId="CERDFootnotes">
    <w:name w:val="CERD Footnotes"/>
    <w:basedOn w:val="CERDBodyText1"/>
    <w:rsid w:val="004C3728"/>
    <w:rPr>
      <w:vertAlign w:val="superscript"/>
    </w:rPr>
  </w:style>
  <w:style w:type="paragraph" w:customStyle="1" w:styleId="CERDHeadingMinor1">
    <w:name w:val="CERD Heading Minor 1"/>
    <w:basedOn w:val="Heading2"/>
    <w:qFormat/>
    <w:rsid w:val="00210BC7"/>
    <w:pPr>
      <w:spacing w:before="120" w:after="120"/>
      <w:jc w:val="left"/>
    </w:pPr>
    <w:rPr>
      <w:b/>
      <w:lang w:val="en-AU"/>
    </w:rPr>
  </w:style>
  <w:style w:type="paragraph" w:customStyle="1" w:styleId="CERDBOXHeading">
    <w:name w:val="CERD BOX Heading"/>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before="60" w:after="60"/>
      <w:ind w:left="11" w:hanging="11"/>
      <w:jc w:val="left"/>
    </w:pPr>
    <w:rPr>
      <w:b/>
      <w:sz w:val="23"/>
      <w:szCs w:val="22"/>
      <w:lang w:val="en-AU"/>
    </w:rPr>
  </w:style>
  <w:style w:type="paragraph" w:customStyle="1" w:styleId="CERDBOXText">
    <w:name w:val="CERD BOX Text"/>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after="60"/>
      <w:jc w:val="left"/>
    </w:pPr>
    <w:rPr>
      <w:sz w:val="22"/>
    </w:rPr>
  </w:style>
  <w:style w:type="paragraph" w:customStyle="1" w:styleId="CERDHeadingMinor2">
    <w:name w:val="CERD Heading Minor 2"/>
    <w:basedOn w:val="CERDHeadingMinor1"/>
    <w:qFormat/>
    <w:rsid w:val="00496D43"/>
    <w:rPr>
      <w:b w:val="0"/>
      <w:sz w:val="24"/>
    </w:rPr>
  </w:style>
  <w:style w:type="paragraph" w:customStyle="1" w:styleId="CERDBoxTableHeading">
    <w:name w:val="CERD Box Table Heading"/>
    <w:basedOn w:val="CERDBodyText1"/>
    <w:qFormat/>
    <w:rsid w:val="00120B69"/>
    <w:pPr>
      <w:numPr>
        <w:numId w:val="0"/>
      </w:numPr>
      <w:spacing w:before="60" w:after="60"/>
      <w:ind w:right="0"/>
    </w:pPr>
    <w:rPr>
      <w:b/>
    </w:rPr>
  </w:style>
  <w:style w:type="paragraph" w:customStyle="1" w:styleId="CERDBOXTableText">
    <w:name w:val="CERD BOX Table Text"/>
    <w:basedOn w:val="CERDBoxTableHeading"/>
    <w:qFormat/>
    <w:rsid w:val="00120B69"/>
    <w:rPr>
      <w:b w:val="0"/>
      <w:sz w:val="22"/>
    </w:rPr>
  </w:style>
  <w:style w:type="paragraph" w:customStyle="1" w:styleId="CERDTableDotPoint">
    <w:name w:val="CERD Table Dot Point"/>
    <w:next w:val="CERDBOXTableText"/>
    <w:qFormat/>
    <w:rsid w:val="0090364A"/>
    <w:pPr>
      <w:numPr>
        <w:numId w:val="5"/>
      </w:numPr>
      <w:spacing w:before="40" w:after="40"/>
    </w:pPr>
    <w:rPr>
      <w:rFonts w:asciiTheme="minorHAnsi" w:eastAsiaTheme="minorEastAsia" w:hAnsiTheme="minorHAnsi"/>
      <w:sz w:val="22"/>
      <w:szCs w:val="24"/>
      <w:lang w:eastAsia="ja-JP"/>
    </w:rPr>
  </w:style>
  <w:style w:type="paragraph" w:styleId="Revision">
    <w:name w:val="Revision"/>
    <w:hidden/>
    <w:uiPriority w:val="99"/>
    <w:semiHidden/>
    <w:rsid w:val="00AE7D2B"/>
    <w:pPr>
      <w:jc w:val="left"/>
    </w:pPr>
    <w:rPr>
      <w:rFonts w:asciiTheme="minorHAnsi" w:eastAsiaTheme="minorEastAsia" w:hAnsiTheme="minorHAnsi" w:cstheme="minorBidi"/>
      <w:sz w:val="24"/>
      <w:szCs w:val="24"/>
      <w:lang w:val="en-US" w:eastAsia="ja-JP"/>
    </w:rPr>
  </w:style>
  <w:style w:type="paragraph" w:customStyle="1" w:styleId="CERDBodyTextDotPoint">
    <w:name w:val="CERD Body Text Dot Point"/>
    <w:basedOn w:val="CERDBodyText1"/>
    <w:qFormat/>
    <w:rsid w:val="000611EB"/>
    <w:pPr>
      <w:numPr>
        <w:numId w:val="4"/>
      </w:numPr>
      <w:spacing w:after="80"/>
      <w:ind w:left="567" w:hanging="283"/>
    </w:pPr>
  </w:style>
  <w:style w:type="paragraph" w:customStyle="1" w:styleId="Style1">
    <w:name w:val="Style1"/>
    <w:basedOn w:val="CERDTableDotPoint"/>
    <w:qFormat/>
    <w:rsid w:val="0090364A"/>
    <w:pPr>
      <w:numPr>
        <w:numId w:val="0"/>
      </w:numPr>
    </w:pPr>
  </w:style>
  <w:style w:type="paragraph" w:customStyle="1" w:styleId="CERDTableNumberdPoint">
    <w:name w:val="CERD Table Numberd Point"/>
    <w:basedOn w:val="CERDTableDotPoint"/>
    <w:next w:val="CERDBOXTableText"/>
    <w:qFormat/>
    <w:rsid w:val="0090364A"/>
    <w:pPr>
      <w:numPr>
        <w:numId w:val="6"/>
      </w:numPr>
      <w:ind w:left="356" w:hanging="356"/>
    </w:pPr>
  </w:style>
  <w:style w:type="character" w:styleId="FollowedHyperlink">
    <w:name w:val="FollowedHyperlink"/>
    <w:basedOn w:val="DefaultParagraphFont"/>
    <w:rsid w:val="00497ED5"/>
    <w:rPr>
      <w:color w:val="800080" w:themeColor="followedHyperlink"/>
      <w:u w:val="single"/>
    </w:rPr>
  </w:style>
  <w:style w:type="paragraph" w:styleId="TOC4">
    <w:name w:val="toc 4"/>
    <w:basedOn w:val="Normal"/>
    <w:next w:val="Normal"/>
    <w:autoRedefine/>
    <w:uiPriority w:val="39"/>
    <w:rsid w:val="00210BC7"/>
    <w:pPr>
      <w:spacing w:after="100"/>
      <w:ind w:left="720"/>
    </w:pPr>
    <w:rPr>
      <w:rFonts w:ascii="Times New Roman" w:hAnsi="Times New Roman"/>
      <w:sz w:val="23"/>
    </w:rPr>
  </w:style>
  <w:style w:type="paragraph" w:customStyle="1" w:styleId="ICESCRBodyText">
    <w:name w:val="ICESCR Body Text"/>
    <w:basedOn w:val="ListParagraph"/>
    <w:qFormat/>
    <w:rsid w:val="000C37F6"/>
    <w:pPr>
      <w:spacing w:after="120"/>
      <w:ind w:left="567" w:right="-143" w:hanging="567"/>
      <w:contextualSpacing w:val="0"/>
      <w:jc w:val="left"/>
    </w:pPr>
    <w:rPr>
      <w:rFonts w:ascii="Times New Roman" w:hAnsi="Times New Roman" w:cs="Times New Roman"/>
      <w:sz w:val="23"/>
      <w:szCs w:val="23"/>
      <w:lang w:val="en-AU"/>
    </w:rPr>
  </w:style>
  <w:style w:type="paragraph" w:styleId="TOC5">
    <w:name w:val="toc 5"/>
    <w:basedOn w:val="Normal"/>
    <w:next w:val="Normal"/>
    <w:autoRedefine/>
    <w:uiPriority w:val="39"/>
    <w:unhideWhenUsed/>
    <w:rsid w:val="00F3162E"/>
    <w:pPr>
      <w:spacing w:after="100" w:line="276" w:lineRule="auto"/>
      <w:ind w:left="880"/>
      <w:jc w:val="left"/>
    </w:pPr>
    <w:rPr>
      <w:sz w:val="22"/>
      <w:szCs w:val="22"/>
      <w:lang w:val="en-AU" w:eastAsia="en-AU"/>
    </w:rPr>
  </w:style>
  <w:style w:type="paragraph" w:styleId="TOC6">
    <w:name w:val="toc 6"/>
    <w:basedOn w:val="Normal"/>
    <w:next w:val="Normal"/>
    <w:autoRedefine/>
    <w:uiPriority w:val="39"/>
    <w:unhideWhenUsed/>
    <w:rsid w:val="00F3162E"/>
    <w:pPr>
      <w:spacing w:after="100" w:line="276" w:lineRule="auto"/>
      <w:ind w:left="1100"/>
      <w:jc w:val="left"/>
    </w:pPr>
    <w:rPr>
      <w:sz w:val="22"/>
      <w:szCs w:val="22"/>
      <w:lang w:val="en-AU" w:eastAsia="en-AU"/>
    </w:rPr>
  </w:style>
  <w:style w:type="paragraph" w:styleId="TOC7">
    <w:name w:val="toc 7"/>
    <w:basedOn w:val="Normal"/>
    <w:next w:val="Normal"/>
    <w:autoRedefine/>
    <w:uiPriority w:val="39"/>
    <w:unhideWhenUsed/>
    <w:rsid w:val="00F3162E"/>
    <w:pPr>
      <w:spacing w:after="100" w:line="276" w:lineRule="auto"/>
      <w:ind w:left="1320"/>
      <w:jc w:val="left"/>
    </w:pPr>
    <w:rPr>
      <w:sz w:val="22"/>
      <w:szCs w:val="22"/>
      <w:lang w:val="en-AU" w:eastAsia="en-AU"/>
    </w:rPr>
  </w:style>
  <w:style w:type="paragraph" w:styleId="TOC8">
    <w:name w:val="toc 8"/>
    <w:basedOn w:val="Normal"/>
    <w:next w:val="Normal"/>
    <w:autoRedefine/>
    <w:uiPriority w:val="39"/>
    <w:unhideWhenUsed/>
    <w:rsid w:val="00F3162E"/>
    <w:pPr>
      <w:spacing w:after="100" w:line="276" w:lineRule="auto"/>
      <w:ind w:left="1540"/>
      <w:jc w:val="left"/>
    </w:pPr>
    <w:rPr>
      <w:sz w:val="22"/>
      <w:szCs w:val="22"/>
      <w:lang w:val="en-AU" w:eastAsia="en-AU"/>
    </w:rPr>
  </w:style>
  <w:style w:type="paragraph" w:styleId="TOC9">
    <w:name w:val="toc 9"/>
    <w:basedOn w:val="Normal"/>
    <w:next w:val="Normal"/>
    <w:autoRedefine/>
    <w:uiPriority w:val="39"/>
    <w:unhideWhenUsed/>
    <w:rsid w:val="00F3162E"/>
    <w:pPr>
      <w:spacing w:after="100" w:line="276" w:lineRule="auto"/>
      <w:ind w:left="1760"/>
      <w:jc w:val="left"/>
    </w:pPr>
    <w:rPr>
      <w:sz w:val="22"/>
      <w:szCs w:val="22"/>
      <w:lang w:val="en-AU" w:eastAsia="en-AU"/>
    </w:rPr>
  </w:style>
  <w:style w:type="paragraph" w:customStyle="1" w:styleId="ICESCRHeadingMajor">
    <w:name w:val="ICESCR Heading Major"/>
    <w:basedOn w:val="Heading1"/>
    <w:next w:val="Normal"/>
    <w:qFormat/>
    <w:rsid w:val="00F3162E"/>
    <w:pPr>
      <w:numPr>
        <w:numId w:val="7"/>
      </w:numPr>
      <w:spacing w:before="120"/>
      <w:ind w:left="567" w:hanging="567"/>
      <w:jc w:val="left"/>
    </w:pPr>
    <w:rPr>
      <w:color w:val="auto"/>
      <w:lang w:val="en-AU"/>
    </w:rPr>
  </w:style>
  <w:style w:type="numbering" w:customStyle="1" w:styleId="NoList1">
    <w:name w:val="No List1"/>
    <w:next w:val="NoList"/>
    <w:uiPriority w:val="99"/>
    <w:semiHidden/>
    <w:unhideWhenUsed/>
    <w:rsid w:val="00332059"/>
  </w:style>
  <w:style w:type="paragraph" w:customStyle="1" w:styleId="ICESCRBoxText">
    <w:name w:val="ICESCR Box Text"/>
    <w:basedOn w:val="Normal"/>
    <w:qFormat/>
    <w:rsid w:val="00332059"/>
    <w:pPr>
      <w:spacing w:after="80"/>
      <w:jc w:val="left"/>
    </w:pPr>
    <w:rPr>
      <w:rFonts w:cs="Cambria"/>
      <w:sz w:val="22"/>
      <w:szCs w:val="22"/>
      <w:lang w:val="en-AU"/>
    </w:rPr>
  </w:style>
  <w:style w:type="paragraph" w:customStyle="1" w:styleId="ICESCRBoxHeading">
    <w:name w:val="ICESCR Box Heading"/>
    <w:basedOn w:val="ICESCRBoxText"/>
    <w:qFormat/>
    <w:rsid w:val="00332059"/>
    <w:pPr>
      <w:spacing w:before="80"/>
    </w:pPr>
    <w:rPr>
      <w:b/>
    </w:rPr>
  </w:style>
  <w:style w:type="paragraph" w:customStyle="1" w:styleId="ICESCRBoxDotPoint">
    <w:name w:val="ICESCR Box Dot Point"/>
    <w:basedOn w:val="ICESCRBoxText"/>
    <w:next w:val="ICESCRBoxText"/>
    <w:qFormat/>
    <w:rsid w:val="00332059"/>
    <w:pPr>
      <w:numPr>
        <w:numId w:val="8"/>
      </w:numPr>
      <w:ind w:left="284" w:hanging="284"/>
    </w:pPr>
  </w:style>
  <w:style w:type="paragraph" w:customStyle="1" w:styleId="ICESCRHeadingMinor2">
    <w:name w:val="ICESCR Heading Minor 2"/>
    <w:basedOn w:val="Normal"/>
    <w:next w:val="ICESCRBodyText"/>
    <w:qFormat/>
    <w:rsid w:val="00332059"/>
    <w:pPr>
      <w:keepNext/>
      <w:keepLines/>
      <w:spacing w:before="120" w:after="120"/>
      <w:jc w:val="left"/>
      <w:outlineLvl w:val="2"/>
    </w:pPr>
    <w:rPr>
      <w:rFonts w:ascii="Calibri" w:eastAsia="MS Gothic" w:hAnsi="Calibri" w:cs="Times New Roman"/>
      <w:bCs/>
      <w:i/>
      <w:lang w:val="en-AU"/>
    </w:rPr>
  </w:style>
  <w:style w:type="table" w:customStyle="1" w:styleId="TableGrid1">
    <w:name w:val="Table Grid1"/>
    <w:basedOn w:val="TableNormal"/>
    <w:next w:val="TableGrid"/>
    <w:uiPriority w:val="59"/>
    <w:rsid w:val="00332059"/>
    <w:pPr>
      <w:jc w:val="left"/>
    </w:pPr>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B6B78"/>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6F36"/>
    <w:pPr>
      <w:autoSpaceDE w:val="0"/>
      <w:autoSpaceDN w:val="0"/>
      <w:adjustRightInd w:val="0"/>
      <w:jc w:val="left"/>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63198">
      <w:bodyDiv w:val="1"/>
      <w:marLeft w:val="0"/>
      <w:marRight w:val="0"/>
      <w:marTop w:val="0"/>
      <w:marBottom w:val="0"/>
      <w:divBdr>
        <w:top w:val="none" w:sz="0" w:space="0" w:color="auto"/>
        <w:left w:val="none" w:sz="0" w:space="0" w:color="auto"/>
        <w:bottom w:val="none" w:sz="0" w:space="0" w:color="auto"/>
        <w:right w:val="none" w:sz="0" w:space="0" w:color="auto"/>
      </w:divBdr>
    </w:div>
    <w:div w:id="1463381240">
      <w:bodyDiv w:val="1"/>
      <w:marLeft w:val="0"/>
      <w:marRight w:val="0"/>
      <w:marTop w:val="0"/>
      <w:marBottom w:val="0"/>
      <w:divBdr>
        <w:top w:val="none" w:sz="0" w:space="0" w:color="auto"/>
        <w:left w:val="none" w:sz="0" w:space="0" w:color="auto"/>
        <w:bottom w:val="none" w:sz="0" w:space="0" w:color="auto"/>
        <w:right w:val="none" w:sz="0" w:space="0" w:color="auto"/>
      </w:divBdr>
      <w:divsChild>
        <w:div w:id="217211743">
          <w:marLeft w:val="0"/>
          <w:marRight w:val="0"/>
          <w:marTop w:val="0"/>
          <w:marBottom w:val="0"/>
          <w:divBdr>
            <w:top w:val="none" w:sz="0" w:space="0" w:color="auto"/>
            <w:left w:val="none" w:sz="0" w:space="0" w:color="auto"/>
            <w:bottom w:val="none" w:sz="0" w:space="0" w:color="auto"/>
            <w:right w:val="none" w:sz="0" w:space="0" w:color="auto"/>
          </w:divBdr>
          <w:divsChild>
            <w:div w:id="218515071">
              <w:marLeft w:val="0"/>
              <w:marRight w:val="0"/>
              <w:marTop w:val="0"/>
              <w:marBottom w:val="0"/>
              <w:divBdr>
                <w:top w:val="none" w:sz="0" w:space="0" w:color="auto"/>
                <w:left w:val="none" w:sz="0" w:space="0" w:color="auto"/>
                <w:bottom w:val="none" w:sz="0" w:space="0" w:color="auto"/>
                <w:right w:val="none" w:sz="0" w:space="0" w:color="auto"/>
              </w:divBdr>
              <w:divsChild>
                <w:div w:id="1635721359">
                  <w:marLeft w:val="0"/>
                  <w:marRight w:val="3600"/>
                  <w:marTop w:val="0"/>
                  <w:marBottom w:val="0"/>
                  <w:divBdr>
                    <w:top w:val="none" w:sz="0" w:space="0" w:color="auto"/>
                    <w:left w:val="none" w:sz="0" w:space="0" w:color="auto"/>
                    <w:bottom w:val="none" w:sz="0" w:space="0" w:color="auto"/>
                    <w:right w:val="none" w:sz="0" w:space="0" w:color="auto"/>
                  </w:divBdr>
                </w:div>
              </w:divsChild>
            </w:div>
          </w:divsChild>
        </w:div>
      </w:divsChild>
    </w:div>
    <w:div w:id="1535196320">
      <w:bodyDiv w:val="1"/>
      <w:marLeft w:val="0"/>
      <w:marRight w:val="0"/>
      <w:marTop w:val="0"/>
      <w:marBottom w:val="0"/>
      <w:divBdr>
        <w:top w:val="none" w:sz="0" w:space="0" w:color="auto"/>
        <w:left w:val="none" w:sz="0" w:space="0" w:color="auto"/>
        <w:bottom w:val="none" w:sz="0" w:space="0" w:color="auto"/>
        <w:right w:val="none" w:sz="0" w:space="0" w:color="auto"/>
      </w:divBdr>
    </w:div>
    <w:div w:id="1759327280">
      <w:bodyDiv w:val="1"/>
      <w:marLeft w:val="0"/>
      <w:marRight w:val="0"/>
      <w:marTop w:val="0"/>
      <w:marBottom w:val="0"/>
      <w:divBdr>
        <w:top w:val="none" w:sz="0" w:space="0" w:color="auto"/>
        <w:left w:val="none" w:sz="0" w:space="0" w:color="auto"/>
        <w:bottom w:val="none" w:sz="0" w:space="0" w:color="auto"/>
        <w:right w:val="none" w:sz="0" w:space="0" w:color="auto"/>
      </w:divBdr>
    </w:div>
    <w:div w:id="1949698602">
      <w:bodyDiv w:val="1"/>
      <w:marLeft w:val="0"/>
      <w:marRight w:val="0"/>
      <w:marTop w:val="0"/>
      <w:marBottom w:val="0"/>
      <w:divBdr>
        <w:top w:val="none" w:sz="0" w:space="0" w:color="auto"/>
        <w:left w:val="none" w:sz="0" w:space="0" w:color="auto"/>
        <w:bottom w:val="none" w:sz="0" w:space="0" w:color="auto"/>
        <w:right w:val="none" w:sz="0" w:space="0" w:color="auto"/>
      </w:divBdr>
    </w:div>
    <w:div w:id="1998028672">
      <w:bodyDiv w:val="1"/>
      <w:marLeft w:val="0"/>
      <w:marRight w:val="0"/>
      <w:marTop w:val="0"/>
      <w:marBottom w:val="0"/>
      <w:divBdr>
        <w:top w:val="none" w:sz="0" w:space="0" w:color="auto"/>
        <w:left w:val="none" w:sz="0" w:space="0" w:color="auto"/>
        <w:bottom w:val="none" w:sz="0" w:space="0" w:color="auto"/>
        <w:right w:val="none" w:sz="0" w:space="0" w:color="auto"/>
      </w:divBdr>
      <w:divsChild>
        <w:div w:id="1403523847">
          <w:marLeft w:val="0"/>
          <w:marRight w:val="0"/>
          <w:marTop w:val="0"/>
          <w:marBottom w:val="0"/>
          <w:divBdr>
            <w:top w:val="none" w:sz="0" w:space="0" w:color="auto"/>
            <w:left w:val="none" w:sz="0" w:space="0" w:color="auto"/>
            <w:bottom w:val="none" w:sz="0" w:space="0" w:color="auto"/>
            <w:right w:val="none" w:sz="0" w:space="0" w:color="auto"/>
          </w:divBdr>
          <w:divsChild>
            <w:div w:id="2064789066">
              <w:marLeft w:val="0"/>
              <w:marRight w:val="0"/>
              <w:marTop w:val="0"/>
              <w:marBottom w:val="450"/>
              <w:divBdr>
                <w:top w:val="none" w:sz="0" w:space="0" w:color="auto"/>
                <w:left w:val="single" w:sz="6" w:space="0" w:color="BCBEC0"/>
                <w:bottom w:val="single" w:sz="6" w:space="0" w:color="BCBEC0"/>
                <w:right w:val="single" w:sz="6" w:space="0" w:color="BCBEC0"/>
              </w:divBdr>
              <w:divsChild>
                <w:div w:id="912204902">
                  <w:marLeft w:val="0"/>
                  <w:marRight w:val="0"/>
                  <w:marTop w:val="0"/>
                  <w:marBottom w:val="0"/>
                  <w:divBdr>
                    <w:top w:val="none" w:sz="0" w:space="0" w:color="auto"/>
                    <w:left w:val="none" w:sz="0" w:space="0" w:color="auto"/>
                    <w:bottom w:val="none" w:sz="0" w:space="0" w:color="auto"/>
                    <w:right w:val="none" w:sz="0" w:space="0" w:color="auto"/>
                  </w:divBdr>
                  <w:divsChild>
                    <w:div w:id="719940120">
                      <w:marLeft w:val="0"/>
                      <w:marRight w:val="0"/>
                      <w:marTop w:val="0"/>
                      <w:marBottom w:val="0"/>
                      <w:divBdr>
                        <w:top w:val="none" w:sz="0" w:space="0" w:color="auto"/>
                        <w:left w:val="none" w:sz="0" w:space="0" w:color="auto"/>
                        <w:bottom w:val="none" w:sz="0" w:space="0" w:color="auto"/>
                        <w:right w:val="none" w:sz="0" w:space="0" w:color="auto"/>
                      </w:divBdr>
                      <w:divsChild>
                        <w:div w:id="1174760957">
                          <w:marLeft w:val="0"/>
                          <w:marRight w:val="0"/>
                          <w:marTop w:val="0"/>
                          <w:marBottom w:val="0"/>
                          <w:divBdr>
                            <w:top w:val="none" w:sz="0" w:space="0" w:color="auto"/>
                            <w:left w:val="none" w:sz="0" w:space="0" w:color="auto"/>
                            <w:bottom w:val="none" w:sz="0" w:space="0" w:color="auto"/>
                            <w:right w:val="none" w:sz="0" w:space="0" w:color="auto"/>
                          </w:divBdr>
                          <w:divsChild>
                            <w:div w:id="247010317">
                              <w:marLeft w:val="0"/>
                              <w:marRight w:val="0"/>
                              <w:marTop w:val="0"/>
                              <w:marBottom w:val="0"/>
                              <w:divBdr>
                                <w:top w:val="none" w:sz="0" w:space="0" w:color="auto"/>
                                <w:left w:val="none" w:sz="0" w:space="0" w:color="auto"/>
                                <w:bottom w:val="none" w:sz="0" w:space="0" w:color="auto"/>
                                <w:right w:val="none" w:sz="0" w:space="0" w:color="auto"/>
                              </w:divBdr>
                              <w:divsChild>
                                <w:div w:id="133617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nt.gov.au/justice/policycoord/documents/statistics/nt_annual_crime_statistics_2012.pdf" TargetMode="External"/><Relationship Id="rId13" Type="http://schemas.openxmlformats.org/officeDocument/2006/relationships/hyperlink" Target="http://www.dpc.vic.gov.au/aboriginalaffairsreport" TargetMode="External"/><Relationship Id="rId18" Type="http://schemas.openxmlformats.org/officeDocument/2006/relationships/hyperlink" Target="http://nswmentalhealthcommission.com.au/about-us" TargetMode="External"/><Relationship Id="rId26" Type="http://schemas.openxmlformats.org/officeDocument/2006/relationships/hyperlink" Target="http://www.education.nt.gov.au/__data/assets/pdf_file/0007/37294/A-Share-in-the-Future-The-Review-of-Indigenous-Education-in-the-Northern-Territory.pdf" TargetMode="External"/><Relationship Id="rId3" Type="http://schemas.openxmlformats.org/officeDocument/2006/relationships/hyperlink" Target="http://www.women.nsw.gov.au/violence_prevention/Domestic_and_Family_Violence_Reforms" TargetMode="External"/><Relationship Id="rId21" Type="http://schemas.openxmlformats.org/officeDocument/2006/relationships/hyperlink" Target="http://www.naccho.org.au/download/aboriginal-health/NSW%20Aboriginal%20health%20Plan%202013-2023.pdf" TargetMode="External"/><Relationship Id="rId7" Type="http://schemas.openxmlformats.org/officeDocument/2006/relationships/hyperlink" Target="http://www.pfes.nt.gov.au/Police/Community-safety/Northern-Territory-Crime-Statistics.aspx" TargetMode="External"/><Relationship Id="rId12" Type="http://schemas.openxmlformats.org/officeDocument/2006/relationships/hyperlink" Target="http://www.dpac.tas.gov.au/__data/assets/pdf_file/0010/236890/Women_and_Girls_in_Tasmania_Report_2013.pdf" TargetMode="External"/><Relationship Id="rId17" Type="http://schemas.openxmlformats.org/officeDocument/2006/relationships/hyperlink" Target="https://www.sa.gov.au/topics/housing-property-and-land/housing/emergency-shelter-and-homelessness/homelessness-services-providers/client-and-case-management-system" TargetMode="External"/><Relationship Id="rId25" Type="http://schemas.openxmlformats.org/officeDocument/2006/relationships/hyperlink" Target="http://www.mentalhealth.wa.gov.au/mentalhealth_changes/Mental_Health_Court_Diversion.aspx" TargetMode="External"/><Relationship Id="rId2" Type="http://schemas.openxmlformats.org/officeDocument/2006/relationships/hyperlink" Target="http://www.dpac.tas.gov.au/divisions/csrt/policy/our_policies/disability_framework_for_action" TargetMode="External"/><Relationship Id="rId16" Type="http://schemas.openxmlformats.org/officeDocument/2006/relationships/hyperlink" Target="http://www.legalaid.nsw.gov.au/for-lawyers/policyonline/policies/6.-civil-law-matters-when-legal-aid-is-available/6.4.-loss-of-home-if-there-is-a-likelihood-the-applicant-may-lose-their-home" TargetMode="External"/><Relationship Id="rId20" Type="http://schemas.openxmlformats.org/officeDocument/2006/relationships/hyperlink" Target="http://www.federalfinancialrelations.gov.au/content/npa/health_mental/national-reform/SA_IP.pdf" TargetMode="External"/><Relationship Id="rId1" Type="http://schemas.openxmlformats.org/officeDocument/2006/relationships/hyperlink" Target="file:///C:/Users/vkuczer/AppData/Local/Microsoft/Windows/Temporary%20Internet%20Files/Content.Outlook/1WZAXTLP/Further" TargetMode="External"/><Relationship Id="rId6" Type="http://schemas.openxmlformats.org/officeDocument/2006/relationships/hyperlink" Target="http://www.domesticviolence.nt.gov.au/documents/Domestic_Violence_Strategy.pdf" TargetMode="External"/><Relationship Id="rId11" Type="http://schemas.openxmlformats.org/officeDocument/2006/relationships/hyperlink" Target="http://www.officeforwomen.sa.gov.au/__data/assets/pdf_file/0003/19767/Taking-A-Stand.pdf" TargetMode="External"/><Relationship Id="rId24" Type="http://schemas.openxmlformats.org/officeDocument/2006/relationships/hyperlink" Target="http://www.mentalhealth.wa.gov.au/mental_illness_and_health/mh_aboriginal.aspx" TargetMode="External"/><Relationship Id="rId5" Type="http://schemas.openxmlformats.org/officeDocument/2006/relationships/hyperlink" Target="http://www.bocsar.nsw.gov.au/bocsar/bocsar_index.html" TargetMode="External"/><Relationship Id="rId15" Type="http://schemas.openxmlformats.org/officeDocument/2006/relationships/hyperlink" Target="http://www.housing.nsw.gov.au/Help+with+Housing/Homelessness/NSW+Homelessness+Action+Plan+(HAP).htm" TargetMode="External"/><Relationship Id="rId23" Type="http://schemas.openxmlformats.org/officeDocument/2006/relationships/hyperlink" Target="http://www.mentalhealth.wa.gov.au/ournewapproach/Aboriginal.aspx" TargetMode="External"/><Relationship Id="rId10" Type="http://schemas.openxmlformats.org/officeDocument/2006/relationships/hyperlink" Target="http://www.officeforwomen.sa.gov.au/__data/assets/pdf_file/0010/5140/A-Right-to-Safety.pdf" TargetMode="External"/><Relationship Id="rId19" Type="http://schemas.openxmlformats.org/officeDocument/2006/relationships/hyperlink" Target="http://www.health.nsw.gov.au/mhdao/Pages/program-info.aspx" TargetMode="External"/><Relationship Id="rId4" Type="http://schemas.openxmlformats.org/officeDocument/2006/relationships/hyperlink" Target="http://www.domesticviolence.nsw.gov.au/publications/service-providers-iit-stops-here-safer-pathwayi" TargetMode="External"/><Relationship Id="rId9" Type="http://schemas.openxmlformats.org/officeDocument/2006/relationships/hyperlink" Target="http://saplan.org.au/targets/18-violence-against-women" TargetMode="External"/><Relationship Id="rId14" Type="http://schemas.openxmlformats.org/officeDocument/2006/relationships/hyperlink" Target="http://www.dcp.wa.gov.au/CrisisAndEmergency/FDV/Documents/Achievement%20Report%20to%202013.pdf" TargetMode="External"/><Relationship Id="rId22" Type="http://schemas.openxmlformats.org/officeDocument/2006/relationships/hyperlink" Target="http://www.health.nsw.gov.au/aboriginal/Pages/default.aspx" TargetMode="External"/><Relationship Id="rId27" Type="http://schemas.openxmlformats.org/officeDocument/2006/relationships/hyperlink" Target="http://acthra.anu.edu.au/documents/ACTESCR_project_final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86519-E0E2-4514-A6FE-E8C32514CBC5}"/>
</file>

<file path=customXml/itemProps2.xml><?xml version="1.0" encoding="utf-8"?>
<ds:datastoreItem xmlns:ds="http://schemas.openxmlformats.org/officeDocument/2006/customXml" ds:itemID="{AA54581A-3D6E-401D-9EA2-214CD95D9DCB}"/>
</file>

<file path=customXml/itemProps3.xml><?xml version="1.0" encoding="utf-8"?>
<ds:datastoreItem xmlns:ds="http://schemas.openxmlformats.org/officeDocument/2006/customXml" ds:itemID="{43FA0B2E-1B79-4A6B-9853-1D72EDE6C826}"/>
</file>

<file path=customXml/itemProps4.xml><?xml version="1.0" encoding="utf-8"?>
<ds:datastoreItem xmlns:ds="http://schemas.openxmlformats.org/officeDocument/2006/customXml" ds:itemID="{8F12953A-5EC8-4807-9CB3-578C86BD4C7C}"/>
</file>

<file path=docProps/app.xml><?xml version="1.0" encoding="utf-8"?>
<Properties xmlns="http://schemas.openxmlformats.org/officeDocument/2006/extended-properties" xmlns:vt="http://schemas.openxmlformats.org/officeDocument/2006/docPropsVTypes">
  <Template>6A1943ED.dotm</Template>
  <TotalTime>0</TotalTime>
  <Pages>45</Pages>
  <Words>18923</Words>
  <Characters>117743</Characters>
  <Application>Microsoft Office Word</Application>
  <DocSecurity>0</DocSecurity>
  <Lines>1930</Lines>
  <Paragraphs>794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2016-02-02T22:57:00Z</dcterms:created>
  <dcterms:modified xsi:type="dcterms:W3CDTF">2016-02-02T22:57:00Z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071226bb-9144-4c6d-8deb-24932e46b2af</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1010300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