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DA0A5A" w14:textId="77777777" w:rsidR="001376ED" w:rsidRPr="00471FCC" w:rsidRDefault="001376ED" w:rsidP="0087499B">
      <w:pPr>
        <w:spacing w:after="120"/>
        <w:rPr>
          <w:rFonts w:ascii="Times New Roman" w:hAnsi="Times New Roman" w:cs="Times New Roman"/>
          <w:b/>
          <w:sz w:val="32"/>
          <w:lang w:val="en-AU"/>
        </w:rPr>
      </w:pPr>
      <w:bookmarkStart w:id="0" w:name="_GoBack"/>
      <w:bookmarkEnd w:id="0"/>
    </w:p>
    <w:p w14:paraId="579C8864" w14:textId="77777777" w:rsidR="001376ED" w:rsidRPr="00471FCC" w:rsidRDefault="001376ED" w:rsidP="0087499B">
      <w:pPr>
        <w:spacing w:after="120"/>
        <w:rPr>
          <w:rFonts w:ascii="Times New Roman" w:hAnsi="Times New Roman" w:cs="Times New Roman"/>
          <w:b/>
          <w:sz w:val="32"/>
          <w:lang w:val="en-AU"/>
        </w:rPr>
      </w:pPr>
    </w:p>
    <w:p w14:paraId="1EF36D9A" w14:textId="77777777" w:rsidR="00D41326" w:rsidRPr="00471FCC" w:rsidRDefault="00D41326" w:rsidP="0087499B">
      <w:pPr>
        <w:spacing w:after="120"/>
        <w:rPr>
          <w:rFonts w:ascii="Times New Roman" w:hAnsi="Times New Roman" w:cs="Times New Roman"/>
          <w:b/>
          <w:sz w:val="32"/>
          <w:lang w:val="en-AU"/>
        </w:rPr>
      </w:pPr>
    </w:p>
    <w:p w14:paraId="2B293E8B" w14:textId="77777777" w:rsidR="001376ED" w:rsidRPr="00471FCC" w:rsidRDefault="001376ED" w:rsidP="0087499B">
      <w:pPr>
        <w:spacing w:after="120"/>
        <w:rPr>
          <w:rFonts w:ascii="Times New Roman" w:hAnsi="Times New Roman" w:cs="Times New Roman"/>
          <w:b/>
          <w:sz w:val="32"/>
          <w:lang w:val="en-AU"/>
        </w:rPr>
      </w:pPr>
    </w:p>
    <w:p w14:paraId="685128A5" w14:textId="77777777" w:rsidR="001376ED" w:rsidRPr="00471FCC" w:rsidRDefault="001376ED" w:rsidP="0087499B">
      <w:pPr>
        <w:spacing w:after="120"/>
        <w:rPr>
          <w:rFonts w:ascii="Times New Roman" w:hAnsi="Times New Roman" w:cs="Times New Roman"/>
          <w:b/>
          <w:sz w:val="32"/>
          <w:lang w:val="en-AU"/>
        </w:rPr>
      </w:pPr>
    </w:p>
    <w:p w14:paraId="0C912D18" w14:textId="77777777" w:rsidR="001376ED" w:rsidRPr="00471FCC" w:rsidRDefault="001376ED" w:rsidP="0087499B">
      <w:pPr>
        <w:spacing w:after="120"/>
        <w:rPr>
          <w:rFonts w:ascii="Times New Roman" w:hAnsi="Times New Roman" w:cs="Times New Roman"/>
          <w:b/>
          <w:sz w:val="32"/>
          <w:lang w:val="en-AU"/>
        </w:rPr>
      </w:pPr>
    </w:p>
    <w:p w14:paraId="387B9B74" w14:textId="77777777" w:rsidR="001376ED" w:rsidRPr="00471FCC" w:rsidRDefault="001376ED" w:rsidP="0087499B">
      <w:pPr>
        <w:spacing w:after="120"/>
        <w:rPr>
          <w:rFonts w:ascii="Times New Roman" w:hAnsi="Times New Roman" w:cs="Times New Roman"/>
          <w:b/>
          <w:sz w:val="32"/>
          <w:lang w:val="en-AU"/>
        </w:rPr>
      </w:pPr>
    </w:p>
    <w:p w14:paraId="790791A5" w14:textId="77777777" w:rsidR="001376ED" w:rsidRPr="00471FCC" w:rsidRDefault="001376ED" w:rsidP="0087499B">
      <w:pPr>
        <w:spacing w:after="120"/>
        <w:rPr>
          <w:rFonts w:ascii="Times New Roman" w:hAnsi="Times New Roman" w:cs="Times New Roman"/>
          <w:b/>
          <w:sz w:val="32"/>
          <w:lang w:val="en-AU"/>
        </w:rPr>
      </w:pPr>
    </w:p>
    <w:p w14:paraId="326B6559" w14:textId="77777777" w:rsidR="001376ED" w:rsidRPr="00471FCC" w:rsidRDefault="001376ED" w:rsidP="0087499B">
      <w:pPr>
        <w:spacing w:after="120"/>
        <w:rPr>
          <w:rFonts w:ascii="Times New Roman" w:hAnsi="Times New Roman" w:cs="Times New Roman"/>
          <w:b/>
          <w:sz w:val="32"/>
          <w:lang w:val="en-AU"/>
        </w:rPr>
      </w:pPr>
    </w:p>
    <w:p w14:paraId="5D1BCB4A" w14:textId="77777777" w:rsidR="001376ED" w:rsidRPr="00471FCC" w:rsidRDefault="001376ED" w:rsidP="001376ED">
      <w:pPr>
        <w:spacing w:after="120"/>
        <w:jc w:val="right"/>
        <w:rPr>
          <w:rFonts w:ascii="Times New Roman" w:hAnsi="Times New Roman" w:cs="Times New Roman"/>
          <w:b/>
          <w:sz w:val="32"/>
          <w:lang w:val="en-AU"/>
        </w:rPr>
      </w:pPr>
    </w:p>
    <w:p w14:paraId="411D4852" w14:textId="196DF8D0" w:rsidR="00F3162E" w:rsidRPr="00471FCC" w:rsidRDefault="00F3162E" w:rsidP="00F3162E">
      <w:pPr>
        <w:spacing w:before="120" w:after="120"/>
        <w:jc w:val="right"/>
        <w:rPr>
          <w:rFonts w:ascii="Times New Roman" w:hAnsi="Times New Roman" w:cs="Times New Roman"/>
          <w:b/>
          <w:color w:val="1F497D" w:themeColor="text2"/>
          <w:sz w:val="32"/>
          <w:lang w:val="en-AU"/>
        </w:rPr>
      </w:pPr>
      <w:r w:rsidRPr="00471FCC">
        <w:rPr>
          <w:rFonts w:ascii="Times New Roman" w:hAnsi="Times New Roman" w:cs="Times New Roman"/>
          <w:b/>
          <w:color w:val="1F497D" w:themeColor="text2"/>
          <w:sz w:val="32"/>
          <w:lang w:val="en-AU"/>
        </w:rPr>
        <w:t>AUSTRALIA’S FIFTH REPORT UNDER</w:t>
      </w:r>
      <w:r w:rsidR="00B73DA7" w:rsidRPr="00471FCC">
        <w:rPr>
          <w:rFonts w:ascii="Times New Roman" w:hAnsi="Times New Roman" w:cs="Times New Roman"/>
          <w:b/>
          <w:color w:val="1F497D" w:themeColor="text2"/>
          <w:sz w:val="32"/>
          <w:lang w:val="en-AU"/>
        </w:rPr>
        <w:br/>
      </w:r>
      <w:r w:rsidRPr="00471FCC">
        <w:rPr>
          <w:rFonts w:ascii="Times New Roman" w:hAnsi="Times New Roman" w:cs="Times New Roman"/>
          <w:b/>
          <w:color w:val="1F497D" w:themeColor="text2"/>
          <w:sz w:val="32"/>
          <w:lang w:val="en-AU"/>
        </w:rPr>
        <w:t>THE INTERNATIONAL COVENANT ON ECONOMIC</w:t>
      </w:r>
      <w:proofErr w:type="gramStart"/>
      <w:r w:rsidRPr="00471FCC">
        <w:rPr>
          <w:rFonts w:ascii="Times New Roman" w:hAnsi="Times New Roman" w:cs="Times New Roman"/>
          <w:b/>
          <w:color w:val="1F497D" w:themeColor="text2"/>
          <w:sz w:val="32"/>
          <w:lang w:val="en-AU"/>
        </w:rPr>
        <w:t>,</w:t>
      </w:r>
      <w:proofErr w:type="gramEnd"/>
      <w:r w:rsidR="00B73DA7" w:rsidRPr="00471FCC">
        <w:rPr>
          <w:rFonts w:ascii="Times New Roman" w:hAnsi="Times New Roman" w:cs="Times New Roman"/>
          <w:b/>
          <w:color w:val="1F497D" w:themeColor="text2"/>
          <w:sz w:val="32"/>
          <w:lang w:val="en-AU"/>
        </w:rPr>
        <w:br/>
      </w:r>
      <w:r w:rsidRPr="00471FCC">
        <w:rPr>
          <w:rFonts w:ascii="Times New Roman" w:hAnsi="Times New Roman" w:cs="Times New Roman"/>
          <w:b/>
          <w:color w:val="1F497D" w:themeColor="text2"/>
          <w:sz w:val="32"/>
          <w:lang w:val="en-AU"/>
        </w:rPr>
        <w:t>SOCIAL AND CULTURAL RIGHTS (ICESCR)</w:t>
      </w:r>
    </w:p>
    <w:p w14:paraId="1B6C3A9F" w14:textId="7592BE4C" w:rsidR="00F3162E" w:rsidRPr="00471FCC" w:rsidRDefault="00B54951" w:rsidP="00F3162E">
      <w:pPr>
        <w:spacing w:before="120" w:after="120"/>
        <w:jc w:val="right"/>
        <w:rPr>
          <w:rFonts w:ascii="Times New Roman" w:hAnsi="Times New Roman" w:cs="Times New Roman"/>
          <w:b/>
          <w:color w:val="1F497D" w:themeColor="text2"/>
          <w:sz w:val="32"/>
          <w:lang w:val="en-AU"/>
        </w:rPr>
      </w:pPr>
      <w:r>
        <w:rPr>
          <w:rFonts w:ascii="Times New Roman" w:hAnsi="Times New Roman" w:cs="Times New Roman"/>
          <w:b/>
          <w:color w:val="1F497D" w:themeColor="text2"/>
          <w:sz w:val="32"/>
          <w:lang w:val="en-AU"/>
        </w:rPr>
        <w:t>2010-</w:t>
      </w:r>
      <w:r w:rsidR="00F3162E" w:rsidRPr="00471FCC">
        <w:rPr>
          <w:rFonts w:ascii="Times New Roman" w:hAnsi="Times New Roman" w:cs="Times New Roman"/>
          <w:b/>
          <w:color w:val="1F497D" w:themeColor="text2"/>
          <w:sz w:val="32"/>
          <w:lang w:val="en-AU"/>
        </w:rPr>
        <w:t>2014</w:t>
      </w:r>
    </w:p>
    <w:p w14:paraId="2211AE85" w14:textId="77777777" w:rsidR="00F3162E" w:rsidRPr="00471FCC" w:rsidRDefault="00F3162E" w:rsidP="00F3162E">
      <w:pPr>
        <w:spacing w:before="120" w:after="120"/>
        <w:jc w:val="right"/>
        <w:rPr>
          <w:rFonts w:ascii="Times New Roman" w:hAnsi="Times New Roman" w:cs="Times New Roman"/>
          <w:b/>
          <w:color w:val="1F497D" w:themeColor="text2"/>
          <w:sz w:val="32"/>
          <w:lang w:val="en-AU"/>
        </w:rPr>
      </w:pPr>
    </w:p>
    <w:p w14:paraId="1BD4FC79" w14:textId="5CE52458" w:rsidR="001376ED" w:rsidRPr="00471FCC" w:rsidRDefault="00F3162E" w:rsidP="00F3162E">
      <w:pPr>
        <w:spacing w:after="120"/>
        <w:jc w:val="right"/>
        <w:rPr>
          <w:rFonts w:ascii="Times New Roman" w:hAnsi="Times New Roman" w:cs="Times New Roman"/>
          <w:b/>
          <w:sz w:val="32"/>
          <w:lang w:val="en-AU"/>
        </w:rPr>
      </w:pPr>
      <w:r w:rsidRPr="00471FCC">
        <w:rPr>
          <w:rFonts w:ascii="Times New Roman" w:hAnsi="Times New Roman" w:cs="Times New Roman"/>
          <w:b/>
          <w:color w:val="1F497D" w:themeColor="text2"/>
          <w:sz w:val="32"/>
          <w:lang w:val="en-AU"/>
        </w:rPr>
        <w:t xml:space="preserve">Appendix </w:t>
      </w:r>
      <w:r w:rsidR="005818DD">
        <w:rPr>
          <w:rFonts w:ascii="Times New Roman" w:hAnsi="Times New Roman" w:cs="Times New Roman"/>
          <w:b/>
          <w:color w:val="1F497D" w:themeColor="text2"/>
          <w:sz w:val="32"/>
          <w:lang w:val="en-AU"/>
        </w:rPr>
        <w:t>4</w:t>
      </w:r>
    </w:p>
    <w:p w14:paraId="54E66421" w14:textId="481C1597" w:rsidR="001376ED" w:rsidRPr="00471FCC" w:rsidRDefault="00A32EB7" w:rsidP="001376ED">
      <w:pPr>
        <w:spacing w:after="120"/>
        <w:jc w:val="right"/>
        <w:rPr>
          <w:rFonts w:ascii="Times New Roman" w:hAnsi="Times New Roman" w:cs="Times New Roman"/>
          <w:b/>
          <w:color w:val="1F497D" w:themeColor="text2"/>
          <w:sz w:val="32"/>
          <w:lang w:val="en-AU"/>
        </w:rPr>
      </w:pPr>
      <w:r w:rsidRPr="00A32EB7">
        <w:rPr>
          <w:rFonts w:ascii="Times New Roman" w:hAnsi="Times New Roman" w:cs="Times New Roman"/>
          <w:b/>
          <w:color w:val="1F497D" w:themeColor="text2"/>
          <w:sz w:val="32"/>
          <w:lang w:val="en-AU"/>
        </w:rPr>
        <w:t>Employment</w:t>
      </w:r>
      <w:r>
        <w:rPr>
          <w:rFonts w:ascii="Times New Roman" w:hAnsi="Times New Roman" w:cs="Times New Roman"/>
          <w:b/>
          <w:color w:val="1F497D" w:themeColor="text2"/>
          <w:sz w:val="32"/>
          <w:lang w:val="en-AU"/>
        </w:rPr>
        <w:t xml:space="preserve"> - Additional </w:t>
      </w:r>
      <w:r w:rsidR="000D3E0C">
        <w:rPr>
          <w:rFonts w:ascii="Times New Roman" w:hAnsi="Times New Roman" w:cs="Times New Roman"/>
          <w:b/>
          <w:color w:val="1F497D" w:themeColor="text2"/>
          <w:sz w:val="32"/>
          <w:lang w:val="en-AU"/>
        </w:rPr>
        <w:t>Information</w:t>
      </w:r>
    </w:p>
    <w:p w14:paraId="259C2C58" w14:textId="77777777" w:rsidR="0001067E" w:rsidRPr="00471FCC" w:rsidRDefault="0001067E" w:rsidP="00B01340">
      <w:pPr>
        <w:rPr>
          <w:lang w:val="en-AU"/>
        </w:rPr>
      </w:pPr>
    </w:p>
    <w:p w14:paraId="735DE416" w14:textId="77777777" w:rsidR="0001067E" w:rsidRPr="00471FCC" w:rsidRDefault="0001067E" w:rsidP="00B01340">
      <w:pPr>
        <w:rPr>
          <w:lang w:val="en-AU"/>
        </w:rPr>
      </w:pPr>
    </w:p>
    <w:p w14:paraId="74042211" w14:textId="77777777" w:rsidR="0001067E" w:rsidRPr="00471FCC" w:rsidRDefault="0001067E" w:rsidP="002C45F2">
      <w:pPr>
        <w:rPr>
          <w:rFonts w:eastAsiaTheme="majorEastAsia"/>
          <w:lang w:val="en-AU"/>
        </w:rPr>
      </w:pPr>
      <w:bookmarkStart w:id="1" w:name="_Toc371326779"/>
      <w:r w:rsidRPr="00471FCC">
        <w:rPr>
          <w:lang w:val="en-AU"/>
        </w:rPr>
        <w:br w:type="page"/>
      </w:r>
    </w:p>
    <w:p w14:paraId="3623461F" w14:textId="77777777" w:rsidR="0001067E" w:rsidRPr="00471FCC" w:rsidRDefault="00D5679E" w:rsidP="00B01340">
      <w:pPr>
        <w:pStyle w:val="HeadingMajor"/>
        <w:rPr>
          <w:color w:val="1F497D" w:themeColor="text2"/>
        </w:rPr>
      </w:pPr>
      <w:bookmarkStart w:id="2" w:name="_Toc412043965"/>
      <w:bookmarkStart w:id="3" w:name="_Toc425840923"/>
      <w:bookmarkEnd w:id="1"/>
      <w:r w:rsidRPr="00471FCC">
        <w:rPr>
          <w:color w:val="1F497D" w:themeColor="text2"/>
        </w:rPr>
        <w:lastRenderedPageBreak/>
        <w:t>Table of contents</w:t>
      </w:r>
      <w:bookmarkEnd w:id="2"/>
      <w:bookmarkEnd w:id="3"/>
    </w:p>
    <w:sdt>
      <w:sdtPr>
        <w:rPr>
          <w:rFonts w:asciiTheme="minorHAnsi" w:eastAsiaTheme="minorEastAsia" w:hAnsiTheme="minorHAnsi" w:cstheme="minorBidi"/>
          <w:b w:val="0"/>
          <w:bCs w:val="0"/>
          <w:caps w:val="0"/>
          <w:color w:val="auto"/>
          <w:sz w:val="24"/>
          <w:szCs w:val="24"/>
          <w:lang w:val="en-AU"/>
        </w:rPr>
        <w:id w:val="400021984"/>
        <w:docPartObj>
          <w:docPartGallery w:val="Table of Contents"/>
          <w:docPartUnique/>
        </w:docPartObj>
      </w:sdtPr>
      <w:sdtEndPr/>
      <w:sdtContent>
        <w:p w14:paraId="0245F4D3" w14:textId="77777777" w:rsidR="00D5679E" w:rsidRPr="00471FCC" w:rsidRDefault="00D5679E" w:rsidP="00210BC7">
          <w:pPr>
            <w:pStyle w:val="TOCHeading"/>
            <w:spacing w:before="0" w:line="240" w:lineRule="auto"/>
            <w:rPr>
              <w:rFonts w:asciiTheme="minorHAnsi" w:hAnsiTheme="minorHAnsi" w:cstheme="minorHAnsi"/>
              <w:color w:val="auto"/>
              <w:sz w:val="2"/>
              <w:szCs w:val="2"/>
              <w:lang w:val="en-AU"/>
            </w:rPr>
          </w:pPr>
        </w:p>
        <w:p w14:paraId="48C717F4" w14:textId="77777777" w:rsidR="005E3A4F" w:rsidRDefault="003840AD">
          <w:pPr>
            <w:pStyle w:val="TOC1"/>
            <w:tabs>
              <w:tab w:val="right" w:leader="dot" w:pos="9628"/>
            </w:tabs>
            <w:rPr>
              <w:rFonts w:asciiTheme="minorHAnsi" w:hAnsiTheme="minorHAnsi"/>
              <w:b w:val="0"/>
              <w:caps w:val="0"/>
              <w:noProof/>
              <w:sz w:val="22"/>
              <w:u w:val="none"/>
              <w:lang w:val="en-AU" w:eastAsia="en-AU"/>
            </w:rPr>
          </w:pPr>
          <w:r w:rsidRPr="00471FCC">
            <w:rPr>
              <w:bCs/>
              <w:caps w:val="0"/>
              <w:lang w:val="en-AU"/>
            </w:rPr>
            <w:fldChar w:fldCharType="begin"/>
          </w:r>
          <w:r w:rsidRPr="00471FCC">
            <w:rPr>
              <w:bCs/>
              <w:caps w:val="0"/>
              <w:lang w:val="en-AU"/>
            </w:rPr>
            <w:instrText xml:space="preserve"> TOC \h \z \t "Heading Major,1,CERD Heading Minor 1,2,CERD Heading Minor 2,3,CERD Box Table Heading,4" </w:instrText>
          </w:r>
          <w:r w:rsidRPr="00471FCC">
            <w:rPr>
              <w:bCs/>
              <w:caps w:val="0"/>
              <w:lang w:val="en-AU"/>
            </w:rPr>
            <w:fldChar w:fldCharType="separate"/>
          </w:r>
          <w:hyperlink w:anchor="_Toc425840923" w:history="1">
            <w:r w:rsidR="005E3A4F" w:rsidRPr="008014D8">
              <w:rPr>
                <w:rStyle w:val="Hyperlink"/>
                <w:noProof/>
              </w:rPr>
              <w:t>Table of contents</w:t>
            </w:r>
            <w:r w:rsidR="005E3A4F">
              <w:rPr>
                <w:noProof/>
                <w:webHidden/>
              </w:rPr>
              <w:tab/>
            </w:r>
            <w:r w:rsidR="005E3A4F">
              <w:rPr>
                <w:noProof/>
                <w:webHidden/>
              </w:rPr>
              <w:fldChar w:fldCharType="begin"/>
            </w:r>
            <w:r w:rsidR="005E3A4F">
              <w:rPr>
                <w:noProof/>
                <w:webHidden/>
              </w:rPr>
              <w:instrText xml:space="preserve"> PAGEREF _Toc425840923 \h </w:instrText>
            </w:r>
            <w:r w:rsidR="005E3A4F">
              <w:rPr>
                <w:noProof/>
                <w:webHidden/>
              </w:rPr>
            </w:r>
            <w:r w:rsidR="005E3A4F">
              <w:rPr>
                <w:noProof/>
                <w:webHidden/>
              </w:rPr>
              <w:fldChar w:fldCharType="separate"/>
            </w:r>
            <w:r w:rsidR="00BA56D6">
              <w:rPr>
                <w:noProof/>
                <w:webHidden/>
              </w:rPr>
              <w:t>2</w:t>
            </w:r>
            <w:r w:rsidR="005E3A4F">
              <w:rPr>
                <w:noProof/>
                <w:webHidden/>
              </w:rPr>
              <w:fldChar w:fldCharType="end"/>
            </w:r>
          </w:hyperlink>
        </w:p>
        <w:p w14:paraId="18EEBBAB" w14:textId="77777777" w:rsidR="005E3A4F" w:rsidRDefault="00BA56D6">
          <w:pPr>
            <w:pStyle w:val="TOC1"/>
            <w:tabs>
              <w:tab w:val="left" w:pos="480"/>
              <w:tab w:val="right" w:leader="dot" w:pos="9628"/>
            </w:tabs>
            <w:rPr>
              <w:rFonts w:asciiTheme="minorHAnsi" w:hAnsiTheme="minorHAnsi"/>
              <w:b w:val="0"/>
              <w:caps w:val="0"/>
              <w:noProof/>
              <w:sz w:val="22"/>
              <w:u w:val="none"/>
              <w:lang w:val="en-AU" w:eastAsia="en-AU"/>
            </w:rPr>
          </w:pPr>
          <w:hyperlink w:anchor="_Toc425840924" w:history="1">
            <w:r w:rsidR="005E3A4F" w:rsidRPr="008014D8">
              <w:rPr>
                <w:rStyle w:val="Hyperlink"/>
                <w:noProof/>
              </w:rPr>
              <w:t>I.</w:t>
            </w:r>
            <w:r w:rsidR="005E3A4F">
              <w:rPr>
                <w:rFonts w:asciiTheme="minorHAnsi" w:hAnsiTheme="minorHAnsi"/>
                <w:b w:val="0"/>
                <w:caps w:val="0"/>
                <w:noProof/>
                <w:sz w:val="22"/>
                <w:u w:val="none"/>
                <w:lang w:val="en-AU" w:eastAsia="en-AU"/>
              </w:rPr>
              <w:tab/>
            </w:r>
            <w:r w:rsidR="005E3A4F" w:rsidRPr="008014D8">
              <w:rPr>
                <w:rStyle w:val="Hyperlink"/>
                <w:noProof/>
              </w:rPr>
              <w:t>Introduction</w:t>
            </w:r>
            <w:r w:rsidR="005E3A4F">
              <w:rPr>
                <w:noProof/>
                <w:webHidden/>
              </w:rPr>
              <w:tab/>
            </w:r>
            <w:r w:rsidR="005E3A4F">
              <w:rPr>
                <w:noProof/>
                <w:webHidden/>
              </w:rPr>
              <w:fldChar w:fldCharType="begin"/>
            </w:r>
            <w:r w:rsidR="005E3A4F">
              <w:rPr>
                <w:noProof/>
                <w:webHidden/>
              </w:rPr>
              <w:instrText xml:space="preserve"> PAGEREF _Toc425840924 \h </w:instrText>
            </w:r>
            <w:r w:rsidR="005E3A4F">
              <w:rPr>
                <w:noProof/>
                <w:webHidden/>
              </w:rPr>
            </w:r>
            <w:r w:rsidR="005E3A4F">
              <w:rPr>
                <w:noProof/>
                <w:webHidden/>
              </w:rPr>
              <w:fldChar w:fldCharType="separate"/>
            </w:r>
            <w:r>
              <w:rPr>
                <w:noProof/>
                <w:webHidden/>
              </w:rPr>
              <w:t>3</w:t>
            </w:r>
            <w:r w:rsidR="005E3A4F">
              <w:rPr>
                <w:noProof/>
                <w:webHidden/>
              </w:rPr>
              <w:fldChar w:fldCharType="end"/>
            </w:r>
          </w:hyperlink>
        </w:p>
        <w:p w14:paraId="19A2424D" w14:textId="77777777" w:rsidR="005E3A4F" w:rsidRDefault="00BA56D6">
          <w:pPr>
            <w:pStyle w:val="TOC2"/>
            <w:rPr>
              <w:rFonts w:asciiTheme="minorHAnsi" w:hAnsiTheme="minorHAnsi"/>
              <w:b w:val="0"/>
              <w:noProof/>
              <w:sz w:val="22"/>
              <w:szCs w:val="22"/>
              <w:lang w:val="en-AU" w:eastAsia="en-AU"/>
            </w:rPr>
          </w:pPr>
          <w:hyperlink w:anchor="_Toc425840925" w:history="1">
            <w:r w:rsidR="005E3A4F" w:rsidRPr="008014D8">
              <w:rPr>
                <w:rStyle w:val="Hyperlink"/>
                <w:noProof/>
              </w:rPr>
              <w:t>Purpose of this Appendix</w:t>
            </w:r>
            <w:r w:rsidR="005E3A4F">
              <w:rPr>
                <w:noProof/>
                <w:webHidden/>
              </w:rPr>
              <w:tab/>
            </w:r>
            <w:r w:rsidR="005E3A4F">
              <w:rPr>
                <w:noProof/>
                <w:webHidden/>
              </w:rPr>
              <w:fldChar w:fldCharType="begin"/>
            </w:r>
            <w:r w:rsidR="005E3A4F">
              <w:rPr>
                <w:noProof/>
                <w:webHidden/>
              </w:rPr>
              <w:instrText xml:space="preserve"> PAGEREF _Toc425840925 \h </w:instrText>
            </w:r>
            <w:r w:rsidR="005E3A4F">
              <w:rPr>
                <w:noProof/>
                <w:webHidden/>
              </w:rPr>
            </w:r>
            <w:r w:rsidR="005E3A4F">
              <w:rPr>
                <w:noProof/>
                <w:webHidden/>
              </w:rPr>
              <w:fldChar w:fldCharType="separate"/>
            </w:r>
            <w:r>
              <w:rPr>
                <w:noProof/>
                <w:webHidden/>
              </w:rPr>
              <w:t>3</w:t>
            </w:r>
            <w:r w:rsidR="005E3A4F">
              <w:rPr>
                <w:noProof/>
                <w:webHidden/>
              </w:rPr>
              <w:fldChar w:fldCharType="end"/>
            </w:r>
          </w:hyperlink>
        </w:p>
        <w:p w14:paraId="00D639C6" w14:textId="77777777" w:rsidR="005E3A4F" w:rsidRDefault="00BA56D6">
          <w:pPr>
            <w:pStyle w:val="TOC1"/>
            <w:tabs>
              <w:tab w:val="left" w:pos="480"/>
              <w:tab w:val="right" w:leader="dot" w:pos="9628"/>
            </w:tabs>
            <w:rPr>
              <w:rFonts w:asciiTheme="minorHAnsi" w:hAnsiTheme="minorHAnsi"/>
              <w:b w:val="0"/>
              <w:caps w:val="0"/>
              <w:noProof/>
              <w:sz w:val="22"/>
              <w:u w:val="none"/>
              <w:lang w:val="en-AU" w:eastAsia="en-AU"/>
            </w:rPr>
          </w:pPr>
          <w:hyperlink w:anchor="_Toc425840926" w:history="1">
            <w:r w:rsidR="005E3A4F" w:rsidRPr="008014D8">
              <w:rPr>
                <w:rStyle w:val="Hyperlink"/>
                <w:noProof/>
              </w:rPr>
              <w:t>II.</w:t>
            </w:r>
            <w:r w:rsidR="005E3A4F">
              <w:rPr>
                <w:rFonts w:asciiTheme="minorHAnsi" w:hAnsiTheme="minorHAnsi"/>
                <w:b w:val="0"/>
                <w:caps w:val="0"/>
                <w:noProof/>
                <w:sz w:val="22"/>
                <w:u w:val="none"/>
                <w:lang w:val="en-AU" w:eastAsia="en-AU"/>
              </w:rPr>
              <w:tab/>
            </w:r>
            <w:r w:rsidR="005E3A4F" w:rsidRPr="008014D8">
              <w:rPr>
                <w:rStyle w:val="Hyperlink"/>
                <w:noProof/>
              </w:rPr>
              <w:t>Employment</w:t>
            </w:r>
            <w:r w:rsidR="005E3A4F">
              <w:rPr>
                <w:noProof/>
                <w:webHidden/>
              </w:rPr>
              <w:tab/>
            </w:r>
            <w:r w:rsidR="005E3A4F">
              <w:rPr>
                <w:noProof/>
                <w:webHidden/>
              </w:rPr>
              <w:fldChar w:fldCharType="begin"/>
            </w:r>
            <w:r w:rsidR="005E3A4F">
              <w:rPr>
                <w:noProof/>
                <w:webHidden/>
              </w:rPr>
              <w:instrText xml:space="preserve"> PAGEREF _Toc425840926 \h </w:instrText>
            </w:r>
            <w:r w:rsidR="005E3A4F">
              <w:rPr>
                <w:noProof/>
                <w:webHidden/>
              </w:rPr>
            </w:r>
            <w:r w:rsidR="005E3A4F">
              <w:rPr>
                <w:noProof/>
                <w:webHidden/>
              </w:rPr>
              <w:fldChar w:fldCharType="separate"/>
            </w:r>
            <w:r>
              <w:rPr>
                <w:noProof/>
                <w:webHidden/>
              </w:rPr>
              <w:t>4</w:t>
            </w:r>
            <w:r w:rsidR="005E3A4F">
              <w:rPr>
                <w:noProof/>
                <w:webHidden/>
              </w:rPr>
              <w:fldChar w:fldCharType="end"/>
            </w:r>
          </w:hyperlink>
        </w:p>
        <w:p w14:paraId="35732471" w14:textId="77777777" w:rsidR="005E3A4F" w:rsidRDefault="00BA56D6">
          <w:pPr>
            <w:pStyle w:val="TOC2"/>
            <w:rPr>
              <w:rFonts w:asciiTheme="minorHAnsi" w:hAnsiTheme="minorHAnsi"/>
              <w:b w:val="0"/>
              <w:noProof/>
              <w:sz w:val="22"/>
              <w:szCs w:val="22"/>
              <w:lang w:val="en-AU" w:eastAsia="en-AU"/>
            </w:rPr>
          </w:pPr>
          <w:hyperlink w:anchor="_Toc425840927" w:history="1">
            <w:r w:rsidR="005E3A4F" w:rsidRPr="008014D8">
              <w:rPr>
                <w:rStyle w:val="Hyperlink"/>
                <w:noProof/>
              </w:rPr>
              <w:t>Labour Market Data</w:t>
            </w:r>
            <w:r w:rsidR="005E3A4F">
              <w:rPr>
                <w:noProof/>
                <w:webHidden/>
              </w:rPr>
              <w:tab/>
            </w:r>
            <w:r w:rsidR="005E3A4F">
              <w:rPr>
                <w:noProof/>
                <w:webHidden/>
              </w:rPr>
              <w:fldChar w:fldCharType="begin"/>
            </w:r>
            <w:r w:rsidR="005E3A4F">
              <w:rPr>
                <w:noProof/>
                <w:webHidden/>
              </w:rPr>
              <w:instrText xml:space="preserve"> PAGEREF _Toc425840927 \h </w:instrText>
            </w:r>
            <w:r w:rsidR="005E3A4F">
              <w:rPr>
                <w:noProof/>
                <w:webHidden/>
              </w:rPr>
            </w:r>
            <w:r w:rsidR="005E3A4F">
              <w:rPr>
                <w:noProof/>
                <w:webHidden/>
              </w:rPr>
              <w:fldChar w:fldCharType="separate"/>
            </w:r>
            <w:r>
              <w:rPr>
                <w:noProof/>
                <w:webHidden/>
              </w:rPr>
              <w:t>4</w:t>
            </w:r>
            <w:r w:rsidR="005E3A4F">
              <w:rPr>
                <w:noProof/>
                <w:webHidden/>
              </w:rPr>
              <w:fldChar w:fldCharType="end"/>
            </w:r>
          </w:hyperlink>
        </w:p>
        <w:p w14:paraId="1D49CFC8" w14:textId="77777777" w:rsidR="005E3A4F" w:rsidRDefault="00BA56D6">
          <w:pPr>
            <w:pStyle w:val="TOC4"/>
            <w:tabs>
              <w:tab w:val="right" w:leader="dot" w:pos="9628"/>
            </w:tabs>
            <w:rPr>
              <w:rFonts w:asciiTheme="minorHAnsi" w:hAnsiTheme="minorHAnsi"/>
              <w:noProof/>
              <w:sz w:val="22"/>
              <w:szCs w:val="22"/>
              <w:lang w:val="en-AU" w:eastAsia="en-AU"/>
            </w:rPr>
          </w:pPr>
          <w:hyperlink w:anchor="_Toc425840928" w:history="1">
            <w:r w:rsidR="005E3A4F" w:rsidRPr="008014D8">
              <w:rPr>
                <w:rStyle w:val="Hyperlink"/>
                <w:noProof/>
              </w:rPr>
              <w:t>Chart 1: Annual employment growth and the unemployment rate, June 2009 to June 2014</w:t>
            </w:r>
            <w:r w:rsidR="005E3A4F">
              <w:rPr>
                <w:noProof/>
                <w:webHidden/>
              </w:rPr>
              <w:tab/>
            </w:r>
            <w:r w:rsidR="005E3A4F">
              <w:rPr>
                <w:noProof/>
                <w:webHidden/>
              </w:rPr>
              <w:fldChar w:fldCharType="begin"/>
            </w:r>
            <w:r w:rsidR="005E3A4F">
              <w:rPr>
                <w:noProof/>
                <w:webHidden/>
              </w:rPr>
              <w:instrText xml:space="preserve"> PAGEREF _Toc425840928 \h </w:instrText>
            </w:r>
            <w:r w:rsidR="005E3A4F">
              <w:rPr>
                <w:noProof/>
                <w:webHidden/>
              </w:rPr>
            </w:r>
            <w:r w:rsidR="005E3A4F">
              <w:rPr>
                <w:noProof/>
                <w:webHidden/>
              </w:rPr>
              <w:fldChar w:fldCharType="separate"/>
            </w:r>
            <w:r>
              <w:rPr>
                <w:noProof/>
                <w:webHidden/>
              </w:rPr>
              <w:t>4</w:t>
            </w:r>
            <w:r w:rsidR="005E3A4F">
              <w:rPr>
                <w:noProof/>
                <w:webHidden/>
              </w:rPr>
              <w:fldChar w:fldCharType="end"/>
            </w:r>
          </w:hyperlink>
        </w:p>
        <w:p w14:paraId="33B4EA99" w14:textId="77777777" w:rsidR="005E3A4F" w:rsidRDefault="00BA56D6">
          <w:pPr>
            <w:pStyle w:val="TOC4"/>
            <w:tabs>
              <w:tab w:val="right" w:leader="dot" w:pos="9628"/>
            </w:tabs>
            <w:rPr>
              <w:rFonts w:asciiTheme="minorHAnsi" w:hAnsiTheme="minorHAnsi"/>
              <w:noProof/>
              <w:sz w:val="22"/>
              <w:szCs w:val="22"/>
              <w:lang w:val="en-AU" w:eastAsia="en-AU"/>
            </w:rPr>
          </w:pPr>
          <w:hyperlink w:anchor="_Toc425840929" w:history="1">
            <w:r w:rsidR="005E3A4F" w:rsidRPr="008014D8">
              <w:rPr>
                <w:rStyle w:val="Hyperlink"/>
                <w:noProof/>
              </w:rPr>
              <w:t>Youth labour market conditions</w:t>
            </w:r>
            <w:r w:rsidR="005E3A4F">
              <w:rPr>
                <w:noProof/>
                <w:webHidden/>
              </w:rPr>
              <w:tab/>
            </w:r>
            <w:r w:rsidR="005E3A4F">
              <w:rPr>
                <w:noProof/>
                <w:webHidden/>
              </w:rPr>
              <w:fldChar w:fldCharType="begin"/>
            </w:r>
            <w:r w:rsidR="005E3A4F">
              <w:rPr>
                <w:noProof/>
                <w:webHidden/>
              </w:rPr>
              <w:instrText xml:space="preserve"> PAGEREF _Toc425840929 \h </w:instrText>
            </w:r>
            <w:r w:rsidR="005E3A4F">
              <w:rPr>
                <w:noProof/>
                <w:webHidden/>
              </w:rPr>
            </w:r>
            <w:r w:rsidR="005E3A4F">
              <w:rPr>
                <w:noProof/>
                <w:webHidden/>
              </w:rPr>
              <w:fldChar w:fldCharType="separate"/>
            </w:r>
            <w:r>
              <w:rPr>
                <w:noProof/>
                <w:webHidden/>
              </w:rPr>
              <w:t>4</w:t>
            </w:r>
            <w:r w:rsidR="005E3A4F">
              <w:rPr>
                <w:noProof/>
                <w:webHidden/>
              </w:rPr>
              <w:fldChar w:fldCharType="end"/>
            </w:r>
          </w:hyperlink>
        </w:p>
        <w:p w14:paraId="3E98B93D" w14:textId="77777777" w:rsidR="005E3A4F" w:rsidRDefault="00BA56D6">
          <w:pPr>
            <w:pStyle w:val="TOC4"/>
            <w:tabs>
              <w:tab w:val="right" w:leader="dot" w:pos="9628"/>
            </w:tabs>
            <w:rPr>
              <w:rFonts w:asciiTheme="minorHAnsi" w:hAnsiTheme="minorHAnsi"/>
              <w:noProof/>
              <w:sz w:val="22"/>
              <w:szCs w:val="22"/>
              <w:lang w:val="en-AU" w:eastAsia="en-AU"/>
            </w:rPr>
          </w:pPr>
          <w:hyperlink w:anchor="_Toc425840930" w:history="1">
            <w:r w:rsidR="005E3A4F" w:rsidRPr="008014D8">
              <w:rPr>
                <w:rStyle w:val="Hyperlink"/>
                <w:noProof/>
              </w:rPr>
              <w:t>Chart 2: Youth employment and the unemployment rate, June 2009 to June 2014</w:t>
            </w:r>
            <w:r w:rsidR="005E3A4F">
              <w:rPr>
                <w:noProof/>
                <w:webHidden/>
              </w:rPr>
              <w:tab/>
            </w:r>
            <w:r w:rsidR="005E3A4F">
              <w:rPr>
                <w:noProof/>
                <w:webHidden/>
              </w:rPr>
              <w:fldChar w:fldCharType="begin"/>
            </w:r>
            <w:r w:rsidR="005E3A4F">
              <w:rPr>
                <w:noProof/>
                <w:webHidden/>
              </w:rPr>
              <w:instrText xml:space="preserve"> PAGEREF _Toc425840930 \h </w:instrText>
            </w:r>
            <w:r w:rsidR="005E3A4F">
              <w:rPr>
                <w:noProof/>
                <w:webHidden/>
              </w:rPr>
            </w:r>
            <w:r w:rsidR="005E3A4F">
              <w:rPr>
                <w:noProof/>
                <w:webHidden/>
              </w:rPr>
              <w:fldChar w:fldCharType="separate"/>
            </w:r>
            <w:r>
              <w:rPr>
                <w:noProof/>
                <w:webHidden/>
              </w:rPr>
              <w:t>5</w:t>
            </w:r>
            <w:r w:rsidR="005E3A4F">
              <w:rPr>
                <w:noProof/>
                <w:webHidden/>
              </w:rPr>
              <w:fldChar w:fldCharType="end"/>
            </w:r>
          </w:hyperlink>
        </w:p>
        <w:p w14:paraId="040721D8" w14:textId="77777777" w:rsidR="005E3A4F" w:rsidRDefault="00BA56D6">
          <w:pPr>
            <w:pStyle w:val="TOC2"/>
            <w:rPr>
              <w:rFonts w:asciiTheme="minorHAnsi" w:hAnsiTheme="minorHAnsi"/>
              <w:b w:val="0"/>
              <w:noProof/>
              <w:sz w:val="22"/>
              <w:szCs w:val="22"/>
              <w:lang w:val="en-AU" w:eastAsia="en-AU"/>
            </w:rPr>
          </w:pPr>
          <w:hyperlink w:anchor="_Toc425840931" w:history="1">
            <w:r w:rsidR="005E3A4F" w:rsidRPr="008014D8">
              <w:rPr>
                <w:rStyle w:val="Hyperlink"/>
                <w:noProof/>
              </w:rPr>
              <w:t>Employment Services 2015 - jobactive</w:t>
            </w:r>
            <w:r w:rsidR="005E3A4F">
              <w:rPr>
                <w:noProof/>
                <w:webHidden/>
              </w:rPr>
              <w:tab/>
            </w:r>
            <w:r w:rsidR="005E3A4F">
              <w:rPr>
                <w:noProof/>
                <w:webHidden/>
              </w:rPr>
              <w:fldChar w:fldCharType="begin"/>
            </w:r>
            <w:r w:rsidR="005E3A4F">
              <w:rPr>
                <w:noProof/>
                <w:webHidden/>
              </w:rPr>
              <w:instrText xml:space="preserve"> PAGEREF _Toc425840931 \h </w:instrText>
            </w:r>
            <w:r w:rsidR="005E3A4F">
              <w:rPr>
                <w:noProof/>
                <w:webHidden/>
              </w:rPr>
            </w:r>
            <w:r w:rsidR="005E3A4F">
              <w:rPr>
                <w:noProof/>
                <w:webHidden/>
              </w:rPr>
              <w:fldChar w:fldCharType="separate"/>
            </w:r>
            <w:r>
              <w:rPr>
                <w:noProof/>
                <w:webHidden/>
              </w:rPr>
              <w:t>6</w:t>
            </w:r>
            <w:r w:rsidR="005E3A4F">
              <w:rPr>
                <w:noProof/>
                <w:webHidden/>
              </w:rPr>
              <w:fldChar w:fldCharType="end"/>
            </w:r>
          </w:hyperlink>
        </w:p>
        <w:p w14:paraId="20AA164A" w14:textId="77777777" w:rsidR="005E3A4F" w:rsidRDefault="00BA56D6">
          <w:pPr>
            <w:pStyle w:val="TOC4"/>
            <w:tabs>
              <w:tab w:val="right" w:leader="dot" w:pos="9628"/>
            </w:tabs>
            <w:rPr>
              <w:rFonts w:asciiTheme="minorHAnsi" w:hAnsiTheme="minorHAnsi"/>
              <w:noProof/>
              <w:sz w:val="22"/>
              <w:szCs w:val="22"/>
              <w:lang w:val="en-AU" w:eastAsia="en-AU"/>
            </w:rPr>
          </w:pPr>
          <w:hyperlink w:anchor="_Toc425840932" w:history="1">
            <w:r w:rsidR="005E3A4F" w:rsidRPr="008014D8">
              <w:rPr>
                <w:rStyle w:val="Hyperlink"/>
                <w:noProof/>
              </w:rPr>
              <w:t xml:space="preserve">Mutual obligations under </w:t>
            </w:r>
            <w:r w:rsidR="005E3A4F" w:rsidRPr="008014D8">
              <w:rPr>
                <w:rStyle w:val="Hyperlink"/>
                <w:i/>
                <w:noProof/>
              </w:rPr>
              <w:t>jobactive</w:t>
            </w:r>
            <w:r w:rsidR="005E3A4F">
              <w:rPr>
                <w:noProof/>
                <w:webHidden/>
              </w:rPr>
              <w:tab/>
            </w:r>
            <w:r w:rsidR="005E3A4F">
              <w:rPr>
                <w:noProof/>
                <w:webHidden/>
              </w:rPr>
              <w:fldChar w:fldCharType="begin"/>
            </w:r>
            <w:r w:rsidR="005E3A4F">
              <w:rPr>
                <w:noProof/>
                <w:webHidden/>
              </w:rPr>
              <w:instrText xml:space="preserve"> PAGEREF _Toc425840932 \h </w:instrText>
            </w:r>
            <w:r w:rsidR="005E3A4F">
              <w:rPr>
                <w:noProof/>
                <w:webHidden/>
              </w:rPr>
            </w:r>
            <w:r w:rsidR="005E3A4F">
              <w:rPr>
                <w:noProof/>
                <w:webHidden/>
              </w:rPr>
              <w:fldChar w:fldCharType="separate"/>
            </w:r>
            <w:r>
              <w:rPr>
                <w:noProof/>
                <w:webHidden/>
              </w:rPr>
              <w:t>6</w:t>
            </w:r>
            <w:r w:rsidR="005E3A4F">
              <w:rPr>
                <w:noProof/>
                <w:webHidden/>
              </w:rPr>
              <w:fldChar w:fldCharType="end"/>
            </w:r>
          </w:hyperlink>
        </w:p>
        <w:p w14:paraId="3825DEEA" w14:textId="77777777" w:rsidR="005E3A4F" w:rsidRDefault="00BA56D6">
          <w:pPr>
            <w:pStyle w:val="TOC4"/>
            <w:tabs>
              <w:tab w:val="right" w:leader="dot" w:pos="9628"/>
            </w:tabs>
            <w:rPr>
              <w:rFonts w:asciiTheme="minorHAnsi" w:hAnsiTheme="minorHAnsi"/>
              <w:noProof/>
              <w:sz w:val="22"/>
              <w:szCs w:val="22"/>
              <w:lang w:val="en-AU" w:eastAsia="en-AU"/>
            </w:rPr>
          </w:pPr>
          <w:hyperlink w:anchor="_Toc425840933" w:history="1">
            <w:r w:rsidR="005E3A4F" w:rsidRPr="008014D8">
              <w:rPr>
                <w:rStyle w:val="Hyperlink"/>
                <w:noProof/>
              </w:rPr>
              <w:t xml:space="preserve">Assistance for disadvantaged groups under </w:t>
            </w:r>
            <w:r w:rsidR="005E3A4F" w:rsidRPr="008014D8">
              <w:rPr>
                <w:rStyle w:val="Hyperlink"/>
                <w:i/>
                <w:noProof/>
              </w:rPr>
              <w:t>jobactive</w:t>
            </w:r>
            <w:r w:rsidR="005E3A4F">
              <w:rPr>
                <w:noProof/>
                <w:webHidden/>
              </w:rPr>
              <w:tab/>
            </w:r>
            <w:r w:rsidR="005E3A4F">
              <w:rPr>
                <w:noProof/>
                <w:webHidden/>
              </w:rPr>
              <w:fldChar w:fldCharType="begin"/>
            </w:r>
            <w:r w:rsidR="005E3A4F">
              <w:rPr>
                <w:noProof/>
                <w:webHidden/>
              </w:rPr>
              <w:instrText xml:space="preserve"> PAGEREF _Toc425840933 \h </w:instrText>
            </w:r>
            <w:r w:rsidR="005E3A4F">
              <w:rPr>
                <w:noProof/>
                <w:webHidden/>
              </w:rPr>
            </w:r>
            <w:r w:rsidR="005E3A4F">
              <w:rPr>
                <w:noProof/>
                <w:webHidden/>
              </w:rPr>
              <w:fldChar w:fldCharType="separate"/>
            </w:r>
            <w:r>
              <w:rPr>
                <w:noProof/>
                <w:webHidden/>
              </w:rPr>
              <w:t>6</w:t>
            </w:r>
            <w:r w:rsidR="005E3A4F">
              <w:rPr>
                <w:noProof/>
                <w:webHidden/>
              </w:rPr>
              <w:fldChar w:fldCharType="end"/>
            </w:r>
          </w:hyperlink>
        </w:p>
        <w:p w14:paraId="1FE57C2B" w14:textId="77777777" w:rsidR="005E3A4F" w:rsidRDefault="00BA56D6">
          <w:pPr>
            <w:pStyle w:val="TOC2"/>
            <w:rPr>
              <w:rFonts w:asciiTheme="minorHAnsi" w:hAnsiTheme="minorHAnsi"/>
              <w:b w:val="0"/>
              <w:noProof/>
              <w:sz w:val="22"/>
              <w:szCs w:val="22"/>
              <w:lang w:val="en-AU" w:eastAsia="en-AU"/>
            </w:rPr>
          </w:pPr>
          <w:hyperlink w:anchor="_Toc425840934" w:history="1">
            <w:r w:rsidR="005E3A4F" w:rsidRPr="008014D8">
              <w:rPr>
                <w:rStyle w:val="Hyperlink"/>
                <w:noProof/>
              </w:rPr>
              <w:t>New Employment Measures to Support Job Seekers</w:t>
            </w:r>
            <w:r w:rsidR="005E3A4F">
              <w:rPr>
                <w:noProof/>
                <w:webHidden/>
              </w:rPr>
              <w:tab/>
            </w:r>
            <w:r w:rsidR="005E3A4F">
              <w:rPr>
                <w:noProof/>
                <w:webHidden/>
              </w:rPr>
              <w:fldChar w:fldCharType="begin"/>
            </w:r>
            <w:r w:rsidR="005E3A4F">
              <w:rPr>
                <w:noProof/>
                <w:webHidden/>
              </w:rPr>
              <w:instrText xml:space="preserve"> PAGEREF _Toc425840934 \h </w:instrText>
            </w:r>
            <w:r w:rsidR="005E3A4F">
              <w:rPr>
                <w:noProof/>
                <w:webHidden/>
              </w:rPr>
            </w:r>
            <w:r w:rsidR="005E3A4F">
              <w:rPr>
                <w:noProof/>
                <w:webHidden/>
              </w:rPr>
              <w:fldChar w:fldCharType="separate"/>
            </w:r>
            <w:r>
              <w:rPr>
                <w:noProof/>
                <w:webHidden/>
              </w:rPr>
              <w:t>7</w:t>
            </w:r>
            <w:r w:rsidR="005E3A4F">
              <w:rPr>
                <w:noProof/>
                <w:webHidden/>
              </w:rPr>
              <w:fldChar w:fldCharType="end"/>
            </w:r>
          </w:hyperlink>
        </w:p>
        <w:p w14:paraId="41D94A33" w14:textId="77777777" w:rsidR="005E3A4F" w:rsidRDefault="00BA56D6">
          <w:pPr>
            <w:pStyle w:val="TOC2"/>
            <w:rPr>
              <w:rFonts w:asciiTheme="minorHAnsi" w:hAnsiTheme="minorHAnsi"/>
              <w:b w:val="0"/>
              <w:noProof/>
              <w:sz w:val="22"/>
              <w:szCs w:val="22"/>
              <w:lang w:val="en-AU" w:eastAsia="en-AU"/>
            </w:rPr>
          </w:pPr>
          <w:hyperlink w:anchor="_Toc425840935" w:history="1">
            <w:r w:rsidR="005E3A4F" w:rsidRPr="008014D8">
              <w:rPr>
                <w:rStyle w:val="Hyperlink"/>
                <w:noProof/>
              </w:rPr>
              <w:t>Mature Age Workers</w:t>
            </w:r>
            <w:r w:rsidR="005E3A4F">
              <w:rPr>
                <w:noProof/>
                <w:webHidden/>
              </w:rPr>
              <w:tab/>
            </w:r>
            <w:r w:rsidR="005E3A4F">
              <w:rPr>
                <w:noProof/>
                <w:webHidden/>
              </w:rPr>
              <w:fldChar w:fldCharType="begin"/>
            </w:r>
            <w:r w:rsidR="005E3A4F">
              <w:rPr>
                <w:noProof/>
                <w:webHidden/>
              </w:rPr>
              <w:instrText xml:space="preserve"> PAGEREF _Toc425840935 \h </w:instrText>
            </w:r>
            <w:r w:rsidR="005E3A4F">
              <w:rPr>
                <w:noProof/>
                <w:webHidden/>
              </w:rPr>
            </w:r>
            <w:r w:rsidR="005E3A4F">
              <w:rPr>
                <w:noProof/>
                <w:webHidden/>
              </w:rPr>
              <w:fldChar w:fldCharType="separate"/>
            </w:r>
            <w:r>
              <w:rPr>
                <w:noProof/>
                <w:webHidden/>
              </w:rPr>
              <w:t>8</w:t>
            </w:r>
            <w:r w:rsidR="005E3A4F">
              <w:rPr>
                <w:noProof/>
                <w:webHidden/>
              </w:rPr>
              <w:fldChar w:fldCharType="end"/>
            </w:r>
          </w:hyperlink>
        </w:p>
        <w:p w14:paraId="4800526E" w14:textId="77777777" w:rsidR="005E3A4F" w:rsidRDefault="00BA56D6">
          <w:pPr>
            <w:pStyle w:val="TOC2"/>
            <w:rPr>
              <w:rFonts w:asciiTheme="minorHAnsi" w:hAnsiTheme="minorHAnsi"/>
              <w:b w:val="0"/>
              <w:noProof/>
              <w:sz w:val="22"/>
              <w:szCs w:val="22"/>
              <w:lang w:val="en-AU" w:eastAsia="en-AU"/>
            </w:rPr>
          </w:pPr>
          <w:hyperlink w:anchor="_Toc425840936" w:history="1">
            <w:r w:rsidR="005E3A4F" w:rsidRPr="008014D8">
              <w:rPr>
                <w:rStyle w:val="Hyperlink"/>
                <w:noProof/>
              </w:rPr>
              <w:t>State and Territory Policies and Programing for Mature Age Workers</w:t>
            </w:r>
            <w:r w:rsidR="005E3A4F">
              <w:rPr>
                <w:noProof/>
                <w:webHidden/>
              </w:rPr>
              <w:tab/>
            </w:r>
            <w:r w:rsidR="005E3A4F">
              <w:rPr>
                <w:noProof/>
                <w:webHidden/>
              </w:rPr>
              <w:fldChar w:fldCharType="begin"/>
            </w:r>
            <w:r w:rsidR="005E3A4F">
              <w:rPr>
                <w:noProof/>
                <w:webHidden/>
              </w:rPr>
              <w:instrText xml:space="preserve"> PAGEREF _Toc425840936 \h </w:instrText>
            </w:r>
            <w:r w:rsidR="005E3A4F">
              <w:rPr>
                <w:noProof/>
                <w:webHidden/>
              </w:rPr>
            </w:r>
            <w:r w:rsidR="005E3A4F">
              <w:rPr>
                <w:noProof/>
                <w:webHidden/>
              </w:rPr>
              <w:fldChar w:fldCharType="separate"/>
            </w:r>
            <w:r>
              <w:rPr>
                <w:noProof/>
                <w:webHidden/>
              </w:rPr>
              <w:t>9</w:t>
            </w:r>
            <w:r w:rsidR="005E3A4F">
              <w:rPr>
                <w:noProof/>
                <w:webHidden/>
              </w:rPr>
              <w:fldChar w:fldCharType="end"/>
            </w:r>
          </w:hyperlink>
        </w:p>
        <w:p w14:paraId="4F671FE0" w14:textId="77777777" w:rsidR="005E3A4F" w:rsidRDefault="00BA56D6">
          <w:pPr>
            <w:pStyle w:val="TOC4"/>
            <w:tabs>
              <w:tab w:val="right" w:leader="dot" w:pos="9628"/>
            </w:tabs>
            <w:rPr>
              <w:rFonts w:asciiTheme="minorHAnsi" w:hAnsiTheme="minorHAnsi"/>
              <w:noProof/>
              <w:sz w:val="22"/>
              <w:szCs w:val="22"/>
              <w:lang w:val="en-AU" w:eastAsia="en-AU"/>
            </w:rPr>
          </w:pPr>
          <w:hyperlink w:anchor="_Toc425840937" w:history="1">
            <w:r w:rsidR="005E3A4F" w:rsidRPr="008014D8">
              <w:rPr>
                <w:rStyle w:val="Hyperlink"/>
                <w:noProof/>
              </w:rPr>
              <w:t>Australian Capital Territory</w:t>
            </w:r>
            <w:r w:rsidR="005E3A4F">
              <w:rPr>
                <w:noProof/>
                <w:webHidden/>
              </w:rPr>
              <w:tab/>
            </w:r>
            <w:r w:rsidR="005E3A4F">
              <w:rPr>
                <w:noProof/>
                <w:webHidden/>
              </w:rPr>
              <w:fldChar w:fldCharType="begin"/>
            </w:r>
            <w:r w:rsidR="005E3A4F">
              <w:rPr>
                <w:noProof/>
                <w:webHidden/>
              </w:rPr>
              <w:instrText xml:space="preserve"> PAGEREF _Toc425840937 \h </w:instrText>
            </w:r>
            <w:r w:rsidR="005E3A4F">
              <w:rPr>
                <w:noProof/>
                <w:webHidden/>
              </w:rPr>
            </w:r>
            <w:r w:rsidR="005E3A4F">
              <w:rPr>
                <w:noProof/>
                <w:webHidden/>
              </w:rPr>
              <w:fldChar w:fldCharType="separate"/>
            </w:r>
            <w:r>
              <w:rPr>
                <w:noProof/>
                <w:webHidden/>
              </w:rPr>
              <w:t>9</w:t>
            </w:r>
            <w:r w:rsidR="005E3A4F">
              <w:rPr>
                <w:noProof/>
                <w:webHidden/>
              </w:rPr>
              <w:fldChar w:fldCharType="end"/>
            </w:r>
          </w:hyperlink>
        </w:p>
        <w:p w14:paraId="423EAD04" w14:textId="77777777" w:rsidR="005E3A4F" w:rsidRDefault="00BA56D6">
          <w:pPr>
            <w:pStyle w:val="TOC4"/>
            <w:tabs>
              <w:tab w:val="right" w:leader="dot" w:pos="9628"/>
            </w:tabs>
            <w:rPr>
              <w:rFonts w:asciiTheme="minorHAnsi" w:hAnsiTheme="minorHAnsi"/>
              <w:noProof/>
              <w:sz w:val="22"/>
              <w:szCs w:val="22"/>
              <w:lang w:val="en-AU" w:eastAsia="en-AU"/>
            </w:rPr>
          </w:pPr>
          <w:hyperlink w:anchor="_Toc425840938" w:history="1">
            <w:r w:rsidR="005E3A4F" w:rsidRPr="008014D8">
              <w:rPr>
                <w:rStyle w:val="Hyperlink"/>
                <w:noProof/>
              </w:rPr>
              <w:t>New South Wales</w:t>
            </w:r>
            <w:r w:rsidR="005E3A4F">
              <w:rPr>
                <w:noProof/>
                <w:webHidden/>
              </w:rPr>
              <w:tab/>
            </w:r>
            <w:r w:rsidR="005E3A4F">
              <w:rPr>
                <w:noProof/>
                <w:webHidden/>
              </w:rPr>
              <w:fldChar w:fldCharType="begin"/>
            </w:r>
            <w:r w:rsidR="005E3A4F">
              <w:rPr>
                <w:noProof/>
                <w:webHidden/>
              </w:rPr>
              <w:instrText xml:space="preserve"> PAGEREF _Toc425840938 \h </w:instrText>
            </w:r>
            <w:r w:rsidR="005E3A4F">
              <w:rPr>
                <w:noProof/>
                <w:webHidden/>
              </w:rPr>
            </w:r>
            <w:r w:rsidR="005E3A4F">
              <w:rPr>
                <w:noProof/>
                <w:webHidden/>
              </w:rPr>
              <w:fldChar w:fldCharType="separate"/>
            </w:r>
            <w:r>
              <w:rPr>
                <w:noProof/>
                <w:webHidden/>
              </w:rPr>
              <w:t>9</w:t>
            </w:r>
            <w:r w:rsidR="005E3A4F">
              <w:rPr>
                <w:noProof/>
                <w:webHidden/>
              </w:rPr>
              <w:fldChar w:fldCharType="end"/>
            </w:r>
          </w:hyperlink>
        </w:p>
        <w:p w14:paraId="798047B8" w14:textId="77777777" w:rsidR="005E3A4F" w:rsidRDefault="00BA56D6">
          <w:pPr>
            <w:pStyle w:val="TOC4"/>
            <w:tabs>
              <w:tab w:val="right" w:leader="dot" w:pos="9628"/>
            </w:tabs>
            <w:rPr>
              <w:rFonts w:asciiTheme="minorHAnsi" w:hAnsiTheme="minorHAnsi"/>
              <w:noProof/>
              <w:sz w:val="22"/>
              <w:szCs w:val="22"/>
              <w:lang w:val="en-AU" w:eastAsia="en-AU"/>
            </w:rPr>
          </w:pPr>
          <w:hyperlink w:anchor="_Toc425840939" w:history="1">
            <w:r w:rsidR="005E3A4F" w:rsidRPr="008014D8">
              <w:rPr>
                <w:rStyle w:val="Hyperlink"/>
                <w:noProof/>
              </w:rPr>
              <w:t>South Australia</w:t>
            </w:r>
            <w:r w:rsidR="005E3A4F">
              <w:rPr>
                <w:noProof/>
                <w:webHidden/>
              </w:rPr>
              <w:tab/>
            </w:r>
            <w:r w:rsidR="005E3A4F">
              <w:rPr>
                <w:noProof/>
                <w:webHidden/>
              </w:rPr>
              <w:fldChar w:fldCharType="begin"/>
            </w:r>
            <w:r w:rsidR="005E3A4F">
              <w:rPr>
                <w:noProof/>
                <w:webHidden/>
              </w:rPr>
              <w:instrText xml:space="preserve"> PAGEREF _Toc425840939 \h </w:instrText>
            </w:r>
            <w:r w:rsidR="005E3A4F">
              <w:rPr>
                <w:noProof/>
                <w:webHidden/>
              </w:rPr>
            </w:r>
            <w:r w:rsidR="005E3A4F">
              <w:rPr>
                <w:noProof/>
                <w:webHidden/>
              </w:rPr>
              <w:fldChar w:fldCharType="separate"/>
            </w:r>
            <w:r>
              <w:rPr>
                <w:noProof/>
                <w:webHidden/>
              </w:rPr>
              <w:t>9</w:t>
            </w:r>
            <w:r w:rsidR="005E3A4F">
              <w:rPr>
                <w:noProof/>
                <w:webHidden/>
              </w:rPr>
              <w:fldChar w:fldCharType="end"/>
            </w:r>
          </w:hyperlink>
        </w:p>
        <w:p w14:paraId="494C52CE" w14:textId="77777777" w:rsidR="005E3A4F" w:rsidRDefault="00BA56D6">
          <w:pPr>
            <w:pStyle w:val="TOC4"/>
            <w:tabs>
              <w:tab w:val="right" w:leader="dot" w:pos="9628"/>
            </w:tabs>
            <w:rPr>
              <w:rFonts w:asciiTheme="minorHAnsi" w:hAnsiTheme="minorHAnsi"/>
              <w:noProof/>
              <w:sz w:val="22"/>
              <w:szCs w:val="22"/>
              <w:lang w:val="en-AU" w:eastAsia="en-AU"/>
            </w:rPr>
          </w:pPr>
          <w:hyperlink w:anchor="_Toc425840940" w:history="1">
            <w:r w:rsidR="005E3A4F" w:rsidRPr="008014D8">
              <w:rPr>
                <w:rStyle w:val="Hyperlink"/>
                <w:noProof/>
              </w:rPr>
              <w:t>Tasmania</w:t>
            </w:r>
            <w:r w:rsidR="005E3A4F">
              <w:rPr>
                <w:noProof/>
                <w:webHidden/>
              </w:rPr>
              <w:tab/>
            </w:r>
            <w:r w:rsidR="005E3A4F">
              <w:rPr>
                <w:noProof/>
                <w:webHidden/>
              </w:rPr>
              <w:fldChar w:fldCharType="begin"/>
            </w:r>
            <w:r w:rsidR="005E3A4F">
              <w:rPr>
                <w:noProof/>
                <w:webHidden/>
              </w:rPr>
              <w:instrText xml:space="preserve"> PAGEREF _Toc425840940 \h </w:instrText>
            </w:r>
            <w:r w:rsidR="005E3A4F">
              <w:rPr>
                <w:noProof/>
                <w:webHidden/>
              </w:rPr>
            </w:r>
            <w:r w:rsidR="005E3A4F">
              <w:rPr>
                <w:noProof/>
                <w:webHidden/>
              </w:rPr>
              <w:fldChar w:fldCharType="separate"/>
            </w:r>
            <w:r>
              <w:rPr>
                <w:noProof/>
                <w:webHidden/>
              </w:rPr>
              <w:t>10</w:t>
            </w:r>
            <w:r w:rsidR="005E3A4F">
              <w:rPr>
                <w:noProof/>
                <w:webHidden/>
              </w:rPr>
              <w:fldChar w:fldCharType="end"/>
            </w:r>
          </w:hyperlink>
        </w:p>
        <w:p w14:paraId="10119782" w14:textId="77777777" w:rsidR="005E3A4F" w:rsidRDefault="00BA56D6">
          <w:pPr>
            <w:pStyle w:val="TOC4"/>
            <w:tabs>
              <w:tab w:val="right" w:leader="dot" w:pos="9628"/>
            </w:tabs>
            <w:rPr>
              <w:rFonts w:asciiTheme="minorHAnsi" w:hAnsiTheme="minorHAnsi"/>
              <w:noProof/>
              <w:sz w:val="22"/>
              <w:szCs w:val="22"/>
              <w:lang w:val="en-AU" w:eastAsia="en-AU"/>
            </w:rPr>
          </w:pPr>
          <w:hyperlink w:anchor="_Toc425840941" w:history="1">
            <w:r w:rsidR="005E3A4F" w:rsidRPr="008014D8">
              <w:rPr>
                <w:rStyle w:val="Hyperlink"/>
                <w:noProof/>
              </w:rPr>
              <w:t>Western Australia</w:t>
            </w:r>
            <w:r w:rsidR="005E3A4F">
              <w:rPr>
                <w:noProof/>
                <w:webHidden/>
              </w:rPr>
              <w:tab/>
            </w:r>
            <w:r w:rsidR="005E3A4F">
              <w:rPr>
                <w:noProof/>
                <w:webHidden/>
              </w:rPr>
              <w:fldChar w:fldCharType="begin"/>
            </w:r>
            <w:r w:rsidR="005E3A4F">
              <w:rPr>
                <w:noProof/>
                <w:webHidden/>
              </w:rPr>
              <w:instrText xml:space="preserve"> PAGEREF _Toc425840941 \h </w:instrText>
            </w:r>
            <w:r w:rsidR="005E3A4F">
              <w:rPr>
                <w:noProof/>
                <w:webHidden/>
              </w:rPr>
            </w:r>
            <w:r w:rsidR="005E3A4F">
              <w:rPr>
                <w:noProof/>
                <w:webHidden/>
              </w:rPr>
              <w:fldChar w:fldCharType="separate"/>
            </w:r>
            <w:r>
              <w:rPr>
                <w:noProof/>
                <w:webHidden/>
              </w:rPr>
              <w:t>10</w:t>
            </w:r>
            <w:r w:rsidR="005E3A4F">
              <w:rPr>
                <w:noProof/>
                <w:webHidden/>
              </w:rPr>
              <w:fldChar w:fldCharType="end"/>
            </w:r>
          </w:hyperlink>
        </w:p>
        <w:p w14:paraId="4592005B" w14:textId="67DAA6CA" w:rsidR="00D5679E" w:rsidRPr="00471FCC" w:rsidRDefault="003840AD">
          <w:pPr>
            <w:rPr>
              <w:lang w:val="en-AU"/>
            </w:rPr>
          </w:pPr>
          <w:r w:rsidRPr="00471FCC">
            <w:rPr>
              <w:rFonts w:ascii="Times New Roman" w:hAnsi="Times New Roman"/>
              <w:bCs/>
              <w:caps/>
              <w:sz w:val="23"/>
              <w:szCs w:val="22"/>
              <w:u w:val="single"/>
              <w:lang w:val="en-AU"/>
            </w:rPr>
            <w:fldChar w:fldCharType="end"/>
          </w:r>
        </w:p>
      </w:sdtContent>
    </w:sdt>
    <w:p w14:paraId="0D247C87" w14:textId="77777777" w:rsidR="00D5679E" w:rsidRPr="00471FCC" w:rsidRDefault="00D5679E">
      <w:pPr>
        <w:rPr>
          <w:lang w:val="en-AU"/>
        </w:rPr>
      </w:pPr>
      <w:r w:rsidRPr="00471FCC">
        <w:rPr>
          <w:lang w:val="en-AU"/>
        </w:rPr>
        <w:br w:type="page"/>
      </w:r>
    </w:p>
    <w:p w14:paraId="1CE48B2C" w14:textId="77777777" w:rsidR="00A32EB7" w:rsidRPr="00754431" w:rsidRDefault="00A32EB7" w:rsidP="00A32EB7">
      <w:pPr>
        <w:pStyle w:val="HeadingMajor"/>
        <w:numPr>
          <w:ilvl w:val="0"/>
          <w:numId w:val="3"/>
        </w:numPr>
        <w:ind w:left="567"/>
        <w:rPr>
          <w:color w:val="1F497D" w:themeColor="text2"/>
        </w:rPr>
      </w:pPr>
      <w:bookmarkStart w:id="4" w:name="_Toc411502199"/>
      <w:bookmarkStart w:id="5" w:name="_Toc425772912"/>
      <w:bookmarkStart w:id="6" w:name="_Toc425840924"/>
      <w:bookmarkStart w:id="7" w:name="_Toc421176255"/>
      <w:bookmarkEnd w:id="4"/>
      <w:r w:rsidRPr="00754431">
        <w:rPr>
          <w:color w:val="1F497D" w:themeColor="text2"/>
        </w:rPr>
        <w:lastRenderedPageBreak/>
        <w:t>Introduction</w:t>
      </w:r>
      <w:bookmarkEnd w:id="5"/>
      <w:bookmarkEnd w:id="6"/>
      <w:r w:rsidRPr="00754431">
        <w:rPr>
          <w:color w:val="1F497D" w:themeColor="text2"/>
        </w:rPr>
        <w:t xml:space="preserve"> </w:t>
      </w:r>
    </w:p>
    <w:p w14:paraId="06BBE97C" w14:textId="77777777" w:rsidR="00A32EB7" w:rsidRPr="003840AD" w:rsidRDefault="00A32EB7" w:rsidP="00A32EB7">
      <w:pPr>
        <w:pStyle w:val="CERDHeadingMinor1"/>
        <w:rPr>
          <w:rStyle w:val="Strong"/>
          <w:b/>
          <w:bCs/>
        </w:rPr>
      </w:pPr>
      <w:bookmarkStart w:id="8" w:name="_Toc425772913"/>
      <w:bookmarkStart w:id="9" w:name="_Toc425840925"/>
      <w:r w:rsidRPr="003840AD">
        <w:rPr>
          <w:rStyle w:val="Strong"/>
          <w:b/>
          <w:bCs/>
        </w:rPr>
        <w:t>Purpose of this Appendix</w:t>
      </w:r>
      <w:bookmarkEnd w:id="8"/>
      <w:bookmarkEnd w:id="9"/>
    </w:p>
    <w:p w14:paraId="567D24F7" w14:textId="6A238D40" w:rsidR="00BA1C97" w:rsidRPr="00FD5A63" w:rsidRDefault="00BA1C97" w:rsidP="00BA1C97">
      <w:pPr>
        <w:pStyle w:val="CERDBodyText1"/>
      </w:pPr>
      <w:bookmarkStart w:id="10" w:name="_Toc371326783"/>
      <w:r w:rsidRPr="00FD5A63">
        <w:t xml:space="preserve">The Australian Government is pleased to present this Appendix to Australia’s </w:t>
      </w:r>
      <w:r w:rsidR="00FD5A63">
        <w:t xml:space="preserve">fifth report </w:t>
      </w:r>
      <w:r w:rsidRPr="00FD5A63">
        <w:t>under articles 16 and 17 of the</w:t>
      </w:r>
      <w:r w:rsidR="00FD5A63">
        <w:t xml:space="preserve"> International</w:t>
      </w:r>
      <w:r w:rsidRPr="00FD5A63">
        <w:t xml:space="preserve"> Covenant on Economic, Social and Cultural Rights (</w:t>
      </w:r>
      <w:r w:rsidR="00FD5A63">
        <w:t>ICESCR</w:t>
      </w:r>
      <w:r w:rsidRPr="00FD5A63">
        <w:t>)</w:t>
      </w:r>
      <w:r w:rsidR="00FD5A63">
        <w:t>.</w:t>
      </w:r>
    </w:p>
    <w:p w14:paraId="45B5D1A1" w14:textId="4926B792" w:rsidR="00A32EB7" w:rsidRPr="00FD5A63" w:rsidRDefault="00A32EB7" w:rsidP="00BA1C97">
      <w:pPr>
        <w:pStyle w:val="CERDBodyText1"/>
      </w:pPr>
      <w:r w:rsidRPr="00FD5A63">
        <w:t xml:space="preserve">The Australian Government is committed to full engagement with the treaty reporting process under ICESCR. </w:t>
      </w:r>
    </w:p>
    <w:p w14:paraId="08E8B17F" w14:textId="7B9C28FE" w:rsidR="00A32EB7" w:rsidRPr="00FD5A63" w:rsidRDefault="00A32EB7" w:rsidP="00BA1C97">
      <w:pPr>
        <w:pStyle w:val="CERDBodyText1"/>
      </w:pPr>
      <w:r w:rsidRPr="00FD5A63">
        <w:t xml:space="preserve">To this end, the Australian Government wishes to provide the </w:t>
      </w:r>
      <w:r w:rsidR="00FD5A63">
        <w:t>C</w:t>
      </w:r>
      <w:r w:rsidRPr="00FD5A63">
        <w:t>ommittee</w:t>
      </w:r>
      <w:r w:rsidR="00FD5A63">
        <w:t xml:space="preserve"> </w:t>
      </w:r>
      <w:r w:rsidR="00FD5A63" w:rsidRPr="00FD5A63">
        <w:t>on Economic, Social and Cultural Rights</w:t>
      </w:r>
      <w:r w:rsidRPr="00FD5A63">
        <w:t xml:space="preserve"> </w:t>
      </w:r>
      <w:r w:rsidR="00FD5A63">
        <w:t xml:space="preserve">(the committee) </w:t>
      </w:r>
      <w:r w:rsidRPr="00FD5A63">
        <w:t xml:space="preserve">with a complete report </w:t>
      </w:r>
      <w:r w:rsidR="00FD5A63" w:rsidRPr="00FD5A63">
        <w:t>that</w:t>
      </w:r>
      <w:r w:rsidRPr="00FD5A63">
        <w:t xml:space="preserve"> integrates relevant data and </w:t>
      </w:r>
      <w:r w:rsidR="00FD5A63">
        <w:t xml:space="preserve">material </w:t>
      </w:r>
      <w:r w:rsidRPr="00FD5A63">
        <w:t xml:space="preserve">about key policies and programming outside the reporting period or beyond the scope of the committee’s </w:t>
      </w:r>
      <w:r w:rsidR="00FD5A63" w:rsidRPr="00FD5A63">
        <w:t>Concluding Observations of 12 June 2009 (E/C.12/AUS/CO/4)</w:t>
      </w:r>
      <w:r w:rsidRPr="00FD5A63">
        <w:t>.</w:t>
      </w:r>
    </w:p>
    <w:p w14:paraId="55FE19A8" w14:textId="393069FB" w:rsidR="00A32EB7" w:rsidRPr="00FD5A63" w:rsidRDefault="00A32EB7" w:rsidP="00BA1C97">
      <w:pPr>
        <w:pStyle w:val="CERDBodyText1"/>
      </w:pPr>
      <w:r w:rsidRPr="00FD5A63">
        <w:t xml:space="preserve">The information in this Appendix is intended to supplement the material provided in Australia’s fifth report </w:t>
      </w:r>
      <w:r w:rsidR="00FD5A63" w:rsidRPr="00FD5A63">
        <w:t xml:space="preserve">under ICESCR.  </w:t>
      </w:r>
      <w:r w:rsidRPr="00FD5A63">
        <w:t xml:space="preserve">Specifically, this Appendix provides further </w:t>
      </w:r>
      <w:r w:rsidR="00FD5A63">
        <w:t xml:space="preserve">data and materials </w:t>
      </w:r>
      <w:r w:rsidRPr="00FD5A63">
        <w:t xml:space="preserve">on issues, policy and programming relevant to articles 6 and 7 of ICESCR and should be read alongside the Australia’s response to the </w:t>
      </w:r>
      <w:r w:rsidR="00FD5A63">
        <w:t>c</w:t>
      </w:r>
      <w:r w:rsidRPr="00FD5A63">
        <w:t>ommittee’s Concluding Observation 18 of 12 June 2009.</w:t>
      </w:r>
    </w:p>
    <w:p w14:paraId="38D83156" w14:textId="77777777" w:rsidR="00A32EB7" w:rsidRPr="00A32EB7" w:rsidRDefault="00A32EB7" w:rsidP="00BA1C97">
      <w:pPr>
        <w:pStyle w:val="CERDBodyText1"/>
        <w:numPr>
          <w:ilvl w:val="0"/>
          <w:numId w:val="0"/>
        </w:numPr>
      </w:pPr>
    </w:p>
    <w:bookmarkEnd w:id="10"/>
    <w:p w14:paraId="6505719D" w14:textId="77777777" w:rsidR="00A32EB7" w:rsidRDefault="00A32EB7">
      <w:pPr>
        <w:rPr>
          <w:color w:val="1F497D" w:themeColor="text2"/>
        </w:rPr>
      </w:pPr>
    </w:p>
    <w:p w14:paraId="08D4EC76" w14:textId="77777777" w:rsidR="00A32EB7" w:rsidRDefault="00A32EB7">
      <w:pPr>
        <w:rPr>
          <w:rFonts w:asciiTheme="majorHAnsi" w:hAnsiTheme="majorHAnsi" w:cs="Times New Roman"/>
          <w:b/>
          <w:caps/>
          <w:color w:val="1F497D" w:themeColor="text2"/>
          <w:sz w:val="32"/>
          <w:lang w:val="en-AU"/>
        </w:rPr>
      </w:pPr>
      <w:r>
        <w:rPr>
          <w:color w:val="1F497D" w:themeColor="text2"/>
        </w:rPr>
        <w:br w:type="page"/>
      </w:r>
    </w:p>
    <w:p w14:paraId="5950C07D" w14:textId="25D57421" w:rsidR="00C525F6" w:rsidRPr="000D4C7E" w:rsidRDefault="00C525F6" w:rsidP="000D4C7E">
      <w:pPr>
        <w:pStyle w:val="HeadingMajor"/>
        <w:numPr>
          <w:ilvl w:val="0"/>
          <w:numId w:val="3"/>
        </w:numPr>
        <w:ind w:left="567"/>
        <w:rPr>
          <w:color w:val="1F497D" w:themeColor="text2"/>
        </w:rPr>
      </w:pPr>
      <w:bookmarkStart w:id="11" w:name="_Toc425840926"/>
      <w:r w:rsidRPr="00C525F6">
        <w:rPr>
          <w:color w:val="1F497D" w:themeColor="text2"/>
        </w:rPr>
        <w:lastRenderedPageBreak/>
        <w:t>Employment</w:t>
      </w:r>
      <w:bookmarkEnd w:id="7"/>
      <w:bookmarkEnd w:id="11"/>
    </w:p>
    <w:p w14:paraId="234CE594" w14:textId="7AD3635F" w:rsidR="00EE0C51" w:rsidRPr="00EE0C51" w:rsidRDefault="00EE0C51" w:rsidP="00EE0C51">
      <w:pPr>
        <w:pStyle w:val="CERDHeadingMinor1"/>
        <w:rPr>
          <w:rStyle w:val="Strong"/>
          <w:b/>
          <w:bCs/>
        </w:rPr>
      </w:pPr>
      <w:bookmarkStart w:id="12" w:name="_Toc425840927"/>
      <w:bookmarkStart w:id="13" w:name="_Toc425773071"/>
      <w:bookmarkStart w:id="14" w:name="_Toc421176306"/>
      <w:r w:rsidRPr="00EE0C51">
        <w:rPr>
          <w:rStyle w:val="Strong"/>
          <w:b/>
          <w:bCs/>
        </w:rPr>
        <w:t>Labour Market Data</w:t>
      </w:r>
      <w:bookmarkEnd w:id="12"/>
    </w:p>
    <w:p w14:paraId="1A981D3D" w14:textId="65853756" w:rsidR="00EE0C51" w:rsidRDefault="00EE0C51" w:rsidP="00BA1C97">
      <w:pPr>
        <w:pStyle w:val="CERDBodyText1"/>
      </w:pPr>
      <w:r>
        <w:t xml:space="preserve">Over the reporting period, </w:t>
      </w:r>
      <w:r w:rsidRPr="007D3B23">
        <w:t>1 July 2009 to 30 June 2014, labour market conditions in Australia can be divided into two distinct periods</w:t>
      </w:r>
      <w:r>
        <w:t xml:space="preserve">; 2009-2011 and 2011-2014. </w:t>
      </w:r>
    </w:p>
    <w:p w14:paraId="5B96F183" w14:textId="41E34BDC" w:rsidR="00BA1C97" w:rsidRPr="00D91FC2" w:rsidRDefault="00BA1C97" w:rsidP="00BA1C97">
      <w:pPr>
        <w:pStyle w:val="CERDBodyText1"/>
      </w:pPr>
      <w:r w:rsidRPr="00D91FC2">
        <w:t xml:space="preserve">Following on from the Global Financial Crisis, the Australian labour market recorded a strong recovery over the two years to June 2011, with the level of employment increasing by 447,000, or an annual average rate of 2.1 </w:t>
      </w:r>
      <w:r>
        <w:t>%</w:t>
      </w:r>
      <w:r w:rsidRPr="00D91FC2">
        <w:t xml:space="preserve">, above </w:t>
      </w:r>
      <w:r>
        <w:t>the long-term trend rate of 1.8%</w:t>
      </w:r>
      <w:r w:rsidRPr="00D91FC2">
        <w:t>. In addition, the unemployment rate decreased from 5.9</w:t>
      </w:r>
      <w:r>
        <w:t>%</w:t>
      </w:r>
      <w:r w:rsidRPr="00D91FC2">
        <w:t xml:space="preserve"> in June 2009 to stand at 4.9</w:t>
      </w:r>
      <w:r>
        <w:t>%</w:t>
      </w:r>
      <w:r w:rsidRPr="00D91FC2">
        <w:t xml:space="preserve"> in June 2011.</w:t>
      </w:r>
    </w:p>
    <w:p w14:paraId="48BC07E7" w14:textId="4B41F673" w:rsidR="00BA1C97" w:rsidRPr="00D91FC2" w:rsidRDefault="00BA1C97" w:rsidP="00BA1C97">
      <w:pPr>
        <w:pStyle w:val="CERDBodyText1"/>
      </w:pPr>
      <w:r w:rsidRPr="00D91FC2">
        <w:t xml:space="preserve">Over the period June 2011 to June 2014, however, the Australian labour market deteriorated, with the level of employment increasing by 336,200, or </w:t>
      </w:r>
      <w:r>
        <w:t>at an annual average of 1.0%</w:t>
      </w:r>
      <w:r w:rsidRPr="00D91FC2">
        <w:t>, well below the long-term trend rate. Further, the unemployment rate in</w:t>
      </w:r>
      <w:r>
        <w:t>creased significantly, from 4.9% in June 2011 to stand at 6.1%</w:t>
      </w:r>
      <w:r w:rsidRPr="00D91FC2">
        <w:t xml:space="preserve"> in June 2014, the highest rate recorded in over 10 years (at the time). Moreover, the rise in the unemployment rate occurred in conjunction with a decline in the participation rate, from 65.3</w:t>
      </w:r>
      <w:r>
        <w:t>% in June 2011 to stand at 64.7%</w:t>
      </w:r>
      <w:r w:rsidRPr="00D91FC2">
        <w:t xml:space="preserve"> in June 2014, well below the </w:t>
      </w:r>
      <w:r>
        <w:t>peak participation rate of 65.8%</w:t>
      </w:r>
      <w:r w:rsidRPr="00D91FC2">
        <w:t xml:space="preserve"> recorded in November 2010.</w:t>
      </w:r>
    </w:p>
    <w:p w14:paraId="41D2113C" w14:textId="77777777" w:rsidR="00BA1C97" w:rsidRPr="00BA1C97" w:rsidRDefault="00BA1C97" w:rsidP="00BA1C97">
      <w:pPr>
        <w:jc w:val="right"/>
        <w:rPr>
          <w:sz w:val="16"/>
          <w:szCs w:val="16"/>
        </w:rPr>
      </w:pPr>
    </w:p>
    <w:p w14:paraId="70881689" w14:textId="77777777" w:rsidR="00BA1C97" w:rsidRPr="00BA1C97" w:rsidRDefault="00BA1C97" w:rsidP="005E3A4F">
      <w:pPr>
        <w:pStyle w:val="CERDBoxTableHeading"/>
        <w:jc w:val="center"/>
      </w:pPr>
      <w:bookmarkStart w:id="15" w:name="_Toc425840928"/>
      <w:r w:rsidRPr="00BA1C97">
        <w:t>Chart 1: Annual employment growth and the unemployment rate, June 2009 to June 2014</w:t>
      </w:r>
      <w:bookmarkEnd w:id="15"/>
    </w:p>
    <w:p w14:paraId="2FD57C02" w14:textId="77777777" w:rsidR="00BA1C97" w:rsidRPr="00BA1C97" w:rsidRDefault="00BA1C97" w:rsidP="00BA1C97">
      <w:pPr>
        <w:jc w:val="center"/>
      </w:pPr>
      <w:r w:rsidRPr="00BA1C97">
        <w:rPr>
          <w:noProof/>
          <w:lang w:val="en-AU" w:eastAsia="en-AU"/>
        </w:rPr>
        <w:drawing>
          <wp:inline distT="0" distB="0" distL="0" distR="0" wp14:anchorId="17F585E4" wp14:editId="411E3573">
            <wp:extent cx="5934075" cy="3076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9790" cy="3079538"/>
                    </a:xfrm>
                    <a:prstGeom prst="rect">
                      <a:avLst/>
                    </a:prstGeom>
                    <a:noFill/>
                    <a:ln>
                      <a:noFill/>
                    </a:ln>
                  </pic:spPr>
                </pic:pic>
              </a:graphicData>
            </a:graphic>
          </wp:inline>
        </w:drawing>
      </w:r>
    </w:p>
    <w:p w14:paraId="2C032455" w14:textId="77777777" w:rsidR="00BA1C97" w:rsidRPr="00BA1C97" w:rsidRDefault="00BA1C97" w:rsidP="00BA1C97">
      <w:pPr>
        <w:jc w:val="right"/>
        <w:rPr>
          <w:sz w:val="16"/>
          <w:szCs w:val="16"/>
        </w:rPr>
      </w:pPr>
      <w:r w:rsidRPr="00BA1C97">
        <w:rPr>
          <w:sz w:val="16"/>
          <w:szCs w:val="16"/>
        </w:rPr>
        <w:t xml:space="preserve">Source: ABS, </w:t>
      </w:r>
      <w:proofErr w:type="spellStart"/>
      <w:r w:rsidRPr="00BA1C97">
        <w:rPr>
          <w:sz w:val="16"/>
          <w:szCs w:val="16"/>
        </w:rPr>
        <w:t>Labour</w:t>
      </w:r>
      <w:proofErr w:type="spellEnd"/>
      <w:r w:rsidRPr="00BA1C97">
        <w:rPr>
          <w:sz w:val="16"/>
          <w:szCs w:val="16"/>
        </w:rPr>
        <w:t xml:space="preserve"> Force, Australia, June 2015 (Cat. no. 6202.0) data are in trend terms.</w:t>
      </w:r>
    </w:p>
    <w:p w14:paraId="2088485D" w14:textId="77777777" w:rsidR="00BA1C97" w:rsidRPr="00BA1C97" w:rsidRDefault="00BA1C97" w:rsidP="00BA1C97">
      <w:pPr>
        <w:jc w:val="right"/>
        <w:rPr>
          <w:sz w:val="16"/>
          <w:szCs w:val="16"/>
        </w:rPr>
      </w:pPr>
    </w:p>
    <w:p w14:paraId="0F958EEC" w14:textId="4A47EC9D" w:rsidR="00BA1C97" w:rsidRPr="00D91FC2" w:rsidRDefault="00BA1C97" w:rsidP="00BA1C97">
      <w:pPr>
        <w:pStyle w:val="CERDBodyText1"/>
      </w:pPr>
      <w:r w:rsidRPr="00D91FC2">
        <w:t>Since June 2014, the labour market has shown some signs of improvement although conditions remain relatively soft. For instance, the level of employment h</w:t>
      </w:r>
      <w:r>
        <w:t>as increased by 224,400 (or 1.9%</w:t>
      </w:r>
      <w:r w:rsidRPr="00D91FC2">
        <w:t>) over the year to June 2015 to stand at a record high of 11,768,600. Against this background, the unemployment rate has decreased marginally o</w:t>
      </w:r>
      <w:r>
        <w:t>ver the period, to stand at 6.0%</w:t>
      </w:r>
      <w:r w:rsidRPr="00D91FC2">
        <w:t xml:space="preserve"> in June 2015, while the participation rate has increased b</w:t>
      </w:r>
      <w:r>
        <w:t>y 0.1 percentage points to 64.8%</w:t>
      </w:r>
      <w:r w:rsidRPr="00D91FC2">
        <w:t>.</w:t>
      </w:r>
    </w:p>
    <w:p w14:paraId="7798B67E" w14:textId="36AAB320" w:rsidR="00BA1C97" w:rsidRPr="00D91FC2" w:rsidRDefault="00BA1C97" w:rsidP="005E3A4F">
      <w:pPr>
        <w:pStyle w:val="CERDBoxTableHeading"/>
      </w:pPr>
      <w:bookmarkStart w:id="16" w:name="_Toc425840929"/>
      <w:r w:rsidRPr="00D91FC2">
        <w:t xml:space="preserve">Youth </w:t>
      </w:r>
      <w:r w:rsidR="00A128A6">
        <w:t>l</w:t>
      </w:r>
      <w:r w:rsidRPr="00D91FC2">
        <w:t xml:space="preserve">abour </w:t>
      </w:r>
      <w:r w:rsidR="00A128A6">
        <w:t>m</w:t>
      </w:r>
      <w:r w:rsidRPr="00D91FC2">
        <w:t xml:space="preserve">arket </w:t>
      </w:r>
      <w:r w:rsidR="00A128A6">
        <w:t>c</w:t>
      </w:r>
      <w:r w:rsidRPr="00D91FC2">
        <w:t>onditions</w:t>
      </w:r>
      <w:bookmarkEnd w:id="16"/>
    </w:p>
    <w:p w14:paraId="389DF9E8" w14:textId="261CC15C" w:rsidR="00BA1C97" w:rsidRDefault="00BA1C97" w:rsidP="00BA1C97">
      <w:pPr>
        <w:pStyle w:val="CERDBodyText1"/>
      </w:pPr>
      <w:r w:rsidRPr="00D91FC2">
        <w:t>Youth (persons aged 15-24) labour market conditions deteriorated after the onset of the Global Financial Crisis and have continued to weaken over the five years to June 2014. For instance, the unempl</w:t>
      </w:r>
      <w:r>
        <w:t>oyment rate increased from 12.1% in June 2009 to 13.5%</w:t>
      </w:r>
      <w:r w:rsidRPr="00D91FC2">
        <w:t xml:space="preserve"> i</w:t>
      </w:r>
      <w:r>
        <w:t>n June 2014, well above the 6.1%</w:t>
      </w:r>
      <w:r w:rsidRPr="00D91FC2">
        <w:t xml:space="preserve"> recorded for all persons at that time. In addition, the level of employment decreased by </w:t>
      </w:r>
      <w:r>
        <w:lastRenderedPageBreak/>
        <w:t>37,000 (or 2.0%</w:t>
      </w:r>
      <w:r w:rsidRPr="00D91FC2">
        <w:t>) over the five years to stand at 1,797,000 in June 2014. The decline in youth employment over the period was due</w:t>
      </w:r>
      <w:r>
        <w:t>,</w:t>
      </w:r>
      <w:r w:rsidRPr="00D91FC2">
        <w:t xml:space="preserve"> entirely</w:t>
      </w:r>
      <w:r>
        <w:t>,</w:t>
      </w:r>
      <w:r w:rsidRPr="00D91FC2">
        <w:t xml:space="preserve"> to a fall in youth full-time employment, down by 97,400 (or 10.1</w:t>
      </w:r>
      <w:r>
        <w:t>%</w:t>
      </w:r>
      <w:r w:rsidRPr="00D91FC2">
        <w:t>).</w:t>
      </w:r>
    </w:p>
    <w:p w14:paraId="6AC9925E" w14:textId="77777777" w:rsidR="00BA1C97" w:rsidRPr="00BA1C97" w:rsidRDefault="00BA1C97" w:rsidP="00BA1C97">
      <w:pPr>
        <w:jc w:val="right"/>
        <w:rPr>
          <w:sz w:val="16"/>
          <w:szCs w:val="16"/>
        </w:rPr>
      </w:pPr>
    </w:p>
    <w:p w14:paraId="1F8915F8" w14:textId="77777777" w:rsidR="00BA1C97" w:rsidRPr="00BA1C97" w:rsidRDefault="00BA1C97" w:rsidP="005E3A4F">
      <w:pPr>
        <w:pStyle w:val="CERDBoxTableHeading"/>
        <w:jc w:val="center"/>
      </w:pPr>
      <w:bookmarkStart w:id="17" w:name="_Toc425840930"/>
      <w:r w:rsidRPr="00BA1C97">
        <w:t>Chart 2: Youth employment and the unemployment rate, June 2009 to June 2014</w:t>
      </w:r>
      <w:bookmarkEnd w:id="17"/>
    </w:p>
    <w:p w14:paraId="691C9904" w14:textId="77777777" w:rsidR="00BA1C97" w:rsidRPr="00BA1C97" w:rsidRDefault="00BA1C97" w:rsidP="00BA1C97">
      <w:pPr>
        <w:jc w:val="center"/>
      </w:pPr>
      <w:r w:rsidRPr="00BA1C97">
        <w:rPr>
          <w:noProof/>
          <w:lang w:val="en-AU" w:eastAsia="en-AU"/>
        </w:rPr>
        <w:drawing>
          <wp:inline distT="0" distB="0" distL="0" distR="0" wp14:anchorId="3EF54A67" wp14:editId="63343226">
            <wp:extent cx="5276850" cy="2914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6850" cy="2914650"/>
                    </a:xfrm>
                    <a:prstGeom prst="rect">
                      <a:avLst/>
                    </a:prstGeom>
                    <a:noFill/>
                    <a:ln>
                      <a:noFill/>
                    </a:ln>
                  </pic:spPr>
                </pic:pic>
              </a:graphicData>
            </a:graphic>
          </wp:inline>
        </w:drawing>
      </w:r>
    </w:p>
    <w:p w14:paraId="09272B10" w14:textId="77777777" w:rsidR="00BA1C97" w:rsidRPr="00BA1C97" w:rsidRDefault="00BA1C97" w:rsidP="00BA1C97">
      <w:pPr>
        <w:jc w:val="right"/>
        <w:rPr>
          <w:sz w:val="16"/>
          <w:szCs w:val="16"/>
        </w:rPr>
      </w:pPr>
      <w:r w:rsidRPr="00BA1C97">
        <w:rPr>
          <w:sz w:val="16"/>
          <w:szCs w:val="16"/>
        </w:rPr>
        <w:t xml:space="preserve">Source: ABS, </w:t>
      </w:r>
      <w:proofErr w:type="spellStart"/>
      <w:r w:rsidRPr="00BA1C97">
        <w:rPr>
          <w:sz w:val="16"/>
          <w:szCs w:val="16"/>
        </w:rPr>
        <w:t>Labour</w:t>
      </w:r>
      <w:proofErr w:type="spellEnd"/>
      <w:r w:rsidRPr="00BA1C97">
        <w:rPr>
          <w:sz w:val="16"/>
          <w:szCs w:val="16"/>
        </w:rPr>
        <w:t xml:space="preserve"> Force, Australia, June 2015 (Cat. no. 6202.0) data are in trend terms.</w:t>
      </w:r>
    </w:p>
    <w:p w14:paraId="737E394B" w14:textId="77777777" w:rsidR="00BA1C97" w:rsidRPr="00BA1C97" w:rsidRDefault="00BA1C97" w:rsidP="00BA1C97">
      <w:pPr>
        <w:jc w:val="right"/>
        <w:rPr>
          <w:sz w:val="16"/>
          <w:szCs w:val="16"/>
        </w:rPr>
      </w:pPr>
    </w:p>
    <w:p w14:paraId="3EABBAE9" w14:textId="6A764FDA" w:rsidR="00BA1C97" w:rsidRPr="00BA1C97" w:rsidRDefault="00BA1C97" w:rsidP="00BA1C97">
      <w:pPr>
        <w:pStyle w:val="CERDBodyText1"/>
      </w:pPr>
      <w:r w:rsidRPr="00BA1C97">
        <w:t>While there has been some improvement in labour market conditions for young people over the past year, the youth cohort remains disadvantaged. For instance, the level of employment increased by 33,000 (or 1.8</w:t>
      </w:r>
      <w:r>
        <w:t>%</w:t>
      </w:r>
      <w:r w:rsidRPr="00BA1C97">
        <w:t>) over the year to June 2015, while the youth unemployment rate declined by 0.2 percentage points over the period, to stand at 13.3</w:t>
      </w:r>
      <w:r>
        <w:t>%</w:t>
      </w:r>
      <w:r w:rsidRPr="00BA1C97">
        <w:t>, although it remains well above the 6.0</w:t>
      </w:r>
      <w:r>
        <w:t>%</w:t>
      </w:r>
      <w:r w:rsidRPr="00BA1C97">
        <w:t xml:space="preserve"> recorded for all persons.</w:t>
      </w:r>
    </w:p>
    <w:p w14:paraId="5D2E5C07" w14:textId="77777777" w:rsidR="00BA1C97" w:rsidRPr="00BA1C97" w:rsidRDefault="00BA1C97" w:rsidP="00BA1C97">
      <w:pPr>
        <w:pStyle w:val="CERDBodyText1"/>
      </w:pPr>
      <w:r w:rsidRPr="00BA1C97">
        <w:t>Young people are particularly vulnerable during periods of economic and labour market softness as they tend to have less education, skills and experience than their prime-age counterparts and are therefore often the first to be retrenched by employers in times of economic difficulty.</w:t>
      </w:r>
    </w:p>
    <w:p w14:paraId="568D5B26" w14:textId="0DE0B077" w:rsidR="00BA1C97" w:rsidRPr="00D91FC2" w:rsidRDefault="00BA1C97" w:rsidP="00BA1C97">
      <w:pPr>
        <w:pStyle w:val="CERDBodyText1"/>
      </w:pPr>
      <w:r w:rsidRPr="00D91FC2">
        <w:t>On a positive note, the soft labour market conditions for youth recorded over the five years to June 2014 were associated with an increase in youth participation in</w:t>
      </w:r>
      <w:r>
        <w:t xml:space="preserve"> full-time education, from 47.1%</w:t>
      </w:r>
      <w:r w:rsidRPr="00D91FC2">
        <w:t xml:space="preserve"> in June 2009 to</w:t>
      </w:r>
      <w:r>
        <w:t xml:space="preserve"> 51.8% in June 2014 (which has increased further to 51.9%</w:t>
      </w:r>
      <w:r w:rsidRPr="00D91FC2">
        <w:t xml:space="preserve"> in May 2015</w:t>
      </w:r>
      <w:r w:rsidRPr="00D91FC2">
        <w:rPr>
          <w:rStyle w:val="FootnoteReference"/>
          <w:sz w:val="22"/>
          <w:szCs w:val="22"/>
        </w:rPr>
        <w:footnoteRef/>
      </w:r>
      <w:r w:rsidRPr="00D91FC2">
        <w:t>, the equal highest rate on record).</w:t>
      </w:r>
    </w:p>
    <w:p w14:paraId="07EE9C25" w14:textId="77777777" w:rsidR="00BA1C97" w:rsidRPr="00D91FC2" w:rsidRDefault="00BA1C97" w:rsidP="00BA1C97">
      <w:pPr>
        <w:pStyle w:val="CERDBodyText1"/>
      </w:pPr>
      <w:r w:rsidRPr="00D91FC2">
        <w:t>The deterioration in labour market conditions for youth over the five years to June 2014 has been associated with a considerable weakening in employment outcomes for domestic graduates across all tertiary education sectors over the last five years.</w:t>
      </w:r>
    </w:p>
    <w:p w14:paraId="67E8FB06" w14:textId="167E75C5" w:rsidR="00BA1C97" w:rsidRPr="00D91FC2" w:rsidRDefault="00BA1C97" w:rsidP="00BA1C97">
      <w:pPr>
        <w:pStyle w:val="CERDBodyText1"/>
      </w:pPr>
      <w:r w:rsidRPr="00D91FC2">
        <w:t>Of particular concern is the marked decline in outcomes for graduates in the higher education sector. Significantly, only 68.1</w:t>
      </w:r>
      <w:r>
        <w:t>%</w:t>
      </w:r>
      <w:r w:rsidRPr="00D91FC2">
        <w:t xml:space="preserve"> of bachelor degree graduates found full-time employment after graduating in 2014 (down from 79.2</w:t>
      </w:r>
      <w:r>
        <w:t>%</w:t>
      </w:r>
      <w:r w:rsidRPr="00D91FC2">
        <w:t xml:space="preserve"> in 2009), the lowest rate on record.</w:t>
      </w:r>
    </w:p>
    <w:p w14:paraId="6FF30F3C" w14:textId="60258D8E" w:rsidR="00BA1C97" w:rsidRDefault="00BA1C97" w:rsidP="00BA1C97">
      <w:pPr>
        <w:pStyle w:val="CERDBodyText1"/>
      </w:pPr>
      <w:r w:rsidRPr="00D91FC2">
        <w:t>There is also evidence to suggest that larger numbers of graduates who</w:t>
      </w:r>
      <w:r>
        <w:t xml:space="preserve"> do find a job are working in occupations which require lower skill levels (than their degree would normally confer), or are working fewer hours than they would like, suggesting that underemployment of graduates is also on the rise. In 2014, 20.3% of bachelor degree graduates seeking full-time employment were employed on a part-time or casual basis, up from 13.4% in 2009.</w:t>
      </w:r>
    </w:p>
    <w:p w14:paraId="5A9C6CE0" w14:textId="673E9B90" w:rsidR="00BA1C97" w:rsidRDefault="00BA1C97" w:rsidP="00BA1C97">
      <w:pPr>
        <w:pStyle w:val="CERDBodyText1"/>
      </w:pPr>
      <w:r>
        <w:lastRenderedPageBreak/>
        <w:t>This also suggests that large numbers of higher education graduates are now competing with other job seekers for entry level vacancies, which is likely to limit opportunities for unqualified applicants to find appropriate employment. This is highlighted by the fact that in 2014, 22.4% of workers in the relatively low skilled clerical and administrative occupations held a bachelor degree or higher qualification, up from 18.1% in 2009.</w:t>
      </w:r>
    </w:p>
    <w:p w14:paraId="0F55ADD8" w14:textId="114085F3" w:rsidR="00EE0C51" w:rsidRDefault="00BA1C97" w:rsidP="00BA1C97">
      <w:pPr>
        <w:pStyle w:val="CERDBodyText1"/>
      </w:pPr>
      <w:r>
        <w:t>T</w:t>
      </w:r>
      <w:r w:rsidRPr="00D31F9F">
        <w:t>he vast majority of bachelor degree graduates who do find work immediately after graduation are employed in hig</w:t>
      </w:r>
      <w:r>
        <w:t>hly skilled jobs. In 2014, 73.8%</w:t>
      </w:r>
      <w:r w:rsidRPr="00D31F9F">
        <w:t xml:space="preserve"> of the bachelor degree graduates who found full-time employment were employed in a managerial or professional capacity although this is down from 84.8</w:t>
      </w:r>
      <w:r>
        <w:t>%</w:t>
      </w:r>
      <w:r w:rsidRPr="00D31F9F">
        <w:t xml:space="preserve"> 20 years earlier and 75.7</w:t>
      </w:r>
      <w:r>
        <w:t>%</w:t>
      </w:r>
      <w:r w:rsidRPr="00D31F9F">
        <w:t xml:space="preserve"> in 2009. </w:t>
      </w:r>
      <w:r>
        <w:t>Consequently, t</w:t>
      </w:r>
      <w:r w:rsidRPr="00D31F9F">
        <w:t>here ha</w:t>
      </w:r>
      <w:r>
        <w:t>s</w:t>
      </w:r>
      <w:r w:rsidRPr="00D31F9F">
        <w:t xml:space="preserve"> been </w:t>
      </w:r>
      <w:r>
        <w:t xml:space="preserve">a </w:t>
      </w:r>
      <w:r w:rsidRPr="00D31F9F">
        <w:t>rise in the proportion of graduates working in slightly</w:t>
      </w:r>
      <w:r>
        <w:t xml:space="preserve"> lower skilled jobs (up from 4.0%</w:t>
      </w:r>
      <w:r w:rsidRPr="00D31F9F">
        <w:t xml:space="preserve"> in 1994</w:t>
      </w:r>
      <w:r>
        <w:t>, 9.2%</w:t>
      </w:r>
      <w:r w:rsidRPr="00D31F9F">
        <w:t xml:space="preserve"> in 2009</w:t>
      </w:r>
      <w:r>
        <w:t xml:space="preserve">, increasing to </w:t>
      </w:r>
      <w:r w:rsidRPr="00D31F9F">
        <w:t>10.3</w:t>
      </w:r>
      <w:r>
        <w:t>%</w:t>
      </w:r>
      <w:r w:rsidRPr="00D31F9F">
        <w:t xml:space="preserve"> in 2014) and in relatively</w:t>
      </w:r>
      <w:r>
        <w:t xml:space="preserve"> low skilled jobs (up from 11.3%</w:t>
      </w:r>
      <w:r w:rsidRPr="00D31F9F">
        <w:t xml:space="preserve"> in 1994</w:t>
      </w:r>
      <w:r>
        <w:t>,</w:t>
      </w:r>
      <w:r w:rsidRPr="00D31F9F">
        <w:t xml:space="preserve"> 15.1</w:t>
      </w:r>
      <w:r>
        <w:t>%</w:t>
      </w:r>
      <w:r w:rsidRPr="00D31F9F">
        <w:t xml:space="preserve"> in 2009</w:t>
      </w:r>
      <w:r>
        <w:t>,</w:t>
      </w:r>
      <w:r w:rsidRPr="00D31F9F">
        <w:t xml:space="preserve"> </w:t>
      </w:r>
      <w:r>
        <w:t>rising to 15.9%</w:t>
      </w:r>
      <w:r w:rsidRPr="00D31F9F">
        <w:t xml:space="preserve"> in 2014)</w:t>
      </w:r>
      <w:r>
        <w:t>.</w:t>
      </w:r>
    </w:p>
    <w:p w14:paraId="53F5E18F" w14:textId="0A12ED94" w:rsidR="00E867F7" w:rsidRPr="00435F7B" w:rsidRDefault="00E867F7" w:rsidP="00E867F7">
      <w:pPr>
        <w:pStyle w:val="CERDHeadingMinor1"/>
      </w:pPr>
      <w:bookmarkStart w:id="18" w:name="_Toc425774829"/>
      <w:bookmarkStart w:id="19" w:name="_Toc425840931"/>
      <w:bookmarkStart w:id="20" w:name="_Toc425773073"/>
      <w:bookmarkEnd w:id="13"/>
      <w:bookmarkEnd w:id="14"/>
      <w:r w:rsidRPr="00435F7B">
        <w:t>Employment Services 2015</w:t>
      </w:r>
      <w:bookmarkEnd w:id="18"/>
      <w:r>
        <w:t xml:space="preserve"> - </w:t>
      </w:r>
      <w:proofErr w:type="spellStart"/>
      <w:r>
        <w:t>jobactive</w:t>
      </w:r>
      <w:bookmarkEnd w:id="19"/>
      <w:proofErr w:type="spellEnd"/>
    </w:p>
    <w:p w14:paraId="00A547F7" w14:textId="3BDEEE4F" w:rsidR="00E867F7" w:rsidRDefault="00E867F7" w:rsidP="00E867F7">
      <w:pPr>
        <w:pStyle w:val="CERDBodyText1"/>
      </w:pPr>
      <w:r w:rsidRPr="00435F7B">
        <w:t>The government’s employment services system</w:t>
      </w:r>
      <w:r w:rsidRPr="007D3B23">
        <w:t xml:space="preserve"> </w:t>
      </w:r>
      <w:r>
        <w:t xml:space="preserve">during the </w:t>
      </w:r>
      <w:r w:rsidRPr="00757C80">
        <w:t>reporting period</w:t>
      </w:r>
      <w:r>
        <w:t xml:space="preserve"> for Australia’s fifth report under ICESCR was</w:t>
      </w:r>
      <w:r w:rsidRPr="00435F7B">
        <w:t>, Job Services Australia</w:t>
      </w:r>
      <w:r>
        <w:t>.</w:t>
      </w:r>
    </w:p>
    <w:p w14:paraId="1ADAFF2C" w14:textId="1BA88EBB" w:rsidR="00E867F7" w:rsidRPr="00435F7B" w:rsidRDefault="00E867F7" w:rsidP="00E867F7">
      <w:pPr>
        <w:pStyle w:val="CERDBodyText1"/>
      </w:pPr>
      <w:r w:rsidRPr="00435F7B">
        <w:t>The contract fo</w:t>
      </w:r>
      <w:r>
        <w:t>r Job Services Australia expired</w:t>
      </w:r>
      <w:r w:rsidRPr="00435F7B">
        <w:t xml:space="preserve"> on 30 June 2015. The </w:t>
      </w:r>
      <w:r>
        <w:t>Australian G</w:t>
      </w:r>
      <w:r w:rsidRPr="00435F7B">
        <w:t>overnment is investing $5.1 billion over three years from 2015</w:t>
      </w:r>
      <w:r>
        <w:t>-</w:t>
      </w:r>
      <w:r w:rsidRPr="00435F7B">
        <w:t xml:space="preserve">16 to implement new employment services arrangements that will commence from 1 July 2015. </w:t>
      </w:r>
    </w:p>
    <w:p w14:paraId="5E7BF4C1" w14:textId="77777777" w:rsidR="00E867F7" w:rsidRDefault="00E867F7" w:rsidP="00E867F7">
      <w:pPr>
        <w:pStyle w:val="CERDBodyText1"/>
      </w:pPr>
      <w:r w:rsidRPr="00435F7B">
        <w:t>The new Employment Services 2015 model</w:t>
      </w:r>
      <w:r>
        <w:t xml:space="preserve">, </w:t>
      </w:r>
      <w:proofErr w:type="spellStart"/>
      <w:r w:rsidRPr="00030380">
        <w:rPr>
          <w:i/>
        </w:rPr>
        <w:t>jobactive</w:t>
      </w:r>
      <w:proofErr w:type="spellEnd"/>
      <w:r>
        <w:t>,</w:t>
      </w:r>
      <w:r w:rsidRPr="00435F7B">
        <w:t xml:space="preserve"> will improve employment assistance for eligible job seekers. It includes a new mix of incentives, services and payments to ensure high quality services from providers. There are also wage subsidies to encourage employers to hire, train and retain job seekers.</w:t>
      </w:r>
    </w:p>
    <w:p w14:paraId="3C3100C3" w14:textId="18E80086" w:rsidR="00BD5FB3" w:rsidRPr="00435F7B" w:rsidRDefault="00A128A6" w:rsidP="005E3A4F">
      <w:pPr>
        <w:pStyle w:val="CERDBoxTableHeading"/>
      </w:pPr>
      <w:bookmarkStart w:id="21" w:name="_Toc425840932"/>
      <w:r>
        <w:t>Mutual o</w:t>
      </w:r>
      <w:r w:rsidR="00BD5FB3">
        <w:t xml:space="preserve">bligations under </w:t>
      </w:r>
      <w:proofErr w:type="spellStart"/>
      <w:r w:rsidR="00BD5FB3" w:rsidRPr="005E3A4F">
        <w:rPr>
          <w:i/>
        </w:rPr>
        <w:t>jobactive</w:t>
      </w:r>
      <w:bookmarkEnd w:id="21"/>
      <w:proofErr w:type="spellEnd"/>
    </w:p>
    <w:p w14:paraId="54696BAD" w14:textId="77777777" w:rsidR="00E867F7" w:rsidRDefault="00E867F7" w:rsidP="00E867F7">
      <w:pPr>
        <w:pStyle w:val="CERDBodyText1"/>
      </w:pPr>
      <w:r w:rsidRPr="00435F7B">
        <w:t xml:space="preserve">Under </w:t>
      </w:r>
      <w:proofErr w:type="spellStart"/>
      <w:r w:rsidRPr="00030380">
        <w:rPr>
          <w:i/>
        </w:rPr>
        <w:t>jobactive</w:t>
      </w:r>
      <w:proofErr w:type="spellEnd"/>
      <w:r w:rsidRPr="00435F7B">
        <w:t xml:space="preserve">, mutual obligation requirements have been simplified and extended to ensure more job seekers remain active and engaged while looking for work. Most job seekers under the age of 50 will be required to participate in Work for the Dole for either 15 or 25 hours a week for six months each year, depending on their age. This will enable job seekers to gain the skills and experience they need to move from welfare to work as soon as possible, while at the same time making a positive contribution to their local community. Fees and payments to providers have been restructured to promote a stronger focus on achieving longer-term job outcomes. Training will be targeted to meet the needs of employers and the jobs available in the local area. </w:t>
      </w:r>
    </w:p>
    <w:p w14:paraId="25C2C3D6" w14:textId="298716AD" w:rsidR="00BD5FB3" w:rsidRDefault="00BD5FB3" w:rsidP="005E3A4F">
      <w:pPr>
        <w:pStyle w:val="CERDBoxTableHeading"/>
      </w:pPr>
      <w:bookmarkStart w:id="22" w:name="_Toc425840933"/>
      <w:r>
        <w:t xml:space="preserve">Assistance for disadvantaged </w:t>
      </w:r>
      <w:r w:rsidR="00A128A6">
        <w:t>groups</w:t>
      </w:r>
      <w:r>
        <w:t xml:space="preserve"> under </w:t>
      </w:r>
      <w:proofErr w:type="spellStart"/>
      <w:r w:rsidRPr="005E3A4F">
        <w:rPr>
          <w:i/>
        </w:rPr>
        <w:t>jobactive</w:t>
      </w:r>
      <w:bookmarkEnd w:id="22"/>
      <w:proofErr w:type="spellEnd"/>
    </w:p>
    <w:p w14:paraId="6B54A456" w14:textId="77777777" w:rsidR="00E867F7" w:rsidRDefault="00E867F7" w:rsidP="00E867F7">
      <w:pPr>
        <w:pStyle w:val="CERDBodyText1"/>
      </w:pPr>
      <w:r>
        <w:t xml:space="preserve">To ensure vulnerable groups - </w:t>
      </w:r>
      <w:r w:rsidRPr="00435F7B">
        <w:t>Indigenous Australians, migrants, refugees, people with disability, and mature age job seekers</w:t>
      </w:r>
      <w:r>
        <w:t xml:space="preserve"> - </w:t>
      </w:r>
      <w:r w:rsidRPr="00435F7B">
        <w:t>receive tailored</w:t>
      </w:r>
      <w:r>
        <w:t xml:space="preserve"> assistance, tenderers for 2015-</w:t>
      </w:r>
      <w:r w:rsidRPr="00435F7B">
        <w:t xml:space="preserve">2020 employment service provision were required to outline strategies for achieving outcomes for job </w:t>
      </w:r>
      <w:r w:rsidRPr="00AD645D">
        <w:t>seekers. This included specific plans for cohorts of job seekers represented in the regions in which they were bidding for employment provider services including vulnerable job seekers. Successful tenderers will be held accountable for the commitments they made in their tender response.</w:t>
      </w:r>
    </w:p>
    <w:p w14:paraId="758F0B95" w14:textId="77777777" w:rsidR="00A128A6" w:rsidRPr="00435F7B" w:rsidRDefault="00A128A6" w:rsidP="00A128A6">
      <w:pPr>
        <w:pStyle w:val="CERDBodyText1"/>
      </w:pPr>
      <w:r w:rsidRPr="00435F7B">
        <w:t>Under the new Employment Services 2015 model</w:t>
      </w:r>
      <w:r>
        <w:t xml:space="preserve">, </w:t>
      </w:r>
      <w:proofErr w:type="spellStart"/>
      <w:r w:rsidRPr="00030380">
        <w:rPr>
          <w:i/>
        </w:rPr>
        <w:t>jobactive</w:t>
      </w:r>
      <w:proofErr w:type="spellEnd"/>
      <w:r w:rsidRPr="00435F7B">
        <w:t>, Indigenous job seekers who have been unemployed and have received assistance for six months will have acce</w:t>
      </w:r>
      <w:r>
        <w:t>ss to the Long Term Unemployed Wage S</w:t>
      </w:r>
      <w:r w:rsidRPr="00435F7B">
        <w:t>ubsidy</w:t>
      </w:r>
      <w:r>
        <w:t xml:space="preserve"> of up to $6,500.</w:t>
      </w:r>
      <w:r w:rsidRPr="00435F7B">
        <w:t xml:space="preserve"> </w:t>
      </w:r>
    </w:p>
    <w:p w14:paraId="0BBC4A0B" w14:textId="77777777" w:rsidR="00A128A6" w:rsidRDefault="00A128A6" w:rsidP="00A128A6">
      <w:pPr>
        <w:pStyle w:val="CERDBodyText1"/>
      </w:pPr>
      <w:proofErr w:type="spellStart"/>
      <w:proofErr w:type="gramStart"/>
      <w:r w:rsidRPr="00030380">
        <w:rPr>
          <w:i/>
        </w:rPr>
        <w:t>jobactive</w:t>
      </w:r>
      <w:proofErr w:type="spellEnd"/>
      <w:proofErr w:type="gramEnd"/>
      <w:r w:rsidRPr="00435F7B">
        <w:t xml:space="preserve"> will also have Indigenous employment outcome targets incorporated into the performance framework. Achieving Indigenous outcome targets will form part of employment </w:t>
      </w:r>
      <w:r w:rsidRPr="00435F7B">
        <w:lastRenderedPageBreak/>
        <w:t>providers’ ongoing performance assessment</w:t>
      </w:r>
      <w:r>
        <w:t xml:space="preserve"> and sanction may apply if they </w:t>
      </w:r>
      <w:r w:rsidRPr="00435F7B">
        <w:t>fail to meet the</w:t>
      </w:r>
      <w:r>
        <w:t>se</w:t>
      </w:r>
      <w:r w:rsidRPr="00435F7B">
        <w:t xml:space="preserve"> targets</w:t>
      </w:r>
      <w:r>
        <w:t>.</w:t>
      </w:r>
      <w:r w:rsidRPr="00435F7B">
        <w:t xml:space="preserve"> </w:t>
      </w:r>
    </w:p>
    <w:p w14:paraId="517145A9" w14:textId="77777777" w:rsidR="00A128A6" w:rsidRDefault="00A128A6" w:rsidP="00A128A6">
      <w:pPr>
        <w:pStyle w:val="CERDBodyText1"/>
      </w:pPr>
      <w:proofErr w:type="spellStart"/>
      <w:proofErr w:type="gramStart"/>
      <w:r w:rsidRPr="00030380">
        <w:rPr>
          <w:i/>
        </w:rPr>
        <w:t>jobactive</w:t>
      </w:r>
      <w:proofErr w:type="spellEnd"/>
      <w:proofErr w:type="gramEnd"/>
      <w:r>
        <w:t>, requires</w:t>
      </w:r>
      <w:r w:rsidRPr="00E64D64">
        <w:t xml:space="preserve"> providers to provide tailored assistance to all job seekers, including culturally and linguistically diverse, migrant and refugee job seekers. This includes referral and</w:t>
      </w:r>
      <w:r>
        <w:t xml:space="preserve"> access to specialist migrant and </w:t>
      </w:r>
      <w:proofErr w:type="gramStart"/>
      <w:r>
        <w:t>refugees</w:t>
      </w:r>
      <w:proofErr w:type="gramEnd"/>
      <w:r>
        <w:t xml:space="preserve"> services if required</w:t>
      </w:r>
      <w:r w:rsidRPr="00435F7B">
        <w:t>.</w:t>
      </w:r>
    </w:p>
    <w:p w14:paraId="293164F0" w14:textId="77777777" w:rsidR="00E867F7" w:rsidRDefault="00E867F7" w:rsidP="00E867F7">
      <w:pPr>
        <w:pStyle w:val="CERDBodyText1"/>
      </w:pPr>
      <w:r w:rsidRPr="00435F7B">
        <w:t xml:space="preserve">The </w:t>
      </w:r>
      <w:r>
        <w:t>Australian G</w:t>
      </w:r>
      <w:r w:rsidRPr="00435F7B">
        <w:t xml:space="preserve">overnment has invested in a number of measures to assist disadvantaged job seekers into employment. For example: </w:t>
      </w:r>
    </w:p>
    <w:p w14:paraId="66FA2207" w14:textId="77777777" w:rsidR="00E867F7" w:rsidRPr="00435F7B" w:rsidRDefault="00E867F7" w:rsidP="00E867F7">
      <w:pPr>
        <w:pStyle w:val="CERDBodyTextDotPoint"/>
      </w:pPr>
      <w:r w:rsidRPr="00435F7B">
        <w:t>a job commitment bonus of up to $6,500 to encourage young job seekers to take up employment and remain off income support</w:t>
      </w:r>
    </w:p>
    <w:p w14:paraId="24F85464" w14:textId="77777777" w:rsidR="00E867F7" w:rsidRPr="00435F7B" w:rsidRDefault="00E867F7" w:rsidP="00E867F7">
      <w:pPr>
        <w:pStyle w:val="CERDBodyTextDotPoint"/>
      </w:pPr>
      <w:r w:rsidRPr="00435F7B">
        <w:t>relocation assistance to provide job seekers who are unemployed for 12 months or more with an allowance to move away from their home region to take up a job</w:t>
      </w:r>
      <w:r w:rsidRPr="00E867F7">
        <w:rPr>
          <w:rStyle w:val="FootnoteReference"/>
          <w:sz w:val="22"/>
          <w:szCs w:val="22"/>
        </w:rPr>
        <w:footnoteReference w:id="1"/>
      </w:r>
      <w:r w:rsidRPr="00E867F7">
        <w:rPr>
          <w:sz w:val="22"/>
          <w:szCs w:val="22"/>
        </w:rPr>
        <w:t xml:space="preserve"> </w:t>
      </w:r>
    </w:p>
    <w:p w14:paraId="65CA3EBE" w14:textId="77777777" w:rsidR="00E867F7" w:rsidRPr="00435F7B" w:rsidRDefault="00E867F7" w:rsidP="00E867F7">
      <w:pPr>
        <w:pStyle w:val="CERDBodyTextDotPoint"/>
      </w:pPr>
      <w:r w:rsidRPr="00435F7B">
        <w:t>restart wage subsidy of up to $10,000 for eligible employers who employ and retain eligible job seekers who are 50 years of age or older, and who have been unemployed and on income support for six months or more</w:t>
      </w:r>
      <w:r w:rsidRPr="00E867F7">
        <w:rPr>
          <w:rStyle w:val="FootnoteReference"/>
          <w:sz w:val="22"/>
          <w:szCs w:val="22"/>
        </w:rPr>
        <w:footnoteReference w:id="2"/>
      </w:r>
    </w:p>
    <w:p w14:paraId="1AD5E4A1" w14:textId="77777777" w:rsidR="00E867F7" w:rsidRPr="00435F7B" w:rsidRDefault="00E867F7" w:rsidP="00E867F7">
      <w:pPr>
        <w:pStyle w:val="CERDBodyTextDotPoint"/>
      </w:pPr>
      <w:r w:rsidRPr="00F250EA">
        <w:t>a long-term unemployed and Indigenous wage subsidy of up to $6,500 for eligible employers to hire and retain long-term unemployed job seekers who have been registered with an employment services provider continuously for at least 12 months or Indigenous job seekers for at least six months</w:t>
      </w:r>
      <w:r w:rsidRPr="00E867F7">
        <w:rPr>
          <w:rStyle w:val="FootnoteReference"/>
          <w:sz w:val="22"/>
          <w:szCs w:val="22"/>
        </w:rPr>
        <w:footnoteReference w:id="3"/>
      </w:r>
    </w:p>
    <w:p w14:paraId="1AB0B3A8" w14:textId="77777777" w:rsidR="00E867F7" w:rsidRDefault="00E867F7" w:rsidP="00E867F7">
      <w:pPr>
        <w:pStyle w:val="CERDBodyTextDotPoint"/>
      </w:pPr>
      <w:proofErr w:type="gramStart"/>
      <w:r>
        <w:t>commencing</w:t>
      </w:r>
      <w:proofErr w:type="gramEnd"/>
      <w:r>
        <w:t xml:space="preserve"> 1 November 2015, </w:t>
      </w:r>
      <w:r w:rsidRPr="00435F7B">
        <w:t xml:space="preserve">a wage subsidy to help young job seekers. Up to $6,500 may be paid to eligible employers who hire and retain a job seeker under the age of 30 who </w:t>
      </w:r>
      <w:r w:rsidRPr="00F250EA">
        <w:t>has been registered with an employment services provider for at least six months</w:t>
      </w:r>
      <w:r>
        <w:t>, and</w:t>
      </w:r>
    </w:p>
    <w:p w14:paraId="07E8EC3B" w14:textId="77777777" w:rsidR="00E867F7" w:rsidRDefault="00E867F7" w:rsidP="00E867F7">
      <w:pPr>
        <w:pStyle w:val="CERDBodyTextDotPoint"/>
      </w:pPr>
      <w:r w:rsidRPr="00674ABA">
        <w:t>commencing 1 November 2015, a parents wage subsidy of up to $6,500 for eligible employers who hire and retain a job seeker who has been registered with an employment services provider for at least six months, has activity test requirements or participation requirements and is in receipt of a parenting payment or is a Principal Carer in receipt of an eligible income support payment</w:t>
      </w:r>
      <w:r>
        <w:t>.</w:t>
      </w:r>
    </w:p>
    <w:p w14:paraId="0488E092" w14:textId="1BE535B4" w:rsidR="00EE0C51" w:rsidRDefault="00EE0C51" w:rsidP="00BA1C97">
      <w:pPr>
        <w:pStyle w:val="CERDHeadingMinor1"/>
      </w:pPr>
      <w:bookmarkStart w:id="23" w:name="_Toc425840934"/>
      <w:r>
        <w:t>New</w:t>
      </w:r>
      <w:r w:rsidR="00757C80">
        <w:t xml:space="preserve"> Employment Measures to Support J</w:t>
      </w:r>
      <w:r>
        <w:t xml:space="preserve">ob </w:t>
      </w:r>
      <w:r w:rsidR="00757C80">
        <w:t>S</w:t>
      </w:r>
      <w:r>
        <w:t>eekers</w:t>
      </w:r>
      <w:bookmarkEnd w:id="20"/>
      <w:bookmarkEnd w:id="23"/>
    </w:p>
    <w:p w14:paraId="310D8EBA" w14:textId="642EA2CA" w:rsidR="00EE0C51" w:rsidRDefault="00EE0C51" w:rsidP="00BA1C97">
      <w:pPr>
        <w:pStyle w:val="CERDBodyText1"/>
      </w:pPr>
      <w:r w:rsidRPr="00757C80">
        <w:t>While outside the reporting period</w:t>
      </w:r>
      <w:r w:rsidR="00757C80">
        <w:t xml:space="preserve"> for Australia’s fifth report;</w:t>
      </w:r>
      <w:r w:rsidRPr="00757C80">
        <w:t xml:space="preserve"> in the 2015-16 Budget, the Australian Government</w:t>
      </w:r>
      <w:r>
        <w:t xml:space="preserve"> </w:t>
      </w:r>
      <w:r w:rsidRPr="00AA6780">
        <w:t>announced new employment measures that focus on making job seekers more employable, reducing the costs of taking on new staff, and ensuring job seekers are meeting their obligations and actively looking for work.</w:t>
      </w:r>
      <w:r>
        <w:t xml:space="preserve">  </w:t>
      </w:r>
    </w:p>
    <w:p w14:paraId="6C281637" w14:textId="77777777" w:rsidR="00757C80" w:rsidRDefault="00EE0C51" w:rsidP="00BA1C97">
      <w:pPr>
        <w:pStyle w:val="CERDBodyText1"/>
      </w:pPr>
      <w:r w:rsidRPr="00AA6780">
        <w:t xml:space="preserve">These measures are part of the </w:t>
      </w:r>
      <w:r w:rsidRPr="00757C80">
        <w:rPr>
          <w:i/>
        </w:rPr>
        <w:t>Growing Jobs and Small Business</w:t>
      </w:r>
      <w:r w:rsidRPr="00AA6780">
        <w:t xml:space="preserve"> package, which </w:t>
      </w:r>
      <w:r>
        <w:t>-</w:t>
      </w:r>
      <w:r w:rsidRPr="00AA6780">
        <w:t xml:space="preserve"> along </w:t>
      </w:r>
      <w:r>
        <w:t>with other significant reforms -</w:t>
      </w:r>
      <w:r w:rsidRPr="00AA6780">
        <w:t xml:space="preserve"> aims to create the right conditions for Australian businesses to thrive and grow.</w:t>
      </w:r>
      <w:r>
        <w:t xml:space="preserve"> </w:t>
      </w:r>
    </w:p>
    <w:p w14:paraId="70293FAC" w14:textId="58E93F54" w:rsidR="00EE0C51" w:rsidRPr="00AA6780" w:rsidRDefault="00EE0C51" w:rsidP="00BA1C97">
      <w:pPr>
        <w:pStyle w:val="CERDBodyText1"/>
      </w:pPr>
      <w:r w:rsidRPr="00AA6780">
        <w:t>The package focuses on helping employers to create new jobs and assisting Australia’s unemployed, particularly young people, to access the skills and opportunities they need to become job-ready.</w:t>
      </w:r>
    </w:p>
    <w:p w14:paraId="797C9BF9" w14:textId="77777777" w:rsidR="00EE0C51" w:rsidRPr="00AA6780" w:rsidRDefault="00EE0C51" w:rsidP="00BA1C97">
      <w:pPr>
        <w:pStyle w:val="CERDBodyText1"/>
      </w:pPr>
      <w:r w:rsidRPr="00AA6780">
        <w:lastRenderedPageBreak/>
        <w:t>The main features of the Growing Jobs and Small Business package include:</w:t>
      </w:r>
    </w:p>
    <w:p w14:paraId="3C788E47" w14:textId="77777777" w:rsidR="00EE0C51" w:rsidRDefault="00EE0C51" w:rsidP="00757C80">
      <w:pPr>
        <w:pStyle w:val="CERDBodyTextDotPoint"/>
      </w:pPr>
      <w:r>
        <w:t>a new Transition to Work programme to help young people who are not engaged in education or employment aged 15-21 to become job-ready, providing them with flexible and holistic pre-employment assistance from community-based organisations</w:t>
      </w:r>
    </w:p>
    <w:p w14:paraId="77F70624" w14:textId="7213ABC3" w:rsidR="00EE0C51" w:rsidRDefault="00EE0C51" w:rsidP="00757C80">
      <w:pPr>
        <w:pStyle w:val="CERDBodyTextDotPoint"/>
      </w:pPr>
      <w:r>
        <w:t xml:space="preserve">a new National Work Experience programme with access to voluntary work experience of up to 25 hours per week for four </w:t>
      </w:r>
      <w:r w:rsidR="00E867F7">
        <w:t>weeks for eligible job seekers -</w:t>
      </w:r>
      <w:r>
        <w:t xml:space="preserve"> this will give employers the opportunity to develop the skills of potential employees and test their suitability, while job seekers will continue to receive their income support</w:t>
      </w:r>
    </w:p>
    <w:p w14:paraId="5AB396CD" w14:textId="05838768" w:rsidR="00EE0C51" w:rsidRDefault="00EE0C51" w:rsidP="00757C80">
      <w:pPr>
        <w:pStyle w:val="CERDBodyTextDotPoint"/>
      </w:pPr>
      <w:r>
        <w:t xml:space="preserve">changes to wage subsidies to increase take-up and reduce complexity and red tape for employers </w:t>
      </w:r>
      <w:r w:rsidR="00757C80">
        <w:t>-</w:t>
      </w:r>
      <w:r>
        <w:t xml:space="preserve"> including increasing the Tasmanian Jobs Programme wage subsidy and allowing the full Restart wage subsidy to be paid over 12 months instead of two years</w:t>
      </w:r>
    </w:p>
    <w:p w14:paraId="36AD1CC0" w14:textId="77777777" w:rsidR="00EE0C51" w:rsidRDefault="00EE0C51" w:rsidP="00757C80">
      <w:pPr>
        <w:pStyle w:val="CERDBodyTextDotPoint"/>
      </w:pPr>
      <w:r>
        <w:t>new trial programmes to help young people and parents at risk of long-term welfare dependency - such as people from areas of entrenched disadvantage - to address their barriers to employment</w:t>
      </w:r>
    </w:p>
    <w:p w14:paraId="2A34C945" w14:textId="77777777" w:rsidR="00EE0C51" w:rsidRDefault="00EE0C51" w:rsidP="00757C80">
      <w:pPr>
        <w:pStyle w:val="CERDBodyTextDotPoint"/>
      </w:pPr>
      <w:r>
        <w:t>stronger and more immediate consequences, including penalties, for job seekers who do not meet their mutual obligation requirements</w:t>
      </w:r>
    </w:p>
    <w:p w14:paraId="461A1589" w14:textId="77777777" w:rsidR="00EE0C51" w:rsidRDefault="00EE0C51" w:rsidP="00757C80">
      <w:pPr>
        <w:pStyle w:val="CERDBodyTextDotPoint"/>
      </w:pPr>
      <w:r>
        <w:t>a requirement for early school leavers to actively look for work if they are not taking part in education or training for 25 hours a week, to increase their chances of finding a job, and</w:t>
      </w:r>
    </w:p>
    <w:p w14:paraId="71B90ED2" w14:textId="77777777" w:rsidR="00EE0C51" w:rsidRDefault="00EE0C51" w:rsidP="00757C80">
      <w:pPr>
        <w:pStyle w:val="CERDBodyTextDotPoint"/>
      </w:pPr>
      <w:proofErr w:type="gramStart"/>
      <w:r>
        <w:t>a</w:t>
      </w:r>
      <w:proofErr w:type="gramEnd"/>
      <w:r>
        <w:t xml:space="preserve"> new requirement for job-ready job seekers up to the age of 25, to complete pre-benefit activities to show they are doing all they can to look for work. This supports a Social Services measure of an additional four-week waiting period for income support for these job seekers.</w:t>
      </w:r>
    </w:p>
    <w:p w14:paraId="637A7743" w14:textId="5D3D07DA" w:rsidR="00EE0C51" w:rsidRDefault="00EE0C51" w:rsidP="00757C80">
      <w:pPr>
        <w:pStyle w:val="CERDBodyText1"/>
      </w:pPr>
      <w:r>
        <w:t xml:space="preserve">These initiatives will operate </w:t>
      </w:r>
      <w:r w:rsidR="00757C80">
        <w:t xml:space="preserve">with </w:t>
      </w:r>
      <w:r w:rsidR="00757C80" w:rsidRPr="00757C80">
        <w:t xml:space="preserve">the new Employment Services 2015 model, </w:t>
      </w:r>
      <w:proofErr w:type="spellStart"/>
      <w:r w:rsidR="00757C80" w:rsidRPr="00757C80">
        <w:rPr>
          <w:i/>
        </w:rPr>
        <w:t>jobactive</w:t>
      </w:r>
      <w:proofErr w:type="spellEnd"/>
      <w:r w:rsidR="00757C80" w:rsidRPr="00757C80">
        <w:t xml:space="preserve">, </w:t>
      </w:r>
      <w:r w:rsidRPr="00757C80">
        <w:t>to help employers find staff to meet their busine</w:t>
      </w:r>
      <w:r>
        <w:t>ss needs and help more job seekers to find and keep a job from 1 July 2015</w:t>
      </w:r>
    </w:p>
    <w:p w14:paraId="1F23363E" w14:textId="77777777" w:rsidR="00BA1C97" w:rsidRPr="00435F7B" w:rsidRDefault="00BA1C97" w:rsidP="00BA1C97">
      <w:pPr>
        <w:pStyle w:val="CERDHeadingMinor1"/>
      </w:pPr>
      <w:bookmarkStart w:id="24" w:name="_Toc425840935"/>
      <w:r w:rsidRPr="00435F7B">
        <w:t>Mature Age Workers</w:t>
      </w:r>
      <w:bookmarkEnd w:id="24"/>
    </w:p>
    <w:p w14:paraId="24E4A837" w14:textId="77777777" w:rsidR="00BA1C97" w:rsidRPr="00B54951" w:rsidRDefault="00BA1C97" w:rsidP="00BA1C97">
      <w:pPr>
        <w:pStyle w:val="CERDBodyText1"/>
      </w:pPr>
      <w:r w:rsidRPr="00B54951">
        <w:t xml:space="preserve">In light of Australia’s ageing population, the contribution of older workers is becoming more crucial in the workplace. </w:t>
      </w:r>
    </w:p>
    <w:p w14:paraId="73160897" w14:textId="77777777" w:rsidR="00BA1C97" w:rsidRPr="00435F7B" w:rsidRDefault="00BA1C97" w:rsidP="00BA1C97">
      <w:pPr>
        <w:pStyle w:val="CERDBodyText1"/>
      </w:pPr>
      <w:r w:rsidRPr="00F8019B">
        <w:t>As at 31 May 2015</w:t>
      </w:r>
      <w:r>
        <w:t>, there we</w:t>
      </w:r>
      <w:r w:rsidRPr="00435F7B">
        <w:t>re around 1</w:t>
      </w:r>
      <w:r>
        <w:t>84</w:t>
      </w:r>
      <w:r w:rsidRPr="00435F7B">
        <w:t xml:space="preserve">,000 job seekers over 50 years of age participating in Job Services Australia (around 22% of the total number of job seekers in Job Services Australia). </w:t>
      </w:r>
    </w:p>
    <w:p w14:paraId="2F54750E" w14:textId="77777777" w:rsidR="00BA1C97" w:rsidRPr="00435F7B" w:rsidRDefault="00BA1C97" w:rsidP="00BA1C97">
      <w:pPr>
        <w:pStyle w:val="CERDBodyText1"/>
      </w:pPr>
      <w:r w:rsidRPr="00435F7B">
        <w:t xml:space="preserve">When older Australians lose their jobs, they face challenges in finding new employment. To address this, from 1 July 2014 the Australian Government commenced a Restart program for Australian businesses that provide jobs to people 50 years of age or older and who have been unemployed and on income support for six months or more. </w:t>
      </w:r>
    </w:p>
    <w:p w14:paraId="561B58A6" w14:textId="77777777" w:rsidR="00BA1C97" w:rsidRPr="00435F7B" w:rsidRDefault="00BA1C97" w:rsidP="00BA1C97">
      <w:pPr>
        <w:pStyle w:val="CERDBodyText1"/>
      </w:pPr>
      <w:r w:rsidRPr="00F8019B">
        <w:t>As part of the Growing Jobs and Small Business Package announced in the 2015-16 Budget, the Restart wage subsidy has been redesigned to increase take-up and reduce complexity. Effective from 1 November 2015, the length of Restart will be reduced so that up to $10,000 in assistance can be paid to employers over 12 months, rather than 24 months. Mature age job seekers employed for at least 30 hours per week attract the full rate of the Restart wage subsidy. Eligible job seekers employed between 15-29 hours per week attract</w:t>
      </w:r>
      <w:r>
        <w:t xml:space="preserve"> a pro-rata Restart subsidy.</w:t>
      </w:r>
      <w:r w:rsidRPr="00B54951">
        <w:rPr>
          <w:sz w:val="22"/>
          <w:szCs w:val="22"/>
          <w:vertAlign w:val="superscript"/>
        </w:rPr>
        <w:footnoteReference w:id="4"/>
      </w:r>
      <w:r w:rsidRPr="00C525F6">
        <w:rPr>
          <w:vertAlign w:val="superscript"/>
        </w:rPr>
        <w:t xml:space="preserve"> </w:t>
      </w:r>
    </w:p>
    <w:p w14:paraId="7224CBD7" w14:textId="77777777" w:rsidR="00BA1C97" w:rsidRDefault="00BA1C97" w:rsidP="00BA1C97">
      <w:pPr>
        <w:pStyle w:val="CERDBodyText1"/>
      </w:pPr>
      <w:r w:rsidRPr="00435F7B">
        <w:t xml:space="preserve">The Corporate Champions program supports large employers who recruit and retain mature-age staff (45 years and over). This program is supported by a campaign which promotes positive </w:t>
      </w:r>
      <w:r w:rsidRPr="00435F7B">
        <w:lastRenderedPageBreak/>
        <w:t>employer attitudes towards mature age job seekers, as well as raises awareness and encourages take up of the Restart wage subsidy.</w:t>
      </w:r>
      <w:r w:rsidRPr="00B54951">
        <w:rPr>
          <w:sz w:val="22"/>
          <w:szCs w:val="22"/>
          <w:vertAlign w:val="superscript"/>
        </w:rPr>
        <w:footnoteReference w:id="5"/>
      </w:r>
      <w:r w:rsidRPr="00435F7B">
        <w:t xml:space="preserve"> </w:t>
      </w:r>
    </w:p>
    <w:p w14:paraId="08ACFAC2" w14:textId="77777777" w:rsidR="00BA1C97" w:rsidRPr="00F8019B" w:rsidRDefault="00BA1C97" w:rsidP="00BA1C97">
      <w:pPr>
        <w:pStyle w:val="CERDBodyText1"/>
      </w:pPr>
      <w:r w:rsidRPr="00F8019B">
        <w:t>The Government is working to change employer and community attitudes towards older workers, including through the www.experiencepays.gov.au website and the “Power of Oldness” campaign. Both the campaign and website highlight the benefits which mature age people bring to the workplace, including reliability, experience, a strong work ethic and leadership. The Power of Oldness campaign video is available</w:t>
      </w:r>
      <w:r>
        <w:t xml:space="preserve"> online</w:t>
      </w:r>
      <w:r w:rsidRPr="00F8019B">
        <w:t>.</w:t>
      </w:r>
      <w:r w:rsidRPr="00B54951">
        <w:rPr>
          <w:sz w:val="22"/>
          <w:szCs w:val="22"/>
          <w:vertAlign w:val="superscript"/>
        </w:rPr>
        <w:footnoteReference w:id="6"/>
      </w:r>
    </w:p>
    <w:p w14:paraId="6F1C9D7F" w14:textId="77777777" w:rsidR="00BA1C97" w:rsidRPr="00435F7B" w:rsidRDefault="00BA1C97" w:rsidP="00BA1C97">
      <w:pPr>
        <w:pStyle w:val="CERDBodyText1"/>
      </w:pPr>
      <w:r w:rsidRPr="00435F7B">
        <w:t xml:space="preserve">The Australian Government also helps older Australians to work through the Work Bonus. This incentive is for pensioners over 65 years to participate in the workforce by allowing them to keep more of their pension when they have earnings from working. </w:t>
      </w:r>
    </w:p>
    <w:p w14:paraId="37D2F3BE" w14:textId="5EC406D0" w:rsidR="00BA1C97" w:rsidRDefault="00643D47" w:rsidP="00BA1C97">
      <w:pPr>
        <w:pStyle w:val="CERDBodyText1"/>
      </w:pPr>
      <w:r>
        <w:t>Examples of</w:t>
      </w:r>
      <w:r w:rsidR="00BA1C97" w:rsidRPr="00435F7B">
        <w:t xml:space="preserve"> state and territory policies and programing for mature aged workers</w:t>
      </w:r>
      <w:r>
        <w:t xml:space="preserve"> are provided below</w:t>
      </w:r>
      <w:r w:rsidR="00BA1C97" w:rsidRPr="00435F7B">
        <w:t>.</w:t>
      </w:r>
    </w:p>
    <w:p w14:paraId="32DD9B5D" w14:textId="09630E51" w:rsidR="00BA1C97" w:rsidRPr="00435F7B" w:rsidRDefault="00BA1C97" w:rsidP="00BA1C97">
      <w:pPr>
        <w:pStyle w:val="CERDHeadingMinor1"/>
      </w:pPr>
      <w:bookmarkStart w:id="25" w:name="_Toc425840936"/>
      <w:r>
        <w:t>State and T</w:t>
      </w:r>
      <w:r w:rsidRPr="00C525F6">
        <w:t xml:space="preserve">erritory </w:t>
      </w:r>
      <w:r>
        <w:t>P</w:t>
      </w:r>
      <w:r w:rsidRPr="00C525F6">
        <w:t xml:space="preserve">olicies and </w:t>
      </w:r>
      <w:r>
        <w:t>Programing for M</w:t>
      </w:r>
      <w:r w:rsidRPr="00C525F6">
        <w:t xml:space="preserve">ature </w:t>
      </w:r>
      <w:r>
        <w:t>A</w:t>
      </w:r>
      <w:r w:rsidRPr="00C525F6">
        <w:t xml:space="preserve">ge </w:t>
      </w:r>
      <w:r>
        <w:t>W</w:t>
      </w:r>
      <w:r w:rsidRPr="00C525F6">
        <w:t>orkers</w:t>
      </w:r>
      <w:bookmarkEnd w:id="25"/>
    </w:p>
    <w:p w14:paraId="7A9E025E" w14:textId="77777777" w:rsidR="00BA1C97" w:rsidRPr="00B54951" w:rsidRDefault="00BA1C97" w:rsidP="00BA1C97">
      <w:pPr>
        <w:pStyle w:val="CERDBoxTableHeading"/>
      </w:pPr>
      <w:bookmarkStart w:id="26" w:name="_Toc421104821"/>
      <w:bookmarkStart w:id="27" w:name="_Toc425840937"/>
      <w:r w:rsidRPr="00B54951">
        <w:t>Australian Capital Territory</w:t>
      </w:r>
      <w:bookmarkEnd w:id="26"/>
      <w:bookmarkEnd w:id="27"/>
    </w:p>
    <w:p w14:paraId="1ACDCA36" w14:textId="77777777" w:rsidR="00BA1C97" w:rsidRPr="00332059" w:rsidRDefault="00BA1C97" w:rsidP="00BA1C97">
      <w:pPr>
        <w:pStyle w:val="CERDBodyText1"/>
      </w:pPr>
      <w:r w:rsidRPr="00332059">
        <w:t xml:space="preserve">One of the ACT Government’s goals is to ensure that every resident can reach their potential, contribute to the community, and develop the skills and capabilities they need for better economic participation. To achieve this, ACT residents can access a range of vocational education and training opportunities. Training is provided in areas of high skills needs through the Australian Apprenticeships (User Choice) Program, the Skilled Capital initiative and subsidised training at the Canberra Institute of Technology. Initiatives to remove barriers to learning and achievement include fee concessions, mentoring, special equipment, </w:t>
      </w:r>
      <w:proofErr w:type="gramStart"/>
      <w:r w:rsidRPr="00332059">
        <w:t>additional</w:t>
      </w:r>
      <w:proofErr w:type="gramEnd"/>
      <w:r w:rsidRPr="00332059">
        <w:t xml:space="preserve"> classroom support and foundation skills training (language, literacy and numeracy).</w:t>
      </w:r>
    </w:p>
    <w:p w14:paraId="63D3290C" w14:textId="77777777" w:rsidR="00BA1C97" w:rsidRPr="00332059" w:rsidRDefault="00BA1C97" w:rsidP="00BA1C97">
      <w:pPr>
        <w:pStyle w:val="CERDBodyText1"/>
      </w:pPr>
      <w:r w:rsidRPr="00332059">
        <w:t xml:space="preserve">Grants have also been provided for a range of adult community education programs since 1998. Funded programs provide pathways to further education and training for people who have experienced barriers to learning. </w:t>
      </w:r>
    </w:p>
    <w:p w14:paraId="36DA8A60" w14:textId="77777777" w:rsidR="00BA1C97" w:rsidRPr="00332059" w:rsidRDefault="00BA1C97" w:rsidP="00BA1C97">
      <w:pPr>
        <w:pStyle w:val="CERDBoxTableHeading"/>
      </w:pPr>
      <w:bookmarkStart w:id="28" w:name="_Toc421104822"/>
      <w:bookmarkStart w:id="29" w:name="_Toc425840938"/>
      <w:r w:rsidRPr="00332059">
        <w:t>New South Wales</w:t>
      </w:r>
      <w:bookmarkEnd w:id="28"/>
      <w:bookmarkEnd w:id="29"/>
    </w:p>
    <w:p w14:paraId="78FB569E" w14:textId="77777777" w:rsidR="00BA1C97" w:rsidRPr="00332059" w:rsidRDefault="00BA1C97" w:rsidP="00BA1C97">
      <w:pPr>
        <w:pStyle w:val="CERDBodyText1"/>
      </w:pPr>
      <w:r w:rsidRPr="00332059">
        <w:t>New South Wales workforce participation rates for people aged 60 to 64 years are slightly lower than the rest of Australia. The state’s ageing strategy outlines the government’s response to the opportunities and challenges of an ageing population. The strategy is a whole-of-government and whole-of-community approach, which helps individuals to take responsibility for their futures and commits the government to recognising and removing barriers to continued participation. Actions under the strategy include working with employers to promote age-friendly employment practices such as flexible work, employer awards, corporate champions and best-practice guidelines, and developing the public service as an employer of choice for mature-aged workers.</w:t>
      </w:r>
      <w:r w:rsidRPr="00B54951">
        <w:rPr>
          <w:sz w:val="22"/>
          <w:szCs w:val="22"/>
          <w:vertAlign w:val="superscript"/>
        </w:rPr>
        <w:footnoteReference w:id="7"/>
      </w:r>
      <w:r w:rsidRPr="00332059">
        <w:t xml:space="preserve"> </w:t>
      </w:r>
    </w:p>
    <w:p w14:paraId="5D36F21E" w14:textId="77777777" w:rsidR="00BA1C97" w:rsidRPr="00332059" w:rsidRDefault="00BA1C97" w:rsidP="00BA1C97">
      <w:pPr>
        <w:pStyle w:val="CERDBoxTableHeading"/>
      </w:pPr>
      <w:bookmarkStart w:id="30" w:name="_Toc421104824"/>
      <w:bookmarkStart w:id="31" w:name="_Toc425840939"/>
      <w:r w:rsidRPr="00332059">
        <w:t>South Australia</w:t>
      </w:r>
      <w:bookmarkEnd w:id="30"/>
      <w:bookmarkEnd w:id="31"/>
    </w:p>
    <w:p w14:paraId="1FF3595E" w14:textId="77777777" w:rsidR="00BA1C97" w:rsidRPr="00332059" w:rsidRDefault="00BA1C97" w:rsidP="00BA1C97">
      <w:pPr>
        <w:pStyle w:val="CERDBodyText1"/>
      </w:pPr>
      <w:r w:rsidRPr="00332059">
        <w:rPr>
          <w:i/>
        </w:rPr>
        <w:t>Prosperity through longevity: Sou</w:t>
      </w:r>
      <w:r>
        <w:rPr>
          <w:i/>
        </w:rPr>
        <w:t>th Australia’s Ageing Plan 2014-</w:t>
      </w:r>
      <w:r w:rsidRPr="00332059">
        <w:rPr>
          <w:i/>
        </w:rPr>
        <w:t>2019</w:t>
      </w:r>
      <w:r w:rsidRPr="00332059">
        <w:t xml:space="preserve"> recognises the importance of work for older people and the challenges associated with that at both the personal and systemic level. Working to support the rights of older people to meaningful employment</w:t>
      </w:r>
      <w:r>
        <w:t xml:space="preserve">, </w:t>
      </w:r>
      <w:r w:rsidRPr="00332059">
        <w:t>including through direct engagement with employers</w:t>
      </w:r>
      <w:r>
        <w:t xml:space="preserve">, </w:t>
      </w:r>
      <w:r w:rsidRPr="00332059">
        <w:t xml:space="preserve">is a current key priority area of action. The Department for State Development has primary carriage of policy and programs supporting older </w:t>
      </w:r>
      <w:r w:rsidRPr="00332059">
        <w:lastRenderedPageBreak/>
        <w:t>workers, however the Office for the Ageing in SA Health also has a commitment to support a range of targeted projects and programs to grow employment opportunities and outcomes for older South Australians.</w:t>
      </w:r>
    </w:p>
    <w:p w14:paraId="55B83746" w14:textId="77777777" w:rsidR="00BA1C97" w:rsidRPr="00332059" w:rsidRDefault="00BA1C97" w:rsidP="00BA1C97">
      <w:pPr>
        <w:pStyle w:val="CERDBoxTableHeading"/>
      </w:pPr>
      <w:bookmarkStart w:id="32" w:name="_Toc421104823"/>
      <w:bookmarkStart w:id="33" w:name="_Toc425840940"/>
      <w:bookmarkStart w:id="34" w:name="_Toc421104825"/>
      <w:r w:rsidRPr="00332059">
        <w:t>Tasmania</w:t>
      </w:r>
      <w:bookmarkEnd w:id="32"/>
      <w:bookmarkEnd w:id="33"/>
    </w:p>
    <w:p w14:paraId="172D6740" w14:textId="77777777" w:rsidR="00BA1C97" w:rsidRPr="00332059" w:rsidRDefault="00BA1C97" w:rsidP="00BA1C97">
      <w:pPr>
        <w:pStyle w:val="CERDBodyText1"/>
      </w:pPr>
      <w:r w:rsidRPr="00332059">
        <w:t>The Tasmanian State Service does not have defined mature-age employment programs, but continues to monitor the demographics. In 2014 the average age of Tasmanian Government employees was 46.8 years, with 57.8% of the workforce aged over 45 years.</w:t>
      </w:r>
    </w:p>
    <w:p w14:paraId="55A5E76F" w14:textId="18261666" w:rsidR="00BA1C97" w:rsidRPr="00332059" w:rsidRDefault="00BA1C97" w:rsidP="00BA1C97">
      <w:pPr>
        <w:pStyle w:val="CERDBoxTableHeading"/>
      </w:pPr>
      <w:bookmarkStart w:id="35" w:name="_Toc425840941"/>
      <w:r w:rsidRPr="00332059">
        <w:t>Western Australia</w:t>
      </w:r>
      <w:bookmarkEnd w:id="34"/>
      <w:bookmarkEnd w:id="35"/>
    </w:p>
    <w:p w14:paraId="58AC77B9" w14:textId="77777777" w:rsidR="00BA1C97" w:rsidRPr="00332059" w:rsidRDefault="00BA1C97" w:rsidP="00BA1C97">
      <w:pPr>
        <w:pStyle w:val="CERDBodyText1"/>
      </w:pPr>
      <w:r>
        <w:t xml:space="preserve">The </w:t>
      </w:r>
      <w:r w:rsidRPr="00424727">
        <w:t>Western Australia Department of Health (WA Health)</w:t>
      </w:r>
      <w:r>
        <w:t xml:space="preserve"> </w:t>
      </w:r>
      <w:r w:rsidRPr="00332059">
        <w:t>is committed to creating an equitable and diverse workforce that is representative of the state’s community. Through a number of plans and policies, people from a wide range of backgrounds are encouraged to work for WA Health, including those from culturally diverse backgrounds, people with disability and mature age workers. These include the:</w:t>
      </w:r>
    </w:p>
    <w:p w14:paraId="6B79CB59" w14:textId="1F3CD06D" w:rsidR="00BA1C97" w:rsidRPr="00B54951" w:rsidRDefault="00BA1C97" w:rsidP="00BA1C97">
      <w:pPr>
        <w:pStyle w:val="CERDBodyTextDotPoint"/>
      </w:pPr>
      <w:r w:rsidRPr="00B54951">
        <w:t>Equity and Diversity Plan 2010-2015</w:t>
      </w:r>
    </w:p>
    <w:p w14:paraId="3A7AF8B0" w14:textId="77777777" w:rsidR="00BA1C97" w:rsidRPr="00B54951" w:rsidRDefault="00BA1C97" w:rsidP="00BA1C97">
      <w:pPr>
        <w:pStyle w:val="CERDBodyTextDotPoint"/>
      </w:pPr>
      <w:r w:rsidRPr="00B54951">
        <w:t>Equal Opportunity and Diversity Policy</w:t>
      </w:r>
    </w:p>
    <w:p w14:paraId="1AA34C3C" w14:textId="77777777" w:rsidR="00BA1C97" w:rsidRPr="00B54951" w:rsidRDefault="00BA1C97" w:rsidP="00BA1C97">
      <w:pPr>
        <w:pStyle w:val="CERDBodyTextDotPoint"/>
      </w:pPr>
      <w:r w:rsidRPr="00B54951">
        <w:t>Substantive Equality Policy</w:t>
      </w:r>
    </w:p>
    <w:p w14:paraId="05B05A8A" w14:textId="1C901AFD" w:rsidR="00BA1C97" w:rsidRPr="00B54951" w:rsidRDefault="00BA1C97" w:rsidP="00BA1C97">
      <w:pPr>
        <w:pStyle w:val="CERDBodyTextDotPoint"/>
      </w:pPr>
      <w:r w:rsidRPr="00B54951">
        <w:t>Disability Access and Inclusion Plan 2010-2015</w:t>
      </w:r>
      <w:r w:rsidR="00643D47">
        <w:t>, and</w:t>
      </w:r>
    </w:p>
    <w:p w14:paraId="598E1136" w14:textId="77777777" w:rsidR="00BA1C97" w:rsidRPr="00B54951" w:rsidRDefault="00BA1C97" w:rsidP="00BA1C97">
      <w:pPr>
        <w:pStyle w:val="CERDBodyTextDotPoint"/>
      </w:pPr>
      <w:r w:rsidRPr="00B54951">
        <w:t>Disability Access and Inclusion Policy.</w:t>
      </w:r>
    </w:p>
    <w:p w14:paraId="3A371D7C" w14:textId="77777777" w:rsidR="00BA1C97" w:rsidRDefault="00BA1C97" w:rsidP="00BA1C97">
      <w:pPr>
        <w:pStyle w:val="CERDBodyText1"/>
      </w:pPr>
      <w:r w:rsidRPr="00C3755C">
        <w:t>Disability access and inclusion plans are in place throughout the North Metropolitan Health Service, which incorporate strategies to increase access to employment opportunities, and identify and remove recruitment and selection barriers. The state’s Health Phased Retirement Policy and Guidelines provide strategies that promote flexible work practices to help retain mature age staff.</w:t>
      </w:r>
      <w:r w:rsidRPr="00B54951">
        <w:rPr>
          <w:sz w:val="22"/>
          <w:szCs w:val="22"/>
          <w:vertAlign w:val="superscript"/>
        </w:rPr>
        <w:footnoteReference w:id="8"/>
      </w:r>
    </w:p>
    <w:p w14:paraId="6F72E1DB" w14:textId="77777777" w:rsidR="00BA1C97" w:rsidRDefault="00BA1C97" w:rsidP="00BA1C97">
      <w:pPr>
        <w:pStyle w:val="CERDBodyText1"/>
        <w:numPr>
          <w:ilvl w:val="0"/>
          <w:numId w:val="0"/>
        </w:numPr>
      </w:pPr>
    </w:p>
    <w:p w14:paraId="5B607988" w14:textId="77777777" w:rsidR="00BA1C97" w:rsidRPr="00EE0C51" w:rsidRDefault="00BA1C97" w:rsidP="00BA1C97">
      <w:pPr>
        <w:pStyle w:val="CERDBodyText1"/>
        <w:numPr>
          <w:ilvl w:val="0"/>
          <w:numId w:val="0"/>
        </w:numPr>
      </w:pPr>
    </w:p>
    <w:sectPr w:rsidR="00BA1C97" w:rsidRPr="00EE0C51" w:rsidSect="000A08CB">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BD79E5" w14:textId="77777777" w:rsidR="003C04F4" w:rsidRDefault="003C04F4" w:rsidP="0001067E">
      <w:r>
        <w:separator/>
      </w:r>
    </w:p>
  </w:endnote>
  <w:endnote w:type="continuationSeparator" w:id="0">
    <w:p w14:paraId="659702F4" w14:textId="77777777" w:rsidR="003C04F4" w:rsidRDefault="003C04F4" w:rsidP="00010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yriad Pro">
    <w:altName w:val="Times New Roman"/>
    <w:panose1 w:val="020B0503030403020204"/>
    <w:charset w:val="00"/>
    <w:family w:val="auto"/>
    <w:pitch w:val="default"/>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90BC2" w14:textId="77777777" w:rsidR="00C43FFD" w:rsidRDefault="00C43F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z w:val="16"/>
        <w:szCs w:val="16"/>
      </w:rPr>
      <w:id w:val="-2108720392"/>
      <w:docPartObj>
        <w:docPartGallery w:val="Page Numbers (Bottom of Page)"/>
        <w:docPartUnique/>
      </w:docPartObj>
    </w:sdtPr>
    <w:sdtEndPr/>
    <w:sdtContent>
      <w:sdt>
        <w:sdtPr>
          <w:rPr>
            <w:b/>
            <w:sz w:val="16"/>
            <w:szCs w:val="16"/>
          </w:rPr>
          <w:id w:val="860082579"/>
          <w:docPartObj>
            <w:docPartGallery w:val="Page Numbers (Top of Page)"/>
            <w:docPartUnique/>
          </w:docPartObj>
        </w:sdtPr>
        <w:sdtEndPr/>
        <w:sdtContent>
          <w:p w14:paraId="5B5B50CC" w14:textId="77777777" w:rsidR="003C04F4" w:rsidRPr="00251070" w:rsidRDefault="003C04F4" w:rsidP="00C413D7">
            <w:pPr>
              <w:pStyle w:val="Footer"/>
              <w:spacing w:before="80"/>
              <w:jc w:val="center"/>
              <w:rPr>
                <w:b/>
                <w:caps/>
                <w:color w:val="C00000"/>
                <w:sz w:val="18"/>
                <w:szCs w:val="20"/>
                <w:lang w:val="en-AU"/>
              </w:rPr>
            </w:pPr>
            <w:r w:rsidRPr="00251070">
              <w:rPr>
                <w:b/>
                <w:caps/>
                <w:color w:val="C00000"/>
                <w:sz w:val="18"/>
              </w:rPr>
              <w:t>Unclassified</w:t>
            </w:r>
          </w:p>
          <w:p w14:paraId="1242E612" w14:textId="44947D2B" w:rsidR="003C04F4" w:rsidRPr="00C413D7" w:rsidRDefault="003C04F4" w:rsidP="00C413D7">
            <w:pPr>
              <w:pStyle w:val="Footer"/>
              <w:spacing w:before="80"/>
              <w:jc w:val="right"/>
              <w:rPr>
                <w:b/>
                <w:sz w:val="16"/>
                <w:szCs w:val="16"/>
              </w:rPr>
            </w:pPr>
            <w:r w:rsidRPr="00251070">
              <w:rPr>
                <w:b/>
                <w:sz w:val="16"/>
                <w:szCs w:val="16"/>
              </w:rPr>
              <w:t xml:space="preserve">Page </w:t>
            </w:r>
            <w:r w:rsidRPr="00251070">
              <w:rPr>
                <w:b/>
                <w:bCs/>
                <w:sz w:val="16"/>
                <w:szCs w:val="16"/>
              </w:rPr>
              <w:fldChar w:fldCharType="begin"/>
            </w:r>
            <w:r w:rsidRPr="00251070">
              <w:rPr>
                <w:b/>
                <w:bCs/>
                <w:sz w:val="16"/>
                <w:szCs w:val="16"/>
              </w:rPr>
              <w:instrText xml:space="preserve"> PAGE </w:instrText>
            </w:r>
            <w:r w:rsidRPr="00251070">
              <w:rPr>
                <w:b/>
                <w:bCs/>
                <w:sz w:val="16"/>
                <w:szCs w:val="16"/>
              </w:rPr>
              <w:fldChar w:fldCharType="separate"/>
            </w:r>
            <w:r w:rsidR="00BA56D6">
              <w:rPr>
                <w:b/>
                <w:bCs/>
                <w:noProof/>
                <w:sz w:val="16"/>
                <w:szCs w:val="16"/>
              </w:rPr>
              <w:t>2</w:t>
            </w:r>
            <w:r w:rsidRPr="00251070">
              <w:rPr>
                <w:b/>
                <w:bCs/>
                <w:sz w:val="16"/>
                <w:szCs w:val="16"/>
              </w:rPr>
              <w:fldChar w:fldCharType="end"/>
            </w:r>
            <w:r w:rsidRPr="00251070">
              <w:rPr>
                <w:b/>
                <w:sz w:val="16"/>
                <w:szCs w:val="16"/>
              </w:rPr>
              <w:t xml:space="preserve"> of </w:t>
            </w:r>
            <w:r w:rsidRPr="00251070">
              <w:rPr>
                <w:b/>
                <w:bCs/>
                <w:sz w:val="16"/>
                <w:szCs w:val="16"/>
              </w:rPr>
              <w:fldChar w:fldCharType="begin"/>
            </w:r>
            <w:r w:rsidRPr="00251070">
              <w:rPr>
                <w:b/>
                <w:bCs/>
                <w:sz w:val="16"/>
                <w:szCs w:val="16"/>
              </w:rPr>
              <w:instrText xml:space="preserve"> NUMPAGES  </w:instrText>
            </w:r>
            <w:r w:rsidRPr="00251070">
              <w:rPr>
                <w:b/>
                <w:bCs/>
                <w:sz w:val="16"/>
                <w:szCs w:val="16"/>
              </w:rPr>
              <w:fldChar w:fldCharType="separate"/>
            </w:r>
            <w:r w:rsidR="00BA56D6">
              <w:rPr>
                <w:b/>
                <w:bCs/>
                <w:noProof/>
                <w:sz w:val="16"/>
                <w:szCs w:val="16"/>
              </w:rPr>
              <w:t>10</w:t>
            </w:r>
            <w:r w:rsidRPr="00251070">
              <w:rPr>
                <w:b/>
                <w:bCs/>
                <w:sz w:val="16"/>
                <w:szCs w:val="16"/>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68982" w14:textId="77777777" w:rsidR="00C43FFD" w:rsidRDefault="00C43F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C378A4" w14:textId="77777777" w:rsidR="003C04F4" w:rsidRDefault="003C04F4" w:rsidP="0001067E">
      <w:r>
        <w:separator/>
      </w:r>
    </w:p>
  </w:footnote>
  <w:footnote w:type="continuationSeparator" w:id="0">
    <w:p w14:paraId="5A7CF609" w14:textId="77777777" w:rsidR="003C04F4" w:rsidRDefault="003C04F4" w:rsidP="0001067E">
      <w:r>
        <w:continuationSeparator/>
      </w:r>
    </w:p>
  </w:footnote>
  <w:footnote w:id="1">
    <w:p w14:paraId="0DBB4FC1" w14:textId="77777777" w:rsidR="00E867F7" w:rsidRPr="00E867F7" w:rsidRDefault="00E867F7" w:rsidP="00E867F7">
      <w:pPr>
        <w:pStyle w:val="FootnoteText"/>
        <w:spacing w:before="40" w:line="240" w:lineRule="auto"/>
        <w:rPr>
          <w:sz w:val="15"/>
          <w:szCs w:val="15"/>
        </w:rPr>
      </w:pPr>
      <w:r w:rsidRPr="00E867F7">
        <w:rPr>
          <w:rStyle w:val="FootnoteReference"/>
          <w:rFonts w:asciiTheme="minorHAnsi" w:hAnsiTheme="minorHAnsi"/>
          <w:sz w:val="15"/>
          <w:szCs w:val="15"/>
        </w:rPr>
        <w:footnoteRef/>
      </w:r>
      <w:r w:rsidRPr="00E867F7">
        <w:rPr>
          <w:sz w:val="15"/>
          <w:szCs w:val="15"/>
        </w:rPr>
        <w:t xml:space="preserve"> Job seekers are provided up to $6,000 if they move to a regional area to take up a job or up to $3,000 if they move from a regional area to a metropolitan area. Job seekers may also receive up to $3,000 if they move from a capital city with high unemployment to one with lower unemployment to take up a job.</w:t>
      </w:r>
    </w:p>
  </w:footnote>
  <w:footnote w:id="2">
    <w:p w14:paraId="65EF5B0E" w14:textId="77777777" w:rsidR="00E867F7" w:rsidRPr="00E867F7" w:rsidRDefault="00E867F7" w:rsidP="00E867F7">
      <w:pPr>
        <w:pStyle w:val="FootnoteText"/>
        <w:spacing w:before="40" w:line="240" w:lineRule="auto"/>
        <w:rPr>
          <w:sz w:val="15"/>
          <w:szCs w:val="15"/>
          <w:highlight w:val="yellow"/>
        </w:rPr>
      </w:pPr>
      <w:r w:rsidRPr="00E867F7">
        <w:rPr>
          <w:rStyle w:val="FootnoteReference"/>
          <w:rFonts w:asciiTheme="minorHAnsi" w:hAnsiTheme="minorHAnsi"/>
          <w:sz w:val="15"/>
          <w:szCs w:val="15"/>
        </w:rPr>
        <w:footnoteRef/>
      </w:r>
      <w:r w:rsidRPr="00E867F7">
        <w:rPr>
          <w:sz w:val="15"/>
          <w:szCs w:val="15"/>
        </w:rPr>
        <w:t xml:space="preserve"> The Restart wage subsidy is paid in four six-monthly payments of $3,000 after six months employment, $3,000 after 12 months employment, $2,000 after 18 months employment, and $2,000 after 24 months employment. Mature age job seekers employed for at least 30 hours a week will attract the full rate of Restart. Eligible job seekers employed between 15 and 29 hours a week attract a pro-rata Restart subsidy.</w:t>
      </w:r>
    </w:p>
  </w:footnote>
  <w:footnote w:id="3">
    <w:p w14:paraId="2A850DEA" w14:textId="77777777" w:rsidR="00E867F7" w:rsidRPr="00E867F7" w:rsidRDefault="00E867F7" w:rsidP="00E867F7">
      <w:pPr>
        <w:spacing w:before="40"/>
        <w:rPr>
          <w:rFonts w:cstheme="minorHAnsi"/>
          <w:sz w:val="15"/>
          <w:szCs w:val="15"/>
        </w:rPr>
      </w:pPr>
      <w:r w:rsidRPr="00E867F7">
        <w:rPr>
          <w:rStyle w:val="FootnoteReference"/>
          <w:rFonts w:cstheme="minorHAnsi"/>
          <w:sz w:val="15"/>
          <w:szCs w:val="15"/>
        </w:rPr>
        <w:footnoteRef/>
      </w:r>
      <w:r w:rsidRPr="00E867F7">
        <w:rPr>
          <w:rFonts w:cstheme="minorHAnsi"/>
          <w:sz w:val="15"/>
          <w:szCs w:val="15"/>
        </w:rPr>
        <w:t xml:space="preserve"> </w:t>
      </w:r>
      <w:r w:rsidRPr="00E867F7">
        <w:rPr>
          <w:rFonts w:eastAsia="Calibri" w:cstheme="minorHAnsi"/>
          <w:sz w:val="15"/>
          <w:szCs w:val="15"/>
        </w:rPr>
        <w:t>To be eligible job seekers must be unemployed and with an employment provider for 12 months, or six months for Indigenous job seekers. Employers will be eligible for the first wage subsidy payment of up to $3,250 after the job seeker is employed for six months with a second payment of up to $3,250 after 12 months.</w:t>
      </w:r>
    </w:p>
  </w:footnote>
  <w:footnote w:id="4">
    <w:p w14:paraId="254F7729" w14:textId="77777777" w:rsidR="00BA1C97" w:rsidRPr="00E867F7" w:rsidRDefault="00BA1C97" w:rsidP="00E867F7">
      <w:pPr>
        <w:pStyle w:val="FootnoteText"/>
        <w:spacing w:before="40" w:line="240" w:lineRule="auto"/>
        <w:jc w:val="left"/>
        <w:rPr>
          <w:rFonts w:asciiTheme="minorHAnsi" w:hAnsiTheme="minorHAnsi" w:cstheme="minorHAnsi"/>
          <w:sz w:val="15"/>
          <w:szCs w:val="15"/>
        </w:rPr>
      </w:pPr>
      <w:r w:rsidRPr="00E867F7">
        <w:rPr>
          <w:rStyle w:val="FootnoteReference"/>
          <w:rFonts w:asciiTheme="minorHAnsi" w:hAnsiTheme="minorHAnsi" w:cstheme="minorHAnsi"/>
          <w:sz w:val="15"/>
          <w:szCs w:val="15"/>
        </w:rPr>
        <w:footnoteRef/>
      </w:r>
      <w:r w:rsidRPr="00E867F7">
        <w:rPr>
          <w:rFonts w:asciiTheme="minorHAnsi" w:hAnsiTheme="minorHAnsi" w:cstheme="minorHAnsi"/>
          <w:sz w:val="15"/>
          <w:szCs w:val="15"/>
        </w:rPr>
        <w:t xml:space="preserve"> Further information available at: </w:t>
      </w:r>
      <w:hyperlink r:id="rId1" w:history="1">
        <w:r w:rsidRPr="00E867F7">
          <w:rPr>
            <w:rStyle w:val="Hyperlink"/>
            <w:rFonts w:asciiTheme="minorHAnsi" w:hAnsiTheme="minorHAnsi" w:cstheme="minorHAnsi"/>
            <w:sz w:val="15"/>
            <w:szCs w:val="15"/>
          </w:rPr>
          <w:t>www.employment.gov.au/restart-wage-subsidy</w:t>
        </w:r>
      </w:hyperlink>
      <w:r w:rsidRPr="00E867F7">
        <w:rPr>
          <w:rFonts w:asciiTheme="minorHAnsi" w:hAnsiTheme="minorHAnsi" w:cstheme="minorHAnsi"/>
          <w:sz w:val="15"/>
          <w:szCs w:val="15"/>
        </w:rPr>
        <w:t xml:space="preserve"> </w:t>
      </w:r>
    </w:p>
  </w:footnote>
  <w:footnote w:id="5">
    <w:p w14:paraId="749B293F" w14:textId="77777777" w:rsidR="00BA1C97" w:rsidRPr="00E867F7" w:rsidRDefault="00BA1C97" w:rsidP="00E867F7">
      <w:pPr>
        <w:pStyle w:val="FootnoteText"/>
        <w:spacing w:before="40" w:line="240" w:lineRule="auto"/>
        <w:jc w:val="left"/>
        <w:rPr>
          <w:rFonts w:asciiTheme="minorHAnsi" w:hAnsiTheme="minorHAnsi" w:cstheme="minorHAnsi"/>
          <w:sz w:val="15"/>
          <w:szCs w:val="15"/>
        </w:rPr>
      </w:pPr>
      <w:r w:rsidRPr="00E867F7">
        <w:rPr>
          <w:rStyle w:val="FootnoteReference"/>
          <w:rFonts w:asciiTheme="minorHAnsi" w:hAnsiTheme="minorHAnsi" w:cstheme="minorHAnsi"/>
          <w:sz w:val="15"/>
          <w:szCs w:val="15"/>
        </w:rPr>
        <w:footnoteRef/>
      </w:r>
      <w:r w:rsidRPr="00E867F7">
        <w:rPr>
          <w:rFonts w:asciiTheme="minorHAnsi" w:hAnsiTheme="minorHAnsi" w:cstheme="minorHAnsi"/>
          <w:sz w:val="15"/>
          <w:szCs w:val="15"/>
        </w:rPr>
        <w:t xml:space="preserve"> Further information available at: </w:t>
      </w:r>
      <w:hyperlink r:id="rId2" w:history="1">
        <w:r w:rsidRPr="00E867F7">
          <w:rPr>
            <w:rStyle w:val="Hyperlink"/>
            <w:rFonts w:asciiTheme="minorHAnsi" w:hAnsiTheme="minorHAnsi" w:cstheme="minorHAnsi"/>
            <w:sz w:val="15"/>
            <w:szCs w:val="15"/>
          </w:rPr>
          <w:t>www.employment.gov.au/corporate-champions</w:t>
        </w:r>
      </w:hyperlink>
      <w:r w:rsidRPr="00E867F7">
        <w:rPr>
          <w:rFonts w:asciiTheme="minorHAnsi" w:hAnsiTheme="minorHAnsi" w:cstheme="minorHAnsi"/>
          <w:sz w:val="15"/>
          <w:szCs w:val="15"/>
        </w:rPr>
        <w:t xml:space="preserve"> ; &amp; </w:t>
      </w:r>
      <w:hyperlink r:id="rId3" w:history="1">
        <w:r w:rsidRPr="00E867F7">
          <w:rPr>
            <w:rStyle w:val="Hyperlink"/>
            <w:rFonts w:asciiTheme="minorHAnsi" w:hAnsiTheme="minorHAnsi" w:cstheme="minorHAnsi"/>
            <w:sz w:val="15"/>
            <w:szCs w:val="15"/>
          </w:rPr>
          <w:t>http://www.dss.gov.au/our-responsibilities/seniors/programs-services/working-after-pension-age</w:t>
        </w:r>
      </w:hyperlink>
    </w:p>
  </w:footnote>
  <w:footnote w:id="6">
    <w:p w14:paraId="7F8A4F6B" w14:textId="77777777" w:rsidR="00BA1C97" w:rsidRPr="00E867F7" w:rsidRDefault="00BA1C97" w:rsidP="00E867F7">
      <w:pPr>
        <w:pStyle w:val="FootnoteText"/>
        <w:spacing w:before="40" w:line="240" w:lineRule="auto"/>
        <w:jc w:val="left"/>
        <w:rPr>
          <w:rFonts w:asciiTheme="minorHAnsi" w:hAnsiTheme="minorHAnsi" w:cstheme="minorHAnsi"/>
          <w:sz w:val="15"/>
          <w:szCs w:val="15"/>
        </w:rPr>
      </w:pPr>
      <w:r w:rsidRPr="00E867F7">
        <w:rPr>
          <w:rStyle w:val="FootnoteReference"/>
          <w:rFonts w:asciiTheme="minorHAnsi" w:hAnsiTheme="minorHAnsi" w:cstheme="minorHAnsi"/>
          <w:sz w:val="15"/>
          <w:szCs w:val="15"/>
        </w:rPr>
        <w:footnoteRef/>
      </w:r>
      <w:r w:rsidRPr="00E867F7">
        <w:rPr>
          <w:rFonts w:asciiTheme="minorHAnsi" w:hAnsiTheme="minorHAnsi" w:cstheme="minorHAnsi"/>
          <w:sz w:val="15"/>
          <w:szCs w:val="15"/>
        </w:rPr>
        <w:t xml:space="preserve"> Further information available at: </w:t>
      </w:r>
      <w:hyperlink r:id="rId4" w:history="1">
        <w:r w:rsidRPr="00E867F7">
          <w:rPr>
            <w:rStyle w:val="Hyperlink"/>
            <w:rFonts w:asciiTheme="minorHAnsi" w:hAnsiTheme="minorHAnsi" w:cstheme="minorHAnsi"/>
            <w:sz w:val="15"/>
            <w:szCs w:val="15"/>
          </w:rPr>
          <w:t>www.powerofoldness.com</w:t>
        </w:r>
      </w:hyperlink>
      <w:r w:rsidRPr="00E867F7">
        <w:rPr>
          <w:rFonts w:asciiTheme="minorHAnsi" w:hAnsiTheme="minorHAnsi" w:cstheme="minorHAnsi"/>
          <w:sz w:val="15"/>
          <w:szCs w:val="15"/>
        </w:rPr>
        <w:t xml:space="preserve"> </w:t>
      </w:r>
    </w:p>
  </w:footnote>
  <w:footnote w:id="7">
    <w:p w14:paraId="7815AD89" w14:textId="77777777" w:rsidR="00BA1C97" w:rsidRPr="00E867F7" w:rsidRDefault="00BA1C97" w:rsidP="00E867F7">
      <w:pPr>
        <w:pStyle w:val="FootnoteText"/>
        <w:spacing w:before="40" w:line="240" w:lineRule="auto"/>
        <w:rPr>
          <w:rFonts w:asciiTheme="minorHAnsi" w:hAnsiTheme="minorHAnsi" w:cstheme="minorHAnsi"/>
          <w:sz w:val="15"/>
          <w:szCs w:val="15"/>
        </w:rPr>
      </w:pPr>
      <w:r w:rsidRPr="00E867F7">
        <w:rPr>
          <w:rStyle w:val="FootnoteReference"/>
          <w:rFonts w:asciiTheme="minorHAnsi" w:hAnsiTheme="minorHAnsi" w:cstheme="minorHAnsi"/>
          <w:sz w:val="15"/>
          <w:szCs w:val="15"/>
        </w:rPr>
        <w:footnoteRef/>
      </w:r>
      <w:r w:rsidRPr="00E867F7">
        <w:rPr>
          <w:rFonts w:asciiTheme="minorHAnsi" w:hAnsiTheme="minorHAnsi" w:cstheme="minorHAnsi"/>
          <w:sz w:val="15"/>
          <w:szCs w:val="15"/>
        </w:rPr>
        <w:t xml:space="preserve"> Further information available at: </w:t>
      </w:r>
      <w:hyperlink r:id="rId5" w:history="1">
        <w:r w:rsidRPr="00E867F7">
          <w:rPr>
            <w:rStyle w:val="Hyperlink"/>
            <w:rFonts w:asciiTheme="minorHAnsi" w:hAnsiTheme="minorHAnsi" w:cstheme="minorHAnsi"/>
            <w:sz w:val="15"/>
            <w:szCs w:val="15"/>
          </w:rPr>
          <w:t>www.adhc.nsw.gov.au/__data/assets/file/0011/257276/1282_ADHC_NSW-AgeingStrategy_WEB.pdf</w:t>
        </w:r>
      </w:hyperlink>
    </w:p>
  </w:footnote>
  <w:footnote w:id="8">
    <w:p w14:paraId="72AF4FBC" w14:textId="77777777" w:rsidR="00BA1C97" w:rsidRPr="00E867F7" w:rsidRDefault="00BA1C97" w:rsidP="00E867F7">
      <w:pPr>
        <w:pStyle w:val="FootnoteText"/>
        <w:spacing w:before="40" w:line="240" w:lineRule="auto"/>
        <w:rPr>
          <w:rFonts w:asciiTheme="minorHAnsi" w:hAnsiTheme="minorHAnsi" w:cstheme="minorHAnsi"/>
          <w:sz w:val="15"/>
          <w:szCs w:val="15"/>
        </w:rPr>
      </w:pPr>
      <w:r w:rsidRPr="00E867F7">
        <w:rPr>
          <w:rStyle w:val="FootnoteReference"/>
          <w:rFonts w:asciiTheme="minorHAnsi" w:hAnsiTheme="minorHAnsi" w:cstheme="minorHAnsi"/>
          <w:sz w:val="15"/>
          <w:szCs w:val="15"/>
        </w:rPr>
        <w:footnoteRef/>
      </w:r>
      <w:r w:rsidRPr="00E867F7">
        <w:rPr>
          <w:rFonts w:asciiTheme="minorHAnsi" w:hAnsiTheme="minorHAnsi" w:cstheme="minorHAnsi"/>
          <w:sz w:val="15"/>
          <w:szCs w:val="15"/>
        </w:rPr>
        <w:t xml:space="preserve"> Further information available at: </w:t>
      </w:r>
      <w:hyperlink r:id="rId6" w:history="1">
        <w:r w:rsidRPr="00E867F7">
          <w:rPr>
            <w:rStyle w:val="Hyperlink"/>
            <w:rFonts w:asciiTheme="minorHAnsi" w:hAnsiTheme="minorHAnsi" w:cstheme="minorHAnsi"/>
            <w:sz w:val="15"/>
            <w:szCs w:val="15"/>
          </w:rPr>
          <w:t>http://www.health.wa.gov.au/publications/daip/DoH_DAIP2010-2015_Entire_Document.pdf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E3796F" w14:textId="77777777" w:rsidR="00C43FFD" w:rsidRDefault="00C43F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6E218" w14:textId="77777777" w:rsidR="003C04F4" w:rsidRPr="00C413D7" w:rsidRDefault="003C04F4" w:rsidP="00C413D7">
    <w:pPr>
      <w:pStyle w:val="Footer"/>
      <w:spacing w:after="80"/>
      <w:jc w:val="center"/>
      <w:rPr>
        <w:caps/>
        <w:color w:val="C00000"/>
        <w:sz w:val="16"/>
        <w:szCs w:val="16"/>
        <w:lang w:val="en-AU"/>
      </w:rPr>
    </w:pPr>
    <w:r w:rsidRPr="00C413D7">
      <w:rPr>
        <w:b/>
        <w:caps/>
        <w:color w:val="C00000"/>
        <w:sz w:val="16"/>
        <w:szCs w:val="16"/>
      </w:rPr>
      <w:t>Unclassified</w:t>
    </w:r>
  </w:p>
  <w:p w14:paraId="0B67EDB1" w14:textId="36C5BABE" w:rsidR="003C04F4" w:rsidRPr="00C413D7" w:rsidRDefault="003C04F4" w:rsidP="00C413D7">
    <w:pPr>
      <w:pStyle w:val="Header"/>
      <w:spacing w:after="80"/>
      <w:jc w:val="right"/>
      <w:rPr>
        <w:b/>
        <w:sz w:val="16"/>
        <w:szCs w:val="16"/>
      </w:rPr>
    </w:pPr>
    <w:r>
      <w:rPr>
        <w:b/>
        <w:sz w:val="16"/>
        <w:szCs w:val="16"/>
      </w:rPr>
      <w:t xml:space="preserve">Appendix </w:t>
    </w:r>
    <w:r w:rsidR="005818DD">
      <w:rPr>
        <w:b/>
        <w:sz w:val="16"/>
        <w:szCs w:val="16"/>
      </w:rPr>
      <w:t>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8CA37" w14:textId="77777777" w:rsidR="00C43FFD" w:rsidRDefault="00C43F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2094C"/>
    <w:multiLevelType w:val="multilevel"/>
    <w:tmpl w:val="C1CA0C2C"/>
    <w:lvl w:ilvl="0">
      <w:start w:val="1"/>
      <w:numFmt w:val="decimal"/>
      <w:pStyle w:val="Quick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17332505"/>
    <w:multiLevelType w:val="hybridMultilevel"/>
    <w:tmpl w:val="B4EA2774"/>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35C37F7"/>
    <w:multiLevelType w:val="hybridMultilevel"/>
    <w:tmpl w:val="7C0AFBC2"/>
    <w:lvl w:ilvl="0" w:tplc="0C4E6308">
      <w:start w:val="1"/>
      <w:numFmt w:val="decimal"/>
      <w:pStyle w:val="CERDBodyText1"/>
      <w:lvlText w:val="%1."/>
      <w:lvlJc w:val="left"/>
      <w:pPr>
        <w:ind w:left="644" w:hanging="360"/>
      </w:pPr>
      <w:rPr>
        <w:rFonts w:hint="default"/>
        <w:b w:val="0"/>
        <w:i w:val="0"/>
        <w:color w:val="auto"/>
        <w:sz w:val="24"/>
      </w:rPr>
    </w:lvl>
    <w:lvl w:ilvl="1" w:tplc="C554D464">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27A76A83"/>
    <w:multiLevelType w:val="hybridMultilevel"/>
    <w:tmpl w:val="F8F8022A"/>
    <w:lvl w:ilvl="0" w:tplc="8020E0C4">
      <w:start w:val="1"/>
      <w:numFmt w:val="bullet"/>
      <w:pStyle w:val="ICESCRBoxDotPoint"/>
      <w:lvlText w:val=""/>
      <w:lvlJc w:val="left"/>
      <w:pPr>
        <w:ind w:left="720" w:hanging="360"/>
      </w:pPr>
      <w:rPr>
        <w:rFonts w:ascii="Wingdings" w:hAnsi="Wingdings" w:hint="default"/>
        <w:b/>
        <w:i w:val="0"/>
        <w:position w:val="2"/>
        <w:sz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7D03C89"/>
    <w:multiLevelType w:val="singleLevel"/>
    <w:tmpl w:val="A1920412"/>
    <w:lvl w:ilvl="0">
      <w:start w:val="1"/>
      <w:numFmt w:val="bullet"/>
      <w:pStyle w:val="Bullet1"/>
      <w:lvlText w:val=""/>
      <w:lvlJc w:val="left"/>
      <w:pPr>
        <w:tabs>
          <w:tab w:val="num" w:pos="425"/>
        </w:tabs>
        <w:ind w:left="425" w:hanging="425"/>
      </w:pPr>
      <w:rPr>
        <w:rFonts w:ascii="Symbol" w:hAnsi="Symbol" w:hint="default"/>
      </w:rPr>
    </w:lvl>
  </w:abstractNum>
  <w:abstractNum w:abstractNumId="5">
    <w:nsid w:val="4F147B98"/>
    <w:multiLevelType w:val="hybridMultilevel"/>
    <w:tmpl w:val="48EABE9E"/>
    <w:lvl w:ilvl="0" w:tplc="4BD495E8">
      <w:start w:val="1"/>
      <w:numFmt w:val="bullet"/>
      <w:lvlText w:val=""/>
      <w:lvlJc w:val="left"/>
      <w:pPr>
        <w:ind w:left="142" w:firstLine="0"/>
      </w:pPr>
      <w:rPr>
        <w:rFonts w:ascii="Wingdings" w:hAnsi="Wingdings" w:hint="default"/>
        <w:b/>
        <w:i w:val="0"/>
        <w:color w:val="auto"/>
        <w:position w:val="2"/>
        <w:sz w:val="12"/>
      </w:rPr>
    </w:lvl>
    <w:lvl w:ilvl="1" w:tplc="0C090019">
      <w:start w:val="1"/>
      <w:numFmt w:val="lowerLetter"/>
      <w:lvlText w:val="%2."/>
      <w:lvlJc w:val="left"/>
      <w:pPr>
        <w:ind w:left="1080" w:hanging="360"/>
      </w:pPr>
    </w:lvl>
    <w:lvl w:ilvl="2" w:tplc="04E2D340">
      <w:numFmt w:val="bullet"/>
      <w:lvlText w:val="•"/>
      <w:lvlJc w:val="left"/>
      <w:pPr>
        <w:ind w:left="2340" w:hanging="720"/>
      </w:pPr>
      <w:rPr>
        <w:rFonts w:ascii="Calibri" w:eastAsiaTheme="minorEastAsia" w:hAnsi="Calibri" w:cs="Calibri"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63186B2A"/>
    <w:multiLevelType w:val="hybridMultilevel"/>
    <w:tmpl w:val="9A5AFF36"/>
    <w:lvl w:ilvl="0" w:tplc="645CAF02">
      <w:start w:val="1"/>
      <w:numFmt w:val="decimal"/>
      <w:pStyle w:val="CERDTableNumberdPoin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751D1927"/>
    <w:multiLevelType w:val="hybridMultilevel"/>
    <w:tmpl w:val="F6501518"/>
    <w:lvl w:ilvl="0" w:tplc="7C7E6C60">
      <w:start w:val="1"/>
      <w:numFmt w:val="upperRoman"/>
      <w:pStyle w:val="Heading1"/>
      <w:lvlText w:val="%1."/>
      <w:lvlJc w:val="right"/>
      <w:pPr>
        <w:ind w:left="720" w:hanging="360"/>
      </w:pPr>
    </w:lvl>
    <w:lvl w:ilvl="1" w:tplc="0D8C2C56">
      <w:numFmt w:val="bullet"/>
      <w:lvlText w:val="•"/>
      <w:lvlJc w:val="left"/>
      <w:pPr>
        <w:ind w:left="1440" w:hanging="360"/>
      </w:pPr>
      <w:rPr>
        <w:rFonts w:ascii="Calibri" w:eastAsiaTheme="minorEastAsia" w:hAnsi="Calibri" w:cs="Calibr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766C5853"/>
    <w:multiLevelType w:val="hybridMultilevel"/>
    <w:tmpl w:val="738AE424"/>
    <w:lvl w:ilvl="0" w:tplc="DD56D440">
      <w:start w:val="1"/>
      <w:numFmt w:val="upperRoman"/>
      <w:pStyle w:val="ICESCRHeadingMajo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78B63451"/>
    <w:multiLevelType w:val="hybridMultilevel"/>
    <w:tmpl w:val="DDBC1F22"/>
    <w:lvl w:ilvl="0" w:tplc="AF783B16">
      <w:start w:val="1"/>
      <w:numFmt w:val="bullet"/>
      <w:pStyle w:val="CERDBodyTextDotPoint"/>
      <w:lvlText w:val=""/>
      <w:lvlJc w:val="left"/>
      <w:pPr>
        <w:ind w:left="1070" w:hanging="360"/>
      </w:pPr>
      <w:rPr>
        <w:rFonts w:ascii="Wingdings" w:hAnsi="Wingdings" w:hint="default"/>
        <w:b/>
        <w:i w:val="0"/>
        <w:position w:val="2"/>
        <w:sz w:val="12"/>
      </w:rPr>
    </w:lvl>
    <w:lvl w:ilvl="1" w:tplc="0C090003">
      <w:start w:val="1"/>
      <w:numFmt w:val="bullet"/>
      <w:lvlText w:val="o"/>
      <w:lvlJc w:val="left"/>
      <w:pPr>
        <w:ind w:left="1937" w:hanging="360"/>
      </w:pPr>
      <w:rPr>
        <w:rFonts w:ascii="Courier New" w:hAnsi="Courier New" w:cs="Courier New" w:hint="default"/>
      </w:rPr>
    </w:lvl>
    <w:lvl w:ilvl="2" w:tplc="0C090005" w:tentative="1">
      <w:start w:val="1"/>
      <w:numFmt w:val="bullet"/>
      <w:lvlText w:val=""/>
      <w:lvlJc w:val="left"/>
      <w:pPr>
        <w:ind w:left="2657" w:hanging="360"/>
      </w:pPr>
      <w:rPr>
        <w:rFonts w:ascii="Wingdings" w:hAnsi="Wingdings" w:hint="default"/>
      </w:rPr>
    </w:lvl>
    <w:lvl w:ilvl="3" w:tplc="0C090001" w:tentative="1">
      <w:start w:val="1"/>
      <w:numFmt w:val="bullet"/>
      <w:lvlText w:val=""/>
      <w:lvlJc w:val="left"/>
      <w:pPr>
        <w:ind w:left="3377" w:hanging="360"/>
      </w:pPr>
      <w:rPr>
        <w:rFonts w:ascii="Symbol" w:hAnsi="Symbol" w:hint="default"/>
      </w:rPr>
    </w:lvl>
    <w:lvl w:ilvl="4" w:tplc="0C090003" w:tentative="1">
      <w:start w:val="1"/>
      <w:numFmt w:val="bullet"/>
      <w:lvlText w:val="o"/>
      <w:lvlJc w:val="left"/>
      <w:pPr>
        <w:ind w:left="4097" w:hanging="360"/>
      </w:pPr>
      <w:rPr>
        <w:rFonts w:ascii="Courier New" w:hAnsi="Courier New" w:cs="Courier New" w:hint="default"/>
      </w:rPr>
    </w:lvl>
    <w:lvl w:ilvl="5" w:tplc="0C090005" w:tentative="1">
      <w:start w:val="1"/>
      <w:numFmt w:val="bullet"/>
      <w:lvlText w:val=""/>
      <w:lvlJc w:val="left"/>
      <w:pPr>
        <w:ind w:left="4817" w:hanging="360"/>
      </w:pPr>
      <w:rPr>
        <w:rFonts w:ascii="Wingdings" w:hAnsi="Wingdings" w:hint="default"/>
      </w:rPr>
    </w:lvl>
    <w:lvl w:ilvl="6" w:tplc="0C090001" w:tentative="1">
      <w:start w:val="1"/>
      <w:numFmt w:val="bullet"/>
      <w:lvlText w:val=""/>
      <w:lvlJc w:val="left"/>
      <w:pPr>
        <w:ind w:left="5537" w:hanging="360"/>
      </w:pPr>
      <w:rPr>
        <w:rFonts w:ascii="Symbol" w:hAnsi="Symbol" w:hint="default"/>
      </w:rPr>
    </w:lvl>
    <w:lvl w:ilvl="7" w:tplc="0C090003" w:tentative="1">
      <w:start w:val="1"/>
      <w:numFmt w:val="bullet"/>
      <w:lvlText w:val="o"/>
      <w:lvlJc w:val="left"/>
      <w:pPr>
        <w:ind w:left="6257" w:hanging="360"/>
      </w:pPr>
      <w:rPr>
        <w:rFonts w:ascii="Courier New" w:hAnsi="Courier New" w:cs="Courier New" w:hint="default"/>
      </w:rPr>
    </w:lvl>
    <w:lvl w:ilvl="8" w:tplc="0C090005" w:tentative="1">
      <w:start w:val="1"/>
      <w:numFmt w:val="bullet"/>
      <w:lvlText w:val=""/>
      <w:lvlJc w:val="left"/>
      <w:pPr>
        <w:ind w:left="6977" w:hanging="360"/>
      </w:pPr>
      <w:rPr>
        <w:rFonts w:ascii="Wingdings" w:hAnsi="Wingdings" w:hint="default"/>
      </w:rPr>
    </w:lvl>
  </w:abstractNum>
  <w:abstractNum w:abstractNumId="10">
    <w:nsid w:val="7B94420A"/>
    <w:multiLevelType w:val="hybridMultilevel"/>
    <w:tmpl w:val="7982EEA8"/>
    <w:lvl w:ilvl="0" w:tplc="36D29CE0">
      <w:start w:val="1"/>
      <w:numFmt w:val="bullet"/>
      <w:pStyle w:val="CERDTableDotPoint"/>
      <w:lvlText w:val=""/>
      <w:lvlJc w:val="left"/>
      <w:pPr>
        <w:ind w:left="720" w:hanging="360"/>
      </w:pPr>
      <w:rPr>
        <w:rFonts w:ascii="Wingdings" w:hAnsi="Wingdings" w:hint="default"/>
        <w:b/>
        <w:i w:val="0"/>
        <w:position w:val="2"/>
        <w:sz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
  </w:num>
  <w:num w:numId="4">
    <w:abstractNumId w:val="9"/>
  </w:num>
  <w:num w:numId="5">
    <w:abstractNumId w:val="10"/>
  </w:num>
  <w:num w:numId="6">
    <w:abstractNumId w:val="6"/>
  </w:num>
  <w:num w:numId="7">
    <w:abstractNumId w:val="8"/>
  </w:num>
  <w:num w:numId="8">
    <w:abstractNumId w:val="3"/>
  </w:num>
  <w:num w:numId="9">
    <w:abstractNumId w:val="4"/>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0"/>
  </w:num>
  <w:num w:numId="18">
    <w:abstractNumId w:val="2"/>
    <w:lvlOverride w:ilvl="0">
      <w:startOverride w:val="1"/>
    </w:lvlOverride>
  </w:num>
  <w:num w:numId="19">
    <w:abstractNumId w:val="2"/>
  </w:num>
  <w:num w:numId="20">
    <w:abstractNumId w:val="2"/>
  </w:num>
  <w:num w:numId="21">
    <w:abstractNumId w:val="2"/>
  </w:num>
  <w:num w:numId="22">
    <w:abstractNumId w:val="2"/>
  </w:num>
  <w:num w:numId="23">
    <w:abstractNumId w:val="5"/>
  </w:num>
  <w:num w:numId="24">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49153"/>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67E"/>
    <w:rsid w:val="000020EF"/>
    <w:rsid w:val="00003318"/>
    <w:rsid w:val="00005B15"/>
    <w:rsid w:val="00005B98"/>
    <w:rsid w:val="0000694B"/>
    <w:rsid w:val="00007612"/>
    <w:rsid w:val="0001067E"/>
    <w:rsid w:val="000129C8"/>
    <w:rsid w:val="0001777D"/>
    <w:rsid w:val="00020592"/>
    <w:rsid w:val="000209C3"/>
    <w:rsid w:val="00021631"/>
    <w:rsid w:val="00022F5F"/>
    <w:rsid w:val="00030219"/>
    <w:rsid w:val="0003081E"/>
    <w:rsid w:val="000309AC"/>
    <w:rsid w:val="00034825"/>
    <w:rsid w:val="00040065"/>
    <w:rsid w:val="00047EBD"/>
    <w:rsid w:val="00050067"/>
    <w:rsid w:val="000532CB"/>
    <w:rsid w:val="00054FFB"/>
    <w:rsid w:val="00062F12"/>
    <w:rsid w:val="00065CD9"/>
    <w:rsid w:val="00066E7B"/>
    <w:rsid w:val="0006767D"/>
    <w:rsid w:val="00070B8A"/>
    <w:rsid w:val="00073BD8"/>
    <w:rsid w:val="000749A8"/>
    <w:rsid w:val="00074DB0"/>
    <w:rsid w:val="00081481"/>
    <w:rsid w:val="00083069"/>
    <w:rsid w:val="000845C6"/>
    <w:rsid w:val="0008495D"/>
    <w:rsid w:val="0008556E"/>
    <w:rsid w:val="00085B81"/>
    <w:rsid w:val="00086F6E"/>
    <w:rsid w:val="000912C6"/>
    <w:rsid w:val="00093234"/>
    <w:rsid w:val="00097638"/>
    <w:rsid w:val="000A08CB"/>
    <w:rsid w:val="000A2A69"/>
    <w:rsid w:val="000A410B"/>
    <w:rsid w:val="000A7A7E"/>
    <w:rsid w:val="000B08FF"/>
    <w:rsid w:val="000B1394"/>
    <w:rsid w:val="000B3D5A"/>
    <w:rsid w:val="000B4AE0"/>
    <w:rsid w:val="000C0B00"/>
    <w:rsid w:val="000C1D87"/>
    <w:rsid w:val="000C2A72"/>
    <w:rsid w:val="000C37F6"/>
    <w:rsid w:val="000C4CCE"/>
    <w:rsid w:val="000C62FA"/>
    <w:rsid w:val="000D3E0C"/>
    <w:rsid w:val="000D4C7E"/>
    <w:rsid w:val="000E00AC"/>
    <w:rsid w:val="000E449C"/>
    <w:rsid w:val="000E4671"/>
    <w:rsid w:val="000E7AD0"/>
    <w:rsid w:val="000F18DA"/>
    <w:rsid w:val="000F1DC7"/>
    <w:rsid w:val="000F4B99"/>
    <w:rsid w:val="001003D2"/>
    <w:rsid w:val="00100A4B"/>
    <w:rsid w:val="001021D2"/>
    <w:rsid w:val="0010249B"/>
    <w:rsid w:val="001026D9"/>
    <w:rsid w:val="00103D07"/>
    <w:rsid w:val="00103D83"/>
    <w:rsid w:val="00105781"/>
    <w:rsid w:val="0011078D"/>
    <w:rsid w:val="00111061"/>
    <w:rsid w:val="00111527"/>
    <w:rsid w:val="00113AC2"/>
    <w:rsid w:val="00114E67"/>
    <w:rsid w:val="00120B69"/>
    <w:rsid w:val="00126FB2"/>
    <w:rsid w:val="001323A8"/>
    <w:rsid w:val="00133243"/>
    <w:rsid w:val="00136AE4"/>
    <w:rsid w:val="00136C83"/>
    <w:rsid w:val="00136DEF"/>
    <w:rsid w:val="001370E9"/>
    <w:rsid w:val="001376ED"/>
    <w:rsid w:val="00143A3D"/>
    <w:rsid w:val="001445BB"/>
    <w:rsid w:val="0014464A"/>
    <w:rsid w:val="00144DA2"/>
    <w:rsid w:val="00163303"/>
    <w:rsid w:val="001665B4"/>
    <w:rsid w:val="00166BB0"/>
    <w:rsid w:val="001674EA"/>
    <w:rsid w:val="00167688"/>
    <w:rsid w:val="00172015"/>
    <w:rsid w:val="001735EB"/>
    <w:rsid w:val="0018142B"/>
    <w:rsid w:val="001873FC"/>
    <w:rsid w:val="0019047E"/>
    <w:rsid w:val="00191B31"/>
    <w:rsid w:val="0019340E"/>
    <w:rsid w:val="00193F15"/>
    <w:rsid w:val="001A1DFA"/>
    <w:rsid w:val="001A3579"/>
    <w:rsid w:val="001A4315"/>
    <w:rsid w:val="001A4888"/>
    <w:rsid w:val="001B1F45"/>
    <w:rsid w:val="001B5D2E"/>
    <w:rsid w:val="001C0679"/>
    <w:rsid w:val="001C102A"/>
    <w:rsid w:val="001C3F99"/>
    <w:rsid w:val="001C41EA"/>
    <w:rsid w:val="001C493C"/>
    <w:rsid w:val="001C4DD2"/>
    <w:rsid w:val="001C61C7"/>
    <w:rsid w:val="001C767C"/>
    <w:rsid w:val="001C77F1"/>
    <w:rsid w:val="001C7F7B"/>
    <w:rsid w:val="001E255F"/>
    <w:rsid w:val="001E64B0"/>
    <w:rsid w:val="001E7381"/>
    <w:rsid w:val="001E7B79"/>
    <w:rsid w:val="001F15C2"/>
    <w:rsid w:val="001F77F4"/>
    <w:rsid w:val="00201F7E"/>
    <w:rsid w:val="00205821"/>
    <w:rsid w:val="00207795"/>
    <w:rsid w:val="00210BC7"/>
    <w:rsid w:val="002112A4"/>
    <w:rsid w:val="00212375"/>
    <w:rsid w:val="002223ED"/>
    <w:rsid w:val="002264A9"/>
    <w:rsid w:val="00236B3D"/>
    <w:rsid w:val="00237049"/>
    <w:rsid w:val="00241222"/>
    <w:rsid w:val="002459ED"/>
    <w:rsid w:val="0024612D"/>
    <w:rsid w:val="00246A22"/>
    <w:rsid w:val="00252371"/>
    <w:rsid w:val="0025320A"/>
    <w:rsid w:val="00255106"/>
    <w:rsid w:val="002666E1"/>
    <w:rsid w:val="0027205F"/>
    <w:rsid w:val="0027222D"/>
    <w:rsid w:val="00286EDF"/>
    <w:rsid w:val="00286FEF"/>
    <w:rsid w:val="00290F60"/>
    <w:rsid w:val="002914F2"/>
    <w:rsid w:val="00293895"/>
    <w:rsid w:val="00295584"/>
    <w:rsid w:val="002B1861"/>
    <w:rsid w:val="002B482B"/>
    <w:rsid w:val="002C0F0A"/>
    <w:rsid w:val="002C45F2"/>
    <w:rsid w:val="002C57C9"/>
    <w:rsid w:val="002C6D8C"/>
    <w:rsid w:val="002C6E85"/>
    <w:rsid w:val="002D3A2A"/>
    <w:rsid w:val="002D3E45"/>
    <w:rsid w:val="002D6DDA"/>
    <w:rsid w:val="002D7D0D"/>
    <w:rsid w:val="002E0732"/>
    <w:rsid w:val="002E0B18"/>
    <w:rsid w:val="002E4512"/>
    <w:rsid w:val="002E54E6"/>
    <w:rsid w:val="002F08BB"/>
    <w:rsid w:val="002F4D17"/>
    <w:rsid w:val="002F6088"/>
    <w:rsid w:val="00305874"/>
    <w:rsid w:val="0030741E"/>
    <w:rsid w:val="00307E8F"/>
    <w:rsid w:val="00310A86"/>
    <w:rsid w:val="003121F3"/>
    <w:rsid w:val="00312A09"/>
    <w:rsid w:val="003212AA"/>
    <w:rsid w:val="00321800"/>
    <w:rsid w:val="00323689"/>
    <w:rsid w:val="003274CD"/>
    <w:rsid w:val="00327C93"/>
    <w:rsid w:val="00332059"/>
    <w:rsid w:val="00336A21"/>
    <w:rsid w:val="0034216E"/>
    <w:rsid w:val="00343093"/>
    <w:rsid w:val="00343306"/>
    <w:rsid w:val="00344A74"/>
    <w:rsid w:val="003450EB"/>
    <w:rsid w:val="00345A0E"/>
    <w:rsid w:val="003471A3"/>
    <w:rsid w:val="00351B2D"/>
    <w:rsid w:val="00351B8D"/>
    <w:rsid w:val="00354AD8"/>
    <w:rsid w:val="003555F3"/>
    <w:rsid w:val="00355D3C"/>
    <w:rsid w:val="003563A0"/>
    <w:rsid w:val="003630AC"/>
    <w:rsid w:val="00367335"/>
    <w:rsid w:val="00372073"/>
    <w:rsid w:val="00376AE6"/>
    <w:rsid w:val="00377B8E"/>
    <w:rsid w:val="003840AD"/>
    <w:rsid w:val="0038712B"/>
    <w:rsid w:val="00396DB5"/>
    <w:rsid w:val="003A184C"/>
    <w:rsid w:val="003A1B94"/>
    <w:rsid w:val="003A380B"/>
    <w:rsid w:val="003A3B40"/>
    <w:rsid w:val="003A5F55"/>
    <w:rsid w:val="003A6FF3"/>
    <w:rsid w:val="003B01D7"/>
    <w:rsid w:val="003B0902"/>
    <w:rsid w:val="003B2C67"/>
    <w:rsid w:val="003B406C"/>
    <w:rsid w:val="003B44F8"/>
    <w:rsid w:val="003B51FE"/>
    <w:rsid w:val="003B6BB1"/>
    <w:rsid w:val="003B6CF6"/>
    <w:rsid w:val="003C04F4"/>
    <w:rsid w:val="003C0628"/>
    <w:rsid w:val="003C0A38"/>
    <w:rsid w:val="003C106C"/>
    <w:rsid w:val="003C4257"/>
    <w:rsid w:val="003C5FE4"/>
    <w:rsid w:val="003D21AD"/>
    <w:rsid w:val="003D2393"/>
    <w:rsid w:val="003D2F96"/>
    <w:rsid w:val="003D3F44"/>
    <w:rsid w:val="003D57D1"/>
    <w:rsid w:val="003E3A4C"/>
    <w:rsid w:val="003F1333"/>
    <w:rsid w:val="003F545C"/>
    <w:rsid w:val="00402478"/>
    <w:rsid w:val="00412722"/>
    <w:rsid w:val="00413C5A"/>
    <w:rsid w:val="00413ECE"/>
    <w:rsid w:val="0042082E"/>
    <w:rsid w:val="004213DA"/>
    <w:rsid w:val="00422A95"/>
    <w:rsid w:val="00422EBB"/>
    <w:rsid w:val="00424480"/>
    <w:rsid w:val="00424727"/>
    <w:rsid w:val="0042700A"/>
    <w:rsid w:val="00432B51"/>
    <w:rsid w:val="00433D40"/>
    <w:rsid w:val="00435C3B"/>
    <w:rsid w:val="00436D0D"/>
    <w:rsid w:val="00440633"/>
    <w:rsid w:val="0044481E"/>
    <w:rsid w:val="00444A3B"/>
    <w:rsid w:val="0044642C"/>
    <w:rsid w:val="00452F69"/>
    <w:rsid w:val="00460225"/>
    <w:rsid w:val="00460C7F"/>
    <w:rsid w:val="00460FA0"/>
    <w:rsid w:val="004670C1"/>
    <w:rsid w:val="004676D3"/>
    <w:rsid w:val="00471FCC"/>
    <w:rsid w:val="00472C19"/>
    <w:rsid w:val="004746CF"/>
    <w:rsid w:val="0048055A"/>
    <w:rsid w:val="0048060B"/>
    <w:rsid w:val="00482078"/>
    <w:rsid w:val="00484F4E"/>
    <w:rsid w:val="00485E40"/>
    <w:rsid w:val="004877A1"/>
    <w:rsid w:val="00487B1F"/>
    <w:rsid w:val="00494ED4"/>
    <w:rsid w:val="004965C7"/>
    <w:rsid w:val="00496D43"/>
    <w:rsid w:val="00496D48"/>
    <w:rsid w:val="00497ED5"/>
    <w:rsid w:val="004A0B7D"/>
    <w:rsid w:val="004A0DB5"/>
    <w:rsid w:val="004A48EC"/>
    <w:rsid w:val="004A6C33"/>
    <w:rsid w:val="004A77A3"/>
    <w:rsid w:val="004B4500"/>
    <w:rsid w:val="004B64F7"/>
    <w:rsid w:val="004C232A"/>
    <w:rsid w:val="004C248C"/>
    <w:rsid w:val="004C29EE"/>
    <w:rsid w:val="004C3728"/>
    <w:rsid w:val="004C3C78"/>
    <w:rsid w:val="004C3CE9"/>
    <w:rsid w:val="004C44DF"/>
    <w:rsid w:val="004C4552"/>
    <w:rsid w:val="004C4CC7"/>
    <w:rsid w:val="004C7C7D"/>
    <w:rsid w:val="004D7A17"/>
    <w:rsid w:val="004E5D89"/>
    <w:rsid w:val="004F121D"/>
    <w:rsid w:val="004F5D92"/>
    <w:rsid w:val="005019B8"/>
    <w:rsid w:val="00504EBD"/>
    <w:rsid w:val="00512442"/>
    <w:rsid w:val="005179F2"/>
    <w:rsid w:val="0052144B"/>
    <w:rsid w:val="00531A7C"/>
    <w:rsid w:val="00536998"/>
    <w:rsid w:val="00543AF1"/>
    <w:rsid w:val="005460A4"/>
    <w:rsid w:val="005464F6"/>
    <w:rsid w:val="00550CB9"/>
    <w:rsid w:val="00551B42"/>
    <w:rsid w:val="005545EB"/>
    <w:rsid w:val="00556BB0"/>
    <w:rsid w:val="005602CC"/>
    <w:rsid w:val="005604FA"/>
    <w:rsid w:val="00566D0D"/>
    <w:rsid w:val="00567780"/>
    <w:rsid w:val="00567EB4"/>
    <w:rsid w:val="005723B7"/>
    <w:rsid w:val="00575004"/>
    <w:rsid w:val="00575BAB"/>
    <w:rsid w:val="00576CC3"/>
    <w:rsid w:val="005818DD"/>
    <w:rsid w:val="00582894"/>
    <w:rsid w:val="005833F2"/>
    <w:rsid w:val="00583FBD"/>
    <w:rsid w:val="00584B1B"/>
    <w:rsid w:val="0059343D"/>
    <w:rsid w:val="005943B9"/>
    <w:rsid w:val="00595E38"/>
    <w:rsid w:val="00597619"/>
    <w:rsid w:val="005A2F85"/>
    <w:rsid w:val="005A5690"/>
    <w:rsid w:val="005B53A0"/>
    <w:rsid w:val="005B6D34"/>
    <w:rsid w:val="005C3D38"/>
    <w:rsid w:val="005C47F2"/>
    <w:rsid w:val="005C75CF"/>
    <w:rsid w:val="005D78AE"/>
    <w:rsid w:val="005E1349"/>
    <w:rsid w:val="005E230B"/>
    <w:rsid w:val="005E3A4F"/>
    <w:rsid w:val="005E7C92"/>
    <w:rsid w:val="005E7EE4"/>
    <w:rsid w:val="005F3489"/>
    <w:rsid w:val="005F6B50"/>
    <w:rsid w:val="005F7F20"/>
    <w:rsid w:val="006032F9"/>
    <w:rsid w:val="006051EA"/>
    <w:rsid w:val="006103CA"/>
    <w:rsid w:val="00610CCB"/>
    <w:rsid w:val="006137D3"/>
    <w:rsid w:val="00614E2E"/>
    <w:rsid w:val="0061710F"/>
    <w:rsid w:val="00617B58"/>
    <w:rsid w:val="00620856"/>
    <w:rsid w:val="0063029C"/>
    <w:rsid w:val="00630694"/>
    <w:rsid w:val="00630932"/>
    <w:rsid w:val="00631F96"/>
    <w:rsid w:val="00634E9D"/>
    <w:rsid w:val="006408F0"/>
    <w:rsid w:val="006412EB"/>
    <w:rsid w:val="00643D47"/>
    <w:rsid w:val="0064754D"/>
    <w:rsid w:val="0065336F"/>
    <w:rsid w:val="00661546"/>
    <w:rsid w:val="006670DB"/>
    <w:rsid w:val="00667DCA"/>
    <w:rsid w:val="00671D83"/>
    <w:rsid w:val="00674DB3"/>
    <w:rsid w:val="006824D5"/>
    <w:rsid w:val="00683B6E"/>
    <w:rsid w:val="00684B81"/>
    <w:rsid w:val="006863A7"/>
    <w:rsid w:val="00690314"/>
    <w:rsid w:val="0069206B"/>
    <w:rsid w:val="00692874"/>
    <w:rsid w:val="00695480"/>
    <w:rsid w:val="006966F7"/>
    <w:rsid w:val="006B1C95"/>
    <w:rsid w:val="006B3554"/>
    <w:rsid w:val="006C16FD"/>
    <w:rsid w:val="006C2806"/>
    <w:rsid w:val="006C2CF1"/>
    <w:rsid w:val="006C6148"/>
    <w:rsid w:val="006D45BD"/>
    <w:rsid w:val="006E517F"/>
    <w:rsid w:val="006E5324"/>
    <w:rsid w:val="006E605F"/>
    <w:rsid w:val="006E6721"/>
    <w:rsid w:val="006E70D2"/>
    <w:rsid w:val="006F0BA7"/>
    <w:rsid w:val="006F499A"/>
    <w:rsid w:val="006F52FF"/>
    <w:rsid w:val="00702F3E"/>
    <w:rsid w:val="00704088"/>
    <w:rsid w:val="00704D96"/>
    <w:rsid w:val="00706285"/>
    <w:rsid w:val="007063F8"/>
    <w:rsid w:val="00710773"/>
    <w:rsid w:val="007114A0"/>
    <w:rsid w:val="00715396"/>
    <w:rsid w:val="00716341"/>
    <w:rsid w:val="00726A57"/>
    <w:rsid w:val="007326CE"/>
    <w:rsid w:val="0073786F"/>
    <w:rsid w:val="00740000"/>
    <w:rsid w:val="00750875"/>
    <w:rsid w:val="00751DA7"/>
    <w:rsid w:val="00753296"/>
    <w:rsid w:val="007535AF"/>
    <w:rsid w:val="00757210"/>
    <w:rsid w:val="00757C80"/>
    <w:rsid w:val="007602C9"/>
    <w:rsid w:val="0076708E"/>
    <w:rsid w:val="00771ABA"/>
    <w:rsid w:val="00772471"/>
    <w:rsid w:val="0077537D"/>
    <w:rsid w:val="007754CE"/>
    <w:rsid w:val="00775DD5"/>
    <w:rsid w:val="007854FF"/>
    <w:rsid w:val="00790F01"/>
    <w:rsid w:val="00791477"/>
    <w:rsid w:val="00796C71"/>
    <w:rsid w:val="007A4BC0"/>
    <w:rsid w:val="007B3A7D"/>
    <w:rsid w:val="007C15F0"/>
    <w:rsid w:val="007C2E1E"/>
    <w:rsid w:val="007C485C"/>
    <w:rsid w:val="007D1026"/>
    <w:rsid w:val="007D208F"/>
    <w:rsid w:val="007E1832"/>
    <w:rsid w:val="007E4293"/>
    <w:rsid w:val="007F16A1"/>
    <w:rsid w:val="007F19C3"/>
    <w:rsid w:val="007F1E3F"/>
    <w:rsid w:val="007F5784"/>
    <w:rsid w:val="007F5ADA"/>
    <w:rsid w:val="007F5C0C"/>
    <w:rsid w:val="007F5EB0"/>
    <w:rsid w:val="00803FA5"/>
    <w:rsid w:val="00804604"/>
    <w:rsid w:val="00804D09"/>
    <w:rsid w:val="0080571A"/>
    <w:rsid w:val="008106B6"/>
    <w:rsid w:val="00811012"/>
    <w:rsid w:val="00813DCE"/>
    <w:rsid w:val="00814893"/>
    <w:rsid w:val="008163D0"/>
    <w:rsid w:val="008179C5"/>
    <w:rsid w:val="00821B37"/>
    <w:rsid w:val="00822198"/>
    <w:rsid w:val="00824BFB"/>
    <w:rsid w:val="008322C0"/>
    <w:rsid w:val="0085543F"/>
    <w:rsid w:val="00860D5B"/>
    <w:rsid w:val="00861EB2"/>
    <w:rsid w:val="008638D5"/>
    <w:rsid w:val="00867168"/>
    <w:rsid w:val="00867582"/>
    <w:rsid w:val="00871D9A"/>
    <w:rsid w:val="0087326D"/>
    <w:rsid w:val="0087499B"/>
    <w:rsid w:val="00876003"/>
    <w:rsid w:val="0087723B"/>
    <w:rsid w:val="008805C1"/>
    <w:rsid w:val="00882082"/>
    <w:rsid w:val="00884CDD"/>
    <w:rsid w:val="00887232"/>
    <w:rsid w:val="00887D51"/>
    <w:rsid w:val="008900FC"/>
    <w:rsid w:val="00890DC6"/>
    <w:rsid w:val="008938ED"/>
    <w:rsid w:val="0089556C"/>
    <w:rsid w:val="008A6EDF"/>
    <w:rsid w:val="008A7FA8"/>
    <w:rsid w:val="008B0365"/>
    <w:rsid w:val="008B0D3B"/>
    <w:rsid w:val="008B54E9"/>
    <w:rsid w:val="008B5742"/>
    <w:rsid w:val="008B5A38"/>
    <w:rsid w:val="008C0DA8"/>
    <w:rsid w:val="008C0F52"/>
    <w:rsid w:val="008C1BAA"/>
    <w:rsid w:val="008C55CE"/>
    <w:rsid w:val="008C57A5"/>
    <w:rsid w:val="008C6EFF"/>
    <w:rsid w:val="008D111F"/>
    <w:rsid w:val="008D404F"/>
    <w:rsid w:val="008D6BDA"/>
    <w:rsid w:val="008F0CCC"/>
    <w:rsid w:val="008F18EE"/>
    <w:rsid w:val="008F5348"/>
    <w:rsid w:val="0090364A"/>
    <w:rsid w:val="009045DF"/>
    <w:rsid w:val="0090603E"/>
    <w:rsid w:val="00911D03"/>
    <w:rsid w:val="009122C4"/>
    <w:rsid w:val="00913F38"/>
    <w:rsid w:val="0091415C"/>
    <w:rsid w:val="009175D1"/>
    <w:rsid w:val="009230F7"/>
    <w:rsid w:val="00923118"/>
    <w:rsid w:val="00923E33"/>
    <w:rsid w:val="0092455A"/>
    <w:rsid w:val="00934F88"/>
    <w:rsid w:val="00935F98"/>
    <w:rsid w:val="00936998"/>
    <w:rsid w:val="009409A2"/>
    <w:rsid w:val="00943FEA"/>
    <w:rsid w:val="00946B7E"/>
    <w:rsid w:val="00946CFE"/>
    <w:rsid w:val="009521AD"/>
    <w:rsid w:val="00952658"/>
    <w:rsid w:val="00952ED4"/>
    <w:rsid w:val="00953C78"/>
    <w:rsid w:val="00954949"/>
    <w:rsid w:val="009549A5"/>
    <w:rsid w:val="009559F3"/>
    <w:rsid w:val="00955E49"/>
    <w:rsid w:val="00957365"/>
    <w:rsid w:val="009613D9"/>
    <w:rsid w:val="009622B7"/>
    <w:rsid w:val="009672EC"/>
    <w:rsid w:val="00977909"/>
    <w:rsid w:val="00977C73"/>
    <w:rsid w:val="0098066D"/>
    <w:rsid w:val="0098081F"/>
    <w:rsid w:val="00980D81"/>
    <w:rsid w:val="00983E53"/>
    <w:rsid w:val="009904F9"/>
    <w:rsid w:val="00995B0E"/>
    <w:rsid w:val="00995B59"/>
    <w:rsid w:val="009A14A4"/>
    <w:rsid w:val="009A3A05"/>
    <w:rsid w:val="009A45CA"/>
    <w:rsid w:val="009B04F8"/>
    <w:rsid w:val="009B1174"/>
    <w:rsid w:val="009C0ADA"/>
    <w:rsid w:val="009C5ACA"/>
    <w:rsid w:val="009C5E64"/>
    <w:rsid w:val="009C790E"/>
    <w:rsid w:val="009C7C10"/>
    <w:rsid w:val="009D1192"/>
    <w:rsid w:val="009D3143"/>
    <w:rsid w:val="009D3E62"/>
    <w:rsid w:val="009D3F2F"/>
    <w:rsid w:val="009D782D"/>
    <w:rsid w:val="009E071D"/>
    <w:rsid w:val="009E09FF"/>
    <w:rsid w:val="009E14EB"/>
    <w:rsid w:val="009E2B3A"/>
    <w:rsid w:val="009E4F83"/>
    <w:rsid w:val="009E576A"/>
    <w:rsid w:val="009F7506"/>
    <w:rsid w:val="00A0787F"/>
    <w:rsid w:val="00A10E12"/>
    <w:rsid w:val="00A1103B"/>
    <w:rsid w:val="00A128A6"/>
    <w:rsid w:val="00A14383"/>
    <w:rsid w:val="00A156D8"/>
    <w:rsid w:val="00A22DDD"/>
    <w:rsid w:val="00A26DEF"/>
    <w:rsid w:val="00A27285"/>
    <w:rsid w:val="00A32EB7"/>
    <w:rsid w:val="00A33131"/>
    <w:rsid w:val="00A35B8F"/>
    <w:rsid w:val="00A37923"/>
    <w:rsid w:val="00A419A3"/>
    <w:rsid w:val="00A42099"/>
    <w:rsid w:val="00A47806"/>
    <w:rsid w:val="00A47CB2"/>
    <w:rsid w:val="00A5100B"/>
    <w:rsid w:val="00A63BFB"/>
    <w:rsid w:val="00A67CD3"/>
    <w:rsid w:val="00A7073E"/>
    <w:rsid w:val="00A70747"/>
    <w:rsid w:val="00A714E2"/>
    <w:rsid w:val="00A8071A"/>
    <w:rsid w:val="00A81DB1"/>
    <w:rsid w:val="00A81E1D"/>
    <w:rsid w:val="00A8262B"/>
    <w:rsid w:val="00A8392A"/>
    <w:rsid w:val="00A869AC"/>
    <w:rsid w:val="00A87A32"/>
    <w:rsid w:val="00A97EE1"/>
    <w:rsid w:val="00AA189F"/>
    <w:rsid w:val="00AA4BAE"/>
    <w:rsid w:val="00AA5399"/>
    <w:rsid w:val="00AA57BA"/>
    <w:rsid w:val="00AA69D8"/>
    <w:rsid w:val="00AA7C55"/>
    <w:rsid w:val="00AB020B"/>
    <w:rsid w:val="00AB1684"/>
    <w:rsid w:val="00AB4AEC"/>
    <w:rsid w:val="00AB5352"/>
    <w:rsid w:val="00AC0D92"/>
    <w:rsid w:val="00AC252C"/>
    <w:rsid w:val="00AC3102"/>
    <w:rsid w:val="00AD0553"/>
    <w:rsid w:val="00AD2BAA"/>
    <w:rsid w:val="00AD2FD2"/>
    <w:rsid w:val="00AD7133"/>
    <w:rsid w:val="00AE20B3"/>
    <w:rsid w:val="00AE356E"/>
    <w:rsid w:val="00AE3EA6"/>
    <w:rsid w:val="00AE460E"/>
    <w:rsid w:val="00AE4985"/>
    <w:rsid w:val="00AE4A18"/>
    <w:rsid w:val="00AE7D2B"/>
    <w:rsid w:val="00AF2AA1"/>
    <w:rsid w:val="00AF7E5D"/>
    <w:rsid w:val="00B01340"/>
    <w:rsid w:val="00B014D4"/>
    <w:rsid w:val="00B01921"/>
    <w:rsid w:val="00B03049"/>
    <w:rsid w:val="00B05DB6"/>
    <w:rsid w:val="00B0659F"/>
    <w:rsid w:val="00B0684E"/>
    <w:rsid w:val="00B06946"/>
    <w:rsid w:val="00B101F1"/>
    <w:rsid w:val="00B169E6"/>
    <w:rsid w:val="00B2408B"/>
    <w:rsid w:val="00B303A6"/>
    <w:rsid w:val="00B31EC1"/>
    <w:rsid w:val="00B325C7"/>
    <w:rsid w:val="00B32AD9"/>
    <w:rsid w:val="00B343E9"/>
    <w:rsid w:val="00B34D17"/>
    <w:rsid w:val="00B502B0"/>
    <w:rsid w:val="00B50B53"/>
    <w:rsid w:val="00B516B1"/>
    <w:rsid w:val="00B5351E"/>
    <w:rsid w:val="00B54951"/>
    <w:rsid w:val="00B55C5B"/>
    <w:rsid w:val="00B570A2"/>
    <w:rsid w:val="00B611D4"/>
    <w:rsid w:val="00B6149C"/>
    <w:rsid w:val="00B62778"/>
    <w:rsid w:val="00B646B2"/>
    <w:rsid w:val="00B666A6"/>
    <w:rsid w:val="00B73DA7"/>
    <w:rsid w:val="00B759B3"/>
    <w:rsid w:val="00B7645D"/>
    <w:rsid w:val="00B775FB"/>
    <w:rsid w:val="00B81171"/>
    <w:rsid w:val="00B81C87"/>
    <w:rsid w:val="00B824AF"/>
    <w:rsid w:val="00B90EF5"/>
    <w:rsid w:val="00B94D82"/>
    <w:rsid w:val="00B95C57"/>
    <w:rsid w:val="00B9685C"/>
    <w:rsid w:val="00BA1751"/>
    <w:rsid w:val="00BA1C97"/>
    <w:rsid w:val="00BA2FDD"/>
    <w:rsid w:val="00BA56D6"/>
    <w:rsid w:val="00BB4B7F"/>
    <w:rsid w:val="00BB629C"/>
    <w:rsid w:val="00BB6D15"/>
    <w:rsid w:val="00BB6E63"/>
    <w:rsid w:val="00BB7AEE"/>
    <w:rsid w:val="00BB7D91"/>
    <w:rsid w:val="00BC0627"/>
    <w:rsid w:val="00BC0CFD"/>
    <w:rsid w:val="00BC6A95"/>
    <w:rsid w:val="00BD1717"/>
    <w:rsid w:val="00BD50B1"/>
    <w:rsid w:val="00BD5FB3"/>
    <w:rsid w:val="00BE07CC"/>
    <w:rsid w:val="00BE2BF9"/>
    <w:rsid w:val="00BF138D"/>
    <w:rsid w:val="00BF1691"/>
    <w:rsid w:val="00BF2060"/>
    <w:rsid w:val="00BF6398"/>
    <w:rsid w:val="00BF6BAC"/>
    <w:rsid w:val="00C01BF8"/>
    <w:rsid w:val="00C10EFA"/>
    <w:rsid w:val="00C11ED3"/>
    <w:rsid w:val="00C1566D"/>
    <w:rsid w:val="00C17DEB"/>
    <w:rsid w:val="00C21189"/>
    <w:rsid w:val="00C227F2"/>
    <w:rsid w:val="00C23A6D"/>
    <w:rsid w:val="00C26070"/>
    <w:rsid w:val="00C324C7"/>
    <w:rsid w:val="00C325BC"/>
    <w:rsid w:val="00C33CD0"/>
    <w:rsid w:val="00C34A97"/>
    <w:rsid w:val="00C3755C"/>
    <w:rsid w:val="00C413D7"/>
    <w:rsid w:val="00C43FFD"/>
    <w:rsid w:val="00C45E94"/>
    <w:rsid w:val="00C462F5"/>
    <w:rsid w:val="00C50222"/>
    <w:rsid w:val="00C525F6"/>
    <w:rsid w:val="00C5592D"/>
    <w:rsid w:val="00C62BFF"/>
    <w:rsid w:val="00C63A5F"/>
    <w:rsid w:val="00C63B8C"/>
    <w:rsid w:val="00C72E4F"/>
    <w:rsid w:val="00C80E16"/>
    <w:rsid w:val="00C81CFE"/>
    <w:rsid w:val="00C820B0"/>
    <w:rsid w:val="00C82D82"/>
    <w:rsid w:val="00C82F42"/>
    <w:rsid w:val="00C854DB"/>
    <w:rsid w:val="00C904C4"/>
    <w:rsid w:val="00C91CF3"/>
    <w:rsid w:val="00C92925"/>
    <w:rsid w:val="00C93099"/>
    <w:rsid w:val="00C93825"/>
    <w:rsid w:val="00C964B9"/>
    <w:rsid w:val="00C9684A"/>
    <w:rsid w:val="00CA08D8"/>
    <w:rsid w:val="00CA2682"/>
    <w:rsid w:val="00CA3718"/>
    <w:rsid w:val="00CA6011"/>
    <w:rsid w:val="00CA683A"/>
    <w:rsid w:val="00CB14CF"/>
    <w:rsid w:val="00CB1F9F"/>
    <w:rsid w:val="00CB44EC"/>
    <w:rsid w:val="00CB5043"/>
    <w:rsid w:val="00CB51FD"/>
    <w:rsid w:val="00CC475A"/>
    <w:rsid w:val="00CC5969"/>
    <w:rsid w:val="00CC6A06"/>
    <w:rsid w:val="00CD22F0"/>
    <w:rsid w:val="00CD2632"/>
    <w:rsid w:val="00CD3C03"/>
    <w:rsid w:val="00CD5E28"/>
    <w:rsid w:val="00CD6F30"/>
    <w:rsid w:val="00CF4209"/>
    <w:rsid w:val="00CF666B"/>
    <w:rsid w:val="00D00DA0"/>
    <w:rsid w:val="00D03DA8"/>
    <w:rsid w:val="00D0735F"/>
    <w:rsid w:val="00D12EC3"/>
    <w:rsid w:val="00D20D0D"/>
    <w:rsid w:val="00D22918"/>
    <w:rsid w:val="00D23110"/>
    <w:rsid w:val="00D234A5"/>
    <w:rsid w:val="00D2592D"/>
    <w:rsid w:val="00D2606E"/>
    <w:rsid w:val="00D34933"/>
    <w:rsid w:val="00D35E7E"/>
    <w:rsid w:val="00D41326"/>
    <w:rsid w:val="00D43FA2"/>
    <w:rsid w:val="00D44266"/>
    <w:rsid w:val="00D47D3E"/>
    <w:rsid w:val="00D50361"/>
    <w:rsid w:val="00D53A14"/>
    <w:rsid w:val="00D54F9E"/>
    <w:rsid w:val="00D56735"/>
    <w:rsid w:val="00D5679E"/>
    <w:rsid w:val="00D61B7C"/>
    <w:rsid w:val="00D64185"/>
    <w:rsid w:val="00D739E5"/>
    <w:rsid w:val="00D765C5"/>
    <w:rsid w:val="00D831D7"/>
    <w:rsid w:val="00D839A3"/>
    <w:rsid w:val="00D87A58"/>
    <w:rsid w:val="00D87CB4"/>
    <w:rsid w:val="00D904AE"/>
    <w:rsid w:val="00D94310"/>
    <w:rsid w:val="00D94F93"/>
    <w:rsid w:val="00DA1B00"/>
    <w:rsid w:val="00DA417C"/>
    <w:rsid w:val="00DA77DA"/>
    <w:rsid w:val="00DB40DD"/>
    <w:rsid w:val="00DB68D0"/>
    <w:rsid w:val="00DC19A3"/>
    <w:rsid w:val="00DC23DA"/>
    <w:rsid w:val="00DC2543"/>
    <w:rsid w:val="00DC2C4D"/>
    <w:rsid w:val="00DC30FA"/>
    <w:rsid w:val="00DC54EA"/>
    <w:rsid w:val="00DD4710"/>
    <w:rsid w:val="00DE2A6E"/>
    <w:rsid w:val="00DE2BD1"/>
    <w:rsid w:val="00DE618A"/>
    <w:rsid w:val="00DE7C6D"/>
    <w:rsid w:val="00DF2189"/>
    <w:rsid w:val="00DF635F"/>
    <w:rsid w:val="00E02496"/>
    <w:rsid w:val="00E03495"/>
    <w:rsid w:val="00E044AC"/>
    <w:rsid w:val="00E04A6F"/>
    <w:rsid w:val="00E066A0"/>
    <w:rsid w:val="00E10FCC"/>
    <w:rsid w:val="00E115BA"/>
    <w:rsid w:val="00E11D32"/>
    <w:rsid w:val="00E128E9"/>
    <w:rsid w:val="00E1548E"/>
    <w:rsid w:val="00E16559"/>
    <w:rsid w:val="00E2106F"/>
    <w:rsid w:val="00E376C9"/>
    <w:rsid w:val="00E42865"/>
    <w:rsid w:val="00E434E4"/>
    <w:rsid w:val="00E435F4"/>
    <w:rsid w:val="00E51ED0"/>
    <w:rsid w:val="00E57CF1"/>
    <w:rsid w:val="00E57E7A"/>
    <w:rsid w:val="00E608F3"/>
    <w:rsid w:val="00E609FB"/>
    <w:rsid w:val="00E679B9"/>
    <w:rsid w:val="00E67DDB"/>
    <w:rsid w:val="00E71B52"/>
    <w:rsid w:val="00E72692"/>
    <w:rsid w:val="00E73DEE"/>
    <w:rsid w:val="00E74EDF"/>
    <w:rsid w:val="00E756AE"/>
    <w:rsid w:val="00E76558"/>
    <w:rsid w:val="00E76A25"/>
    <w:rsid w:val="00E772A3"/>
    <w:rsid w:val="00E7731E"/>
    <w:rsid w:val="00E81085"/>
    <w:rsid w:val="00E85075"/>
    <w:rsid w:val="00E867F7"/>
    <w:rsid w:val="00E8705E"/>
    <w:rsid w:val="00E87625"/>
    <w:rsid w:val="00E93EC3"/>
    <w:rsid w:val="00E97B34"/>
    <w:rsid w:val="00EA28F3"/>
    <w:rsid w:val="00EA322D"/>
    <w:rsid w:val="00EB068D"/>
    <w:rsid w:val="00EB0A39"/>
    <w:rsid w:val="00EB3AD5"/>
    <w:rsid w:val="00EB3D9B"/>
    <w:rsid w:val="00EC44CD"/>
    <w:rsid w:val="00EC7B79"/>
    <w:rsid w:val="00ED1772"/>
    <w:rsid w:val="00ED40A2"/>
    <w:rsid w:val="00ED4151"/>
    <w:rsid w:val="00EE0C51"/>
    <w:rsid w:val="00EE26AB"/>
    <w:rsid w:val="00EE5D49"/>
    <w:rsid w:val="00EF7D1A"/>
    <w:rsid w:val="00F002A6"/>
    <w:rsid w:val="00F00AB0"/>
    <w:rsid w:val="00F042C2"/>
    <w:rsid w:val="00F04E41"/>
    <w:rsid w:val="00F07B8E"/>
    <w:rsid w:val="00F07D92"/>
    <w:rsid w:val="00F10F9F"/>
    <w:rsid w:val="00F11601"/>
    <w:rsid w:val="00F120F2"/>
    <w:rsid w:val="00F14832"/>
    <w:rsid w:val="00F17214"/>
    <w:rsid w:val="00F22EC5"/>
    <w:rsid w:val="00F23C7D"/>
    <w:rsid w:val="00F26006"/>
    <w:rsid w:val="00F2622D"/>
    <w:rsid w:val="00F30899"/>
    <w:rsid w:val="00F31359"/>
    <w:rsid w:val="00F3162E"/>
    <w:rsid w:val="00F3202C"/>
    <w:rsid w:val="00F33085"/>
    <w:rsid w:val="00F34A9A"/>
    <w:rsid w:val="00F37047"/>
    <w:rsid w:val="00F40E6B"/>
    <w:rsid w:val="00F417CD"/>
    <w:rsid w:val="00F41928"/>
    <w:rsid w:val="00F42D6E"/>
    <w:rsid w:val="00F448DB"/>
    <w:rsid w:val="00F45B4F"/>
    <w:rsid w:val="00F51A35"/>
    <w:rsid w:val="00F55E62"/>
    <w:rsid w:val="00F565C3"/>
    <w:rsid w:val="00F62E9B"/>
    <w:rsid w:val="00F63763"/>
    <w:rsid w:val="00F63CAC"/>
    <w:rsid w:val="00F7160B"/>
    <w:rsid w:val="00F7619F"/>
    <w:rsid w:val="00F77DAA"/>
    <w:rsid w:val="00F80774"/>
    <w:rsid w:val="00F838E2"/>
    <w:rsid w:val="00F83CDD"/>
    <w:rsid w:val="00F9416C"/>
    <w:rsid w:val="00FA156E"/>
    <w:rsid w:val="00FA4663"/>
    <w:rsid w:val="00FA685B"/>
    <w:rsid w:val="00FA7F3B"/>
    <w:rsid w:val="00FB083A"/>
    <w:rsid w:val="00FB2469"/>
    <w:rsid w:val="00FB4795"/>
    <w:rsid w:val="00FB4B9A"/>
    <w:rsid w:val="00FC0868"/>
    <w:rsid w:val="00FC1D85"/>
    <w:rsid w:val="00FC23C6"/>
    <w:rsid w:val="00FC2C5D"/>
    <w:rsid w:val="00FD1EA9"/>
    <w:rsid w:val="00FD2137"/>
    <w:rsid w:val="00FD2E6B"/>
    <w:rsid w:val="00FD557A"/>
    <w:rsid w:val="00FD5A63"/>
    <w:rsid w:val="00FF2102"/>
    <w:rsid w:val="00FF5335"/>
    <w:rsid w:val="00FF561E"/>
    <w:rsid w:val="00FF5DA3"/>
    <w:rsid w:val="00FF630A"/>
    <w:rsid w:val="00FF7A63"/>
    <w:rsid w:val="00FF7AA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3E9A2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pPr>
        <w:jc w:val="both"/>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4C7E"/>
    <w:rPr>
      <w:rFonts w:asciiTheme="minorHAnsi" w:eastAsiaTheme="minorEastAsia" w:hAnsiTheme="minorHAnsi" w:cstheme="minorBidi"/>
      <w:sz w:val="24"/>
      <w:szCs w:val="24"/>
      <w:lang w:val="en-US" w:eastAsia="ja-JP"/>
    </w:rPr>
  </w:style>
  <w:style w:type="paragraph" w:styleId="Heading1">
    <w:name w:val="heading 1"/>
    <w:basedOn w:val="Normal"/>
    <w:next w:val="Normal"/>
    <w:link w:val="Heading1Char"/>
    <w:autoRedefine/>
    <w:uiPriority w:val="9"/>
    <w:qFormat/>
    <w:rsid w:val="002C45F2"/>
    <w:pPr>
      <w:keepNext/>
      <w:keepLines/>
      <w:numPr>
        <w:numId w:val="2"/>
      </w:numPr>
      <w:spacing w:after="120"/>
      <w:ind w:left="721" w:hanging="437"/>
      <w:outlineLvl w:val="0"/>
    </w:pPr>
    <w:rPr>
      <w:rFonts w:asciiTheme="majorHAnsi" w:eastAsiaTheme="majorEastAsia" w:hAnsiTheme="majorHAnsi" w:cstheme="majorBidi"/>
      <w:b/>
      <w:bCs/>
      <w:caps/>
      <w:color w:val="000000" w:themeColor="text1"/>
      <w:sz w:val="32"/>
      <w:szCs w:val="32"/>
    </w:rPr>
  </w:style>
  <w:style w:type="paragraph" w:styleId="Heading2">
    <w:name w:val="heading 2"/>
    <w:basedOn w:val="Normal"/>
    <w:next w:val="Normal"/>
    <w:link w:val="Heading2Char"/>
    <w:autoRedefine/>
    <w:uiPriority w:val="9"/>
    <w:unhideWhenUsed/>
    <w:qFormat/>
    <w:rsid w:val="00887232"/>
    <w:pPr>
      <w:keepNext/>
      <w:keepLines/>
      <w:spacing w:before="200"/>
      <w:outlineLvl w:val="1"/>
    </w:pPr>
    <w:rPr>
      <w:rFonts w:asciiTheme="majorHAnsi" w:eastAsiaTheme="majorEastAsia" w:hAnsiTheme="majorHAnsi" w:cs="Times New Roman"/>
      <w:bCs/>
      <w:i/>
      <w:sz w:val="26"/>
      <w:szCs w:val="26"/>
    </w:rPr>
  </w:style>
  <w:style w:type="paragraph" w:styleId="Heading3">
    <w:name w:val="heading 3"/>
    <w:basedOn w:val="Normal"/>
    <w:next w:val="Normal"/>
    <w:link w:val="Heading3Char"/>
    <w:uiPriority w:val="9"/>
    <w:unhideWhenUsed/>
    <w:qFormat/>
    <w:rsid w:val="001323A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70628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1067E"/>
    <w:pPr>
      <w:tabs>
        <w:tab w:val="center" w:pos="4513"/>
        <w:tab w:val="right" w:pos="9026"/>
      </w:tabs>
    </w:pPr>
  </w:style>
  <w:style w:type="character" w:customStyle="1" w:styleId="HeaderChar">
    <w:name w:val="Header Char"/>
    <w:basedOn w:val="DefaultParagraphFont"/>
    <w:link w:val="Header"/>
    <w:rsid w:val="0001067E"/>
    <w:rPr>
      <w:rFonts w:asciiTheme="minorHAnsi" w:eastAsiaTheme="minorEastAsia" w:hAnsiTheme="minorHAnsi" w:cstheme="minorBidi"/>
      <w:sz w:val="24"/>
      <w:szCs w:val="24"/>
      <w:lang w:val="en-US" w:eastAsia="ja-JP"/>
    </w:rPr>
  </w:style>
  <w:style w:type="paragraph" w:styleId="Footer">
    <w:name w:val="footer"/>
    <w:basedOn w:val="Normal"/>
    <w:link w:val="FooterChar"/>
    <w:uiPriority w:val="99"/>
    <w:rsid w:val="0001067E"/>
    <w:pPr>
      <w:tabs>
        <w:tab w:val="center" w:pos="4513"/>
        <w:tab w:val="right" w:pos="9026"/>
      </w:tabs>
    </w:pPr>
  </w:style>
  <w:style w:type="character" w:customStyle="1" w:styleId="FooterChar">
    <w:name w:val="Footer Char"/>
    <w:basedOn w:val="DefaultParagraphFont"/>
    <w:link w:val="Footer"/>
    <w:uiPriority w:val="99"/>
    <w:rsid w:val="0001067E"/>
    <w:rPr>
      <w:rFonts w:asciiTheme="minorHAnsi" w:eastAsiaTheme="minorEastAsia" w:hAnsiTheme="minorHAnsi" w:cstheme="minorBidi"/>
      <w:sz w:val="24"/>
      <w:szCs w:val="24"/>
      <w:lang w:val="en-US" w:eastAsia="ja-JP"/>
    </w:rPr>
  </w:style>
  <w:style w:type="paragraph" w:styleId="ListParagraph">
    <w:name w:val="List Paragraph"/>
    <w:aliases w:val="List Paragraph1,List Paragraph11,Bullet point,Recommendation,List Paragraph Number,L,CV text,Table text,F5 List Paragraph,Dot pt,Medium Grid 1 - Accent 21,Numbered Paragraph,List Paragraph111,List Paragraph2,Bulleted Para,FooterText,列出段落"/>
    <w:basedOn w:val="Normal"/>
    <w:link w:val="ListParagraphChar"/>
    <w:uiPriority w:val="34"/>
    <w:qFormat/>
    <w:rsid w:val="0001067E"/>
    <w:pPr>
      <w:ind w:left="720"/>
      <w:contextualSpacing/>
    </w:pPr>
  </w:style>
  <w:style w:type="character" w:customStyle="1" w:styleId="Heading1Char">
    <w:name w:val="Heading 1 Char"/>
    <w:basedOn w:val="DefaultParagraphFont"/>
    <w:link w:val="Heading1"/>
    <w:uiPriority w:val="9"/>
    <w:rsid w:val="002C45F2"/>
    <w:rPr>
      <w:rFonts w:asciiTheme="majorHAnsi" w:eastAsiaTheme="majorEastAsia" w:hAnsiTheme="majorHAnsi" w:cstheme="majorBidi"/>
      <w:b/>
      <w:bCs/>
      <w:caps/>
      <w:color w:val="000000" w:themeColor="text1"/>
      <w:sz w:val="32"/>
      <w:szCs w:val="32"/>
      <w:lang w:val="en-US" w:eastAsia="ja-JP"/>
    </w:rPr>
  </w:style>
  <w:style w:type="character" w:customStyle="1" w:styleId="Heading2Char">
    <w:name w:val="Heading 2 Char"/>
    <w:basedOn w:val="DefaultParagraphFont"/>
    <w:link w:val="Heading2"/>
    <w:uiPriority w:val="9"/>
    <w:rsid w:val="00887232"/>
    <w:rPr>
      <w:rFonts w:asciiTheme="majorHAnsi" w:eastAsiaTheme="majorEastAsia" w:hAnsiTheme="majorHAnsi"/>
      <w:bCs/>
      <w:i/>
      <w:sz w:val="26"/>
      <w:szCs w:val="26"/>
      <w:lang w:val="en-US" w:eastAsia="ja-JP"/>
    </w:rPr>
  </w:style>
  <w:style w:type="character" w:styleId="CommentReference">
    <w:name w:val="annotation reference"/>
    <w:basedOn w:val="DefaultParagraphFont"/>
    <w:unhideWhenUsed/>
    <w:rsid w:val="0001067E"/>
    <w:rPr>
      <w:sz w:val="16"/>
      <w:szCs w:val="16"/>
    </w:rPr>
  </w:style>
  <w:style w:type="paragraph" w:styleId="CommentText">
    <w:name w:val="annotation text"/>
    <w:basedOn w:val="Normal"/>
    <w:link w:val="CommentTextChar"/>
    <w:uiPriority w:val="99"/>
    <w:unhideWhenUsed/>
    <w:rsid w:val="0001067E"/>
    <w:rPr>
      <w:sz w:val="20"/>
      <w:szCs w:val="20"/>
    </w:rPr>
  </w:style>
  <w:style w:type="character" w:customStyle="1" w:styleId="CommentTextChar">
    <w:name w:val="Comment Text Char"/>
    <w:basedOn w:val="DefaultParagraphFont"/>
    <w:link w:val="CommentText"/>
    <w:uiPriority w:val="99"/>
    <w:rsid w:val="0001067E"/>
    <w:rPr>
      <w:rFonts w:asciiTheme="minorHAnsi" w:eastAsiaTheme="minorEastAsia" w:hAnsiTheme="minorHAnsi" w:cstheme="minorBidi"/>
      <w:lang w:val="en-US" w:eastAsia="ja-JP"/>
    </w:rPr>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Char,FA Fu, Char,(NECG) Footnote Text"/>
    <w:basedOn w:val="Normal"/>
    <w:link w:val="FootnoteTextChar"/>
    <w:uiPriority w:val="99"/>
    <w:unhideWhenUsed/>
    <w:qFormat/>
    <w:rsid w:val="0001067E"/>
    <w:pPr>
      <w:spacing w:line="276" w:lineRule="auto"/>
    </w:pPr>
    <w:rPr>
      <w:rFonts w:ascii="Calibri" w:eastAsia="Calibri" w:hAnsi="Calibri" w:cs="Times New Roman"/>
      <w:sz w:val="20"/>
      <w:szCs w:val="20"/>
      <w:lang w:eastAsia="en-US"/>
    </w:rPr>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
    <w:basedOn w:val="DefaultParagraphFont"/>
    <w:link w:val="FootnoteText"/>
    <w:uiPriority w:val="99"/>
    <w:rsid w:val="0001067E"/>
    <w:rPr>
      <w:rFonts w:ascii="Calibri" w:eastAsia="Calibri" w:hAnsi="Calibri"/>
      <w:lang w:val="en-US" w:eastAsia="en-US"/>
    </w:rPr>
  </w:style>
  <w:style w:type="character" w:styleId="FootnoteReference">
    <w:name w:val="footnote reference"/>
    <w:aliases w:val="4_G,(NECG) Footnote Reference"/>
    <w:uiPriority w:val="99"/>
    <w:unhideWhenUsed/>
    <w:rsid w:val="0001067E"/>
    <w:rPr>
      <w:vertAlign w:val="superscript"/>
    </w:rPr>
  </w:style>
  <w:style w:type="paragraph" w:styleId="BalloonText">
    <w:name w:val="Balloon Text"/>
    <w:basedOn w:val="Normal"/>
    <w:link w:val="BalloonTextChar"/>
    <w:uiPriority w:val="99"/>
    <w:rsid w:val="0001067E"/>
    <w:rPr>
      <w:rFonts w:ascii="Tahoma" w:hAnsi="Tahoma" w:cs="Tahoma"/>
      <w:sz w:val="16"/>
      <w:szCs w:val="16"/>
    </w:rPr>
  </w:style>
  <w:style w:type="character" w:customStyle="1" w:styleId="BalloonTextChar">
    <w:name w:val="Balloon Text Char"/>
    <w:basedOn w:val="DefaultParagraphFont"/>
    <w:link w:val="BalloonText"/>
    <w:uiPriority w:val="99"/>
    <w:rsid w:val="0001067E"/>
    <w:rPr>
      <w:rFonts w:ascii="Tahoma" w:eastAsiaTheme="minorEastAsia" w:hAnsi="Tahoma" w:cs="Tahoma"/>
      <w:sz w:val="16"/>
      <w:szCs w:val="16"/>
      <w:lang w:val="en-US" w:eastAsia="ja-JP"/>
    </w:rPr>
  </w:style>
  <w:style w:type="paragraph" w:styleId="Subtitle">
    <w:name w:val="Subtitle"/>
    <w:basedOn w:val="Normal"/>
    <w:next w:val="Normal"/>
    <w:link w:val="SubtitleChar"/>
    <w:qFormat/>
    <w:rsid w:val="00A869A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A869AC"/>
    <w:rPr>
      <w:rFonts w:asciiTheme="majorHAnsi" w:eastAsiaTheme="majorEastAsia" w:hAnsiTheme="majorHAnsi" w:cstheme="majorBidi"/>
      <w:i/>
      <w:iCs/>
      <w:color w:val="4F81BD" w:themeColor="accent1"/>
      <w:spacing w:val="15"/>
      <w:sz w:val="24"/>
      <w:szCs w:val="24"/>
      <w:lang w:val="en-US" w:eastAsia="ja-JP"/>
    </w:rPr>
  </w:style>
  <w:style w:type="paragraph" w:styleId="CommentSubject">
    <w:name w:val="annotation subject"/>
    <w:basedOn w:val="CommentText"/>
    <w:next w:val="CommentText"/>
    <w:link w:val="CommentSubjectChar"/>
    <w:rsid w:val="00DD4710"/>
    <w:rPr>
      <w:b/>
      <w:bCs/>
    </w:rPr>
  </w:style>
  <w:style w:type="character" w:customStyle="1" w:styleId="CommentSubjectChar">
    <w:name w:val="Comment Subject Char"/>
    <w:basedOn w:val="CommentTextChar"/>
    <w:link w:val="CommentSubject"/>
    <w:rsid w:val="00DD4710"/>
    <w:rPr>
      <w:rFonts w:asciiTheme="minorHAnsi" w:eastAsiaTheme="minorEastAsia" w:hAnsiTheme="minorHAnsi" w:cstheme="minorBidi"/>
      <w:b/>
      <w:bCs/>
      <w:lang w:val="en-US" w:eastAsia="ja-JP"/>
    </w:rPr>
  </w:style>
  <w:style w:type="character" w:styleId="Hyperlink">
    <w:name w:val="Hyperlink"/>
    <w:basedOn w:val="DefaultParagraphFont"/>
    <w:uiPriority w:val="99"/>
    <w:unhideWhenUsed/>
    <w:rsid w:val="00487B1F"/>
    <w:rPr>
      <w:color w:val="0000FF" w:themeColor="hyperlink"/>
      <w:u w:val="single"/>
    </w:rPr>
  </w:style>
  <w:style w:type="paragraph" w:styleId="TOC1">
    <w:name w:val="toc 1"/>
    <w:basedOn w:val="Normal"/>
    <w:next w:val="Normal"/>
    <w:autoRedefine/>
    <w:uiPriority w:val="39"/>
    <w:unhideWhenUsed/>
    <w:rsid w:val="00CF4209"/>
    <w:pPr>
      <w:spacing w:before="240" w:after="120"/>
    </w:pPr>
    <w:rPr>
      <w:rFonts w:ascii="Times New Roman" w:hAnsi="Times New Roman"/>
      <w:b/>
      <w:caps/>
      <w:sz w:val="23"/>
      <w:szCs w:val="22"/>
      <w:u w:val="single"/>
    </w:rPr>
  </w:style>
  <w:style w:type="character" w:customStyle="1" w:styleId="Heading3Char">
    <w:name w:val="Heading 3 Char"/>
    <w:basedOn w:val="DefaultParagraphFont"/>
    <w:link w:val="Heading3"/>
    <w:uiPriority w:val="9"/>
    <w:rsid w:val="001323A8"/>
    <w:rPr>
      <w:rFonts w:asciiTheme="majorHAnsi" w:eastAsiaTheme="majorEastAsia" w:hAnsiTheme="majorHAnsi" w:cstheme="majorBidi"/>
      <w:b/>
      <w:bCs/>
      <w:color w:val="4F81BD" w:themeColor="accent1"/>
      <w:sz w:val="24"/>
      <w:szCs w:val="24"/>
      <w:lang w:val="en-US" w:eastAsia="ja-JP"/>
    </w:rPr>
  </w:style>
  <w:style w:type="table" w:styleId="TableGrid">
    <w:name w:val="Table Grid"/>
    <w:basedOn w:val="TableNormal"/>
    <w:rsid w:val="00074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074DB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trong">
    <w:name w:val="Strong"/>
    <w:basedOn w:val="DefaultParagraphFont"/>
    <w:uiPriority w:val="22"/>
    <w:qFormat/>
    <w:rsid w:val="007C2E1E"/>
    <w:rPr>
      <w:b/>
      <w:bCs/>
    </w:rPr>
  </w:style>
  <w:style w:type="paragraph" w:customStyle="1" w:styleId="SingleTxtG">
    <w:name w:val="_ Single Txt_G"/>
    <w:basedOn w:val="Normal"/>
    <w:rsid w:val="007C2E1E"/>
    <w:pPr>
      <w:suppressAutoHyphens/>
      <w:spacing w:after="120" w:line="240" w:lineRule="atLeast"/>
      <w:ind w:left="1134" w:right="1134"/>
    </w:pPr>
    <w:rPr>
      <w:rFonts w:ascii="Times New Roman" w:eastAsia="Times New Roman" w:hAnsi="Times New Roman" w:cs="Times New Roman"/>
      <w:sz w:val="20"/>
      <w:szCs w:val="20"/>
      <w:lang w:val="en-GB" w:eastAsia="en-US"/>
    </w:rPr>
  </w:style>
  <w:style w:type="character" w:styleId="BookTitle">
    <w:name w:val="Book Title"/>
    <w:uiPriority w:val="33"/>
    <w:qFormat/>
    <w:rsid w:val="00290F60"/>
    <w:rPr>
      <w:i/>
      <w:iCs/>
      <w:smallCaps/>
      <w:spacing w:val="5"/>
    </w:rPr>
  </w:style>
  <w:style w:type="paragraph" w:styleId="NoSpacing">
    <w:name w:val="No Spacing"/>
    <w:uiPriority w:val="1"/>
    <w:qFormat/>
    <w:rsid w:val="00290F60"/>
    <w:rPr>
      <w:sz w:val="24"/>
      <w:szCs w:val="24"/>
      <w:lang w:eastAsia="en-US"/>
    </w:rPr>
  </w:style>
  <w:style w:type="character" w:styleId="Emphasis">
    <w:name w:val="Emphasis"/>
    <w:basedOn w:val="DefaultParagraphFont"/>
    <w:uiPriority w:val="20"/>
    <w:qFormat/>
    <w:rsid w:val="00F07B8E"/>
    <w:rPr>
      <w:i/>
      <w:iCs/>
    </w:rPr>
  </w:style>
  <w:style w:type="character" w:customStyle="1" w:styleId="Heading4Char">
    <w:name w:val="Heading 4 Char"/>
    <w:basedOn w:val="DefaultParagraphFont"/>
    <w:link w:val="Heading4"/>
    <w:semiHidden/>
    <w:rsid w:val="00706285"/>
    <w:rPr>
      <w:rFonts w:asciiTheme="majorHAnsi" w:eastAsiaTheme="majorEastAsia" w:hAnsiTheme="majorHAnsi" w:cstheme="majorBidi"/>
      <w:b/>
      <w:bCs/>
      <w:i/>
      <w:iCs/>
      <w:color w:val="4F81BD" w:themeColor="accent1"/>
      <w:sz w:val="24"/>
      <w:szCs w:val="24"/>
      <w:lang w:val="en-US" w:eastAsia="ja-JP"/>
    </w:rPr>
  </w:style>
  <w:style w:type="paragraph" w:styleId="NormalWeb">
    <w:name w:val="Normal (Web)"/>
    <w:basedOn w:val="Normal"/>
    <w:uiPriority w:val="99"/>
    <w:unhideWhenUsed/>
    <w:rsid w:val="00706285"/>
    <w:pPr>
      <w:spacing w:before="180" w:after="100" w:afterAutospacing="1"/>
    </w:pPr>
    <w:rPr>
      <w:rFonts w:ascii="Times New Roman" w:eastAsia="Times New Roman" w:hAnsi="Times New Roman" w:cs="Times New Roman"/>
      <w:lang w:val="en-AU" w:eastAsia="en-AU"/>
    </w:rPr>
  </w:style>
  <w:style w:type="paragraph" w:customStyle="1" w:styleId="VEOHRCBodytext">
    <w:name w:val="VEOHRC Body text"/>
    <w:link w:val="VEOHRCBodytextChar"/>
    <w:autoRedefine/>
    <w:uiPriority w:val="99"/>
    <w:rsid w:val="002E4512"/>
    <w:pPr>
      <w:spacing w:before="80" w:after="120"/>
    </w:pPr>
    <w:rPr>
      <w:rFonts w:ascii="Arial" w:eastAsia="Arial Unicode MS" w:hAnsi="Arial"/>
      <w:sz w:val="24"/>
      <w:szCs w:val="24"/>
      <w:lang w:val="en-GB"/>
    </w:rPr>
  </w:style>
  <w:style w:type="character" w:customStyle="1" w:styleId="VEOHRCBodytextChar">
    <w:name w:val="VEOHRC Body text Char"/>
    <w:basedOn w:val="DefaultParagraphFont"/>
    <w:link w:val="VEOHRCBodytext"/>
    <w:uiPriority w:val="99"/>
    <w:locked/>
    <w:rsid w:val="002E4512"/>
    <w:rPr>
      <w:rFonts w:ascii="Arial" w:eastAsia="Arial Unicode MS" w:hAnsi="Arial"/>
      <w:sz w:val="24"/>
      <w:szCs w:val="24"/>
      <w:lang w:val="en-GB"/>
    </w:rPr>
  </w:style>
  <w:style w:type="paragraph" w:customStyle="1" w:styleId="Style0">
    <w:name w:val="Style0"/>
    <w:uiPriority w:val="99"/>
    <w:rsid w:val="00472C19"/>
    <w:pPr>
      <w:autoSpaceDE w:val="0"/>
      <w:autoSpaceDN w:val="0"/>
      <w:adjustRightInd w:val="0"/>
    </w:pPr>
    <w:rPr>
      <w:rFonts w:ascii="Arial" w:hAnsi="Arial"/>
      <w:sz w:val="24"/>
      <w:szCs w:val="24"/>
    </w:rPr>
  </w:style>
  <w:style w:type="paragraph" w:customStyle="1" w:styleId="CM12">
    <w:name w:val="CM12"/>
    <w:basedOn w:val="Normal"/>
    <w:uiPriority w:val="99"/>
    <w:rsid w:val="00867582"/>
    <w:pPr>
      <w:autoSpaceDE w:val="0"/>
      <w:autoSpaceDN w:val="0"/>
      <w:spacing w:line="300" w:lineRule="atLeast"/>
    </w:pPr>
    <w:rPr>
      <w:rFonts w:ascii="Myriad Pro" w:eastAsiaTheme="minorHAnsi" w:hAnsi="Myriad Pro" w:cs="Times New Roman"/>
      <w:lang w:val="en-AU" w:eastAsia="en-AU"/>
    </w:rPr>
  </w:style>
  <w:style w:type="character" w:customStyle="1" w:styleId="ListParagraphChar">
    <w:name w:val="List Paragraph Char"/>
    <w:aliases w:val="List Paragraph1 Char,List Paragraph11 Char,Bullet point Char,Recommendation Char,List Paragraph Number Char,L Char,CV text Char,Table text Char,F5 List Paragraph Char,Dot pt Char,Medium Grid 1 - Accent 21 Char,Numbered Paragraph Char"/>
    <w:basedOn w:val="DefaultParagraphFont"/>
    <w:link w:val="ListParagraph"/>
    <w:uiPriority w:val="34"/>
    <w:qFormat/>
    <w:locked/>
    <w:rsid w:val="00F07D92"/>
    <w:rPr>
      <w:rFonts w:asciiTheme="minorHAnsi" w:eastAsiaTheme="minorEastAsia" w:hAnsiTheme="minorHAnsi" w:cstheme="minorBidi"/>
      <w:sz w:val="24"/>
      <w:szCs w:val="24"/>
      <w:lang w:val="en-US" w:eastAsia="ja-JP"/>
    </w:rPr>
  </w:style>
  <w:style w:type="paragraph" w:styleId="BodyText3">
    <w:name w:val="Body Text 3"/>
    <w:basedOn w:val="Normal"/>
    <w:link w:val="BodyText3Char"/>
    <w:rsid w:val="004A0DB5"/>
    <w:pPr>
      <w:spacing w:after="120"/>
      <w:jc w:val="left"/>
    </w:pPr>
    <w:rPr>
      <w:rFonts w:ascii="Times New Roman" w:eastAsia="Times New Roman" w:hAnsi="Times New Roman" w:cs="Times New Roman"/>
      <w:sz w:val="16"/>
      <w:szCs w:val="16"/>
      <w:lang w:val="en-AU" w:eastAsia="en-US"/>
    </w:rPr>
  </w:style>
  <w:style w:type="character" w:customStyle="1" w:styleId="BodyText3Char">
    <w:name w:val="Body Text 3 Char"/>
    <w:basedOn w:val="DefaultParagraphFont"/>
    <w:link w:val="BodyText3"/>
    <w:rsid w:val="004A0DB5"/>
    <w:rPr>
      <w:sz w:val="16"/>
      <w:szCs w:val="16"/>
      <w:lang w:eastAsia="en-US"/>
    </w:rPr>
  </w:style>
  <w:style w:type="paragraph" w:styleId="HTMLPreformatted">
    <w:name w:val="HTML Preformatted"/>
    <w:basedOn w:val="Normal"/>
    <w:link w:val="HTMLPreformattedChar"/>
    <w:uiPriority w:val="99"/>
    <w:unhideWhenUsed/>
    <w:rsid w:val="003B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AU" w:eastAsia="en-AU"/>
    </w:rPr>
  </w:style>
  <w:style w:type="character" w:customStyle="1" w:styleId="HTMLPreformattedChar">
    <w:name w:val="HTML Preformatted Char"/>
    <w:basedOn w:val="DefaultParagraphFont"/>
    <w:link w:val="HTMLPreformatted"/>
    <w:uiPriority w:val="99"/>
    <w:rsid w:val="003B6BB1"/>
    <w:rPr>
      <w:rFonts w:ascii="Courier New" w:hAnsi="Courier New" w:cs="Courier New"/>
    </w:rPr>
  </w:style>
  <w:style w:type="paragraph" w:styleId="BodyText2">
    <w:name w:val="Body Text 2"/>
    <w:basedOn w:val="Normal"/>
    <w:link w:val="BodyText2Char"/>
    <w:rsid w:val="00EE26AB"/>
    <w:pPr>
      <w:spacing w:after="120" w:line="480" w:lineRule="auto"/>
      <w:jc w:val="left"/>
    </w:pPr>
    <w:rPr>
      <w:rFonts w:ascii="Times New Roman" w:eastAsia="Times New Roman" w:hAnsi="Times New Roman" w:cs="Times New Roman"/>
      <w:lang w:val="en-AU" w:eastAsia="en-AU"/>
    </w:rPr>
  </w:style>
  <w:style w:type="character" w:customStyle="1" w:styleId="BodyText2Char">
    <w:name w:val="Body Text 2 Char"/>
    <w:basedOn w:val="DefaultParagraphFont"/>
    <w:link w:val="BodyText2"/>
    <w:rsid w:val="00EE26AB"/>
    <w:rPr>
      <w:sz w:val="24"/>
      <w:szCs w:val="24"/>
    </w:rPr>
  </w:style>
  <w:style w:type="paragraph" w:styleId="TOCHeading">
    <w:name w:val="TOC Heading"/>
    <w:basedOn w:val="Heading1"/>
    <w:next w:val="Normal"/>
    <w:uiPriority w:val="39"/>
    <w:unhideWhenUsed/>
    <w:qFormat/>
    <w:rsid w:val="00D5679E"/>
    <w:pPr>
      <w:numPr>
        <w:numId w:val="0"/>
      </w:numPr>
      <w:spacing w:before="480" w:line="276" w:lineRule="auto"/>
      <w:jc w:val="left"/>
      <w:outlineLvl w:val="9"/>
    </w:pPr>
    <w:rPr>
      <w:color w:val="365F91" w:themeColor="accent1" w:themeShade="BF"/>
      <w:sz w:val="28"/>
      <w:szCs w:val="28"/>
    </w:rPr>
  </w:style>
  <w:style w:type="paragraph" w:styleId="TOC2">
    <w:name w:val="toc 2"/>
    <w:basedOn w:val="Normal"/>
    <w:next w:val="Normal"/>
    <w:autoRedefine/>
    <w:uiPriority w:val="39"/>
    <w:rsid w:val="00A33131"/>
    <w:pPr>
      <w:tabs>
        <w:tab w:val="right" w:leader="dot" w:pos="9639"/>
      </w:tabs>
      <w:spacing w:after="100"/>
      <w:ind w:left="240"/>
    </w:pPr>
    <w:rPr>
      <w:rFonts w:ascii="Times New Roman" w:hAnsi="Times New Roman"/>
      <w:b/>
      <w:sz w:val="23"/>
    </w:rPr>
  </w:style>
  <w:style w:type="paragraph" w:styleId="TOC3">
    <w:name w:val="toc 3"/>
    <w:basedOn w:val="Normal"/>
    <w:next w:val="Normal"/>
    <w:autoRedefine/>
    <w:uiPriority w:val="39"/>
    <w:rsid w:val="00210BC7"/>
    <w:pPr>
      <w:spacing w:after="100"/>
      <w:ind w:left="480"/>
    </w:pPr>
    <w:rPr>
      <w:rFonts w:ascii="Times New Roman" w:hAnsi="Times New Roman"/>
      <w:sz w:val="23"/>
    </w:rPr>
  </w:style>
  <w:style w:type="paragraph" w:customStyle="1" w:styleId="H23G">
    <w:name w:val="_ H_2/3_G"/>
    <w:basedOn w:val="Normal"/>
    <w:next w:val="Normal"/>
    <w:rsid w:val="00E1548E"/>
    <w:pPr>
      <w:keepNext/>
      <w:keepLines/>
      <w:tabs>
        <w:tab w:val="right" w:pos="851"/>
      </w:tabs>
      <w:suppressAutoHyphens/>
      <w:spacing w:before="240" w:after="120" w:line="240" w:lineRule="exact"/>
      <w:ind w:left="1134" w:right="1134" w:hanging="1134"/>
      <w:jc w:val="left"/>
    </w:pPr>
    <w:rPr>
      <w:rFonts w:ascii="Times New Roman" w:eastAsia="MS Mincho" w:hAnsi="Times New Roman" w:cs="Times New Roman"/>
      <w:b/>
      <w:sz w:val="20"/>
      <w:szCs w:val="20"/>
      <w:lang w:val="en-GB" w:eastAsia="en-US"/>
    </w:rPr>
  </w:style>
  <w:style w:type="character" w:customStyle="1" w:styleId="st">
    <w:name w:val="st"/>
    <w:basedOn w:val="DefaultParagraphFont"/>
    <w:rsid w:val="00114E67"/>
  </w:style>
  <w:style w:type="paragraph" w:customStyle="1" w:styleId="HeadingMajor">
    <w:name w:val="Heading Major"/>
    <w:basedOn w:val="Normal"/>
    <w:qFormat/>
    <w:rsid w:val="002C45F2"/>
    <w:pPr>
      <w:spacing w:before="120" w:after="120"/>
      <w:jc w:val="left"/>
    </w:pPr>
    <w:rPr>
      <w:rFonts w:asciiTheme="majorHAnsi" w:hAnsiTheme="majorHAnsi" w:cs="Times New Roman"/>
      <w:b/>
      <w:caps/>
      <w:sz w:val="32"/>
      <w:lang w:val="en-AU"/>
    </w:rPr>
  </w:style>
  <w:style w:type="paragraph" w:customStyle="1" w:styleId="CERDBodyText1">
    <w:name w:val="CERD Body Text 1"/>
    <w:basedOn w:val="ListParagraph"/>
    <w:qFormat/>
    <w:rsid w:val="00BA1C97"/>
    <w:pPr>
      <w:numPr>
        <w:numId w:val="1"/>
      </w:numPr>
      <w:spacing w:after="120"/>
      <w:ind w:left="0" w:right="-142" w:firstLine="0"/>
      <w:contextualSpacing w:val="0"/>
      <w:jc w:val="left"/>
    </w:pPr>
    <w:rPr>
      <w:rFonts w:cstheme="minorHAnsi"/>
      <w:lang w:val="en-AU" w:eastAsia="en-US"/>
    </w:rPr>
  </w:style>
  <w:style w:type="paragraph" w:customStyle="1" w:styleId="FootnoteNumbers">
    <w:name w:val="Footnote Numbers"/>
    <w:basedOn w:val="CERDBodyText1"/>
    <w:rsid w:val="004C3728"/>
    <w:rPr>
      <w:vertAlign w:val="superscript"/>
    </w:rPr>
  </w:style>
  <w:style w:type="paragraph" w:customStyle="1" w:styleId="CERDFootnotes">
    <w:name w:val="CERD Footnotes"/>
    <w:basedOn w:val="CERDBodyText1"/>
    <w:rsid w:val="004C3728"/>
    <w:rPr>
      <w:vertAlign w:val="superscript"/>
    </w:rPr>
  </w:style>
  <w:style w:type="paragraph" w:customStyle="1" w:styleId="CERDHeadingMinor1">
    <w:name w:val="CERD Heading Minor 1"/>
    <w:basedOn w:val="Heading2"/>
    <w:qFormat/>
    <w:rsid w:val="00210BC7"/>
    <w:pPr>
      <w:spacing w:before="120" w:after="120"/>
      <w:jc w:val="left"/>
    </w:pPr>
    <w:rPr>
      <w:b/>
      <w:lang w:val="en-AU"/>
    </w:rPr>
  </w:style>
  <w:style w:type="paragraph" w:customStyle="1" w:styleId="CERDBOXHeading">
    <w:name w:val="CERD BOX Heading"/>
    <w:basedOn w:val="Normal"/>
    <w:rsid w:val="0003081E"/>
    <w:pPr>
      <w:pBdr>
        <w:top w:val="single" w:sz="4" w:space="1" w:color="auto"/>
        <w:left w:val="single" w:sz="4" w:space="4" w:color="auto"/>
        <w:bottom w:val="single" w:sz="4" w:space="1" w:color="auto"/>
        <w:right w:val="single" w:sz="4" w:space="4" w:color="auto"/>
      </w:pBdr>
      <w:shd w:val="clear" w:color="auto" w:fill="DBE5F1" w:themeFill="accent1" w:themeFillTint="33"/>
      <w:spacing w:before="60" w:after="60"/>
      <w:ind w:left="11" w:hanging="11"/>
      <w:jc w:val="left"/>
    </w:pPr>
    <w:rPr>
      <w:b/>
      <w:sz w:val="23"/>
      <w:szCs w:val="22"/>
      <w:lang w:val="en-AU"/>
    </w:rPr>
  </w:style>
  <w:style w:type="paragraph" w:customStyle="1" w:styleId="CERDBOXText">
    <w:name w:val="CERD BOX Text"/>
    <w:basedOn w:val="Normal"/>
    <w:rsid w:val="0003081E"/>
    <w:pPr>
      <w:pBdr>
        <w:top w:val="single" w:sz="4" w:space="1" w:color="auto"/>
        <w:left w:val="single" w:sz="4" w:space="4" w:color="auto"/>
        <w:bottom w:val="single" w:sz="4" w:space="1" w:color="auto"/>
        <w:right w:val="single" w:sz="4" w:space="4" w:color="auto"/>
      </w:pBdr>
      <w:shd w:val="clear" w:color="auto" w:fill="DBE5F1" w:themeFill="accent1" w:themeFillTint="33"/>
      <w:spacing w:after="60"/>
      <w:jc w:val="left"/>
    </w:pPr>
    <w:rPr>
      <w:sz w:val="22"/>
    </w:rPr>
  </w:style>
  <w:style w:type="paragraph" w:customStyle="1" w:styleId="CERDHeadingMinor2">
    <w:name w:val="CERD Heading Minor 2"/>
    <w:basedOn w:val="CERDHeadingMinor1"/>
    <w:qFormat/>
    <w:rsid w:val="00496D43"/>
    <w:rPr>
      <w:b w:val="0"/>
      <w:sz w:val="24"/>
    </w:rPr>
  </w:style>
  <w:style w:type="paragraph" w:customStyle="1" w:styleId="CERDBoxTableHeading">
    <w:name w:val="CERD Box Table Heading"/>
    <w:basedOn w:val="CERDBodyText1"/>
    <w:qFormat/>
    <w:rsid w:val="00B54951"/>
    <w:pPr>
      <w:numPr>
        <w:numId w:val="0"/>
      </w:numPr>
      <w:spacing w:before="60" w:after="60"/>
      <w:ind w:right="0"/>
    </w:pPr>
    <w:rPr>
      <w:b/>
    </w:rPr>
  </w:style>
  <w:style w:type="paragraph" w:customStyle="1" w:styleId="CERDBOXTableText">
    <w:name w:val="CERD BOX Table Text"/>
    <w:basedOn w:val="CERDBoxTableHeading"/>
    <w:qFormat/>
    <w:rsid w:val="00120B69"/>
    <w:rPr>
      <w:b w:val="0"/>
      <w:sz w:val="22"/>
    </w:rPr>
  </w:style>
  <w:style w:type="paragraph" w:customStyle="1" w:styleId="CERDTableDotPoint">
    <w:name w:val="CERD Table Dot Point"/>
    <w:next w:val="CERDBOXTableText"/>
    <w:qFormat/>
    <w:rsid w:val="0090364A"/>
    <w:pPr>
      <w:numPr>
        <w:numId w:val="5"/>
      </w:numPr>
      <w:spacing w:before="40" w:after="40"/>
    </w:pPr>
    <w:rPr>
      <w:rFonts w:asciiTheme="minorHAnsi" w:eastAsiaTheme="minorEastAsia" w:hAnsiTheme="minorHAnsi"/>
      <w:sz w:val="22"/>
      <w:szCs w:val="24"/>
      <w:lang w:eastAsia="ja-JP"/>
    </w:rPr>
  </w:style>
  <w:style w:type="paragraph" w:styleId="Revision">
    <w:name w:val="Revision"/>
    <w:hidden/>
    <w:uiPriority w:val="99"/>
    <w:semiHidden/>
    <w:rsid w:val="00AE7D2B"/>
    <w:pPr>
      <w:jc w:val="left"/>
    </w:pPr>
    <w:rPr>
      <w:rFonts w:asciiTheme="minorHAnsi" w:eastAsiaTheme="minorEastAsia" w:hAnsiTheme="minorHAnsi" w:cstheme="minorBidi"/>
      <w:sz w:val="24"/>
      <w:szCs w:val="24"/>
      <w:lang w:val="en-US" w:eastAsia="ja-JP"/>
    </w:rPr>
  </w:style>
  <w:style w:type="paragraph" w:customStyle="1" w:styleId="CERDBodyTextDotPoint">
    <w:name w:val="CERD Body Text Dot Point"/>
    <w:basedOn w:val="CERDBodyText1"/>
    <w:qFormat/>
    <w:rsid w:val="00B54951"/>
    <w:pPr>
      <w:numPr>
        <w:numId w:val="4"/>
      </w:numPr>
      <w:spacing w:after="80"/>
      <w:ind w:left="567" w:hanging="283"/>
    </w:pPr>
  </w:style>
  <w:style w:type="paragraph" w:customStyle="1" w:styleId="Style1">
    <w:name w:val="Style1"/>
    <w:basedOn w:val="CERDTableDotPoint"/>
    <w:qFormat/>
    <w:rsid w:val="0090364A"/>
    <w:pPr>
      <w:numPr>
        <w:numId w:val="0"/>
      </w:numPr>
    </w:pPr>
  </w:style>
  <w:style w:type="paragraph" w:customStyle="1" w:styleId="CERDTableNumberdPoint">
    <w:name w:val="CERD Table Numberd Point"/>
    <w:basedOn w:val="CERDTableDotPoint"/>
    <w:next w:val="CERDBOXTableText"/>
    <w:qFormat/>
    <w:rsid w:val="0090364A"/>
    <w:pPr>
      <w:numPr>
        <w:numId w:val="6"/>
      </w:numPr>
      <w:ind w:left="356" w:hanging="356"/>
    </w:pPr>
  </w:style>
  <w:style w:type="character" w:styleId="FollowedHyperlink">
    <w:name w:val="FollowedHyperlink"/>
    <w:basedOn w:val="DefaultParagraphFont"/>
    <w:rsid w:val="00497ED5"/>
    <w:rPr>
      <w:color w:val="800080" w:themeColor="followedHyperlink"/>
      <w:u w:val="single"/>
    </w:rPr>
  </w:style>
  <w:style w:type="paragraph" w:styleId="TOC4">
    <w:name w:val="toc 4"/>
    <w:basedOn w:val="Normal"/>
    <w:next w:val="Normal"/>
    <w:autoRedefine/>
    <w:uiPriority w:val="39"/>
    <w:rsid w:val="00210BC7"/>
    <w:pPr>
      <w:spacing w:after="100"/>
      <w:ind w:left="720"/>
    </w:pPr>
    <w:rPr>
      <w:rFonts w:ascii="Times New Roman" w:hAnsi="Times New Roman"/>
      <w:sz w:val="23"/>
    </w:rPr>
  </w:style>
  <w:style w:type="paragraph" w:customStyle="1" w:styleId="ICESCRBodyText">
    <w:name w:val="ICESCR Body Text"/>
    <w:basedOn w:val="ListParagraph"/>
    <w:qFormat/>
    <w:rsid w:val="000C37F6"/>
    <w:pPr>
      <w:spacing w:after="120"/>
      <w:ind w:left="567" w:right="-143" w:hanging="567"/>
      <w:contextualSpacing w:val="0"/>
      <w:jc w:val="left"/>
    </w:pPr>
    <w:rPr>
      <w:rFonts w:ascii="Times New Roman" w:hAnsi="Times New Roman" w:cs="Times New Roman"/>
      <w:sz w:val="23"/>
      <w:szCs w:val="23"/>
      <w:lang w:val="en-AU"/>
    </w:rPr>
  </w:style>
  <w:style w:type="paragraph" w:styleId="TOC5">
    <w:name w:val="toc 5"/>
    <w:basedOn w:val="Normal"/>
    <w:next w:val="Normal"/>
    <w:autoRedefine/>
    <w:uiPriority w:val="39"/>
    <w:unhideWhenUsed/>
    <w:rsid w:val="00F3162E"/>
    <w:pPr>
      <w:spacing w:after="100" w:line="276" w:lineRule="auto"/>
      <w:ind w:left="880"/>
      <w:jc w:val="left"/>
    </w:pPr>
    <w:rPr>
      <w:sz w:val="22"/>
      <w:szCs w:val="22"/>
      <w:lang w:val="en-AU" w:eastAsia="en-AU"/>
    </w:rPr>
  </w:style>
  <w:style w:type="paragraph" w:styleId="TOC6">
    <w:name w:val="toc 6"/>
    <w:basedOn w:val="Normal"/>
    <w:next w:val="Normal"/>
    <w:autoRedefine/>
    <w:uiPriority w:val="39"/>
    <w:unhideWhenUsed/>
    <w:rsid w:val="00F3162E"/>
    <w:pPr>
      <w:spacing w:after="100" w:line="276" w:lineRule="auto"/>
      <w:ind w:left="1100"/>
      <w:jc w:val="left"/>
    </w:pPr>
    <w:rPr>
      <w:sz w:val="22"/>
      <w:szCs w:val="22"/>
      <w:lang w:val="en-AU" w:eastAsia="en-AU"/>
    </w:rPr>
  </w:style>
  <w:style w:type="paragraph" w:styleId="TOC7">
    <w:name w:val="toc 7"/>
    <w:basedOn w:val="Normal"/>
    <w:next w:val="Normal"/>
    <w:autoRedefine/>
    <w:uiPriority w:val="39"/>
    <w:unhideWhenUsed/>
    <w:rsid w:val="00F3162E"/>
    <w:pPr>
      <w:spacing w:after="100" w:line="276" w:lineRule="auto"/>
      <w:ind w:left="1320"/>
      <w:jc w:val="left"/>
    </w:pPr>
    <w:rPr>
      <w:sz w:val="22"/>
      <w:szCs w:val="22"/>
      <w:lang w:val="en-AU" w:eastAsia="en-AU"/>
    </w:rPr>
  </w:style>
  <w:style w:type="paragraph" w:styleId="TOC8">
    <w:name w:val="toc 8"/>
    <w:basedOn w:val="Normal"/>
    <w:next w:val="Normal"/>
    <w:autoRedefine/>
    <w:uiPriority w:val="39"/>
    <w:unhideWhenUsed/>
    <w:rsid w:val="00F3162E"/>
    <w:pPr>
      <w:spacing w:after="100" w:line="276" w:lineRule="auto"/>
      <w:ind w:left="1540"/>
      <w:jc w:val="left"/>
    </w:pPr>
    <w:rPr>
      <w:sz w:val="22"/>
      <w:szCs w:val="22"/>
      <w:lang w:val="en-AU" w:eastAsia="en-AU"/>
    </w:rPr>
  </w:style>
  <w:style w:type="paragraph" w:styleId="TOC9">
    <w:name w:val="toc 9"/>
    <w:basedOn w:val="Normal"/>
    <w:next w:val="Normal"/>
    <w:autoRedefine/>
    <w:uiPriority w:val="39"/>
    <w:unhideWhenUsed/>
    <w:rsid w:val="00F3162E"/>
    <w:pPr>
      <w:spacing w:after="100" w:line="276" w:lineRule="auto"/>
      <w:ind w:left="1760"/>
      <w:jc w:val="left"/>
    </w:pPr>
    <w:rPr>
      <w:sz w:val="22"/>
      <w:szCs w:val="22"/>
      <w:lang w:val="en-AU" w:eastAsia="en-AU"/>
    </w:rPr>
  </w:style>
  <w:style w:type="paragraph" w:customStyle="1" w:styleId="ICESCRHeadingMajor">
    <w:name w:val="ICESCR Heading Major"/>
    <w:basedOn w:val="Heading1"/>
    <w:next w:val="Normal"/>
    <w:qFormat/>
    <w:rsid w:val="00F3162E"/>
    <w:pPr>
      <w:numPr>
        <w:numId w:val="7"/>
      </w:numPr>
      <w:spacing w:before="120"/>
      <w:ind w:left="567" w:hanging="567"/>
      <w:jc w:val="left"/>
    </w:pPr>
    <w:rPr>
      <w:color w:val="auto"/>
      <w:lang w:val="en-AU"/>
    </w:rPr>
  </w:style>
  <w:style w:type="numbering" w:customStyle="1" w:styleId="NoList1">
    <w:name w:val="No List1"/>
    <w:next w:val="NoList"/>
    <w:uiPriority w:val="99"/>
    <w:semiHidden/>
    <w:unhideWhenUsed/>
    <w:rsid w:val="00332059"/>
  </w:style>
  <w:style w:type="paragraph" w:customStyle="1" w:styleId="ICESCRBoxText">
    <w:name w:val="ICESCR Box Text"/>
    <w:basedOn w:val="Normal"/>
    <w:qFormat/>
    <w:rsid w:val="00332059"/>
    <w:pPr>
      <w:spacing w:after="80"/>
      <w:jc w:val="left"/>
    </w:pPr>
    <w:rPr>
      <w:rFonts w:cs="Cambria"/>
      <w:sz w:val="22"/>
      <w:szCs w:val="22"/>
      <w:lang w:val="en-AU"/>
    </w:rPr>
  </w:style>
  <w:style w:type="paragraph" w:customStyle="1" w:styleId="ICESCRBoxHeading">
    <w:name w:val="ICESCR Box Heading"/>
    <w:basedOn w:val="ICESCRBoxText"/>
    <w:qFormat/>
    <w:rsid w:val="00332059"/>
    <w:pPr>
      <w:spacing w:before="80"/>
    </w:pPr>
    <w:rPr>
      <w:b/>
    </w:rPr>
  </w:style>
  <w:style w:type="paragraph" w:customStyle="1" w:styleId="ICESCRBoxDotPoint">
    <w:name w:val="ICESCR Box Dot Point"/>
    <w:basedOn w:val="ICESCRBoxText"/>
    <w:next w:val="ICESCRBoxText"/>
    <w:qFormat/>
    <w:rsid w:val="00332059"/>
    <w:pPr>
      <w:numPr>
        <w:numId w:val="8"/>
      </w:numPr>
      <w:ind w:left="284" w:hanging="284"/>
    </w:pPr>
  </w:style>
  <w:style w:type="paragraph" w:customStyle="1" w:styleId="ICESCRHeadingMinor2">
    <w:name w:val="ICESCR Heading Minor 2"/>
    <w:basedOn w:val="Normal"/>
    <w:next w:val="ICESCRBodyText"/>
    <w:qFormat/>
    <w:rsid w:val="00332059"/>
    <w:pPr>
      <w:keepNext/>
      <w:keepLines/>
      <w:spacing w:before="120" w:after="120"/>
      <w:jc w:val="left"/>
      <w:outlineLvl w:val="2"/>
    </w:pPr>
    <w:rPr>
      <w:rFonts w:ascii="Calibri" w:eastAsia="MS Gothic" w:hAnsi="Calibri" w:cs="Times New Roman"/>
      <w:bCs/>
      <w:i/>
      <w:lang w:val="en-AU"/>
    </w:rPr>
  </w:style>
  <w:style w:type="table" w:customStyle="1" w:styleId="TableGrid1">
    <w:name w:val="Table Grid1"/>
    <w:basedOn w:val="TableNormal"/>
    <w:next w:val="TableGrid"/>
    <w:uiPriority w:val="59"/>
    <w:rsid w:val="00332059"/>
    <w:pPr>
      <w:jc w:val="left"/>
    </w:pPr>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Char">
    <w:name w:val="Bullet 1 Char"/>
    <w:link w:val="Bullet1"/>
    <w:locked/>
    <w:rsid w:val="003C04F4"/>
    <w:rPr>
      <w:sz w:val="24"/>
    </w:rPr>
  </w:style>
  <w:style w:type="paragraph" w:customStyle="1" w:styleId="Bullet1">
    <w:name w:val="Bullet 1"/>
    <w:basedOn w:val="Normal"/>
    <w:link w:val="Bullet1Char"/>
    <w:rsid w:val="003C04F4"/>
    <w:pPr>
      <w:numPr>
        <w:numId w:val="9"/>
      </w:numPr>
      <w:spacing w:before="120" w:line="360" w:lineRule="auto"/>
      <w:jc w:val="left"/>
    </w:pPr>
    <w:rPr>
      <w:rFonts w:ascii="Times New Roman" w:eastAsia="Times New Roman" w:hAnsi="Times New Roman" w:cs="Times New Roman"/>
      <w:szCs w:val="20"/>
      <w:lang w:val="en-AU" w:eastAsia="en-AU"/>
    </w:rPr>
  </w:style>
  <w:style w:type="paragraph" w:customStyle="1" w:styleId="Quick1">
    <w:name w:val="Quick 1."/>
    <w:basedOn w:val="Normal"/>
    <w:rsid w:val="00C525F6"/>
    <w:pPr>
      <w:widowControl w:val="0"/>
      <w:numPr>
        <w:numId w:val="17"/>
      </w:numPr>
      <w:suppressAutoHyphens/>
      <w:jc w:val="left"/>
    </w:pPr>
    <w:rPr>
      <w:rFonts w:ascii="Courier" w:eastAsia="Times New Roman" w:hAnsi="Courier" w:cs="Times New Roman"/>
      <w:szCs w:val="20"/>
      <w:lang w:eastAsia="ar-SA"/>
    </w:rPr>
  </w:style>
  <w:style w:type="paragraph" w:customStyle="1" w:styleId="ICESCRHeadingMinor1">
    <w:name w:val="ICESCR Heading Minor 1"/>
    <w:basedOn w:val="Heading3"/>
    <w:qFormat/>
    <w:rsid w:val="00C525F6"/>
    <w:pPr>
      <w:spacing w:before="140" w:after="140"/>
      <w:jc w:val="left"/>
    </w:pPr>
    <w:rPr>
      <w:i/>
      <w:color w:val="auto"/>
      <w:sz w:val="26"/>
      <w:lang w:val="en-AU"/>
    </w:rPr>
  </w:style>
  <w:style w:type="paragraph" w:customStyle="1" w:styleId="ICESCRDotPoint">
    <w:name w:val="ICESCR Dot Point"/>
    <w:basedOn w:val="CERDBodyTextDotPoint"/>
    <w:next w:val="ICESCRBodyText"/>
    <w:qFormat/>
    <w:rsid w:val="00EE0C51"/>
    <w:pPr>
      <w:ind w:left="426" w:right="0" w:hanging="284"/>
    </w:pPr>
    <w:rPr>
      <w:rFonts w:ascii="Times New Roman" w:hAnsi="Times New Roman" w:cs="Times New Roman"/>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pPr>
        <w:jc w:val="both"/>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4C7E"/>
    <w:rPr>
      <w:rFonts w:asciiTheme="minorHAnsi" w:eastAsiaTheme="minorEastAsia" w:hAnsiTheme="minorHAnsi" w:cstheme="minorBidi"/>
      <w:sz w:val="24"/>
      <w:szCs w:val="24"/>
      <w:lang w:val="en-US" w:eastAsia="ja-JP"/>
    </w:rPr>
  </w:style>
  <w:style w:type="paragraph" w:styleId="Heading1">
    <w:name w:val="heading 1"/>
    <w:basedOn w:val="Normal"/>
    <w:next w:val="Normal"/>
    <w:link w:val="Heading1Char"/>
    <w:autoRedefine/>
    <w:uiPriority w:val="9"/>
    <w:qFormat/>
    <w:rsid w:val="002C45F2"/>
    <w:pPr>
      <w:keepNext/>
      <w:keepLines/>
      <w:numPr>
        <w:numId w:val="2"/>
      </w:numPr>
      <w:spacing w:after="120"/>
      <w:ind w:left="721" w:hanging="437"/>
      <w:outlineLvl w:val="0"/>
    </w:pPr>
    <w:rPr>
      <w:rFonts w:asciiTheme="majorHAnsi" w:eastAsiaTheme="majorEastAsia" w:hAnsiTheme="majorHAnsi" w:cstheme="majorBidi"/>
      <w:b/>
      <w:bCs/>
      <w:caps/>
      <w:color w:val="000000" w:themeColor="text1"/>
      <w:sz w:val="32"/>
      <w:szCs w:val="32"/>
    </w:rPr>
  </w:style>
  <w:style w:type="paragraph" w:styleId="Heading2">
    <w:name w:val="heading 2"/>
    <w:basedOn w:val="Normal"/>
    <w:next w:val="Normal"/>
    <w:link w:val="Heading2Char"/>
    <w:autoRedefine/>
    <w:uiPriority w:val="9"/>
    <w:unhideWhenUsed/>
    <w:qFormat/>
    <w:rsid w:val="00887232"/>
    <w:pPr>
      <w:keepNext/>
      <w:keepLines/>
      <w:spacing w:before="200"/>
      <w:outlineLvl w:val="1"/>
    </w:pPr>
    <w:rPr>
      <w:rFonts w:asciiTheme="majorHAnsi" w:eastAsiaTheme="majorEastAsia" w:hAnsiTheme="majorHAnsi" w:cs="Times New Roman"/>
      <w:bCs/>
      <w:i/>
      <w:sz w:val="26"/>
      <w:szCs w:val="26"/>
    </w:rPr>
  </w:style>
  <w:style w:type="paragraph" w:styleId="Heading3">
    <w:name w:val="heading 3"/>
    <w:basedOn w:val="Normal"/>
    <w:next w:val="Normal"/>
    <w:link w:val="Heading3Char"/>
    <w:uiPriority w:val="9"/>
    <w:unhideWhenUsed/>
    <w:qFormat/>
    <w:rsid w:val="001323A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70628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1067E"/>
    <w:pPr>
      <w:tabs>
        <w:tab w:val="center" w:pos="4513"/>
        <w:tab w:val="right" w:pos="9026"/>
      </w:tabs>
    </w:pPr>
  </w:style>
  <w:style w:type="character" w:customStyle="1" w:styleId="HeaderChar">
    <w:name w:val="Header Char"/>
    <w:basedOn w:val="DefaultParagraphFont"/>
    <w:link w:val="Header"/>
    <w:rsid w:val="0001067E"/>
    <w:rPr>
      <w:rFonts w:asciiTheme="minorHAnsi" w:eastAsiaTheme="minorEastAsia" w:hAnsiTheme="minorHAnsi" w:cstheme="minorBidi"/>
      <w:sz w:val="24"/>
      <w:szCs w:val="24"/>
      <w:lang w:val="en-US" w:eastAsia="ja-JP"/>
    </w:rPr>
  </w:style>
  <w:style w:type="paragraph" w:styleId="Footer">
    <w:name w:val="footer"/>
    <w:basedOn w:val="Normal"/>
    <w:link w:val="FooterChar"/>
    <w:uiPriority w:val="99"/>
    <w:rsid w:val="0001067E"/>
    <w:pPr>
      <w:tabs>
        <w:tab w:val="center" w:pos="4513"/>
        <w:tab w:val="right" w:pos="9026"/>
      </w:tabs>
    </w:pPr>
  </w:style>
  <w:style w:type="character" w:customStyle="1" w:styleId="FooterChar">
    <w:name w:val="Footer Char"/>
    <w:basedOn w:val="DefaultParagraphFont"/>
    <w:link w:val="Footer"/>
    <w:uiPriority w:val="99"/>
    <w:rsid w:val="0001067E"/>
    <w:rPr>
      <w:rFonts w:asciiTheme="minorHAnsi" w:eastAsiaTheme="minorEastAsia" w:hAnsiTheme="minorHAnsi" w:cstheme="minorBidi"/>
      <w:sz w:val="24"/>
      <w:szCs w:val="24"/>
      <w:lang w:val="en-US" w:eastAsia="ja-JP"/>
    </w:rPr>
  </w:style>
  <w:style w:type="paragraph" w:styleId="ListParagraph">
    <w:name w:val="List Paragraph"/>
    <w:aliases w:val="List Paragraph1,List Paragraph11,Bullet point,Recommendation,List Paragraph Number,L,CV text,Table text,F5 List Paragraph,Dot pt,Medium Grid 1 - Accent 21,Numbered Paragraph,List Paragraph111,List Paragraph2,Bulleted Para,FooterText,列出段落"/>
    <w:basedOn w:val="Normal"/>
    <w:link w:val="ListParagraphChar"/>
    <w:uiPriority w:val="34"/>
    <w:qFormat/>
    <w:rsid w:val="0001067E"/>
    <w:pPr>
      <w:ind w:left="720"/>
      <w:contextualSpacing/>
    </w:pPr>
  </w:style>
  <w:style w:type="character" w:customStyle="1" w:styleId="Heading1Char">
    <w:name w:val="Heading 1 Char"/>
    <w:basedOn w:val="DefaultParagraphFont"/>
    <w:link w:val="Heading1"/>
    <w:uiPriority w:val="9"/>
    <w:rsid w:val="002C45F2"/>
    <w:rPr>
      <w:rFonts w:asciiTheme="majorHAnsi" w:eastAsiaTheme="majorEastAsia" w:hAnsiTheme="majorHAnsi" w:cstheme="majorBidi"/>
      <w:b/>
      <w:bCs/>
      <w:caps/>
      <w:color w:val="000000" w:themeColor="text1"/>
      <w:sz w:val="32"/>
      <w:szCs w:val="32"/>
      <w:lang w:val="en-US" w:eastAsia="ja-JP"/>
    </w:rPr>
  </w:style>
  <w:style w:type="character" w:customStyle="1" w:styleId="Heading2Char">
    <w:name w:val="Heading 2 Char"/>
    <w:basedOn w:val="DefaultParagraphFont"/>
    <w:link w:val="Heading2"/>
    <w:uiPriority w:val="9"/>
    <w:rsid w:val="00887232"/>
    <w:rPr>
      <w:rFonts w:asciiTheme="majorHAnsi" w:eastAsiaTheme="majorEastAsia" w:hAnsiTheme="majorHAnsi"/>
      <w:bCs/>
      <w:i/>
      <w:sz w:val="26"/>
      <w:szCs w:val="26"/>
      <w:lang w:val="en-US" w:eastAsia="ja-JP"/>
    </w:rPr>
  </w:style>
  <w:style w:type="character" w:styleId="CommentReference">
    <w:name w:val="annotation reference"/>
    <w:basedOn w:val="DefaultParagraphFont"/>
    <w:unhideWhenUsed/>
    <w:rsid w:val="0001067E"/>
    <w:rPr>
      <w:sz w:val="16"/>
      <w:szCs w:val="16"/>
    </w:rPr>
  </w:style>
  <w:style w:type="paragraph" w:styleId="CommentText">
    <w:name w:val="annotation text"/>
    <w:basedOn w:val="Normal"/>
    <w:link w:val="CommentTextChar"/>
    <w:uiPriority w:val="99"/>
    <w:unhideWhenUsed/>
    <w:rsid w:val="0001067E"/>
    <w:rPr>
      <w:sz w:val="20"/>
      <w:szCs w:val="20"/>
    </w:rPr>
  </w:style>
  <w:style w:type="character" w:customStyle="1" w:styleId="CommentTextChar">
    <w:name w:val="Comment Text Char"/>
    <w:basedOn w:val="DefaultParagraphFont"/>
    <w:link w:val="CommentText"/>
    <w:uiPriority w:val="99"/>
    <w:rsid w:val="0001067E"/>
    <w:rPr>
      <w:rFonts w:asciiTheme="minorHAnsi" w:eastAsiaTheme="minorEastAsia" w:hAnsiTheme="minorHAnsi" w:cstheme="minorBidi"/>
      <w:lang w:val="en-US" w:eastAsia="ja-JP"/>
    </w:rPr>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Char,FA Fu, Char,(NECG) Footnote Text"/>
    <w:basedOn w:val="Normal"/>
    <w:link w:val="FootnoteTextChar"/>
    <w:uiPriority w:val="99"/>
    <w:unhideWhenUsed/>
    <w:qFormat/>
    <w:rsid w:val="0001067E"/>
    <w:pPr>
      <w:spacing w:line="276" w:lineRule="auto"/>
    </w:pPr>
    <w:rPr>
      <w:rFonts w:ascii="Calibri" w:eastAsia="Calibri" w:hAnsi="Calibri" w:cs="Times New Roman"/>
      <w:sz w:val="20"/>
      <w:szCs w:val="20"/>
      <w:lang w:eastAsia="en-US"/>
    </w:rPr>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
    <w:basedOn w:val="DefaultParagraphFont"/>
    <w:link w:val="FootnoteText"/>
    <w:uiPriority w:val="99"/>
    <w:rsid w:val="0001067E"/>
    <w:rPr>
      <w:rFonts w:ascii="Calibri" w:eastAsia="Calibri" w:hAnsi="Calibri"/>
      <w:lang w:val="en-US" w:eastAsia="en-US"/>
    </w:rPr>
  </w:style>
  <w:style w:type="character" w:styleId="FootnoteReference">
    <w:name w:val="footnote reference"/>
    <w:aliases w:val="4_G,(NECG) Footnote Reference"/>
    <w:uiPriority w:val="99"/>
    <w:unhideWhenUsed/>
    <w:rsid w:val="0001067E"/>
    <w:rPr>
      <w:vertAlign w:val="superscript"/>
    </w:rPr>
  </w:style>
  <w:style w:type="paragraph" w:styleId="BalloonText">
    <w:name w:val="Balloon Text"/>
    <w:basedOn w:val="Normal"/>
    <w:link w:val="BalloonTextChar"/>
    <w:uiPriority w:val="99"/>
    <w:rsid w:val="0001067E"/>
    <w:rPr>
      <w:rFonts w:ascii="Tahoma" w:hAnsi="Tahoma" w:cs="Tahoma"/>
      <w:sz w:val="16"/>
      <w:szCs w:val="16"/>
    </w:rPr>
  </w:style>
  <w:style w:type="character" w:customStyle="1" w:styleId="BalloonTextChar">
    <w:name w:val="Balloon Text Char"/>
    <w:basedOn w:val="DefaultParagraphFont"/>
    <w:link w:val="BalloonText"/>
    <w:uiPriority w:val="99"/>
    <w:rsid w:val="0001067E"/>
    <w:rPr>
      <w:rFonts w:ascii="Tahoma" w:eastAsiaTheme="minorEastAsia" w:hAnsi="Tahoma" w:cs="Tahoma"/>
      <w:sz w:val="16"/>
      <w:szCs w:val="16"/>
      <w:lang w:val="en-US" w:eastAsia="ja-JP"/>
    </w:rPr>
  </w:style>
  <w:style w:type="paragraph" w:styleId="Subtitle">
    <w:name w:val="Subtitle"/>
    <w:basedOn w:val="Normal"/>
    <w:next w:val="Normal"/>
    <w:link w:val="SubtitleChar"/>
    <w:qFormat/>
    <w:rsid w:val="00A869A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A869AC"/>
    <w:rPr>
      <w:rFonts w:asciiTheme="majorHAnsi" w:eastAsiaTheme="majorEastAsia" w:hAnsiTheme="majorHAnsi" w:cstheme="majorBidi"/>
      <w:i/>
      <w:iCs/>
      <w:color w:val="4F81BD" w:themeColor="accent1"/>
      <w:spacing w:val="15"/>
      <w:sz w:val="24"/>
      <w:szCs w:val="24"/>
      <w:lang w:val="en-US" w:eastAsia="ja-JP"/>
    </w:rPr>
  </w:style>
  <w:style w:type="paragraph" w:styleId="CommentSubject">
    <w:name w:val="annotation subject"/>
    <w:basedOn w:val="CommentText"/>
    <w:next w:val="CommentText"/>
    <w:link w:val="CommentSubjectChar"/>
    <w:rsid w:val="00DD4710"/>
    <w:rPr>
      <w:b/>
      <w:bCs/>
    </w:rPr>
  </w:style>
  <w:style w:type="character" w:customStyle="1" w:styleId="CommentSubjectChar">
    <w:name w:val="Comment Subject Char"/>
    <w:basedOn w:val="CommentTextChar"/>
    <w:link w:val="CommentSubject"/>
    <w:rsid w:val="00DD4710"/>
    <w:rPr>
      <w:rFonts w:asciiTheme="minorHAnsi" w:eastAsiaTheme="minorEastAsia" w:hAnsiTheme="minorHAnsi" w:cstheme="minorBidi"/>
      <w:b/>
      <w:bCs/>
      <w:lang w:val="en-US" w:eastAsia="ja-JP"/>
    </w:rPr>
  </w:style>
  <w:style w:type="character" w:styleId="Hyperlink">
    <w:name w:val="Hyperlink"/>
    <w:basedOn w:val="DefaultParagraphFont"/>
    <w:uiPriority w:val="99"/>
    <w:unhideWhenUsed/>
    <w:rsid w:val="00487B1F"/>
    <w:rPr>
      <w:color w:val="0000FF" w:themeColor="hyperlink"/>
      <w:u w:val="single"/>
    </w:rPr>
  </w:style>
  <w:style w:type="paragraph" w:styleId="TOC1">
    <w:name w:val="toc 1"/>
    <w:basedOn w:val="Normal"/>
    <w:next w:val="Normal"/>
    <w:autoRedefine/>
    <w:uiPriority w:val="39"/>
    <w:unhideWhenUsed/>
    <w:rsid w:val="00CF4209"/>
    <w:pPr>
      <w:spacing w:before="240" w:after="120"/>
    </w:pPr>
    <w:rPr>
      <w:rFonts w:ascii="Times New Roman" w:hAnsi="Times New Roman"/>
      <w:b/>
      <w:caps/>
      <w:sz w:val="23"/>
      <w:szCs w:val="22"/>
      <w:u w:val="single"/>
    </w:rPr>
  </w:style>
  <w:style w:type="character" w:customStyle="1" w:styleId="Heading3Char">
    <w:name w:val="Heading 3 Char"/>
    <w:basedOn w:val="DefaultParagraphFont"/>
    <w:link w:val="Heading3"/>
    <w:uiPriority w:val="9"/>
    <w:rsid w:val="001323A8"/>
    <w:rPr>
      <w:rFonts w:asciiTheme="majorHAnsi" w:eastAsiaTheme="majorEastAsia" w:hAnsiTheme="majorHAnsi" w:cstheme="majorBidi"/>
      <w:b/>
      <w:bCs/>
      <w:color w:val="4F81BD" w:themeColor="accent1"/>
      <w:sz w:val="24"/>
      <w:szCs w:val="24"/>
      <w:lang w:val="en-US" w:eastAsia="ja-JP"/>
    </w:rPr>
  </w:style>
  <w:style w:type="table" w:styleId="TableGrid">
    <w:name w:val="Table Grid"/>
    <w:basedOn w:val="TableNormal"/>
    <w:rsid w:val="00074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074DB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trong">
    <w:name w:val="Strong"/>
    <w:basedOn w:val="DefaultParagraphFont"/>
    <w:uiPriority w:val="22"/>
    <w:qFormat/>
    <w:rsid w:val="007C2E1E"/>
    <w:rPr>
      <w:b/>
      <w:bCs/>
    </w:rPr>
  </w:style>
  <w:style w:type="paragraph" w:customStyle="1" w:styleId="SingleTxtG">
    <w:name w:val="_ Single Txt_G"/>
    <w:basedOn w:val="Normal"/>
    <w:rsid w:val="007C2E1E"/>
    <w:pPr>
      <w:suppressAutoHyphens/>
      <w:spacing w:after="120" w:line="240" w:lineRule="atLeast"/>
      <w:ind w:left="1134" w:right="1134"/>
    </w:pPr>
    <w:rPr>
      <w:rFonts w:ascii="Times New Roman" w:eastAsia="Times New Roman" w:hAnsi="Times New Roman" w:cs="Times New Roman"/>
      <w:sz w:val="20"/>
      <w:szCs w:val="20"/>
      <w:lang w:val="en-GB" w:eastAsia="en-US"/>
    </w:rPr>
  </w:style>
  <w:style w:type="character" w:styleId="BookTitle">
    <w:name w:val="Book Title"/>
    <w:uiPriority w:val="33"/>
    <w:qFormat/>
    <w:rsid w:val="00290F60"/>
    <w:rPr>
      <w:i/>
      <w:iCs/>
      <w:smallCaps/>
      <w:spacing w:val="5"/>
    </w:rPr>
  </w:style>
  <w:style w:type="paragraph" w:styleId="NoSpacing">
    <w:name w:val="No Spacing"/>
    <w:uiPriority w:val="1"/>
    <w:qFormat/>
    <w:rsid w:val="00290F60"/>
    <w:rPr>
      <w:sz w:val="24"/>
      <w:szCs w:val="24"/>
      <w:lang w:eastAsia="en-US"/>
    </w:rPr>
  </w:style>
  <w:style w:type="character" w:styleId="Emphasis">
    <w:name w:val="Emphasis"/>
    <w:basedOn w:val="DefaultParagraphFont"/>
    <w:uiPriority w:val="20"/>
    <w:qFormat/>
    <w:rsid w:val="00F07B8E"/>
    <w:rPr>
      <w:i/>
      <w:iCs/>
    </w:rPr>
  </w:style>
  <w:style w:type="character" w:customStyle="1" w:styleId="Heading4Char">
    <w:name w:val="Heading 4 Char"/>
    <w:basedOn w:val="DefaultParagraphFont"/>
    <w:link w:val="Heading4"/>
    <w:semiHidden/>
    <w:rsid w:val="00706285"/>
    <w:rPr>
      <w:rFonts w:asciiTheme="majorHAnsi" w:eastAsiaTheme="majorEastAsia" w:hAnsiTheme="majorHAnsi" w:cstheme="majorBidi"/>
      <w:b/>
      <w:bCs/>
      <w:i/>
      <w:iCs/>
      <w:color w:val="4F81BD" w:themeColor="accent1"/>
      <w:sz w:val="24"/>
      <w:szCs w:val="24"/>
      <w:lang w:val="en-US" w:eastAsia="ja-JP"/>
    </w:rPr>
  </w:style>
  <w:style w:type="paragraph" w:styleId="NormalWeb">
    <w:name w:val="Normal (Web)"/>
    <w:basedOn w:val="Normal"/>
    <w:uiPriority w:val="99"/>
    <w:unhideWhenUsed/>
    <w:rsid w:val="00706285"/>
    <w:pPr>
      <w:spacing w:before="180" w:after="100" w:afterAutospacing="1"/>
    </w:pPr>
    <w:rPr>
      <w:rFonts w:ascii="Times New Roman" w:eastAsia="Times New Roman" w:hAnsi="Times New Roman" w:cs="Times New Roman"/>
      <w:lang w:val="en-AU" w:eastAsia="en-AU"/>
    </w:rPr>
  </w:style>
  <w:style w:type="paragraph" w:customStyle="1" w:styleId="VEOHRCBodytext">
    <w:name w:val="VEOHRC Body text"/>
    <w:link w:val="VEOHRCBodytextChar"/>
    <w:autoRedefine/>
    <w:uiPriority w:val="99"/>
    <w:rsid w:val="002E4512"/>
    <w:pPr>
      <w:spacing w:before="80" w:after="120"/>
    </w:pPr>
    <w:rPr>
      <w:rFonts w:ascii="Arial" w:eastAsia="Arial Unicode MS" w:hAnsi="Arial"/>
      <w:sz w:val="24"/>
      <w:szCs w:val="24"/>
      <w:lang w:val="en-GB"/>
    </w:rPr>
  </w:style>
  <w:style w:type="character" w:customStyle="1" w:styleId="VEOHRCBodytextChar">
    <w:name w:val="VEOHRC Body text Char"/>
    <w:basedOn w:val="DefaultParagraphFont"/>
    <w:link w:val="VEOHRCBodytext"/>
    <w:uiPriority w:val="99"/>
    <w:locked/>
    <w:rsid w:val="002E4512"/>
    <w:rPr>
      <w:rFonts w:ascii="Arial" w:eastAsia="Arial Unicode MS" w:hAnsi="Arial"/>
      <w:sz w:val="24"/>
      <w:szCs w:val="24"/>
      <w:lang w:val="en-GB"/>
    </w:rPr>
  </w:style>
  <w:style w:type="paragraph" w:customStyle="1" w:styleId="Style0">
    <w:name w:val="Style0"/>
    <w:uiPriority w:val="99"/>
    <w:rsid w:val="00472C19"/>
    <w:pPr>
      <w:autoSpaceDE w:val="0"/>
      <w:autoSpaceDN w:val="0"/>
      <w:adjustRightInd w:val="0"/>
    </w:pPr>
    <w:rPr>
      <w:rFonts w:ascii="Arial" w:hAnsi="Arial"/>
      <w:sz w:val="24"/>
      <w:szCs w:val="24"/>
    </w:rPr>
  </w:style>
  <w:style w:type="paragraph" w:customStyle="1" w:styleId="CM12">
    <w:name w:val="CM12"/>
    <w:basedOn w:val="Normal"/>
    <w:uiPriority w:val="99"/>
    <w:rsid w:val="00867582"/>
    <w:pPr>
      <w:autoSpaceDE w:val="0"/>
      <w:autoSpaceDN w:val="0"/>
      <w:spacing w:line="300" w:lineRule="atLeast"/>
    </w:pPr>
    <w:rPr>
      <w:rFonts w:ascii="Myriad Pro" w:eastAsiaTheme="minorHAnsi" w:hAnsi="Myriad Pro" w:cs="Times New Roman"/>
      <w:lang w:val="en-AU" w:eastAsia="en-AU"/>
    </w:rPr>
  </w:style>
  <w:style w:type="character" w:customStyle="1" w:styleId="ListParagraphChar">
    <w:name w:val="List Paragraph Char"/>
    <w:aliases w:val="List Paragraph1 Char,List Paragraph11 Char,Bullet point Char,Recommendation Char,List Paragraph Number Char,L Char,CV text Char,Table text Char,F5 List Paragraph Char,Dot pt Char,Medium Grid 1 - Accent 21 Char,Numbered Paragraph Char"/>
    <w:basedOn w:val="DefaultParagraphFont"/>
    <w:link w:val="ListParagraph"/>
    <w:uiPriority w:val="34"/>
    <w:qFormat/>
    <w:locked/>
    <w:rsid w:val="00F07D92"/>
    <w:rPr>
      <w:rFonts w:asciiTheme="minorHAnsi" w:eastAsiaTheme="minorEastAsia" w:hAnsiTheme="minorHAnsi" w:cstheme="minorBidi"/>
      <w:sz w:val="24"/>
      <w:szCs w:val="24"/>
      <w:lang w:val="en-US" w:eastAsia="ja-JP"/>
    </w:rPr>
  </w:style>
  <w:style w:type="paragraph" w:styleId="BodyText3">
    <w:name w:val="Body Text 3"/>
    <w:basedOn w:val="Normal"/>
    <w:link w:val="BodyText3Char"/>
    <w:rsid w:val="004A0DB5"/>
    <w:pPr>
      <w:spacing w:after="120"/>
      <w:jc w:val="left"/>
    </w:pPr>
    <w:rPr>
      <w:rFonts w:ascii="Times New Roman" w:eastAsia="Times New Roman" w:hAnsi="Times New Roman" w:cs="Times New Roman"/>
      <w:sz w:val="16"/>
      <w:szCs w:val="16"/>
      <w:lang w:val="en-AU" w:eastAsia="en-US"/>
    </w:rPr>
  </w:style>
  <w:style w:type="character" w:customStyle="1" w:styleId="BodyText3Char">
    <w:name w:val="Body Text 3 Char"/>
    <w:basedOn w:val="DefaultParagraphFont"/>
    <w:link w:val="BodyText3"/>
    <w:rsid w:val="004A0DB5"/>
    <w:rPr>
      <w:sz w:val="16"/>
      <w:szCs w:val="16"/>
      <w:lang w:eastAsia="en-US"/>
    </w:rPr>
  </w:style>
  <w:style w:type="paragraph" w:styleId="HTMLPreformatted">
    <w:name w:val="HTML Preformatted"/>
    <w:basedOn w:val="Normal"/>
    <w:link w:val="HTMLPreformattedChar"/>
    <w:uiPriority w:val="99"/>
    <w:unhideWhenUsed/>
    <w:rsid w:val="003B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AU" w:eastAsia="en-AU"/>
    </w:rPr>
  </w:style>
  <w:style w:type="character" w:customStyle="1" w:styleId="HTMLPreformattedChar">
    <w:name w:val="HTML Preformatted Char"/>
    <w:basedOn w:val="DefaultParagraphFont"/>
    <w:link w:val="HTMLPreformatted"/>
    <w:uiPriority w:val="99"/>
    <w:rsid w:val="003B6BB1"/>
    <w:rPr>
      <w:rFonts w:ascii="Courier New" w:hAnsi="Courier New" w:cs="Courier New"/>
    </w:rPr>
  </w:style>
  <w:style w:type="paragraph" w:styleId="BodyText2">
    <w:name w:val="Body Text 2"/>
    <w:basedOn w:val="Normal"/>
    <w:link w:val="BodyText2Char"/>
    <w:rsid w:val="00EE26AB"/>
    <w:pPr>
      <w:spacing w:after="120" w:line="480" w:lineRule="auto"/>
      <w:jc w:val="left"/>
    </w:pPr>
    <w:rPr>
      <w:rFonts w:ascii="Times New Roman" w:eastAsia="Times New Roman" w:hAnsi="Times New Roman" w:cs="Times New Roman"/>
      <w:lang w:val="en-AU" w:eastAsia="en-AU"/>
    </w:rPr>
  </w:style>
  <w:style w:type="character" w:customStyle="1" w:styleId="BodyText2Char">
    <w:name w:val="Body Text 2 Char"/>
    <w:basedOn w:val="DefaultParagraphFont"/>
    <w:link w:val="BodyText2"/>
    <w:rsid w:val="00EE26AB"/>
    <w:rPr>
      <w:sz w:val="24"/>
      <w:szCs w:val="24"/>
    </w:rPr>
  </w:style>
  <w:style w:type="paragraph" w:styleId="TOCHeading">
    <w:name w:val="TOC Heading"/>
    <w:basedOn w:val="Heading1"/>
    <w:next w:val="Normal"/>
    <w:uiPriority w:val="39"/>
    <w:unhideWhenUsed/>
    <w:qFormat/>
    <w:rsid w:val="00D5679E"/>
    <w:pPr>
      <w:numPr>
        <w:numId w:val="0"/>
      </w:numPr>
      <w:spacing w:before="480" w:line="276" w:lineRule="auto"/>
      <w:jc w:val="left"/>
      <w:outlineLvl w:val="9"/>
    </w:pPr>
    <w:rPr>
      <w:color w:val="365F91" w:themeColor="accent1" w:themeShade="BF"/>
      <w:sz w:val="28"/>
      <w:szCs w:val="28"/>
    </w:rPr>
  </w:style>
  <w:style w:type="paragraph" w:styleId="TOC2">
    <w:name w:val="toc 2"/>
    <w:basedOn w:val="Normal"/>
    <w:next w:val="Normal"/>
    <w:autoRedefine/>
    <w:uiPriority w:val="39"/>
    <w:rsid w:val="00A33131"/>
    <w:pPr>
      <w:tabs>
        <w:tab w:val="right" w:leader="dot" w:pos="9639"/>
      </w:tabs>
      <w:spacing w:after="100"/>
      <w:ind w:left="240"/>
    </w:pPr>
    <w:rPr>
      <w:rFonts w:ascii="Times New Roman" w:hAnsi="Times New Roman"/>
      <w:b/>
      <w:sz w:val="23"/>
    </w:rPr>
  </w:style>
  <w:style w:type="paragraph" w:styleId="TOC3">
    <w:name w:val="toc 3"/>
    <w:basedOn w:val="Normal"/>
    <w:next w:val="Normal"/>
    <w:autoRedefine/>
    <w:uiPriority w:val="39"/>
    <w:rsid w:val="00210BC7"/>
    <w:pPr>
      <w:spacing w:after="100"/>
      <w:ind w:left="480"/>
    </w:pPr>
    <w:rPr>
      <w:rFonts w:ascii="Times New Roman" w:hAnsi="Times New Roman"/>
      <w:sz w:val="23"/>
    </w:rPr>
  </w:style>
  <w:style w:type="paragraph" w:customStyle="1" w:styleId="H23G">
    <w:name w:val="_ H_2/3_G"/>
    <w:basedOn w:val="Normal"/>
    <w:next w:val="Normal"/>
    <w:rsid w:val="00E1548E"/>
    <w:pPr>
      <w:keepNext/>
      <w:keepLines/>
      <w:tabs>
        <w:tab w:val="right" w:pos="851"/>
      </w:tabs>
      <w:suppressAutoHyphens/>
      <w:spacing w:before="240" w:after="120" w:line="240" w:lineRule="exact"/>
      <w:ind w:left="1134" w:right="1134" w:hanging="1134"/>
      <w:jc w:val="left"/>
    </w:pPr>
    <w:rPr>
      <w:rFonts w:ascii="Times New Roman" w:eastAsia="MS Mincho" w:hAnsi="Times New Roman" w:cs="Times New Roman"/>
      <w:b/>
      <w:sz w:val="20"/>
      <w:szCs w:val="20"/>
      <w:lang w:val="en-GB" w:eastAsia="en-US"/>
    </w:rPr>
  </w:style>
  <w:style w:type="character" w:customStyle="1" w:styleId="st">
    <w:name w:val="st"/>
    <w:basedOn w:val="DefaultParagraphFont"/>
    <w:rsid w:val="00114E67"/>
  </w:style>
  <w:style w:type="paragraph" w:customStyle="1" w:styleId="HeadingMajor">
    <w:name w:val="Heading Major"/>
    <w:basedOn w:val="Normal"/>
    <w:qFormat/>
    <w:rsid w:val="002C45F2"/>
    <w:pPr>
      <w:spacing w:before="120" w:after="120"/>
      <w:jc w:val="left"/>
    </w:pPr>
    <w:rPr>
      <w:rFonts w:asciiTheme="majorHAnsi" w:hAnsiTheme="majorHAnsi" w:cs="Times New Roman"/>
      <w:b/>
      <w:caps/>
      <w:sz w:val="32"/>
      <w:lang w:val="en-AU"/>
    </w:rPr>
  </w:style>
  <w:style w:type="paragraph" w:customStyle="1" w:styleId="CERDBodyText1">
    <w:name w:val="CERD Body Text 1"/>
    <w:basedOn w:val="ListParagraph"/>
    <w:qFormat/>
    <w:rsid w:val="00BA1C97"/>
    <w:pPr>
      <w:numPr>
        <w:numId w:val="1"/>
      </w:numPr>
      <w:spacing w:after="120"/>
      <w:ind w:left="0" w:right="-142" w:firstLine="0"/>
      <w:contextualSpacing w:val="0"/>
      <w:jc w:val="left"/>
    </w:pPr>
    <w:rPr>
      <w:rFonts w:cstheme="minorHAnsi"/>
      <w:lang w:val="en-AU" w:eastAsia="en-US"/>
    </w:rPr>
  </w:style>
  <w:style w:type="paragraph" w:customStyle="1" w:styleId="FootnoteNumbers">
    <w:name w:val="Footnote Numbers"/>
    <w:basedOn w:val="CERDBodyText1"/>
    <w:rsid w:val="004C3728"/>
    <w:rPr>
      <w:vertAlign w:val="superscript"/>
    </w:rPr>
  </w:style>
  <w:style w:type="paragraph" w:customStyle="1" w:styleId="CERDFootnotes">
    <w:name w:val="CERD Footnotes"/>
    <w:basedOn w:val="CERDBodyText1"/>
    <w:rsid w:val="004C3728"/>
    <w:rPr>
      <w:vertAlign w:val="superscript"/>
    </w:rPr>
  </w:style>
  <w:style w:type="paragraph" w:customStyle="1" w:styleId="CERDHeadingMinor1">
    <w:name w:val="CERD Heading Minor 1"/>
    <w:basedOn w:val="Heading2"/>
    <w:qFormat/>
    <w:rsid w:val="00210BC7"/>
    <w:pPr>
      <w:spacing w:before="120" w:after="120"/>
      <w:jc w:val="left"/>
    </w:pPr>
    <w:rPr>
      <w:b/>
      <w:lang w:val="en-AU"/>
    </w:rPr>
  </w:style>
  <w:style w:type="paragraph" w:customStyle="1" w:styleId="CERDBOXHeading">
    <w:name w:val="CERD BOX Heading"/>
    <w:basedOn w:val="Normal"/>
    <w:rsid w:val="0003081E"/>
    <w:pPr>
      <w:pBdr>
        <w:top w:val="single" w:sz="4" w:space="1" w:color="auto"/>
        <w:left w:val="single" w:sz="4" w:space="4" w:color="auto"/>
        <w:bottom w:val="single" w:sz="4" w:space="1" w:color="auto"/>
        <w:right w:val="single" w:sz="4" w:space="4" w:color="auto"/>
      </w:pBdr>
      <w:shd w:val="clear" w:color="auto" w:fill="DBE5F1" w:themeFill="accent1" w:themeFillTint="33"/>
      <w:spacing w:before="60" w:after="60"/>
      <w:ind w:left="11" w:hanging="11"/>
      <w:jc w:val="left"/>
    </w:pPr>
    <w:rPr>
      <w:b/>
      <w:sz w:val="23"/>
      <w:szCs w:val="22"/>
      <w:lang w:val="en-AU"/>
    </w:rPr>
  </w:style>
  <w:style w:type="paragraph" w:customStyle="1" w:styleId="CERDBOXText">
    <w:name w:val="CERD BOX Text"/>
    <w:basedOn w:val="Normal"/>
    <w:rsid w:val="0003081E"/>
    <w:pPr>
      <w:pBdr>
        <w:top w:val="single" w:sz="4" w:space="1" w:color="auto"/>
        <w:left w:val="single" w:sz="4" w:space="4" w:color="auto"/>
        <w:bottom w:val="single" w:sz="4" w:space="1" w:color="auto"/>
        <w:right w:val="single" w:sz="4" w:space="4" w:color="auto"/>
      </w:pBdr>
      <w:shd w:val="clear" w:color="auto" w:fill="DBE5F1" w:themeFill="accent1" w:themeFillTint="33"/>
      <w:spacing w:after="60"/>
      <w:jc w:val="left"/>
    </w:pPr>
    <w:rPr>
      <w:sz w:val="22"/>
    </w:rPr>
  </w:style>
  <w:style w:type="paragraph" w:customStyle="1" w:styleId="CERDHeadingMinor2">
    <w:name w:val="CERD Heading Minor 2"/>
    <w:basedOn w:val="CERDHeadingMinor1"/>
    <w:qFormat/>
    <w:rsid w:val="00496D43"/>
    <w:rPr>
      <w:b w:val="0"/>
      <w:sz w:val="24"/>
    </w:rPr>
  </w:style>
  <w:style w:type="paragraph" w:customStyle="1" w:styleId="CERDBoxTableHeading">
    <w:name w:val="CERD Box Table Heading"/>
    <w:basedOn w:val="CERDBodyText1"/>
    <w:qFormat/>
    <w:rsid w:val="00B54951"/>
    <w:pPr>
      <w:numPr>
        <w:numId w:val="0"/>
      </w:numPr>
      <w:spacing w:before="60" w:after="60"/>
      <w:ind w:right="0"/>
    </w:pPr>
    <w:rPr>
      <w:b/>
    </w:rPr>
  </w:style>
  <w:style w:type="paragraph" w:customStyle="1" w:styleId="CERDBOXTableText">
    <w:name w:val="CERD BOX Table Text"/>
    <w:basedOn w:val="CERDBoxTableHeading"/>
    <w:qFormat/>
    <w:rsid w:val="00120B69"/>
    <w:rPr>
      <w:b w:val="0"/>
      <w:sz w:val="22"/>
    </w:rPr>
  </w:style>
  <w:style w:type="paragraph" w:customStyle="1" w:styleId="CERDTableDotPoint">
    <w:name w:val="CERD Table Dot Point"/>
    <w:next w:val="CERDBOXTableText"/>
    <w:qFormat/>
    <w:rsid w:val="0090364A"/>
    <w:pPr>
      <w:numPr>
        <w:numId w:val="5"/>
      </w:numPr>
      <w:spacing w:before="40" w:after="40"/>
    </w:pPr>
    <w:rPr>
      <w:rFonts w:asciiTheme="minorHAnsi" w:eastAsiaTheme="minorEastAsia" w:hAnsiTheme="minorHAnsi"/>
      <w:sz w:val="22"/>
      <w:szCs w:val="24"/>
      <w:lang w:eastAsia="ja-JP"/>
    </w:rPr>
  </w:style>
  <w:style w:type="paragraph" w:styleId="Revision">
    <w:name w:val="Revision"/>
    <w:hidden/>
    <w:uiPriority w:val="99"/>
    <w:semiHidden/>
    <w:rsid w:val="00AE7D2B"/>
    <w:pPr>
      <w:jc w:val="left"/>
    </w:pPr>
    <w:rPr>
      <w:rFonts w:asciiTheme="minorHAnsi" w:eastAsiaTheme="minorEastAsia" w:hAnsiTheme="minorHAnsi" w:cstheme="minorBidi"/>
      <w:sz w:val="24"/>
      <w:szCs w:val="24"/>
      <w:lang w:val="en-US" w:eastAsia="ja-JP"/>
    </w:rPr>
  </w:style>
  <w:style w:type="paragraph" w:customStyle="1" w:styleId="CERDBodyTextDotPoint">
    <w:name w:val="CERD Body Text Dot Point"/>
    <w:basedOn w:val="CERDBodyText1"/>
    <w:qFormat/>
    <w:rsid w:val="00B54951"/>
    <w:pPr>
      <w:numPr>
        <w:numId w:val="4"/>
      </w:numPr>
      <w:spacing w:after="80"/>
      <w:ind w:left="567" w:hanging="283"/>
    </w:pPr>
  </w:style>
  <w:style w:type="paragraph" w:customStyle="1" w:styleId="Style1">
    <w:name w:val="Style1"/>
    <w:basedOn w:val="CERDTableDotPoint"/>
    <w:qFormat/>
    <w:rsid w:val="0090364A"/>
    <w:pPr>
      <w:numPr>
        <w:numId w:val="0"/>
      </w:numPr>
    </w:pPr>
  </w:style>
  <w:style w:type="paragraph" w:customStyle="1" w:styleId="CERDTableNumberdPoint">
    <w:name w:val="CERD Table Numberd Point"/>
    <w:basedOn w:val="CERDTableDotPoint"/>
    <w:next w:val="CERDBOXTableText"/>
    <w:qFormat/>
    <w:rsid w:val="0090364A"/>
    <w:pPr>
      <w:numPr>
        <w:numId w:val="6"/>
      </w:numPr>
      <w:ind w:left="356" w:hanging="356"/>
    </w:pPr>
  </w:style>
  <w:style w:type="character" w:styleId="FollowedHyperlink">
    <w:name w:val="FollowedHyperlink"/>
    <w:basedOn w:val="DefaultParagraphFont"/>
    <w:rsid w:val="00497ED5"/>
    <w:rPr>
      <w:color w:val="800080" w:themeColor="followedHyperlink"/>
      <w:u w:val="single"/>
    </w:rPr>
  </w:style>
  <w:style w:type="paragraph" w:styleId="TOC4">
    <w:name w:val="toc 4"/>
    <w:basedOn w:val="Normal"/>
    <w:next w:val="Normal"/>
    <w:autoRedefine/>
    <w:uiPriority w:val="39"/>
    <w:rsid w:val="00210BC7"/>
    <w:pPr>
      <w:spacing w:after="100"/>
      <w:ind w:left="720"/>
    </w:pPr>
    <w:rPr>
      <w:rFonts w:ascii="Times New Roman" w:hAnsi="Times New Roman"/>
      <w:sz w:val="23"/>
    </w:rPr>
  </w:style>
  <w:style w:type="paragraph" w:customStyle="1" w:styleId="ICESCRBodyText">
    <w:name w:val="ICESCR Body Text"/>
    <w:basedOn w:val="ListParagraph"/>
    <w:qFormat/>
    <w:rsid w:val="000C37F6"/>
    <w:pPr>
      <w:spacing w:after="120"/>
      <w:ind w:left="567" w:right="-143" w:hanging="567"/>
      <w:contextualSpacing w:val="0"/>
      <w:jc w:val="left"/>
    </w:pPr>
    <w:rPr>
      <w:rFonts w:ascii="Times New Roman" w:hAnsi="Times New Roman" w:cs="Times New Roman"/>
      <w:sz w:val="23"/>
      <w:szCs w:val="23"/>
      <w:lang w:val="en-AU"/>
    </w:rPr>
  </w:style>
  <w:style w:type="paragraph" w:styleId="TOC5">
    <w:name w:val="toc 5"/>
    <w:basedOn w:val="Normal"/>
    <w:next w:val="Normal"/>
    <w:autoRedefine/>
    <w:uiPriority w:val="39"/>
    <w:unhideWhenUsed/>
    <w:rsid w:val="00F3162E"/>
    <w:pPr>
      <w:spacing w:after="100" w:line="276" w:lineRule="auto"/>
      <w:ind w:left="880"/>
      <w:jc w:val="left"/>
    </w:pPr>
    <w:rPr>
      <w:sz w:val="22"/>
      <w:szCs w:val="22"/>
      <w:lang w:val="en-AU" w:eastAsia="en-AU"/>
    </w:rPr>
  </w:style>
  <w:style w:type="paragraph" w:styleId="TOC6">
    <w:name w:val="toc 6"/>
    <w:basedOn w:val="Normal"/>
    <w:next w:val="Normal"/>
    <w:autoRedefine/>
    <w:uiPriority w:val="39"/>
    <w:unhideWhenUsed/>
    <w:rsid w:val="00F3162E"/>
    <w:pPr>
      <w:spacing w:after="100" w:line="276" w:lineRule="auto"/>
      <w:ind w:left="1100"/>
      <w:jc w:val="left"/>
    </w:pPr>
    <w:rPr>
      <w:sz w:val="22"/>
      <w:szCs w:val="22"/>
      <w:lang w:val="en-AU" w:eastAsia="en-AU"/>
    </w:rPr>
  </w:style>
  <w:style w:type="paragraph" w:styleId="TOC7">
    <w:name w:val="toc 7"/>
    <w:basedOn w:val="Normal"/>
    <w:next w:val="Normal"/>
    <w:autoRedefine/>
    <w:uiPriority w:val="39"/>
    <w:unhideWhenUsed/>
    <w:rsid w:val="00F3162E"/>
    <w:pPr>
      <w:spacing w:after="100" w:line="276" w:lineRule="auto"/>
      <w:ind w:left="1320"/>
      <w:jc w:val="left"/>
    </w:pPr>
    <w:rPr>
      <w:sz w:val="22"/>
      <w:szCs w:val="22"/>
      <w:lang w:val="en-AU" w:eastAsia="en-AU"/>
    </w:rPr>
  </w:style>
  <w:style w:type="paragraph" w:styleId="TOC8">
    <w:name w:val="toc 8"/>
    <w:basedOn w:val="Normal"/>
    <w:next w:val="Normal"/>
    <w:autoRedefine/>
    <w:uiPriority w:val="39"/>
    <w:unhideWhenUsed/>
    <w:rsid w:val="00F3162E"/>
    <w:pPr>
      <w:spacing w:after="100" w:line="276" w:lineRule="auto"/>
      <w:ind w:left="1540"/>
      <w:jc w:val="left"/>
    </w:pPr>
    <w:rPr>
      <w:sz w:val="22"/>
      <w:szCs w:val="22"/>
      <w:lang w:val="en-AU" w:eastAsia="en-AU"/>
    </w:rPr>
  </w:style>
  <w:style w:type="paragraph" w:styleId="TOC9">
    <w:name w:val="toc 9"/>
    <w:basedOn w:val="Normal"/>
    <w:next w:val="Normal"/>
    <w:autoRedefine/>
    <w:uiPriority w:val="39"/>
    <w:unhideWhenUsed/>
    <w:rsid w:val="00F3162E"/>
    <w:pPr>
      <w:spacing w:after="100" w:line="276" w:lineRule="auto"/>
      <w:ind w:left="1760"/>
      <w:jc w:val="left"/>
    </w:pPr>
    <w:rPr>
      <w:sz w:val="22"/>
      <w:szCs w:val="22"/>
      <w:lang w:val="en-AU" w:eastAsia="en-AU"/>
    </w:rPr>
  </w:style>
  <w:style w:type="paragraph" w:customStyle="1" w:styleId="ICESCRHeadingMajor">
    <w:name w:val="ICESCR Heading Major"/>
    <w:basedOn w:val="Heading1"/>
    <w:next w:val="Normal"/>
    <w:qFormat/>
    <w:rsid w:val="00F3162E"/>
    <w:pPr>
      <w:numPr>
        <w:numId w:val="7"/>
      </w:numPr>
      <w:spacing w:before="120"/>
      <w:ind w:left="567" w:hanging="567"/>
      <w:jc w:val="left"/>
    </w:pPr>
    <w:rPr>
      <w:color w:val="auto"/>
      <w:lang w:val="en-AU"/>
    </w:rPr>
  </w:style>
  <w:style w:type="numbering" w:customStyle="1" w:styleId="NoList1">
    <w:name w:val="No List1"/>
    <w:next w:val="NoList"/>
    <w:uiPriority w:val="99"/>
    <w:semiHidden/>
    <w:unhideWhenUsed/>
    <w:rsid w:val="00332059"/>
  </w:style>
  <w:style w:type="paragraph" w:customStyle="1" w:styleId="ICESCRBoxText">
    <w:name w:val="ICESCR Box Text"/>
    <w:basedOn w:val="Normal"/>
    <w:qFormat/>
    <w:rsid w:val="00332059"/>
    <w:pPr>
      <w:spacing w:after="80"/>
      <w:jc w:val="left"/>
    </w:pPr>
    <w:rPr>
      <w:rFonts w:cs="Cambria"/>
      <w:sz w:val="22"/>
      <w:szCs w:val="22"/>
      <w:lang w:val="en-AU"/>
    </w:rPr>
  </w:style>
  <w:style w:type="paragraph" w:customStyle="1" w:styleId="ICESCRBoxHeading">
    <w:name w:val="ICESCR Box Heading"/>
    <w:basedOn w:val="ICESCRBoxText"/>
    <w:qFormat/>
    <w:rsid w:val="00332059"/>
    <w:pPr>
      <w:spacing w:before="80"/>
    </w:pPr>
    <w:rPr>
      <w:b/>
    </w:rPr>
  </w:style>
  <w:style w:type="paragraph" w:customStyle="1" w:styleId="ICESCRBoxDotPoint">
    <w:name w:val="ICESCR Box Dot Point"/>
    <w:basedOn w:val="ICESCRBoxText"/>
    <w:next w:val="ICESCRBoxText"/>
    <w:qFormat/>
    <w:rsid w:val="00332059"/>
    <w:pPr>
      <w:numPr>
        <w:numId w:val="8"/>
      </w:numPr>
      <w:ind w:left="284" w:hanging="284"/>
    </w:pPr>
  </w:style>
  <w:style w:type="paragraph" w:customStyle="1" w:styleId="ICESCRHeadingMinor2">
    <w:name w:val="ICESCR Heading Minor 2"/>
    <w:basedOn w:val="Normal"/>
    <w:next w:val="ICESCRBodyText"/>
    <w:qFormat/>
    <w:rsid w:val="00332059"/>
    <w:pPr>
      <w:keepNext/>
      <w:keepLines/>
      <w:spacing w:before="120" w:after="120"/>
      <w:jc w:val="left"/>
      <w:outlineLvl w:val="2"/>
    </w:pPr>
    <w:rPr>
      <w:rFonts w:ascii="Calibri" w:eastAsia="MS Gothic" w:hAnsi="Calibri" w:cs="Times New Roman"/>
      <w:bCs/>
      <w:i/>
      <w:lang w:val="en-AU"/>
    </w:rPr>
  </w:style>
  <w:style w:type="table" w:customStyle="1" w:styleId="TableGrid1">
    <w:name w:val="Table Grid1"/>
    <w:basedOn w:val="TableNormal"/>
    <w:next w:val="TableGrid"/>
    <w:uiPriority w:val="59"/>
    <w:rsid w:val="00332059"/>
    <w:pPr>
      <w:jc w:val="left"/>
    </w:pPr>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Char">
    <w:name w:val="Bullet 1 Char"/>
    <w:link w:val="Bullet1"/>
    <w:locked/>
    <w:rsid w:val="003C04F4"/>
    <w:rPr>
      <w:sz w:val="24"/>
    </w:rPr>
  </w:style>
  <w:style w:type="paragraph" w:customStyle="1" w:styleId="Bullet1">
    <w:name w:val="Bullet 1"/>
    <w:basedOn w:val="Normal"/>
    <w:link w:val="Bullet1Char"/>
    <w:rsid w:val="003C04F4"/>
    <w:pPr>
      <w:numPr>
        <w:numId w:val="9"/>
      </w:numPr>
      <w:spacing w:before="120" w:line="360" w:lineRule="auto"/>
      <w:jc w:val="left"/>
    </w:pPr>
    <w:rPr>
      <w:rFonts w:ascii="Times New Roman" w:eastAsia="Times New Roman" w:hAnsi="Times New Roman" w:cs="Times New Roman"/>
      <w:szCs w:val="20"/>
      <w:lang w:val="en-AU" w:eastAsia="en-AU"/>
    </w:rPr>
  </w:style>
  <w:style w:type="paragraph" w:customStyle="1" w:styleId="Quick1">
    <w:name w:val="Quick 1."/>
    <w:basedOn w:val="Normal"/>
    <w:rsid w:val="00C525F6"/>
    <w:pPr>
      <w:widowControl w:val="0"/>
      <w:numPr>
        <w:numId w:val="17"/>
      </w:numPr>
      <w:suppressAutoHyphens/>
      <w:jc w:val="left"/>
    </w:pPr>
    <w:rPr>
      <w:rFonts w:ascii="Courier" w:eastAsia="Times New Roman" w:hAnsi="Courier" w:cs="Times New Roman"/>
      <w:szCs w:val="20"/>
      <w:lang w:eastAsia="ar-SA"/>
    </w:rPr>
  </w:style>
  <w:style w:type="paragraph" w:customStyle="1" w:styleId="ICESCRHeadingMinor1">
    <w:name w:val="ICESCR Heading Minor 1"/>
    <w:basedOn w:val="Heading3"/>
    <w:qFormat/>
    <w:rsid w:val="00C525F6"/>
    <w:pPr>
      <w:spacing w:before="140" w:after="140"/>
      <w:jc w:val="left"/>
    </w:pPr>
    <w:rPr>
      <w:i/>
      <w:color w:val="auto"/>
      <w:sz w:val="26"/>
      <w:lang w:val="en-AU"/>
    </w:rPr>
  </w:style>
  <w:style w:type="paragraph" w:customStyle="1" w:styleId="ICESCRDotPoint">
    <w:name w:val="ICESCR Dot Point"/>
    <w:basedOn w:val="CERDBodyTextDotPoint"/>
    <w:next w:val="ICESCRBodyText"/>
    <w:qFormat/>
    <w:rsid w:val="00EE0C51"/>
    <w:pPr>
      <w:ind w:left="426" w:right="0" w:hanging="284"/>
    </w:pPr>
    <w:rPr>
      <w:rFonts w:ascii="Times New Roman" w:hAnsi="Times New Roman" w:cs="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763198">
      <w:bodyDiv w:val="1"/>
      <w:marLeft w:val="0"/>
      <w:marRight w:val="0"/>
      <w:marTop w:val="0"/>
      <w:marBottom w:val="0"/>
      <w:divBdr>
        <w:top w:val="none" w:sz="0" w:space="0" w:color="auto"/>
        <w:left w:val="none" w:sz="0" w:space="0" w:color="auto"/>
        <w:bottom w:val="none" w:sz="0" w:space="0" w:color="auto"/>
        <w:right w:val="none" w:sz="0" w:space="0" w:color="auto"/>
      </w:divBdr>
    </w:div>
    <w:div w:id="1463381240">
      <w:bodyDiv w:val="1"/>
      <w:marLeft w:val="0"/>
      <w:marRight w:val="0"/>
      <w:marTop w:val="0"/>
      <w:marBottom w:val="0"/>
      <w:divBdr>
        <w:top w:val="none" w:sz="0" w:space="0" w:color="auto"/>
        <w:left w:val="none" w:sz="0" w:space="0" w:color="auto"/>
        <w:bottom w:val="none" w:sz="0" w:space="0" w:color="auto"/>
        <w:right w:val="none" w:sz="0" w:space="0" w:color="auto"/>
      </w:divBdr>
      <w:divsChild>
        <w:div w:id="217211743">
          <w:marLeft w:val="0"/>
          <w:marRight w:val="0"/>
          <w:marTop w:val="0"/>
          <w:marBottom w:val="0"/>
          <w:divBdr>
            <w:top w:val="none" w:sz="0" w:space="0" w:color="auto"/>
            <w:left w:val="none" w:sz="0" w:space="0" w:color="auto"/>
            <w:bottom w:val="none" w:sz="0" w:space="0" w:color="auto"/>
            <w:right w:val="none" w:sz="0" w:space="0" w:color="auto"/>
          </w:divBdr>
          <w:divsChild>
            <w:div w:id="218515071">
              <w:marLeft w:val="0"/>
              <w:marRight w:val="0"/>
              <w:marTop w:val="0"/>
              <w:marBottom w:val="0"/>
              <w:divBdr>
                <w:top w:val="none" w:sz="0" w:space="0" w:color="auto"/>
                <w:left w:val="none" w:sz="0" w:space="0" w:color="auto"/>
                <w:bottom w:val="none" w:sz="0" w:space="0" w:color="auto"/>
                <w:right w:val="none" w:sz="0" w:space="0" w:color="auto"/>
              </w:divBdr>
              <w:divsChild>
                <w:div w:id="1635721359">
                  <w:marLeft w:val="0"/>
                  <w:marRight w:val="3600"/>
                  <w:marTop w:val="0"/>
                  <w:marBottom w:val="0"/>
                  <w:divBdr>
                    <w:top w:val="none" w:sz="0" w:space="0" w:color="auto"/>
                    <w:left w:val="none" w:sz="0" w:space="0" w:color="auto"/>
                    <w:bottom w:val="none" w:sz="0" w:space="0" w:color="auto"/>
                    <w:right w:val="none" w:sz="0" w:space="0" w:color="auto"/>
                  </w:divBdr>
                </w:div>
              </w:divsChild>
            </w:div>
          </w:divsChild>
        </w:div>
      </w:divsChild>
    </w:div>
    <w:div w:id="1535196320">
      <w:bodyDiv w:val="1"/>
      <w:marLeft w:val="0"/>
      <w:marRight w:val="0"/>
      <w:marTop w:val="0"/>
      <w:marBottom w:val="0"/>
      <w:divBdr>
        <w:top w:val="none" w:sz="0" w:space="0" w:color="auto"/>
        <w:left w:val="none" w:sz="0" w:space="0" w:color="auto"/>
        <w:bottom w:val="none" w:sz="0" w:space="0" w:color="auto"/>
        <w:right w:val="none" w:sz="0" w:space="0" w:color="auto"/>
      </w:divBdr>
    </w:div>
    <w:div w:id="1759327280">
      <w:bodyDiv w:val="1"/>
      <w:marLeft w:val="0"/>
      <w:marRight w:val="0"/>
      <w:marTop w:val="0"/>
      <w:marBottom w:val="0"/>
      <w:divBdr>
        <w:top w:val="none" w:sz="0" w:space="0" w:color="auto"/>
        <w:left w:val="none" w:sz="0" w:space="0" w:color="auto"/>
        <w:bottom w:val="none" w:sz="0" w:space="0" w:color="auto"/>
        <w:right w:val="none" w:sz="0" w:space="0" w:color="auto"/>
      </w:divBdr>
    </w:div>
    <w:div w:id="1949698602">
      <w:bodyDiv w:val="1"/>
      <w:marLeft w:val="0"/>
      <w:marRight w:val="0"/>
      <w:marTop w:val="0"/>
      <w:marBottom w:val="0"/>
      <w:divBdr>
        <w:top w:val="none" w:sz="0" w:space="0" w:color="auto"/>
        <w:left w:val="none" w:sz="0" w:space="0" w:color="auto"/>
        <w:bottom w:val="none" w:sz="0" w:space="0" w:color="auto"/>
        <w:right w:val="none" w:sz="0" w:space="0" w:color="auto"/>
      </w:divBdr>
    </w:div>
    <w:div w:id="1998028672">
      <w:bodyDiv w:val="1"/>
      <w:marLeft w:val="0"/>
      <w:marRight w:val="0"/>
      <w:marTop w:val="0"/>
      <w:marBottom w:val="0"/>
      <w:divBdr>
        <w:top w:val="none" w:sz="0" w:space="0" w:color="auto"/>
        <w:left w:val="none" w:sz="0" w:space="0" w:color="auto"/>
        <w:bottom w:val="none" w:sz="0" w:space="0" w:color="auto"/>
        <w:right w:val="none" w:sz="0" w:space="0" w:color="auto"/>
      </w:divBdr>
      <w:divsChild>
        <w:div w:id="1403523847">
          <w:marLeft w:val="0"/>
          <w:marRight w:val="0"/>
          <w:marTop w:val="0"/>
          <w:marBottom w:val="0"/>
          <w:divBdr>
            <w:top w:val="none" w:sz="0" w:space="0" w:color="auto"/>
            <w:left w:val="none" w:sz="0" w:space="0" w:color="auto"/>
            <w:bottom w:val="none" w:sz="0" w:space="0" w:color="auto"/>
            <w:right w:val="none" w:sz="0" w:space="0" w:color="auto"/>
          </w:divBdr>
          <w:divsChild>
            <w:div w:id="2064789066">
              <w:marLeft w:val="0"/>
              <w:marRight w:val="0"/>
              <w:marTop w:val="0"/>
              <w:marBottom w:val="450"/>
              <w:divBdr>
                <w:top w:val="none" w:sz="0" w:space="0" w:color="auto"/>
                <w:left w:val="single" w:sz="6" w:space="0" w:color="BCBEC0"/>
                <w:bottom w:val="single" w:sz="6" w:space="0" w:color="BCBEC0"/>
                <w:right w:val="single" w:sz="6" w:space="0" w:color="BCBEC0"/>
              </w:divBdr>
              <w:divsChild>
                <w:div w:id="912204902">
                  <w:marLeft w:val="0"/>
                  <w:marRight w:val="0"/>
                  <w:marTop w:val="0"/>
                  <w:marBottom w:val="0"/>
                  <w:divBdr>
                    <w:top w:val="none" w:sz="0" w:space="0" w:color="auto"/>
                    <w:left w:val="none" w:sz="0" w:space="0" w:color="auto"/>
                    <w:bottom w:val="none" w:sz="0" w:space="0" w:color="auto"/>
                    <w:right w:val="none" w:sz="0" w:space="0" w:color="auto"/>
                  </w:divBdr>
                  <w:divsChild>
                    <w:div w:id="719940120">
                      <w:marLeft w:val="0"/>
                      <w:marRight w:val="0"/>
                      <w:marTop w:val="0"/>
                      <w:marBottom w:val="0"/>
                      <w:divBdr>
                        <w:top w:val="none" w:sz="0" w:space="0" w:color="auto"/>
                        <w:left w:val="none" w:sz="0" w:space="0" w:color="auto"/>
                        <w:bottom w:val="none" w:sz="0" w:space="0" w:color="auto"/>
                        <w:right w:val="none" w:sz="0" w:space="0" w:color="auto"/>
                      </w:divBdr>
                      <w:divsChild>
                        <w:div w:id="1174760957">
                          <w:marLeft w:val="0"/>
                          <w:marRight w:val="0"/>
                          <w:marTop w:val="0"/>
                          <w:marBottom w:val="0"/>
                          <w:divBdr>
                            <w:top w:val="none" w:sz="0" w:space="0" w:color="auto"/>
                            <w:left w:val="none" w:sz="0" w:space="0" w:color="auto"/>
                            <w:bottom w:val="none" w:sz="0" w:space="0" w:color="auto"/>
                            <w:right w:val="none" w:sz="0" w:space="0" w:color="auto"/>
                          </w:divBdr>
                          <w:divsChild>
                            <w:div w:id="247010317">
                              <w:marLeft w:val="0"/>
                              <w:marRight w:val="0"/>
                              <w:marTop w:val="0"/>
                              <w:marBottom w:val="0"/>
                              <w:divBdr>
                                <w:top w:val="none" w:sz="0" w:space="0" w:color="auto"/>
                                <w:left w:val="none" w:sz="0" w:space="0" w:color="auto"/>
                                <w:bottom w:val="none" w:sz="0" w:space="0" w:color="auto"/>
                                <w:right w:val="none" w:sz="0" w:space="0" w:color="auto"/>
                              </w:divBdr>
                              <w:divsChild>
                                <w:div w:id="133617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emf"/><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dss.gov.au/our-responsibilities/seniors/programs-services/working-after-pension-age" TargetMode="External"/><Relationship Id="rId2" Type="http://schemas.openxmlformats.org/officeDocument/2006/relationships/hyperlink" Target="http://www.employment.gov.au/corporate-champions" TargetMode="External"/><Relationship Id="rId1" Type="http://schemas.openxmlformats.org/officeDocument/2006/relationships/hyperlink" Target="http://www.employment.gov.au/restart-wage-subsidy" TargetMode="External"/><Relationship Id="rId6" Type="http://schemas.openxmlformats.org/officeDocument/2006/relationships/hyperlink" Target="http://www.health.wa.gov.au/publications/daip/DoH_DAIP2010-2015_Entire_Document.pdf" TargetMode="External"/><Relationship Id="rId5" Type="http://schemas.openxmlformats.org/officeDocument/2006/relationships/hyperlink" Target="http://www.adhc.nsw.gov.au/__data/assets/file/0011/257276/1282_ADHC_NSW-AgeingStrategy_WEB.pdf" TargetMode="External"/><Relationship Id="rId4" Type="http://schemas.openxmlformats.org/officeDocument/2006/relationships/hyperlink" Target="http://www.powerofoldn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9FB8F79-47FD-4AF9-905D-92B797C5871B}"/>
</file>

<file path=customXml/itemProps2.xml><?xml version="1.0" encoding="utf-8"?>
<ds:datastoreItem xmlns:ds="http://schemas.openxmlformats.org/officeDocument/2006/customXml" ds:itemID="{F7885A13-99FD-4406-A363-36E908BECE67}"/>
</file>

<file path=customXml/itemProps3.xml><?xml version="1.0" encoding="utf-8"?>
<ds:datastoreItem xmlns:ds="http://schemas.openxmlformats.org/officeDocument/2006/customXml" ds:itemID="{E63C1168-47A9-4738-9347-4D06967D0301}"/>
</file>

<file path=customXml/itemProps4.xml><?xml version="1.0" encoding="utf-8"?>
<ds:datastoreItem xmlns:ds="http://schemas.openxmlformats.org/officeDocument/2006/customXml" ds:itemID="{0D8B106C-C5A7-4808-AFDA-524B91AC9940}"/>
</file>

<file path=docProps/app.xml><?xml version="1.0" encoding="utf-8"?>
<Properties xmlns="http://schemas.openxmlformats.org/officeDocument/2006/extended-properties" xmlns:vt="http://schemas.openxmlformats.org/officeDocument/2006/docPropsVTypes">
  <Template>6A1943ED.dotm</Template>
  <TotalTime>0</TotalTime>
  <Pages>10</Pages>
  <Words>3305</Words>
  <Characters>18730</Characters>
  <Application>Microsoft Office Word</Application>
  <DocSecurity>0</DocSecurity>
  <Lines>328</Lines>
  <Paragraphs>135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2016-02-02T22:58:00Z</dcterms:created>
  <dcterms:modified xsi:type="dcterms:W3CDTF">2016-02-02T22:59:00Z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6bc1f66e-348f-4c84-a05d-c9044f22f4fe</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1010900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