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684087"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684087" w:rsidRDefault="001376ED" w:rsidP="0087499B">
      <w:pPr>
        <w:spacing w:after="120"/>
        <w:rPr>
          <w:rFonts w:ascii="Times New Roman" w:hAnsi="Times New Roman" w:cs="Times New Roman"/>
          <w:b/>
          <w:sz w:val="32"/>
          <w:lang w:val="en-AU"/>
        </w:rPr>
      </w:pPr>
    </w:p>
    <w:p w14:paraId="1EF36D9A" w14:textId="77777777" w:rsidR="00D41326" w:rsidRPr="00684087" w:rsidRDefault="00D41326" w:rsidP="0087499B">
      <w:pPr>
        <w:spacing w:after="120"/>
        <w:rPr>
          <w:rFonts w:ascii="Times New Roman" w:hAnsi="Times New Roman" w:cs="Times New Roman"/>
          <w:b/>
          <w:sz w:val="32"/>
          <w:lang w:val="en-AU"/>
        </w:rPr>
      </w:pPr>
    </w:p>
    <w:p w14:paraId="2B293E8B" w14:textId="77777777" w:rsidR="001376ED" w:rsidRPr="00684087" w:rsidRDefault="001376ED" w:rsidP="0087499B">
      <w:pPr>
        <w:spacing w:after="120"/>
        <w:rPr>
          <w:rFonts w:ascii="Times New Roman" w:hAnsi="Times New Roman" w:cs="Times New Roman"/>
          <w:b/>
          <w:sz w:val="32"/>
          <w:lang w:val="en-AU"/>
        </w:rPr>
      </w:pPr>
    </w:p>
    <w:p w14:paraId="685128A5" w14:textId="77777777" w:rsidR="001376ED" w:rsidRPr="00684087" w:rsidRDefault="001376ED" w:rsidP="0087499B">
      <w:pPr>
        <w:spacing w:after="120"/>
        <w:rPr>
          <w:rFonts w:ascii="Times New Roman" w:hAnsi="Times New Roman" w:cs="Times New Roman"/>
          <w:b/>
          <w:sz w:val="32"/>
          <w:lang w:val="en-AU"/>
        </w:rPr>
      </w:pPr>
    </w:p>
    <w:p w14:paraId="0C912D18" w14:textId="77777777" w:rsidR="001376ED" w:rsidRPr="00684087" w:rsidRDefault="001376ED" w:rsidP="0087499B">
      <w:pPr>
        <w:spacing w:after="120"/>
        <w:rPr>
          <w:rFonts w:ascii="Times New Roman" w:hAnsi="Times New Roman" w:cs="Times New Roman"/>
          <w:b/>
          <w:sz w:val="32"/>
          <w:lang w:val="en-AU"/>
        </w:rPr>
      </w:pPr>
    </w:p>
    <w:p w14:paraId="387B9B74" w14:textId="77777777" w:rsidR="001376ED" w:rsidRPr="00684087" w:rsidRDefault="001376ED" w:rsidP="0087499B">
      <w:pPr>
        <w:spacing w:after="120"/>
        <w:rPr>
          <w:rFonts w:ascii="Times New Roman" w:hAnsi="Times New Roman" w:cs="Times New Roman"/>
          <w:b/>
          <w:sz w:val="32"/>
          <w:lang w:val="en-AU"/>
        </w:rPr>
      </w:pPr>
    </w:p>
    <w:p w14:paraId="790791A5" w14:textId="77777777" w:rsidR="001376ED" w:rsidRPr="00684087" w:rsidRDefault="001376ED" w:rsidP="0087499B">
      <w:pPr>
        <w:spacing w:after="120"/>
        <w:rPr>
          <w:rFonts w:ascii="Times New Roman" w:hAnsi="Times New Roman" w:cs="Times New Roman"/>
          <w:b/>
          <w:sz w:val="32"/>
          <w:lang w:val="en-AU"/>
        </w:rPr>
      </w:pPr>
    </w:p>
    <w:p w14:paraId="326B6559" w14:textId="77777777" w:rsidR="001376ED" w:rsidRPr="00684087" w:rsidRDefault="001376ED" w:rsidP="0087499B">
      <w:pPr>
        <w:spacing w:after="120"/>
        <w:rPr>
          <w:rFonts w:ascii="Times New Roman" w:hAnsi="Times New Roman" w:cs="Times New Roman"/>
          <w:b/>
          <w:sz w:val="32"/>
          <w:lang w:val="en-AU"/>
        </w:rPr>
      </w:pPr>
    </w:p>
    <w:p w14:paraId="5D1BCB4A" w14:textId="77777777" w:rsidR="001376ED" w:rsidRPr="00684087" w:rsidRDefault="001376ED" w:rsidP="001376ED">
      <w:pPr>
        <w:spacing w:after="120"/>
        <w:jc w:val="right"/>
        <w:rPr>
          <w:rFonts w:ascii="Times New Roman" w:hAnsi="Times New Roman" w:cs="Times New Roman"/>
          <w:b/>
          <w:sz w:val="32"/>
          <w:lang w:val="en-AU"/>
        </w:rPr>
      </w:pPr>
    </w:p>
    <w:p w14:paraId="411D4852" w14:textId="196DF8D0" w:rsidR="00F3162E" w:rsidRPr="00684087" w:rsidRDefault="00F3162E" w:rsidP="00F3162E">
      <w:pPr>
        <w:spacing w:before="120" w:after="120"/>
        <w:jc w:val="right"/>
        <w:rPr>
          <w:rFonts w:ascii="Times New Roman" w:hAnsi="Times New Roman" w:cs="Times New Roman"/>
          <w:b/>
          <w:color w:val="1F497D" w:themeColor="text2"/>
          <w:sz w:val="32"/>
          <w:lang w:val="en-AU"/>
        </w:rPr>
      </w:pPr>
      <w:r w:rsidRPr="00684087">
        <w:rPr>
          <w:rFonts w:ascii="Times New Roman" w:hAnsi="Times New Roman" w:cs="Times New Roman"/>
          <w:b/>
          <w:color w:val="1F497D" w:themeColor="text2"/>
          <w:sz w:val="32"/>
          <w:lang w:val="en-AU"/>
        </w:rPr>
        <w:t>AUSTRALIA’S FIFTH REPORT UNDER</w:t>
      </w:r>
      <w:r w:rsidR="00B73DA7" w:rsidRPr="00684087">
        <w:rPr>
          <w:rFonts w:ascii="Times New Roman" w:hAnsi="Times New Roman" w:cs="Times New Roman"/>
          <w:b/>
          <w:color w:val="1F497D" w:themeColor="text2"/>
          <w:sz w:val="32"/>
          <w:lang w:val="en-AU"/>
        </w:rPr>
        <w:br/>
      </w:r>
      <w:r w:rsidRPr="00684087">
        <w:rPr>
          <w:rFonts w:ascii="Times New Roman" w:hAnsi="Times New Roman" w:cs="Times New Roman"/>
          <w:b/>
          <w:color w:val="1F497D" w:themeColor="text2"/>
          <w:sz w:val="32"/>
          <w:lang w:val="en-AU"/>
        </w:rPr>
        <w:t>THE INTERNATIONAL COVENANT ON ECONOMIC</w:t>
      </w:r>
      <w:proofErr w:type="gramStart"/>
      <w:r w:rsidRPr="00684087">
        <w:rPr>
          <w:rFonts w:ascii="Times New Roman" w:hAnsi="Times New Roman" w:cs="Times New Roman"/>
          <w:b/>
          <w:color w:val="1F497D" w:themeColor="text2"/>
          <w:sz w:val="32"/>
          <w:lang w:val="en-AU"/>
        </w:rPr>
        <w:t>,</w:t>
      </w:r>
      <w:proofErr w:type="gramEnd"/>
      <w:r w:rsidR="00B73DA7" w:rsidRPr="00684087">
        <w:rPr>
          <w:rFonts w:ascii="Times New Roman" w:hAnsi="Times New Roman" w:cs="Times New Roman"/>
          <w:b/>
          <w:color w:val="1F497D" w:themeColor="text2"/>
          <w:sz w:val="32"/>
          <w:lang w:val="en-AU"/>
        </w:rPr>
        <w:br/>
      </w:r>
      <w:r w:rsidRPr="00684087">
        <w:rPr>
          <w:rFonts w:ascii="Times New Roman" w:hAnsi="Times New Roman" w:cs="Times New Roman"/>
          <w:b/>
          <w:color w:val="1F497D" w:themeColor="text2"/>
          <w:sz w:val="32"/>
          <w:lang w:val="en-AU"/>
        </w:rPr>
        <w:t>SOCIAL AND CULTURAL RIGHTS (ICESCR)</w:t>
      </w:r>
    </w:p>
    <w:p w14:paraId="1B6C3A9F" w14:textId="7592BE4C" w:rsidR="00F3162E" w:rsidRPr="00684087" w:rsidRDefault="00B54951" w:rsidP="00F3162E">
      <w:pPr>
        <w:spacing w:before="120" w:after="120"/>
        <w:jc w:val="right"/>
        <w:rPr>
          <w:rFonts w:ascii="Times New Roman" w:hAnsi="Times New Roman" w:cs="Times New Roman"/>
          <w:b/>
          <w:color w:val="1F497D" w:themeColor="text2"/>
          <w:sz w:val="32"/>
          <w:lang w:val="en-AU"/>
        </w:rPr>
      </w:pPr>
      <w:r w:rsidRPr="00684087">
        <w:rPr>
          <w:rFonts w:ascii="Times New Roman" w:hAnsi="Times New Roman" w:cs="Times New Roman"/>
          <w:b/>
          <w:color w:val="1F497D" w:themeColor="text2"/>
          <w:sz w:val="32"/>
          <w:lang w:val="en-AU"/>
        </w:rPr>
        <w:t>2010-</w:t>
      </w:r>
      <w:r w:rsidR="00F3162E" w:rsidRPr="00684087">
        <w:rPr>
          <w:rFonts w:ascii="Times New Roman" w:hAnsi="Times New Roman" w:cs="Times New Roman"/>
          <w:b/>
          <w:color w:val="1F497D" w:themeColor="text2"/>
          <w:sz w:val="32"/>
          <w:lang w:val="en-AU"/>
        </w:rPr>
        <w:t>2014</w:t>
      </w:r>
    </w:p>
    <w:p w14:paraId="2211AE85" w14:textId="77777777" w:rsidR="00F3162E" w:rsidRPr="00684087" w:rsidRDefault="00F3162E" w:rsidP="00F3162E">
      <w:pPr>
        <w:spacing w:before="120" w:after="120"/>
        <w:jc w:val="right"/>
        <w:rPr>
          <w:rFonts w:ascii="Times New Roman" w:hAnsi="Times New Roman" w:cs="Times New Roman"/>
          <w:b/>
          <w:color w:val="1F497D" w:themeColor="text2"/>
          <w:sz w:val="32"/>
          <w:lang w:val="en-AU"/>
        </w:rPr>
      </w:pPr>
    </w:p>
    <w:p w14:paraId="1BD4FC79" w14:textId="7634E681" w:rsidR="001376ED" w:rsidRPr="00575558" w:rsidRDefault="00F3162E" w:rsidP="00F3162E">
      <w:pPr>
        <w:spacing w:after="120"/>
        <w:jc w:val="right"/>
        <w:rPr>
          <w:rFonts w:ascii="Times New Roman" w:hAnsi="Times New Roman" w:cs="Times New Roman"/>
          <w:b/>
          <w:color w:val="1F497D" w:themeColor="text2"/>
          <w:sz w:val="32"/>
          <w:lang w:val="en-AU"/>
        </w:rPr>
      </w:pPr>
      <w:r w:rsidRPr="00684087">
        <w:rPr>
          <w:rFonts w:ascii="Times New Roman" w:hAnsi="Times New Roman" w:cs="Times New Roman"/>
          <w:b/>
          <w:color w:val="1F497D" w:themeColor="text2"/>
          <w:sz w:val="32"/>
          <w:lang w:val="en-AU"/>
        </w:rPr>
        <w:t xml:space="preserve">Appendix </w:t>
      </w:r>
      <w:r w:rsidR="00575558">
        <w:rPr>
          <w:rFonts w:ascii="Times New Roman" w:hAnsi="Times New Roman" w:cs="Times New Roman"/>
          <w:b/>
          <w:color w:val="1F497D" w:themeColor="text2"/>
          <w:sz w:val="32"/>
          <w:lang w:val="en-AU"/>
        </w:rPr>
        <w:t>9</w:t>
      </w:r>
    </w:p>
    <w:p w14:paraId="54E66421" w14:textId="22308995" w:rsidR="001376ED" w:rsidRPr="00684087" w:rsidRDefault="00684087" w:rsidP="001376ED">
      <w:pPr>
        <w:spacing w:after="120"/>
        <w:jc w:val="right"/>
        <w:rPr>
          <w:rFonts w:ascii="Times New Roman" w:hAnsi="Times New Roman" w:cs="Times New Roman"/>
          <w:b/>
          <w:color w:val="1F497D" w:themeColor="text2"/>
          <w:sz w:val="32"/>
          <w:lang w:val="en-AU"/>
        </w:rPr>
      </w:pPr>
      <w:r w:rsidRPr="00684087">
        <w:rPr>
          <w:rFonts w:ascii="Times New Roman" w:hAnsi="Times New Roman" w:cs="Times New Roman"/>
          <w:b/>
          <w:color w:val="1F497D" w:themeColor="text2"/>
          <w:sz w:val="32"/>
          <w:lang w:val="en-AU"/>
        </w:rPr>
        <w:t>Human Rights Education</w:t>
      </w:r>
      <w:r w:rsidR="00990E92">
        <w:rPr>
          <w:rFonts w:ascii="Times New Roman" w:hAnsi="Times New Roman" w:cs="Times New Roman"/>
          <w:b/>
          <w:color w:val="1F497D" w:themeColor="text2"/>
          <w:sz w:val="32"/>
          <w:lang w:val="en-AU"/>
        </w:rPr>
        <w:t xml:space="preserve"> - Additional </w:t>
      </w:r>
      <w:r w:rsidR="00575558">
        <w:rPr>
          <w:rFonts w:ascii="Times New Roman" w:hAnsi="Times New Roman" w:cs="Times New Roman"/>
          <w:b/>
          <w:color w:val="1F497D" w:themeColor="text2"/>
          <w:sz w:val="32"/>
          <w:lang w:val="en-AU"/>
        </w:rPr>
        <w:t>Information</w:t>
      </w:r>
    </w:p>
    <w:p w14:paraId="259C2C58" w14:textId="77777777" w:rsidR="0001067E" w:rsidRPr="00684087" w:rsidRDefault="0001067E" w:rsidP="00B01340">
      <w:pPr>
        <w:rPr>
          <w:lang w:val="en-AU"/>
        </w:rPr>
      </w:pPr>
    </w:p>
    <w:p w14:paraId="735DE416" w14:textId="77777777" w:rsidR="0001067E" w:rsidRPr="00684087" w:rsidRDefault="0001067E" w:rsidP="00B01340">
      <w:pPr>
        <w:rPr>
          <w:lang w:val="en-AU"/>
        </w:rPr>
      </w:pPr>
    </w:p>
    <w:p w14:paraId="74042211" w14:textId="77777777" w:rsidR="0001067E" w:rsidRPr="00684087" w:rsidRDefault="0001067E" w:rsidP="002C45F2">
      <w:pPr>
        <w:rPr>
          <w:rFonts w:eastAsiaTheme="majorEastAsia"/>
          <w:lang w:val="en-AU"/>
        </w:rPr>
      </w:pPr>
      <w:bookmarkStart w:id="1" w:name="_Toc371326779"/>
      <w:r w:rsidRPr="00684087">
        <w:rPr>
          <w:lang w:val="en-AU"/>
        </w:rPr>
        <w:br w:type="page"/>
      </w:r>
    </w:p>
    <w:p w14:paraId="3623461F" w14:textId="77777777" w:rsidR="0001067E" w:rsidRPr="00684087" w:rsidRDefault="00D5679E" w:rsidP="00B01340">
      <w:pPr>
        <w:pStyle w:val="HeadingMajor"/>
        <w:rPr>
          <w:color w:val="1F497D" w:themeColor="text2"/>
        </w:rPr>
      </w:pPr>
      <w:bookmarkStart w:id="2" w:name="_Toc412043965"/>
      <w:bookmarkStart w:id="3" w:name="_Toc425838538"/>
      <w:bookmarkEnd w:id="1"/>
      <w:r w:rsidRPr="00684087">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684087" w:rsidRDefault="00D5679E" w:rsidP="00210BC7">
          <w:pPr>
            <w:pStyle w:val="TOCHeading"/>
            <w:spacing w:before="0" w:line="240" w:lineRule="auto"/>
            <w:rPr>
              <w:rFonts w:asciiTheme="minorHAnsi" w:hAnsiTheme="minorHAnsi" w:cstheme="minorHAnsi"/>
              <w:color w:val="auto"/>
              <w:sz w:val="2"/>
              <w:szCs w:val="2"/>
              <w:lang w:val="en-AU"/>
            </w:rPr>
          </w:pPr>
        </w:p>
        <w:p w14:paraId="30A51C00" w14:textId="77777777" w:rsidR="00990E92" w:rsidRDefault="003840AD">
          <w:pPr>
            <w:pStyle w:val="TOC1"/>
            <w:tabs>
              <w:tab w:val="right" w:leader="dot" w:pos="9628"/>
            </w:tabs>
            <w:rPr>
              <w:rFonts w:asciiTheme="minorHAnsi" w:hAnsiTheme="minorHAnsi"/>
              <w:b w:val="0"/>
              <w:caps w:val="0"/>
              <w:noProof/>
              <w:sz w:val="22"/>
              <w:u w:val="none"/>
              <w:lang w:val="en-AU" w:eastAsia="en-AU"/>
            </w:rPr>
          </w:pPr>
          <w:r w:rsidRPr="00684087">
            <w:rPr>
              <w:bCs/>
              <w:caps w:val="0"/>
              <w:lang w:val="en-AU"/>
            </w:rPr>
            <w:fldChar w:fldCharType="begin"/>
          </w:r>
          <w:r w:rsidRPr="00684087">
            <w:rPr>
              <w:bCs/>
              <w:caps w:val="0"/>
              <w:lang w:val="en-AU"/>
            </w:rPr>
            <w:instrText xml:space="preserve"> TOC \h \z \t "Heading Major,1,CERD Heading Minor 1,2,CERD Heading Minor 2,3,CERD Box Table Heading,4" </w:instrText>
          </w:r>
          <w:r w:rsidRPr="00684087">
            <w:rPr>
              <w:bCs/>
              <w:caps w:val="0"/>
              <w:lang w:val="en-AU"/>
            </w:rPr>
            <w:fldChar w:fldCharType="separate"/>
          </w:r>
          <w:hyperlink w:anchor="_Toc425838538" w:history="1">
            <w:r w:rsidR="00990E92" w:rsidRPr="002A66F7">
              <w:rPr>
                <w:rStyle w:val="Hyperlink"/>
                <w:noProof/>
              </w:rPr>
              <w:t>Table of contents</w:t>
            </w:r>
            <w:r w:rsidR="00990E92">
              <w:rPr>
                <w:noProof/>
                <w:webHidden/>
              </w:rPr>
              <w:tab/>
            </w:r>
            <w:r w:rsidR="00990E92">
              <w:rPr>
                <w:noProof/>
                <w:webHidden/>
              </w:rPr>
              <w:fldChar w:fldCharType="begin"/>
            </w:r>
            <w:r w:rsidR="00990E92">
              <w:rPr>
                <w:noProof/>
                <w:webHidden/>
              </w:rPr>
              <w:instrText xml:space="preserve"> PAGEREF _Toc425838538 \h </w:instrText>
            </w:r>
            <w:r w:rsidR="00990E92">
              <w:rPr>
                <w:noProof/>
                <w:webHidden/>
              </w:rPr>
            </w:r>
            <w:r w:rsidR="00990E92">
              <w:rPr>
                <w:noProof/>
                <w:webHidden/>
              </w:rPr>
              <w:fldChar w:fldCharType="separate"/>
            </w:r>
            <w:r w:rsidR="00D85AA2">
              <w:rPr>
                <w:noProof/>
                <w:webHidden/>
              </w:rPr>
              <w:t>2</w:t>
            </w:r>
            <w:r w:rsidR="00990E92">
              <w:rPr>
                <w:noProof/>
                <w:webHidden/>
              </w:rPr>
              <w:fldChar w:fldCharType="end"/>
            </w:r>
          </w:hyperlink>
        </w:p>
        <w:p w14:paraId="492FF129" w14:textId="77777777" w:rsidR="00990E92" w:rsidRDefault="00D85AA2">
          <w:pPr>
            <w:pStyle w:val="TOC1"/>
            <w:tabs>
              <w:tab w:val="left" w:pos="480"/>
              <w:tab w:val="right" w:leader="dot" w:pos="9628"/>
            </w:tabs>
            <w:rPr>
              <w:rFonts w:asciiTheme="minorHAnsi" w:hAnsiTheme="minorHAnsi"/>
              <w:b w:val="0"/>
              <w:caps w:val="0"/>
              <w:noProof/>
              <w:sz w:val="22"/>
              <w:u w:val="none"/>
              <w:lang w:val="en-AU" w:eastAsia="en-AU"/>
            </w:rPr>
          </w:pPr>
          <w:hyperlink w:anchor="_Toc425838539" w:history="1">
            <w:r w:rsidR="00990E92" w:rsidRPr="002A66F7">
              <w:rPr>
                <w:rStyle w:val="Hyperlink"/>
                <w:noProof/>
              </w:rPr>
              <w:t>I.</w:t>
            </w:r>
            <w:r w:rsidR="00990E92">
              <w:rPr>
                <w:rFonts w:asciiTheme="minorHAnsi" w:hAnsiTheme="minorHAnsi"/>
                <w:b w:val="0"/>
                <w:caps w:val="0"/>
                <w:noProof/>
                <w:sz w:val="22"/>
                <w:u w:val="none"/>
                <w:lang w:val="en-AU" w:eastAsia="en-AU"/>
              </w:rPr>
              <w:tab/>
            </w:r>
            <w:r w:rsidR="00990E92" w:rsidRPr="002A66F7">
              <w:rPr>
                <w:rStyle w:val="Hyperlink"/>
                <w:noProof/>
              </w:rPr>
              <w:t>Introduction</w:t>
            </w:r>
            <w:r w:rsidR="00990E92">
              <w:rPr>
                <w:noProof/>
                <w:webHidden/>
              </w:rPr>
              <w:tab/>
            </w:r>
            <w:r w:rsidR="00990E92">
              <w:rPr>
                <w:noProof/>
                <w:webHidden/>
              </w:rPr>
              <w:fldChar w:fldCharType="begin"/>
            </w:r>
            <w:r w:rsidR="00990E92">
              <w:rPr>
                <w:noProof/>
                <w:webHidden/>
              </w:rPr>
              <w:instrText xml:space="preserve"> PAGEREF _Toc425838539 \h </w:instrText>
            </w:r>
            <w:r w:rsidR="00990E92">
              <w:rPr>
                <w:noProof/>
                <w:webHidden/>
              </w:rPr>
            </w:r>
            <w:r w:rsidR="00990E92">
              <w:rPr>
                <w:noProof/>
                <w:webHidden/>
              </w:rPr>
              <w:fldChar w:fldCharType="separate"/>
            </w:r>
            <w:r>
              <w:rPr>
                <w:noProof/>
                <w:webHidden/>
              </w:rPr>
              <w:t>3</w:t>
            </w:r>
            <w:r w:rsidR="00990E92">
              <w:rPr>
                <w:noProof/>
                <w:webHidden/>
              </w:rPr>
              <w:fldChar w:fldCharType="end"/>
            </w:r>
          </w:hyperlink>
        </w:p>
        <w:p w14:paraId="4F437E78" w14:textId="77777777" w:rsidR="00990E92" w:rsidRDefault="00D85AA2">
          <w:pPr>
            <w:pStyle w:val="TOC2"/>
            <w:rPr>
              <w:rFonts w:asciiTheme="minorHAnsi" w:hAnsiTheme="minorHAnsi"/>
              <w:b w:val="0"/>
              <w:noProof/>
              <w:sz w:val="22"/>
              <w:szCs w:val="22"/>
              <w:lang w:val="en-AU" w:eastAsia="en-AU"/>
            </w:rPr>
          </w:pPr>
          <w:hyperlink w:anchor="_Toc425838540" w:history="1">
            <w:r w:rsidR="00990E92" w:rsidRPr="002A66F7">
              <w:rPr>
                <w:rStyle w:val="Hyperlink"/>
                <w:noProof/>
              </w:rPr>
              <w:t>Purpose of this Appendix</w:t>
            </w:r>
            <w:r w:rsidR="00990E92">
              <w:rPr>
                <w:noProof/>
                <w:webHidden/>
              </w:rPr>
              <w:tab/>
            </w:r>
            <w:r w:rsidR="00990E92">
              <w:rPr>
                <w:noProof/>
                <w:webHidden/>
              </w:rPr>
              <w:fldChar w:fldCharType="begin"/>
            </w:r>
            <w:r w:rsidR="00990E92">
              <w:rPr>
                <w:noProof/>
                <w:webHidden/>
              </w:rPr>
              <w:instrText xml:space="preserve"> PAGEREF _Toc425838540 \h </w:instrText>
            </w:r>
            <w:r w:rsidR="00990E92">
              <w:rPr>
                <w:noProof/>
                <w:webHidden/>
              </w:rPr>
            </w:r>
            <w:r w:rsidR="00990E92">
              <w:rPr>
                <w:noProof/>
                <w:webHidden/>
              </w:rPr>
              <w:fldChar w:fldCharType="separate"/>
            </w:r>
            <w:r>
              <w:rPr>
                <w:noProof/>
                <w:webHidden/>
              </w:rPr>
              <w:t>3</w:t>
            </w:r>
            <w:r w:rsidR="00990E92">
              <w:rPr>
                <w:noProof/>
                <w:webHidden/>
              </w:rPr>
              <w:fldChar w:fldCharType="end"/>
            </w:r>
          </w:hyperlink>
        </w:p>
        <w:p w14:paraId="6B57B3DB" w14:textId="77777777" w:rsidR="00990E92" w:rsidRDefault="00D85AA2">
          <w:pPr>
            <w:pStyle w:val="TOC1"/>
            <w:tabs>
              <w:tab w:val="left" w:pos="480"/>
              <w:tab w:val="right" w:leader="dot" w:pos="9628"/>
            </w:tabs>
            <w:rPr>
              <w:rFonts w:asciiTheme="minorHAnsi" w:hAnsiTheme="minorHAnsi"/>
              <w:b w:val="0"/>
              <w:caps w:val="0"/>
              <w:noProof/>
              <w:sz w:val="22"/>
              <w:u w:val="none"/>
              <w:lang w:val="en-AU" w:eastAsia="en-AU"/>
            </w:rPr>
          </w:pPr>
          <w:hyperlink w:anchor="_Toc425838541" w:history="1">
            <w:r w:rsidR="00990E92" w:rsidRPr="002A66F7">
              <w:rPr>
                <w:rStyle w:val="Hyperlink"/>
                <w:noProof/>
              </w:rPr>
              <w:t>II.</w:t>
            </w:r>
            <w:r w:rsidR="00990E92">
              <w:rPr>
                <w:rFonts w:asciiTheme="minorHAnsi" w:hAnsiTheme="minorHAnsi"/>
                <w:b w:val="0"/>
                <w:caps w:val="0"/>
                <w:noProof/>
                <w:sz w:val="22"/>
                <w:u w:val="none"/>
                <w:lang w:val="en-AU" w:eastAsia="en-AU"/>
              </w:rPr>
              <w:tab/>
            </w:r>
            <w:r w:rsidR="00990E92" w:rsidRPr="002A66F7">
              <w:rPr>
                <w:rStyle w:val="Hyperlink"/>
                <w:noProof/>
              </w:rPr>
              <w:t>Human Rights Education</w:t>
            </w:r>
            <w:r w:rsidR="00990E92">
              <w:rPr>
                <w:noProof/>
                <w:webHidden/>
              </w:rPr>
              <w:tab/>
            </w:r>
            <w:r w:rsidR="00990E92">
              <w:rPr>
                <w:noProof/>
                <w:webHidden/>
              </w:rPr>
              <w:fldChar w:fldCharType="begin"/>
            </w:r>
            <w:r w:rsidR="00990E92">
              <w:rPr>
                <w:noProof/>
                <w:webHidden/>
              </w:rPr>
              <w:instrText xml:space="preserve"> PAGEREF _Toc425838541 \h </w:instrText>
            </w:r>
            <w:r w:rsidR="00990E92">
              <w:rPr>
                <w:noProof/>
                <w:webHidden/>
              </w:rPr>
            </w:r>
            <w:r w:rsidR="00990E92">
              <w:rPr>
                <w:noProof/>
                <w:webHidden/>
              </w:rPr>
              <w:fldChar w:fldCharType="separate"/>
            </w:r>
            <w:r>
              <w:rPr>
                <w:noProof/>
                <w:webHidden/>
              </w:rPr>
              <w:t>4</w:t>
            </w:r>
            <w:r w:rsidR="00990E92">
              <w:rPr>
                <w:noProof/>
                <w:webHidden/>
              </w:rPr>
              <w:fldChar w:fldCharType="end"/>
            </w:r>
          </w:hyperlink>
        </w:p>
        <w:p w14:paraId="1E9BD8D7" w14:textId="77777777" w:rsidR="00990E92" w:rsidRDefault="00D85AA2">
          <w:pPr>
            <w:pStyle w:val="TOC2"/>
            <w:rPr>
              <w:rFonts w:asciiTheme="minorHAnsi" w:hAnsiTheme="minorHAnsi"/>
              <w:b w:val="0"/>
              <w:noProof/>
              <w:sz w:val="22"/>
              <w:szCs w:val="22"/>
              <w:lang w:val="en-AU" w:eastAsia="en-AU"/>
            </w:rPr>
          </w:pPr>
          <w:hyperlink w:anchor="_Toc425838542" w:history="1">
            <w:r w:rsidR="00990E92" w:rsidRPr="002A66F7">
              <w:rPr>
                <w:rStyle w:val="Hyperlink"/>
                <w:noProof/>
              </w:rPr>
              <w:t>Australian Universities’ Human Rights Centres and Institutes</w:t>
            </w:r>
            <w:r w:rsidR="00990E92">
              <w:rPr>
                <w:noProof/>
                <w:webHidden/>
              </w:rPr>
              <w:tab/>
            </w:r>
            <w:r w:rsidR="00990E92">
              <w:rPr>
                <w:noProof/>
                <w:webHidden/>
              </w:rPr>
              <w:fldChar w:fldCharType="begin"/>
            </w:r>
            <w:r w:rsidR="00990E92">
              <w:rPr>
                <w:noProof/>
                <w:webHidden/>
              </w:rPr>
              <w:instrText xml:space="preserve"> PAGEREF _Toc425838542 \h </w:instrText>
            </w:r>
            <w:r w:rsidR="00990E92">
              <w:rPr>
                <w:noProof/>
                <w:webHidden/>
              </w:rPr>
            </w:r>
            <w:r w:rsidR="00990E92">
              <w:rPr>
                <w:noProof/>
                <w:webHidden/>
              </w:rPr>
              <w:fldChar w:fldCharType="separate"/>
            </w:r>
            <w:r>
              <w:rPr>
                <w:noProof/>
                <w:webHidden/>
              </w:rPr>
              <w:t>4</w:t>
            </w:r>
            <w:r w:rsidR="00990E92">
              <w:rPr>
                <w:noProof/>
                <w:webHidden/>
              </w:rPr>
              <w:fldChar w:fldCharType="end"/>
            </w:r>
          </w:hyperlink>
        </w:p>
        <w:p w14:paraId="5BDA6262" w14:textId="77777777" w:rsidR="00990E92" w:rsidRDefault="00D85AA2">
          <w:pPr>
            <w:pStyle w:val="TOC4"/>
            <w:tabs>
              <w:tab w:val="right" w:leader="dot" w:pos="9628"/>
            </w:tabs>
            <w:rPr>
              <w:rFonts w:asciiTheme="minorHAnsi" w:hAnsiTheme="minorHAnsi"/>
              <w:noProof/>
              <w:sz w:val="22"/>
              <w:szCs w:val="22"/>
              <w:lang w:val="en-AU" w:eastAsia="en-AU"/>
            </w:rPr>
          </w:pPr>
          <w:hyperlink w:anchor="_Toc425838543" w:history="1">
            <w:r w:rsidR="00990E92" w:rsidRPr="002A66F7">
              <w:rPr>
                <w:rStyle w:val="Hyperlink"/>
                <w:noProof/>
              </w:rPr>
              <w:t>Castan Centre for Human Rights Law</w:t>
            </w:r>
            <w:r w:rsidR="00990E92">
              <w:rPr>
                <w:noProof/>
                <w:webHidden/>
              </w:rPr>
              <w:tab/>
            </w:r>
            <w:r w:rsidR="00990E92">
              <w:rPr>
                <w:noProof/>
                <w:webHidden/>
              </w:rPr>
              <w:fldChar w:fldCharType="begin"/>
            </w:r>
            <w:r w:rsidR="00990E92">
              <w:rPr>
                <w:noProof/>
                <w:webHidden/>
              </w:rPr>
              <w:instrText xml:space="preserve"> PAGEREF _Toc425838543 \h </w:instrText>
            </w:r>
            <w:r w:rsidR="00990E92">
              <w:rPr>
                <w:noProof/>
                <w:webHidden/>
              </w:rPr>
            </w:r>
            <w:r w:rsidR="00990E92">
              <w:rPr>
                <w:noProof/>
                <w:webHidden/>
              </w:rPr>
              <w:fldChar w:fldCharType="separate"/>
            </w:r>
            <w:r>
              <w:rPr>
                <w:noProof/>
                <w:webHidden/>
              </w:rPr>
              <w:t>4</w:t>
            </w:r>
            <w:r w:rsidR="00990E92">
              <w:rPr>
                <w:noProof/>
                <w:webHidden/>
              </w:rPr>
              <w:fldChar w:fldCharType="end"/>
            </w:r>
          </w:hyperlink>
        </w:p>
        <w:p w14:paraId="63FD1EDE" w14:textId="77777777" w:rsidR="00990E92" w:rsidRDefault="00D85AA2">
          <w:pPr>
            <w:pStyle w:val="TOC4"/>
            <w:tabs>
              <w:tab w:val="right" w:leader="dot" w:pos="9628"/>
            </w:tabs>
            <w:rPr>
              <w:rFonts w:asciiTheme="minorHAnsi" w:hAnsiTheme="minorHAnsi"/>
              <w:noProof/>
              <w:sz w:val="22"/>
              <w:szCs w:val="22"/>
              <w:lang w:val="en-AU" w:eastAsia="en-AU"/>
            </w:rPr>
          </w:pPr>
          <w:hyperlink w:anchor="_Toc425838544" w:history="1">
            <w:r w:rsidR="00990E92" w:rsidRPr="002A66F7">
              <w:rPr>
                <w:rStyle w:val="Hyperlink"/>
                <w:noProof/>
              </w:rPr>
              <w:t>Australian Human Rights Centre at the University of New South Wales</w:t>
            </w:r>
            <w:r w:rsidR="00990E92">
              <w:rPr>
                <w:noProof/>
                <w:webHidden/>
              </w:rPr>
              <w:tab/>
            </w:r>
            <w:r w:rsidR="00990E92">
              <w:rPr>
                <w:noProof/>
                <w:webHidden/>
              </w:rPr>
              <w:fldChar w:fldCharType="begin"/>
            </w:r>
            <w:r w:rsidR="00990E92">
              <w:rPr>
                <w:noProof/>
                <w:webHidden/>
              </w:rPr>
              <w:instrText xml:space="preserve"> PAGEREF _Toc425838544 \h </w:instrText>
            </w:r>
            <w:r w:rsidR="00990E92">
              <w:rPr>
                <w:noProof/>
                <w:webHidden/>
              </w:rPr>
            </w:r>
            <w:r w:rsidR="00990E92">
              <w:rPr>
                <w:noProof/>
                <w:webHidden/>
              </w:rPr>
              <w:fldChar w:fldCharType="separate"/>
            </w:r>
            <w:r>
              <w:rPr>
                <w:noProof/>
                <w:webHidden/>
              </w:rPr>
              <w:t>4</w:t>
            </w:r>
            <w:r w:rsidR="00990E92">
              <w:rPr>
                <w:noProof/>
                <w:webHidden/>
              </w:rPr>
              <w:fldChar w:fldCharType="end"/>
            </w:r>
          </w:hyperlink>
        </w:p>
        <w:p w14:paraId="00961F9E" w14:textId="77777777" w:rsidR="00990E92" w:rsidRDefault="00D85AA2">
          <w:pPr>
            <w:pStyle w:val="TOC4"/>
            <w:tabs>
              <w:tab w:val="right" w:leader="dot" w:pos="9628"/>
            </w:tabs>
            <w:rPr>
              <w:rFonts w:asciiTheme="minorHAnsi" w:hAnsiTheme="minorHAnsi"/>
              <w:noProof/>
              <w:sz w:val="22"/>
              <w:szCs w:val="22"/>
              <w:lang w:val="en-AU" w:eastAsia="en-AU"/>
            </w:rPr>
          </w:pPr>
          <w:hyperlink w:anchor="_Toc425838545" w:history="1">
            <w:r w:rsidR="00990E92" w:rsidRPr="002A66F7">
              <w:rPr>
                <w:rStyle w:val="Hyperlink"/>
                <w:noProof/>
              </w:rPr>
              <w:t>Australian National University Centre for International Governance and Justice</w:t>
            </w:r>
            <w:r w:rsidR="00990E92">
              <w:rPr>
                <w:noProof/>
                <w:webHidden/>
              </w:rPr>
              <w:tab/>
            </w:r>
            <w:r w:rsidR="00990E92">
              <w:rPr>
                <w:noProof/>
                <w:webHidden/>
              </w:rPr>
              <w:fldChar w:fldCharType="begin"/>
            </w:r>
            <w:r w:rsidR="00990E92">
              <w:rPr>
                <w:noProof/>
                <w:webHidden/>
              </w:rPr>
              <w:instrText xml:space="preserve"> PAGEREF _Toc425838545 \h </w:instrText>
            </w:r>
            <w:r w:rsidR="00990E92">
              <w:rPr>
                <w:noProof/>
                <w:webHidden/>
              </w:rPr>
            </w:r>
            <w:r w:rsidR="00990E92">
              <w:rPr>
                <w:noProof/>
                <w:webHidden/>
              </w:rPr>
              <w:fldChar w:fldCharType="separate"/>
            </w:r>
            <w:r>
              <w:rPr>
                <w:noProof/>
                <w:webHidden/>
              </w:rPr>
              <w:t>5</w:t>
            </w:r>
            <w:r w:rsidR="00990E92">
              <w:rPr>
                <w:noProof/>
                <w:webHidden/>
              </w:rPr>
              <w:fldChar w:fldCharType="end"/>
            </w:r>
          </w:hyperlink>
        </w:p>
        <w:p w14:paraId="1A479245" w14:textId="77777777" w:rsidR="00990E92" w:rsidRDefault="00D85AA2">
          <w:pPr>
            <w:pStyle w:val="TOC4"/>
            <w:tabs>
              <w:tab w:val="right" w:leader="dot" w:pos="9628"/>
            </w:tabs>
            <w:rPr>
              <w:rFonts w:asciiTheme="minorHAnsi" w:hAnsiTheme="minorHAnsi"/>
              <w:noProof/>
              <w:sz w:val="22"/>
              <w:szCs w:val="22"/>
              <w:lang w:val="en-AU" w:eastAsia="en-AU"/>
            </w:rPr>
          </w:pPr>
          <w:hyperlink w:anchor="_Toc425838546" w:history="1">
            <w:r w:rsidR="00990E92" w:rsidRPr="002A66F7">
              <w:rPr>
                <w:rStyle w:val="Hyperlink"/>
                <w:noProof/>
              </w:rPr>
              <w:t>Curtin University’s Centre for Human Rights Education</w:t>
            </w:r>
            <w:r w:rsidR="00990E92">
              <w:rPr>
                <w:noProof/>
                <w:webHidden/>
              </w:rPr>
              <w:tab/>
            </w:r>
            <w:r w:rsidR="00990E92">
              <w:rPr>
                <w:noProof/>
                <w:webHidden/>
              </w:rPr>
              <w:fldChar w:fldCharType="begin"/>
            </w:r>
            <w:r w:rsidR="00990E92">
              <w:rPr>
                <w:noProof/>
                <w:webHidden/>
              </w:rPr>
              <w:instrText xml:space="preserve"> PAGEREF _Toc425838546 \h </w:instrText>
            </w:r>
            <w:r w:rsidR="00990E92">
              <w:rPr>
                <w:noProof/>
                <w:webHidden/>
              </w:rPr>
            </w:r>
            <w:r w:rsidR="00990E92">
              <w:rPr>
                <w:noProof/>
                <w:webHidden/>
              </w:rPr>
              <w:fldChar w:fldCharType="separate"/>
            </w:r>
            <w:r>
              <w:rPr>
                <w:noProof/>
                <w:webHidden/>
              </w:rPr>
              <w:t>5</w:t>
            </w:r>
            <w:r w:rsidR="00990E92">
              <w:rPr>
                <w:noProof/>
                <w:webHidden/>
              </w:rPr>
              <w:fldChar w:fldCharType="end"/>
            </w:r>
          </w:hyperlink>
        </w:p>
        <w:p w14:paraId="4592005B" w14:textId="67DAA6CA" w:rsidR="00D5679E" w:rsidRPr="00684087" w:rsidRDefault="003840AD">
          <w:pPr>
            <w:rPr>
              <w:lang w:val="en-AU"/>
            </w:rPr>
          </w:pPr>
          <w:r w:rsidRPr="00684087">
            <w:rPr>
              <w:rFonts w:ascii="Times New Roman" w:hAnsi="Times New Roman"/>
              <w:bCs/>
              <w:caps/>
              <w:sz w:val="23"/>
              <w:szCs w:val="22"/>
              <w:u w:val="single"/>
              <w:lang w:val="en-AU"/>
            </w:rPr>
            <w:fldChar w:fldCharType="end"/>
          </w:r>
        </w:p>
      </w:sdtContent>
    </w:sdt>
    <w:p w14:paraId="0D247C87" w14:textId="77777777" w:rsidR="00D5679E" w:rsidRPr="00684087" w:rsidRDefault="00D5679E">
      <w:pPr>
        <w:rPr>
          <w:lang w:val="en-AU"/>
        </w:rPr>
      </w:pPr>
      <w:r w:rsidRPr="00684087">
        <w:rPr>
          <w:lang w:val="en-AU"/>
        </w:rPr>
        <w:br w:type="page"/>
      </w:r>
    </w:p>
    <w:p w14:paraId="56CBA41C" w14:textId="77777777" w:rsidR="00684087" w:rsidRPr="00684087" w:rsidRDefault="00684087" w:rsidP="00684087">
      <w:pPr>
        <w:pStyle w:val="HeadingMajor"/>
        <w:numPr>
          <w:ilvl w:val="0"/>
          <w:numId w:val="3"/>
        </w:numPr>
        <w:ind w:left="567"/>
        <w:rPr>
          <w:color w:val="1F497D" w:themeColor="text2"/>
        </w:rPr>
      </w:pPr>
      <w:bookmarkStart w:id="4" w:name="_Toc411502199"/>
      <w:bookmarkStart w:id="5" w:name="_Toc425772912"/>
      <w:bookmarkStart w:id="6" w:name="_Toc425776695"/>
      <w:bookmarkStart w:id="7" w:name="_Toc425838539"/>
      <w:bookmarkStart w:id="8" w:name="_Toc421176255"/>
      <w:bookmarkEnd w:id="4"/>
      <w:r w:rsidRPr="00684087">
        <w:rPr>
          <w:color w:val="1F497D" w:themeColor="text2"/>
        </w:rPr>
        <w:lastRenderedPageBreak/>
        <w:t>Introduction</w:t>
      </w:r>
      <w:bookmarkEnd w:id="5"/>
      <w:bookmarkEnd w:id="6"/>
      <w:bookmarkEnd w:id="7"/>
      <w:r w:rsidRPr="00684087">
        <w:rPr>
          <w:color w:val="1F497D" w:themeColor="text2"/>
        </w:rPr>
        <w:t xml:space="preserve"> </w:t>
      </w:r>
    </w:p>
    <w:p w14:paraId="5D63B4EA" w14:textId="77777777" w:rsidR="00684087" w:rsidRPr="00684087" w:rsidRDefault="00684087" w:rsidP="00684087">
      <w:pPr>
        <w:pStyle w:val="CERDHeadingMinor1"/>
        <w:rPr>
          <w:rStyle w:val="Strong"/>
          <w:b/>
          <w:bCs/>
        </w:rPr>
      </w:pPr>
      <w:bookmarkStart w:id="9" w:name="_Toc425772913"/>
      <w:bookmarkStart w:id="10" w:name="_Toc425776696"/>
      <w:bookmarkStart w:id="11" w:name="_Toc425838540"/>
      <w:r w:rsidRPr="00684087">
        <w:rPr>
          <w:rStyle w:val="Strong"/>
          <w:b/>
          <w:bCs/>
        </w:rPr>
        <w:t>Purpose of this Appendix</w:t>
      </w:r>
      <w:bookmarkEnd w:id="9"/>
      <w:bookmarkEnd w:id="10"/>
      <w:bookmarkEnd w:id="11"/>
    </w:p>
    <w:p w14:paraId="552060AE" w14:textId="77777777" w:rsidR="00684087" w:rsidRPr="00684087" w:rsidRDefault="00684087" w:rsidP="00684087">
      <w:pPr>
        <w:pStyle w:val="CERDBodyText1"/>
        <w:rPr>
          <w:lang w:val="en-AU"/>
        </w:rPr>
      </w:pPr>
      <w:bookmarkStart w:id="12" w:name="_Toc371326783"/>
      <w:r w:rsidRPr="00684087">
        <w:rPr>
          <w:lang w:val="en-AU"/>
        </w:rPr>
        <w:t>The Australian Government is pleased to present this Appendix to Australia’s fifth report under articles 16 and 17 of the International Covenant on Economic, Social and Cultural Rights (ICESCR).</w:t>
      </w:r>
    </w:p>
    <w:p w14:paraId="15685DD5" w14:textId="4DC848CC" w:rsidR="00684087" w:rsidRPr="00684087" w:rsidRDefault="00684087" w:rsidP="00684087">
      <w:pPr>
        <w:pStyle w:val="CERDBodyText1"/>
        <w:rPr>
          <w:lang w:val="en-AU"/>
        </w:rPr>
      </w:pPr>
      <w:r w:rsidRPr="00684087">
        <w:rPr>
          <w:lang w:val="en-AU"/>
        </w:rPr>
        <w:t>The information in this Appendix is intended to supplement the material provided in Australia’s fifth report under ICESCR. Specifically, this Appendix provides further information on Human Rights Education and should be read alongside the Australia’s response to the Committee on Economic, Social and Cultural Rights’ Concluding Observation 34 of 12 June 2009 (E/C.12/AUS/CO/4).</w:t>
      </w:r>
    </w:p>
    <w:bookmarkEnd w:id="12"/>
    <w:p w14:paraId="1CC61C3C" w14:textId="77777777" w:rsidR="00684087" w:rsidRPr="00684087" w:rsidRDefault="00684087" w:rsidP="00684087">
      <w:pPr>
        <w:pStyle w:val="CERDHeadingMinor1"/>
      </w:pPr>
    </w:p>
    <w:p w14:paraId="6BC72F37" w14:textId="77777777" w:rsidR="00684087" w:rsidRPr="00684087" w:rsidRDefault="00684087">
      <w:pPr>
        <w:rPr>
          <w:color w:val="1F497D" w:themeColor="text2"/>
          <w:lang w:val="en-AU"/>
        </w:rPr>
      </w:pPr>
    </w:p>
    <w:p w14:paraId="536B4F3C" w14:textId="77777777" w:rsidR="00684087" w:rsidRPr="00684087" w:rsidRDefault="00684087">
      <w:pPr>
        <w:rPr>
          <w:color w:val="1F497D" w:themeColor="text2"/>
          <w:lang w:val="en-AU"/>
        </w:rPr>
      </w:pPr>
    </w:p>
    <w:p w14:paraId="01E29051" w14:textId="77777777" w:rsidR="00684087" w:rsidRPr="00684087" w:rsidRDefault="00684087">
      <w:pPr>
        <w:rPr>
          <w:rFonts w:asciiTheme="majorHAnsi" w:hAnsiTheme="majorHAnsi" w:cs="Times New Roman"/>
          <w:b/>
          <w:caps/>
          <w:color w:val="1F497D" w:themeColor="text2"/>
          <w:sz w:val="32"/>
          <w:lang w:val="en-AU"/>
        </w:rPr>
      </w:pPr>
      <w:r w:rsidRPr="00684087">
        <w:rPr>
          <w:color w:val="1F497D" w:themeColor="text2"/>
          <w:lang w:val="en-AU"/>
        </w:rPr>
        <w:br w:type="page"/>
      </w:r>
    </w:p>
    <w:p w14:paraId="179D8950" w14:textId="11A97551" w:rsidR="00684087" w:rsidRPr="00684087" w:rsidRDefault="00684087" w:rsidP="000D4C7E">
      <w:pPr>
        <w:pStyle w:val="HeadingMajor"/>
        <w:numPr>
          <w:ilvl w:val="0"/>
          <w:numId w:val="3"/>
        </w:numPr>
        <w:ind w:left="567"/>
        <w:rPr>
          <w:color w:val="1F497D" w:themeColor="text2"/>
        </w:rPr>
      </w:pPr>
      <w:bookmarkStart w:id="13" w:name="_Toc425838541"/>
      <w:bookmarkEnd w:id="8"/>
      <w:r w:rsidRPr="00684087">
        <w:rPr>
          <w:color w:val="1F497D" w:themeColor="text2"/>
        </w:rPr>
        <w:lastRenderedPageBreak/>
        <w:t>Human Rights Education</w:t>
      </w:r>
      <w:bookmarkEnd w:id="13"/>
    </w:p>
    <w:p w14:paraId="5950C07D" w14:textId="2D066132" w:rsidR="00C525F6" w:rsidRPr="00684087" w:rsidRDefault="00684087" w:rsidP="00684087">
      <w:pPr>
        <w:pStyle w:val="CERDHeadingMinor1"/>
      </w:pPr>
      <w:bookmarkStart w:id="14" w:name="_Toc425838542"/>
      <w:r w:rsidRPr="00684087">
        <w:t>Australian Universities’ Human Rights Centres and Institutes</w:t>
      </w:r>
      <w:bookmarkEnd w:id="14"/>
    </w:p>
    <w:p w14:paraId="1966CD57" w14:textId="5DE60B82" w:rsidR="00684087" w:rsidRPr="00684087" w:rsidRDefault="00684087" w:rsidP="00684087">
      <w:pPr>
        <w:pStyle w:val="CERDBodyText1"/>
        <w:rPr>
          <w:lang w:val="en-AU"/>
        </w:rPr>
      </w:pPr>
      <w:r w:rsidRPr="00684087">
        <w:rPr>
          <w:lang w:val="en-AU"/>
        </w:rPr>
        <w:t>A number of Australian universities have human rights centres and institutes</w:t>
      </w:r>
      <w:r>
        <w:rPr>
          <w:lang w:val="en-AU"/>
        </w:rPr>
        <w:t xml:space="preserve"> which support Human Rights Education nationally</w:t>
      </w:r>
      <w:r w:rsidRPr="00684087">
        <w:rPr>
          <w:lang w:val="en-AU"/>
        </w:rPr>
        <w:t xml:space="preserve">, </w:t>
      </w:r>
      <w:r w:rsidR="00990E92">
        <w:rPr>
          <w:lang w:val="en-AU"/>
        </w:rPr>
        <w:t>these include:</w:t>
      </w:r>
    </w:p>
    <w:p w14:paraId="17E047FE" w14:textId="6A6C245F" w:rsidR="00684087" w:rsidRPr="00684087" w:rsidRDefault="00BA3E26" w:rsidP="00684087">
      <w:pPr>
        <w:pStyle w:val="CERDBodyTextDotPoint"/>
        <w:rPr>
          <w:lang w:val="en-AU"/>
        </w:rPr>
      </w:pPr>
      <w:r>
        <w:rPr>
          <w:lang w:val="en-AU"/>
        </w:rPr>
        <w:t>Monash University’s</w:t>
      </w:r>
      <w:r w:rsidR="00684087" w:rsidRPr="00684087">
        <w:rPr>
          <w:lang w:val="en-AU"/>
        </w:rPr>
        <w:t xml:space="preserve"> </w:t>
      </w:r>
      <w:proofErr w:type="spellStart"/>
      <w:r w:rsidR="00684087" w:rsidRPr="00990E92">
        <w:rPr>
          <w:i/>
          <w:lang w:val="en-AU"/>
        </w:rPr>
        <w:t>Castan</w:t>
      </w:r>
      <w:proofErr w:type="spellEnd"/>
      <w:r w:rsidR="00684087" w:rsidRPr="00990E92">
        <w:rPr>
          <w:i/>
          <w:lang w:val="en-AU"/>
        </w:rPr>
        <w:t xml:space="preserve"> Centre for Human Rights Law</w:t>
      </w:r>
    </w:p>
    <w:p w14:paraId="12369665" w14:textId="77777777" w:rsidR="00684087" w:rsidRPr="00684087" w:rsidRDefault="00684087" w:rsidP="00684087">
      <w:pPr>
        <w:pStyle w:val="CERDBodyTextDotPoint"/>
        <w:rPr>
          <w:lang w:val="en-AU"/>
        </w:rPr>
      </w:pPr>
      <w:r w:rsidRPr="00684087">
        <w:rPr>
          <w:lang w:val="en-AU"/>
        </w:rPr>
        <w:t xml:space="preserve">the </w:t>
      </w:r>
      <w:r w:rsidRPr="00990E92">
        <w:rPr>
          <w:i/>
          <w:lang w:val="en-AU"/>
        </w:rPr>
        <w:t>Australian Human Rights Centre</w:t>
      </w:r>
      <w:r w:rsidRPr="00684087">
        <w:rPr>
          <w:lang w:val="en-AU"/>
        </w:rPr>
        <w:t xml:space="preserve"> at the University of New South Wales </w:t>
      </w:r>
    </w:p>
    <w:p w14:paraId="5334603B" w14:textId="3F34C0B0" w:rsidR="00684087" w:rsidRPr="00684087" w:rsidRDefault="00684087" w:rsidP="00684087">
      <w:pPr>
        <w:pStyle w:val="CERDBodyTextDotPoint"/>
        <w:rPr>
          <w:lang w:val="en-AU"/>
        </w:rPr>
      </w:pPr>
      <w:r w:rsidRPr="00684087">
        <w:rPr>
          <w:lang w:val="en-AU"/>
        </w:rPr>
        <w:t>the Australian National University</w:t>
      </w:r>
      <w:r w:rsidR="00BA3E26">
        <w:rPr>
          <w:lang w:val="en-AU"/>
        </w:rPr>
        <w:t>’s</w:t>
      </w:r>
      <w:r w:rsidRPr="00684087">
        <w:rPr>
          <w:lang w:val="en-AU"/>
        </w:rPr>
        <w:t xml:space="preserve"> </w:t>
      </w:r>
      <w:r w:rsidRPr="00990E92">
        <w:rPr>
          <w:i/>
          <w:lang w:val="en-AU"/>
        </w:rPr>
        <w:t>Centre for International Governance and Justice</w:t>
      </w:r>
      <w:r w:rsidRPr="00684087">
        <w:rPr>
          <w:lang w:val="en-AU"/>
        </w:rPr>
        <w:t xml:space="preserve">, and </w:t>
      </w:r>
    </w:p>
    <w:p w14:paraId="1B5C9279" w14:textId="5D547302" w:rsidR="00684087" w:rsidRPr="00684087" w:rsidRDefault="00684087" w:rsidP="00684087">
      <w:pPr>
        <w:pStyle w:val="CERDBodyTextDotPoint"/>
        <w:rPr>
          <w:lang w:val="en-AU"/>
        </w:rPr>
      </w:pPr>
      <w:r w:rsidRPr="00684087">
        <w:rPr>
          <w:lang w:val="en-AU"/>
        </w:rPr>
        <w:t xml:space="preserve">Curtin University’s </w:t>
      </w:r>
      <w:r w:rsidRPr="00990E92">
        <w:rPr>
          <w:i/>
          <w:lang w:val="en-AU"/>
        </w:rPr>
        <w:t>Centre for Human Rights Education</w:t>
      </w:r>
      <w:r w:rsidR="00990E92">
        <w:rPr>
          <w:lang w:val="en-AU"/>
        </w:rPr>
        <w:t>.</w:t>
      </w:r>
      <w:r w:rsidRPr="00684087">
        <w:rPr>
          <w:lang w:val="en-AU"/>
        </w:rPr>
        <w:t xml:space="preserve"> </w:t>
      </w:r>
    </w:p>
    <w:p w14:paraId="4EAD6ED2" w14:textId="424B467F" w:rsidR="00684087" w:rsidRPr="00684087" w:rsidRDefault="00684087" w:rsidP="00990E92">
      <w:pPr>
        <w:pStyle w:val="CERDBoxTableHeading"/>
      </w:pPr>
      <w:bookmarkStart w:id="15" w:name="_Toc425838543"/>
      <w:proofErr w:type="spellStart"/>
      <w:r w:rsidRPr="00684087">
        <w:t>Castan</w:t>
      </w:r>
      <w:proofErr w:type="spellEnd"/>
      <w:r w:rsidRPr="00684087">
        <w:t xml:space="preserve"> Centre for Human Rights Law</w:t>
      </w:r>
      <w:r w:rsidRPr="00990E92">
        <w:rPr>
          <w:rStyle w:val="FootnoteReference"/>
          <w:b w:val="0"/>
          <w:sz w:val="22"/>
          <w:szCs w:val="22"/>
        </w:rPr>
        <w:footnoteReference w:id="1"/>
      </w:r>
      <w:bookmarkEnd w:id="15"/>
    </w:p>
    <w:p w14:paraId="69F1C536" w14:textId="394FB5F6" w:rsidR="00684087" w:rsidRPr="00684087" w:rsidRDefault="00BA3E26" w:rsidP="00684087">
      <w:pPr>
        <w:pStyle w:val="CERDBodyText1"/>
      </w:pPr>
      <w:r>
        <w:t xml:space="preserve">The </w:t>
      </w:r>
      <w:proofErr w:type="spellStart"/>
      <w:r w:rsidR="00684087" w:rsidRPr="00684087">
        <w:t>Castan</w:t>
      </w:r>
      <w:proofErr w:type="spellEnd"/>
      <w:r w:rsidR="00684087" w:rsidRPr="00684087">
        <w:t xml:space="preserve"> Centre for Human Rights Law </w:t>
      </w:r>
      <w:r>
        <w:t xml:space="preserve">at </w:t>
      </w:r>
      <w:proofErr w:type="spellStart"/>
      <w:r>
        <w:t>Monash</w:t>
      </w:r>
      <w:proofErr w:type="spellEnd"/>
      <w:r>
        <w:t xml:space="preserve"> University </w:t>
      </w:r>
      <w:r w:rsidR="00684087" w:rsidRPr="00684087">
        <w:t xml:space="preserve">promotes and protects human rights by generating and disseminating information on international and domestic human rights law.  </w:t>
      </w:r>
    </w:p>
    <w:p w14:paraId="72B1B323" w14:textId="77777777" w:rsidR="00684087" w:rsidRPr="00684087" w:rsidRDefault="00684087" w:rsidP="00684087">
      <w:pPr>
        <w:pStyle w:val="CERDBodyText1"/>
      </w:pPr>
      <w:r w:rsidRPr="00684087">
        <w:t>In pursuit of this mission, the Centre works in the key areas of research, teaching, public education, policy and student programs. The Centre is a trusted voice on human rights. It actively participates in public debates and mentors many of the human rights leaders of tomorrow.</w:t>
      </w:r>
    </w:p>
    <w:p w14:paraId="26322BD8" w14:textId="0EA285E4" w:rsidR="00684087" w:rsidRDefault="00684087" w:rsidP="00684087">
      <w:pPr>
        <w:pStyle w:val="CERDBodyText1"/>
      </w:pPr>
      <w:r w:rsidRPr="00684087">
        <w:t xml:space="preserve">The </w:t>
      </w:r>
      <w:proofErr w:type="spellStart"/>
      <w:r w:rsidRPr="00684087">
        <w:t>centre</w:t>
      </w:r>
      <w:proofErr w:type="spellEnd"/>
      <w:r w:rsidRPr="00684087">
        <w:t xml:space="preserve"> is named after </w:t>
      </w:r>
      <w:r w:rsidRPr="00684087">
        <w:rPr>
          <w:rStyle w:val="Hyperlink"/>
          <w:color w:val="auto"/>
          <w:u w:val="none"/>
        </w:rPr>
        <w:t xml:space="preserve">Ron </w:t>
      </w:r>
      <w:proofErr w:type="spellStart"/>
      <w:r w:rsidRPr="00684087">
        <w:rPr>
          <w:rStyle w:val="Hyperlink"/>
          <w:color w:val="auto"/>
          <w:u w:val="none"/>
        </w:rPr>
        <w:t>Castan</w:t>
      </w:r>
      <w:proofErr w:type="spellEnd"/>
      <w:r w:rsidRPr="00684087">
        <w:rPr>
          <w:rStyle w:val="Hyperlink"/>
          <w:color w:val="auto"/>
          <w:u w:val="none"/>
        </w:rPr>
        <w:t xml:space="preserve"> AM QC</w:t>
      </w:r>
      <w:r w:rsidRPr="00684087">
        <w:t xml:space="preserve"> (1939-1999), who was a passionate advocate for the recognition and protection of human rights and a distinguished member of the Victorian Bar.</w:t>
      </w:r>
    </w:p>
    <w:p w14:paraId="5C933CA7" w14:textId="3CBA142A" w:rsidR="009F2834" w:rsidRPr="00684087" w:rsidRDefault="009F2834" w:rsidP="009F2834">
      <w:pPr>
        <w:pStyle w:val="CERDBodyText1"/>
      </w:pPr>
      <w:r>
        <w:t xml:space="preserve">The current Director of the </w:t>
      </w:r>
      <w:proofErr w:type="spellStart"/>
      <w:r>
        <w:t>Castan</w:t>
      </w:r>
      <w:proofErr w:type="spellEnd"/>
      <w:r>
        <w:t xml:space="preserve"> Centre </w:t>
      </w:r>
      <w:r w:rsidR="00F5067F">
        <w:t xml:space="preserve">for Human Rights Law </w:t>
      </w:r>
      <w:r>
        <w:t xml:space="preserve">is </w:t>
      </w:r>
      <w:r w:rsidRPr="009F2834">
        <w:t>Professor</w:t>
      </w:r>
      <w:r>
        <w:t xml:space="preserve"> Sarah Joseph.</w:t>
      </w:r>
      <w:r w:rsidR="00243754" w:rsidRPr="00243754">
        <w:rPr>
          <w:rStyle w:val="FootnoteReference"/>
          <w:sz w:val="22"/>
          <w:szCs w:val="22"/>
        </w:rPr>
        <w:footnoteReference w:id="2"/>
      </w:r>
      <w:r>
        <w:t xml:space="preserve"> </w:t>
      </w:r>
    </w:p>
    <w:p w14:paraId="79C0B30E" w14:textId="0619E4A7" w:rsidR="00684087" w:rsidRDefault="00684087" w:rsidP="00990E92">
      <w:pPr>
        <w:pStyle w:val="CERDBoxTableHeading"/>
      </w:pPr>
      <w:bookmarkStart w:id="16" w:name="_Toc425838544"/>
      <w:r w:rsidRPr="00684087">
        <w:t>Australian Human Rights Centre at the University of New South Wales</w:t>
      </w:r>
      <w:r w:rsidRPr="00990E92">
        <w:rPr>
          <w:rStyle w:val="FootnoteReference"/>
          <w:b w:val="0"/>
          <w:sz w:val="22"/>
          <w:szCs w:val="22"/>
        </w:rPr>
        <w:footnoteReference w:id="3"/>
      </w:r>
      <w:bookmarkEnd w:id="16"/>
    </w:p>
    <w:p w14:paraId="7B2788BF" w14:textId="738AFEA1" w:rsidR="00684087" w:rsidRPr="00684087" w:rsidRDefault="00684087" w:rsidP="00684087">
      <w:pPr>
        <w:pStyle w:val="CERDBodyText1"/>
      </w:pPr>
      <w:r>
        <w:rPr>
          <w:lang w:val="en-AU"/>
        </w:rPr>
        <w:t>T</w:t>
      </w:r>
      <w:r w:rsidRPr="00684087">
        <w:rPr>
          <w:lang w:val="en-AU"/>
        </w:rPr>
        <w:t xml:space="preserve">he Australian Human Rights Centre at the University </w:t>
      </w:r>
      <w:proofErr w:type="gramStart"/>
      <w:r w:rsidRPr="00684087">
        <w:rPr>
          <w:lang w:val="en-AU"/>
        </w:rPr>
        <w:t>of</w:t>
      </w:r>
      <w:proofErr w:type="gramEnd"/>
      <w:r w:rsidRPr="00684087">
        <w:rPr>
          <w:lang w:val="en-AU"/>
        </w:rPr>
        <w:t xml:space="preserve"> New South Wales</w:t>
      </w:r>
      <w:r>
        <w:rPr>
          <w:lang w:val="en-AU"/>
        </w:rPr>
        <w:t xml:space="preserve"> (UNSW)</w:t>
      </w:r>
      <w:r w:rsidRPr="00684087">
        <w:rPr>
          <w:lang w:val="en-AU"/>
        </w:rPr>
        <w:t xml:space="preserve"> promotes public awareness and academic scholarship on domestic and international human rights standards, laws </w:t>
      </w:r>
      <w:r w:rsidRPr="00684087">
        <w:t xml:space="preserve">and procedures through research projects, education programs and publications. </w:t>
      </w:r>
    </w:p>
    <w:p w14:paraId="0C30164B" w14:textId="77777777" w:rsidR="00684087" w:rsidRDefault="00684087" w:rsidP="00684087">
      <w:pPr>
        <w:pStyle w:val="CERDBodyText1"/>
      </w:pPr>
      <w:r w:rsidRPr="00684087">
        <w:t xml:space="preserve">The Centre brings together practitioners, research fellows and student interns from Australia and internationally to </w:t>
      </w:r>
      <w:proofErr w:type="gramStart"/>
      <w:r w:rsidRPr="00684087">
        <w:t>research,</w:t>
      </w:r>
      <w:proofErr w:type="gramEnd"/>
      <w:r w:rsidRPr="00684087">
        <w:t xml:space="preserve"> teach and debate contemporary human rights issues. </w:t>
      </w:r>
    </w:p>
    <w:p w14:paraId="12C289A4" w14:textId="06B3DC53" w:rsidR="00684087" w:rsidRDefault="00684087" w:rsidP="00684087">
      <w:pPr>
        <w:pStyle w:val="CERDBodyText1"/>
      </w:pPr>
      <w:r>
        <w:t>The Centre’s research topics include:</w:t>
      </w:r>
    </w:p>
    <w:p w14:paraId="7229A085" w14:textId="74A50753" w:rsidR="00684087" w:rsidRPr="00684087" w:rsidRDefault="00684087" w:rsidP="00684087">
      <w:pPr>
        <w:pStyle w:val="CERDBodyTextDotPoint"/>
      </w:pPr>
      <w:r w:rsidRPr="00684087">
        <w:t>Business and human rights</w:t>
      </w:r>
    </w:p>
    <w:p w14:paraId="41FFFFFC" w14:textId="5B2C2C77" w:rsidR="00684087" w:rsidRPr="00684087" w:rsidRDefault="00684087" w:rsidP="00684087">
      <w:pPr>
        <w:pStyle w:val="CERDBodyTextDotPoint"/>
      </w:pPr>
      <w:r w:rsidRPr="00684087">
        <w:t>Civil society and international criminal tribunals</w:t>
      </w:r>
    </w:p>
    <w:p w14:paraId="150C2F28" w14:textId="0E1C6C61" w:rsidR="00684087" w:rsidRPr="00684087" w:rsidRDefault="00684087" w:rsidP="00684087">
      <w:pPr>
        <w:pStyle w:val="CERDBodyTextDotPoint"/>
      </w:pPr>
      <w:r w:rsidRPr="00684087">
        <w:t>Cultural heritage and human rights</w:t>
      </w:r>
    </w:p>
    <w:p w14:paraId="0F79C563" w14:textId="258B78ED" w:rsidR="00684087" w:rsidRPr="00684087" w:rsidRDefault="00684087" w:rsidP="00684087">
      <w:pPr>
        <w:pStyle w:val="CERDBodyTextDotPoint"/>
      </w:pPr>
      <w:r w:rsidRPr="00684087">
        <w:t>Digital media and human rights</w:t>
      </w:r>
    </w:p>
    <w:p w14:paraId="4D960EC0" w14:textId="22005D00" w:rsidR="00684087" w:rsidRPr="00684087" w:rsidRDefault="00684087" w:rsidP="00684087">
      <w:pPr>
        <w:pStyle w:val="CERDBodyTextDotPoint"/>
      </w:pPr>
      <w:r w:rsidRPr="00684087">
        <w:t>Disability and human rights</w:t>
      </w:r>
    </w:p>
    <w:p w14:paraId="10C0C6E7" w14:textId="453C6DE8" w:rsidR="00684087" w:rsidRPr="00684087" w:rsidRDefault="00684087" w:rsidP="00684087">
      <w:pPr>
        <w:pStyle w:val="CERDBodyTextDotPoint"/>
      </w:pPr>
      <w:r w:rsidRPr="00684087">
        <w:t>Gender and the right to social security</w:t>
      </w:r>
    </w:p>
    <w:p w14:paraId="4E9B35A7" w14:textId="5ABEFAC8" w:rsidR="00684087" w:rsidRPr="00684087" w:rsidRDefault="00684087" w:rsidP="00684087">
      <w:pPr>
        <w:pStyle w:val="CERDBodyTextDotPoint"/>
      </w:pPr>
      <w:r w:rsidRPr="00684087">
        <w:t xml:space="preserve">Health, sexual orientation and human rights </w:t>
      </w:r>
    </w:p>
    <w:p w14:paraId="3366282D" w14:textId="1DBC9B81" w:rsidR="00684087" w:rsidRPr="00684087" w:rsidRDefault="00684087" w:rsidP="00684087">
      <w:pPr>
        <w:pStyle w:val="CERDBodyTextDotPoint"/>
      </w:pPr>
      <w:r w:rsidRPr="00684087">
        <w:t>Human rights, international law and security, and</w:t>
      </w:r>
    </w:p>
    <w:p w14:paraId="71201E63" w14:textId="29F5A002" w:rsidR="00684087" w:rsidRDefault="00684087" w:rsidP="00684087">
      <w:pPr>
        <w:pStyle w:val="CERDBodyTextDotPoint"/>
      </w:pPr>
      <w:r w:rsidRPr="00684087">
        <w:t>Trade, development and human rights</w:t>
      </w:r>
      <w:r>
        <w:t>.</w:t>
      </w:r>
    </w:p>
    <w:p w14:paraId="2A081E9A" w14:textId="0009762C" w:rsidR="00684087" w:rsidRDefault="00684087" w:rsidP="00684087">
      <w:pPr>
        <w:pStyle w:val="CERDBodyText1"/>
      </w:pPr>
      <w:r w:rsidRPr="00684087">
        <w:t xml:space="preserve">The Centre also publishes the </w:t>
      </w:r>
      <w:r w:rsidRPr="00684087">
        <w:rPr>
          <w:rStyle w:val="Emphasis"/>
          <w:iCs w:val="0"/>
        </w:rPr>
        <w:t>Australian Journal of Human Rights</w:t>
      </w:r>
      <w:r w:rsidRPr="00243754">
        <w:rPr>
          <w:rStyle w:val="FootnoteReference"/>
          <w:sz w:val="22"/>
          <w:szCs w:val="22"/>
        </w:rPr>
        <w:footnoteReference w:id="4"/>
      </w:r>
      <w:r w:rsidRPr="00243754">
        <w:t xml:space="preserve"> </w:t>
      </w:r>
      <w:r w:rsidRPr="00684087">
        <w:t xml:space="preserve">and the </w:t>
      </w:r>
      <w:r w:rsidRPr="00684087">
        <w:rPr>
          <w:rStyle w:val="Emphasis"/>
          <w:iCs w:val="0"/>
        </w:rPr>
        <w:t>Human Rights Defender</w:t>
      </w:r>
      <w:r w:rsidRPr="00243754">
        <w:rPr>
          <w:rStyle w:val="FootnoteReference"/>
          <w:sz w:val="22"/>
          <w:szCs w:val="22"/>
        </w:rPr>
        <w:footnoteReference w:id="5"/>
      </w:r>
      <w:r w:rsidRPr="00243754">
        <w:rPr>
          <w:sz w:val="22"/>
          <w:szCs w:val="22"/>
        </w:rPr>
        <w:t xml:space="preserve"> </w:t>
      </w:r>
      <w:r w:rsidRPr="00684087">
        <w:t>and hosts a number of seminars and events each year.</w:t>
      </w:r>
    </w:p>
    <w:p w14:paraId="05DEBA0E" w14:textId="663F2BD1" w:rsidR="00924232" w:rsidRPr="00684087" w:rsidRDefault="00924232" w:rsidP="00F5067F">
      <w:pPr>
        <w:pStyle w:val="CERDBodyText1"/>
      </w:pPr>
      <w:r>
        <w:lastRenderedPageBreak/>
        <w:t xml:space="preserve">The current Chair of the </w:t>
      </w:r>
      <w:r w:rsidR="00F5067F" w:rsidRPr="00F5067F">
        <w:t>Australian Human Rights Centre</w:t>
      </w:r>
      <w:r>
        <w:t xml:space="preserve">’s Steering Committee is </w:t>
      </w:r>
      <w:r w:rsidR="00F5067F">
        <w:br/>
      </w:r>
      <w:r>
        <w:t>Professor Andrew Byrnes</w:t>
      </w:r>
      <w:r w:rsidRPr="00684087">
        <w:t>.</w:t>
      </w:r>
      <w:r w:rsidR="00243754" w:rsidRPr="00243754">
        <w:rPr>
          <w:rStyle w:val="FootnoteReference"/>
          <w:sz w:val="22"/>
          <w:szCs w:val="22"/>
        </w:rPr>
        <w:footnoteReference w:id="6"/>
      </w:r>
    </w:p>
    <w:p w14:paraId="7EDB6575" w14:textId="7D99F4AB" w:rsidR="00684087" w:rsidRPr="00684087" w:rsidRDefault="00684087" w:rsidP="00990E92">
      <w:pPr>
        <w:pStyle w:val="CERDBoxTableHeading"/>
      </w:pPr>
      <w:bookmarkStart w:id="17" w:name="_Toc425838545"/>
      <w:r w:rsidRPr="00684087">
        <w:t>Australian National University Centre for International Governance and Justice</w:t>
      </w:r>
      <w:r w:rsidR="00BA3E26" w:rsidRPr="00990E92">
        <w:rPr>
          <w:rStyle w:val="FootnoteReference"/>
          <w:b w:val="0"/>
          <w:sz w:val="22"/>
          <w:szCs w:val="22"/>
        </w:rPr>
        <w:footnoteReference w:id="7"/>
      </w:r>
      <w:bookmarkEnd w:id="17"/>
    </w:p>
    <w:p w14:paraId="36B60950" w14:textId="73D5A7E0" w:rsidR="00684087" w:rsidRDefault="00684087" w:rsidP="009F2834">
      <w:pPr>
        <w:pStyle w:val="CERDBodyText1"/>
      </w:pPr>
      <w:r w:rsidRPr="009F2834">
        <w:t>The Australian National University</w:t>
      </w:r>
      <w:r w:rsidR="00BA3E26">
        <w:t>’s</w:t>
      </w:r>
      <w:r w:rsidRPr="009F2834">
        <w:t xml:space="preserve"> Centre for International Governance and Justice</w:t>
      </w:r>
      <w:r w:rsidR="009F2834" w:rsidRPr="009F2834">
        <w:t xml:space="preserve"> (GIGJ)</w:t>
      </w:r>
      <w:r w:rsidRPr="009F2834">
        <w:t xml:space="preserve"> is dedicated to theoretical and practical issues in international governance, human rights and social justice. </w:t>
      </w:r>
    </w:p>
    <w:p w14:paraId="6D505DC6" w14:textId="0111CC24" w:rsidR="00BA3E26" w:rsidRPr="009F2834" w:rsidRDefault="00BA3E26" w:rsidP="009F2834">
      <w:pPr>
        <w:pStyle w:val="CERDBodyText1"/>
      </w:pPr>
      <w:r w:rsidRPr="00BA3E26">
        <w:rPr>
          <w:lang w:val="en-AU"/>
        </w:rPr>
        <w:t xml:space="preserve">CIGJ’s research topics include </w:t>
      </w:r>
      <w:r w:rsidRPr="00BA3E26">
        <w:rPr>
          <w:lang w:val="en"/>
        </w:rPr>
        <w:t>peacebuilding, international law and human rights</w:t>
      </w:r>
      <w:r>
        <w:rPr>
          <w:lang w:val="en"/>
        </w:rPr>
        <w:t>.</w:t>
      </w:r>
    </w:p>
    <w:p w14:paraId="22D135C1" w14:textId="2080F0D5" w:rsidR="00BA3E26" w:rsidRDefault="009F2834" w:rsidP="00BA3E26">
      <w:pPr>
        <w:pStyle w:val="CERDBodyText1"/>
      </w:pPr>
      <w:r>
        <w:t>E</w:t>
      </w:r>
      <w:r w:rsidRPr="009F2834">
        <w:t>stablished in 2005</w:t>
      </w:r>
      <w:r>
        <w:t xml:space="preserve">, the </w:t>
      </w:r>
      <w:r w:rsidR="00F5067F">
        <w:t xml:space="preserve">current </w:t>
      </w:r>
      <w:r w:rsidRPr="009F2834">
        <w:t xml:space="preserve">Director of CIGJ is Professor Hilary </w:t>
      </w:r>
      <w:proofErr w:type="spellStart"/>
      <w:r w:rsidRPr="009F2834">
        <w:t>Charlesworth</w:t>
      </w:r>
      <w:proofErr w:type="spellEnd"/>
      <w:r w:rsidRPr="009F2834">
        <w:t>.</w:t>
      </w:r>
      <w:r w:rsidR="00243754" w:rsidRPr="00243754">
        <w:rPr>
          <w:rStyle w:val="FootnoteReference"/>
          <w:sz w:val="22"/>
          <w:szCs w:val="22"/>
        </w:rPr>
        <w:footnoteReference w:id="8"/>
      </w:r>
      <w:r>
        <w:t xml:space="preserve"> </w:t>
      </w:r>
      <w:r w:rsidRPr="009F2834">
        <w:t>CIGJ is also home to Professor John Braithwaite</w:t>
      </w:r>
      <w:r w:rsidR="00BA3E26">
        <w:t>.</w:t>
      </w:r>
      <w:r w:rsidR="00243754" w:rsidRPr="00243754">
        <w:rPr>
          <w:rStyle w:val="FootnoteReference"/>
          <w:sz w:val="22"/>
          <w:szCs w:val="22"/>
        </w:rPr>
        <w:footnoteReference w:id="9"/>
      </w:r>
    </w:p>
    <w:p w14:paraId="3F845E89" w14:textId="1EA84FD9" w:rsidR="00BA3E26" w:rsidRPr="009F2834" w:rsidRDefault="00BA3E26" w:rsidP="00990E92">
      <w:pPr>
        <w:pStyle w:val="CERDBoxTableHeading"/>
      </w:pPr>
      <w:bookmarkStart w:id="18" w:name="_Toc425838546"/>
      <w:r w:rsidRPr="00684087">
        <w:t>Curtin University’s Centre for Human Rights Education</w:t>
      </w:r>
      <w:r w:rsidRPr="00990E92">
        <w:rPr>
          <w:rStyle w:val="FootnoteReference"/>
          <w:b w:val="0"/>
          <w:sz w:val="22"/>
          <w:szCs w:val="22"/>
        </w:rPr>
        <w:footnoteReference w:id="10"/>
      </w:r>
      <w:bookmarkEnd w:id="18"/>
    </w:p>
    <w:p w14:paraId="7D544C06" w14:textId="77777777" w:rsidR="00243754" w:rsidRPr="00BA3E26" w:rsidRDefault="00684087" w:rsidP="00243754">
      <w:pPr>
        <w:pStyle w:val="CERDBodyText1"/>
        <w:rPr>
          <w:lang w:val="en-AU"/>
        </w:rPr>
      </w:pPr>
      <w:r w:rsidRPr="00684087">
        <w:rPr>
          <w:lang w:val="en-AU"/>
        </w:rPr>
        <w:t xml:space="preserve">Curtin University’s Centre for Human Rights Education is committed to achieving, protecting and promoting human rights.  </w:t>
      </w:r>
      <w:r w:rsidR="00243754" w:rsidRPr="00BA3E26">
        <w:rPr>
          <w:lang w:val="en-AU"/>
        </w:rPr>
        <w:t>The Centre for Human Rights Education provides a focal point for research, teaching and scholarly activity in the area of human rights education</w:t>
      </w:r>
      <w:r w:rsidR="00243754">
        <w:rPr>
          <w:lang w:val="en-AU"/>
        </w:rPr>
        <w:t>.</w:t>
      </w:r>
    </w:p>
    <w:p w14:paraId="679EF35E" w14:textId="1C3F6E53" w:rsidR="00BA3E26" w:rsidRPr="00BA3E26" w:rsidRDefault="00BA3E26" w:rsidP="00BA3E26">
      <w:pPr>
        <w:pStyle w:val="CERDBodyText1"/>
        <w:rPr>
          <w:lang w:val="en-AU"/>
        </w:rPr>
      </w:pPr>
      <w:r w:rsidRPr="00BA3E26">
        <w:rPr>
          <w:lang w:val="en-AU"/>
        </w:rPr>
        <w:t xml:space="preserve">The Centre for Human Rights Education at Curtin University of Technology was established in January 2003 following the appointment of Professor Jim Ife as inaugural </w:t>
      </w:r>
      <w:proofErr w:type="spellStart"/>
      <w:r w:rsidRPr="00BA3E26">
        <w:rPr>
          <w:lang w:val="en-AU"/>
        </w:rPr>
        <w:t>Haruhisa</w:t>
      </w:r>
      <w:proofErr w:type="spellEnd"/>
      <w:r w:rsidRPr="00BA3E26">
        <w:rPr>
          <w:lang w:val="en-AU"/>
        </w:rPr>
        <w:t xml:space="preserve"> </w:t>
      </w:r>
      <w:proofErr w:type="spellStart"/>
      <w:r w:rsidRPr="00BA3E26">
        <w:rPr>
          <w:lang w:val="en-AU"/>
        </w:rPr>
        <w:t>Handa</w:t>
      </w:r>
      <w:proofErr w:type="spellEnd"/>
      <w:r w:rsidRPr="00BA3E26">
        <w:rPr>
          <w:lang w:val="en-AU"/>
        </w:rPr>
        <w:t xml:space="preserve"> Professor of Human Rights Education. </w:t>
      </w:r>
    </w:p>
    <w:p w14:paraId="0ACD6940" w14:textId="4CB6BA48" w:rsidR="00BA3E26" w:rsidRPr="00BA3E26" w:rsidRDefault="00BA3E26" w:rsidP="00BA3E26">
      <w:pPr>
        <w:pStyle w:val="CERDBodyText1"/>
        <w:rPr>
          <w:lang w:val="en-AU"/>
        </w:rPr>
      </w:pPr>
      <w:r w:rsidRPr="00BA3E26">
        <w:rPr>
          <w:lang w:val="en-AU"/>
        </w:rPr>
        <w:t xml:space="preserve">The Centre is multi-disciplinary. Unlike other human rights centres, it is not located within a Law Faculty, but within the Humanities Faculty of the University. It draws on scholarship, research and expertise from a variety of disciplines and professions, including philosophy, political science, sociology, education, health sciences, social work, law, international relations, psychology, anthropology, business and media studies. </w:t>
      </w:r>
    </w:p>
    <w:p w14:paraId="3B88530B" w14:textId="77777777" w:rsidR="00BA3E26" w:rsidRPr="00BA3E26" w:rsidRDefault="00BA3E26" w:rsidP="00BA3E26">
      <w:pPr>
        <w:pStyle w:val="CERDBodyText1"/>
        <w:rPr>
          <w:lang w:val="en-AU"/>
        </w:rPr>
      </w:pPr>
      <w:r w:rsidRPr="00BA3E26">
        <w:rPr>
          <w:lang w:val="en-AU"/>
        </w:rPr>
        <w:t>The Centre also seeks to bridge the gap between scholarship and practice. The gap between the human rights scholar and the human rights practitioner/activist has too often inhibited the effectiveness of both, and a major focus of the centre is to develop a sound theoretical and conceptual base for human rights practice and education, while at the same time undertaking research and scholarship that is grounded in the reality of practice and of people's day-to-day experience of human rights.</w:t>
      </w:r>
    </w:p>
    <w:p w14:paraId="02AE3FB4" w14:textId="6042CC06" w:rsidR="00BA3E26" w:rsidRPr="00BA3E26" w:rsidRDefault="00BA3E26" w:rsidP="00BA3E26">
      <w:pPr>
        <w:pStyle w:val="CERDBodyText1"/>
        <w:rPr>
          <w:lang w:val="en-AU"/>
        </w:rPr>
      </w:pPr>
      <w:r w:rsidRPr="00BA3E26">
        <w:rPr>
          <w:lang w:val="en-AU"/>
        </w:rPr>
        <w:t xml:space="preserve">The Centre also seeks to promote cross-cultural dialogue about human rights, and is based on the premise that ideas of human rights are not unique to western cultures and political/legal systems, but are present in all major religious, cultural and political traditions, as expressions of the essence of our common humanity. Dialogue across these different traditions can only increase and enrich our understanding of the human experience and of what is needed if we are to live in harmony and at peace in the world. </w:t>
      </w:r>
    </w:p>
    <w:p w14:paraId="62816B12" w14:textId="68707DEB" w:rsidR="00BA3E26" w:rsidRPr="00684087" w:rsidRDefault="00243754" w:rsidP="00BA3E26">
      <w:pPr>
        <w:pStyle w:val="CERDBodyText1"/>
        <w:rPr>
          <w:lang w:val="en-AU"/>
        </w:rPr>
      </w:pPr>
      <w:r>
        <w:rPr>
          <w:lang w:val="en-AU"/>
        </w:rPr>
        <w:t xml:space="preserve">The </w:t>
      </w:r>
      <w:r w:rsidR="00BA3E26">
        <w:rPr>
          <w:lang w:val="en-AU"/>
        </w:rPr>
        <w:t>current Director</w:t>
      </w:r>
      <w:r>
        <w:rPr>
          <w:lang w:val="en-AU"/>
        </w:rPr>
        <w:t xml:space="preserve"> of the </w:t>
      </w:r>
      <w:r w:rsidRPr="00684087">
        <w:t>Centre for Human Rights Education</w:t>
      </w:r>
      <w:r>
        <w:rPr>
          <w:lang w:val="en-AU"/>
        </w:rPr>
        <w:t xml:space="preserve"> </w:t>
      </w:r>
      <w:r w:rsidR="00BA3E26">
        <w:rPr>
          <w:lang w:val="en-AU"/>
        </w:rPr>
        <w:t xml:space="preserve">is </w:t>
      </w:r>
      <w:r w:rsidR="00BA3E26" w:rsidRPr="00BA3E26">
        <w:rPr>
          <w:lang w:val="en-AU"/>
        </w:rPr>
        <w:t xml:space="preserve">Professor Baden </w:t>
      </w:r>
      <w:proofErr w:type="spellStart"/>
      <w:r w:rsidR="00BA3E26" w:rsidRPr="00BA3E26">
        <w:rPr>
          <w:lang w:val="en-AU"/>
        </w:rPr>
        <w:t>Offord</w:t>
      </w:r>
      <w:proofErr w:type="spellEnd"/>
      <w:r w:rsidR="00BA3E26">
        <w:rPr>
          <w:lang w:val="en-AU"/>
        </w:rPr>
        <w:t>.</w:t>
      </w:r>
      <w:r w:rsidRPr="00243754">
        <w:rPr>
          <w:rStyle w:val="FootnoteReference"/>
          <w:sz w:val="22"/>
          <w:szCs w:val="22"/>
          <w:lang w:val="en-AU"/>
        </w:rPr>
        <w:footnoteReference w:id="11"/>
      </w:r>
    </w:p>
    <w:sectPr w:rsidR="00BA3E26" w:rsidRPr="00684087"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C04F4" w:rsidRDefault="003C04F4" w:rsidP="0001067E">
      <w:r>
        <w:separator/>
      </w:r>
    </w:p>
  </w:endnote>
  <w:endnote w:type="continuationSeparator" w:id="0">
    <w:p w14:paraId="659702F4" w14:textId="77777777" w:rsidR="003C04F4" w:rsidRDefault="003C04F4"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E2979" w14:textId="77777777" w:rsidR="0086549A" w:rsidRDefault="00865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3C04F4" w:rsidRPr="00251070" w:rsidRDefault="003C04F4" w:rsidP="00C413D7">
            <w:pPr>
              <w:pStyle w:val="Footer"/>
              <w:spacing w:before="80"/>
              <w:jc w:val="center"/>
              <w:rPr>
                <w:b/>
                <w:caps/>
                <w:color w:val="C00000"/>
                <w:sz w:val="18"/>
                <w:szCs w:val="20"/>
                <w:lang w:val="en-AU"/>
              </w:rPr>
            </w:pPr>
            <w:r w:rsidRPr="00251070">
              <w:rPr>
                <w:b/>
                <w:caps/>
                <w:color w:val="C00000"/>
                <w:sz w:val="18"/>
              </w:rPr>
              <w:t>Unclassified</w:t>
            </w:r>
          </w:p>
          <w:p w14:paraId="1242E612" w14:textId="44947D2B" w:rsidR="003C04F4" w:rsidRPr="00C413D7" w:rsidRDefault="003C04F4" w:rsidP="00C413D7">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D85AA2">
              <w:rPr>
                <w:b/>
                <w:bCs/>
                <w:noProof/>
                <w:sz w:val="16"/>
                <w:szCs w:val="16"/>
              </w:rPr>
              <w:t>1</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D85AA2">
              <w:rPr>
                <w:b/>
                <w:bCs/>
                <w:noProof/>
                <w:sz w:val="16"/>
                <w:szCs w:val="16"/>
              </w:rPr>
              <w:t>5</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7AA6" w14:textId="77777777" w:rsidR="0086549A" w:rsidRDefault="00865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C04F4" w:rsidRDefault="003C04F4" w:rsidP="0001067E">
      <w:r>
        <w:separator/>
      </w:r>
    </w:p>
  </w:footnote>
  <w:footnote w:type="continuationSeparator" w:id="0">
    <w:p w14:paraId="5A7CF609" w14:textId="77777777" w:rsidR="003C04F4" w:rsidRDefault="003C04F4" w:rsidP="0001067E">
      <w:r>
        <w:continuationSeparator/>
      </w:r>
    </w:p>
  </w:footnote>
  <w:footnote w:id="1">
    <w:p w14:paraId="49520F4C" w14:textId="06C92220" w:rsidR="00684087" w:rsidRPr="00243754" w:rsidRDefault="00684087"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1" w:history="1">
        <w:r w:rsidRPr="00243754">
          <w:rPr>
            <w:rStyle w:val="Hyperlink"/>
            <w:rFonts w:asciiTheme="minorHAnsi" w:hAnsiTheme="minorHAnsi" w:cstheme="minorHAnsi"/>
            <w:sz w:val="15"/>
            <w:szCs w:val="15"/>
          </w:rPr>
          <w:t>http://www.monash.edu/law/centres/castancentre</w:t>
        </w:r>
      </w:hyperlink>
      <w:r w:rsidRPr="00243754">
        <w:rPr>
          <w:rFonts w:asciiTheme="minorHAnsi" w:hAnsiTheme="minorHAnsi" w:cstheme="minorHAnsi"/>
          <w:sz w:val="15"/>
          <w:szCs w:val="15"/>
        </w:rPr>
        <w:t xml:space="preserve"> </w:t>
      </w:r>
    </w:p>
  </w:footnote>
  <w:footnote w:id="2">
    <w:p w14:paraId="345BFB1D" w14:textId="6A515951" w:rsidR="00243754" w:rsidRPr="00243754" w:rsidRDefault="00243754" w:rsidP="00243754">
      <w:pPr>
        <w:pStyle w:val="FootnoteText"/>
        <w:spacing w:before="40" w:line="240" w:lineRule="auto"/>
        <w:rPr>
          <w:sz w:val="15"/>
          <w:szCs w:val="15"/>
          <w:lang w:val="en-AU"/>
        </w:rPr>
      </w:pPr>
      <w:r w:rsidRPr="00243754">
        <w:rPr>
          <w:rStyle w:val="FootnoteReference"/>
          <w:sz w:val="15"/>
          <w:szCs w:val="15"/>
        </w:rPr>
        <w:footnoteRef/>
      </w:r>
      <w:r w:rsidRPr="00243754">
        <w:rPr>
          <w:sz w:val="15"/>
          <w:szCs w:val="15"/>
        </w:rPr>
        <w:t xml:space="preserve"> </w:t>
      </w:r>
      <w:r w:rsidRPr="00243754">
        <w:rPr>
          <w:rFonts w:asciiTheme="minorHAnsi" w:hAnsiTheme="minorHAnsi" w:cstheme="minorHAnsi"/>
          <w:sz w:val="15"/>
          <w:szCs w:val="15"/>
        </w:rPr>
        <w:t>Further information is available at:</w:t>
      </w:r>
      <w:r>
        <w:rPr>
          <w:rFonts w:asciiTheme="minorHAnsi" w:hAnsiTheme="minorHAnsi" w:cstheme="minorHAnsi"/>
          <w:sz w:val="15"/>
          <w:szCs w:val="15"/>
        </w:rPr>
        <w:t xml:space="preserve"> </w:t>
      </w:r>
      <w:hyperlink r:id="rId2" w:history="1">
        <w:r w:rsidRPr="000168D8">
          <w:rPr>
            <w:rStyle w:val="Hyperlink"/>
            <w:rFonts w:asciiTheme="minorHAnsi" w:hAnsiTheme="minorHAnsi" w:cstheme="minorHAnsi"/>
            <w:sz w:val="15"/>
            <w:szCs w:val="15"/>
          </w:rPr>
          <w:t>https://monash.edu/research/people/profiles/profile.html?sid=1387&amp;pid=2945</w:t>
        </w:r>
      </w:hyperlink>
      <w:r>
        <w:rPr>
          <w:rFonts w:asciiTheme="minorHAnsi" w:hAnsiTheme="minorHAnsi" w:cstheme="minorHAnsi"/>
          <w:sz w:val="15"/>
          <w:szCs w:val="15"/>
        </w:rPr>
        <w:t xml:space="preserve"> </w:t>
      </w:r>
    </w:p>
  </w:footnote>
  <w:footnote w:id="3">
    <w:p w14:paraId="2A658ED2" w14:textId="4A46560D" w:rsidR="00684087" w:rsidRPr="00243754" w:rsidRDefault="00684087"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3" w:history="1">
        <w:r w:rsidR="00BA3E26" w:rsidRPr="00243754">
          <w:rPr>
            <w:rStyle w:val="Hyperlink"/>
            <w:rFonts w:asciiTheme="minorHAnsi" w:hAnsiTheme="minorHAnsi" w:cstheme="minorHAnsi"/>
            <w:sz w:val="15"/>
            <w:szCs w:val="15"/>
          </w:rPr>
          <w:t>http://www.ahrcentre.org/</w:t>
        </w:r>
      </w:hyperlink>
      <w:r w:rsidR="00BA3E26" w:rsidRPr="00243754">
        <w:rPr>
          <w:rFonts w:asciiTheme="minorHAnsi" w:hAnsiTheme="minorHAnsi" w:cstheme="minorHAnsi"/>
          <w:sz w:val="15"/>
          <w:szCs w:val="15"/>
        </w:rPr>
        <w:t xml:space="preserve"> </w:t>
      </w:r>
    </w:p>
  </w:footnote>
  <w:footnote w:id="4">
    <w:p w14:paraId="2FEB9494" w14:textId="59D3A964" w:rsidR="00684087" w:rsidRPr="00243754" w:rsidRDefault="00684087"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4" w:history="1">
        <w:r w:rsidR="00BA3E26" w:rsidRPr="00243754">
          <w:rPr>
            <w:rStyle w:val="Hyperlink"/>
            <w:rFonts w:asciiTheme="minorHAnsi" w:hAnsiTheme="minorHAnsi" w:cstheme="minorHAnsi"/>
            <w:sz w:val="15"/>
            <w:szCs w:val="15"/>
          </w:rPr>
          <w:t>http://www.ahrcentre.org/publications/ajhr</w:t>
        </w:r>
      </w:hyperlink>
      <w:r w:rsidR="00BA3E26" w:rsidRPr="00243754">
        <w:rPr>
          <w:rFonts w:asciiTheme="minorHAnsi" w:hAnsiTheme="minorHAnsi" w:cstheme="minorHAnsi"/>
          <w:sz w:val="15"/>
          <w:szCs w:val="15"/>
        </w:rPr>
        <w:t xml:space="preserve"> </w:t>
      </w:r>
    </w:p>
  </w:footnote>
  <w:footnote w:id="5">
    <w:p w14:paraId="0607371A" w14:textId="4BE4E461" w:rsidR="00684087" w:rsidRPr="00243754" w:rsidRDefault="00684087"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5" w:history="1">
        <w:r w:rsidR="00BA3E26" w:rsidRPr="00243754">
          <w:rPr>
            <w:rStyle w:val="Hyperlink"/>
            <w:rFonts w:asciiTheme="minorHAnsi" w:hAnsiTheme="minorHAnsi" w:cstheme="minorHAnsi"/>
            <w:sz w:val="15"/>
            <w:szCs w:val="15"/>
          </w:rPr>
          <w:t>http://www.ahrcentre.org/publications/hrd</w:t>
        </w:r>
      </w:hyperlink>
      <w:r w:rsidR="00BA3E26" w:rsidRPr="00243754">
        <w:rPr>
          <w:rFonts w:asciiTheme="minorHAnsi" w:hAnsiTheme="minorHAnsi" w:cstheme="minorHAnsi"/>
          <w:sz w:val="15"/>
          <w:szCs w:val="15"/>
        </w:rPr>
        <w:t xml:space="preserve"> </w:t>
      </w:r>
    </w:p>
  </w:footnote>
  <w:footnote w:id="6">
    <w:p w14:paraId="419E9136" w14:textId="0E3436CB" w:rsidR="00243754" w:rsidRPr="00243754" w:rsidRDefault="00243754" w:rsidP="00243754">
      <w:pPr>
        <w:pStyle w:val="FootnoteText"/>
        <w:spacing w:before="40" w:line="240" w:lineRule="auto"/>
        <w:rPr>
          <w:sz w:val="15"/>
          <w:szCs w:val="15"/>
          <w:lang w:val="en-AU"/>
        </w:rPr>
      </w:pPr>
      <w:r w:rsidRPr="00243754">
        <w:rPr>
          <w:rStyle w:val="FootnoteReference"/>
          <w:sz w:val="15"/>
          <w:szCs w:val="15"/>
        </w:rPr>
        <w:footnoteRef/>
      </w:r>
      <w:r w:rsidRPr="00243754">
        <w:rPr>
          <w:sz w:val="15"/>
          <w:szCs w:val="15"/>
        </w:rPr>
        <w:t xml:space="preserve"> </w:t>
      </w:r>
      <w:r w:rsidRPr="00243754">
        <w:rPr>
          <w:rFonts w:asciiTheme="minorHAnsi" w:hAnsiTheme="minorHAnsi" w:cstheme="minorHAnsi"/>
          <w:sz w:val="15"/>
          <w:szCs w:val="15"/>
        </w:rPr>
        <w:t>Further information is available at:</w:t>
      </w:r>
      <w:r w:rsidR="00F5067F">
        <w:rPr>
          <w:rFonts w:asciiTheme="minorHAnsi" w:hAnsiTheme="minorHAnsi" w:cstheme="minorHAnsi"/>
          <w:sz w:val="15"/>
          <w:szCs w:val="15"/>
        </w:rPr>
        <w:t xml:space="preserve"> </w:t>
      </w:r>
      <w:hyperlink r:id="rId6" w:history="1">
        <w:r w:rsidR="00F5067F" w:rsidRPr="000168D8">
          <w:rPr>
            <w:rStyle w:val="Hyperlink"/>
            <w:rFonts w:asciiTheme="minorHAnsi" w:hAnsiTheme="minorHAnsi" w:cstheme="minorHAnsi"/>
            <w:sz w:val="15"/>
            <w:szCs w:val="15"/>
          </w:rPr>
          <w:t>http://www.ahrcentre.org/staff/andrew-byrnes</w:t>
        </w:r>
      </w:hyperlink>
      <w:r w:rsidR="00F5067F">
        <w:rPr>
          <w:rFonts w:asciiTheme="minorHAnsi" w:hAnsiTheme="minorHAnsi" w:cstheme="minorHAnsi"/>
          <w:sz w:val="15"/>
          <w:szCs w:val="15"/>
        </w:rPr>
        <w:t xml:space="preserve"> </w:t>
      </w:r>
    </w:p>
  </w:footnote>
  <w:footnote w:id="7">
    <w:p w14:paraId="164C32F1" w14:textId="06D9916A" w:rsidR="00BA3E26" w:rsidRPr="00243754" w:rsidRDefault="00BA3E26"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7" w:history="1">
        <w:r w:rsidRPr="00243754">
          <w:rPr>
            <w:rStyle w:val="Hyperlink"/>
            <w:rFonts w:asciiTheme="minorHAnsi" w:hAnsiTheme="minorHAnsi" w:cstheme="minorHAnsi"/>
            <w:sz w:val="15"/>
            <w:szCs w:val="15"/>
          </w:rPr>
          <w:t>http://regnet.anu.edu.au/research/centres/centre-international-governance-and-justice-cigj</w:t>
        </w:r>
      </w:hyperlink>
      <w:r w:rsidRPr="00243754">
        <w:rPr>
          <w:rFonts w:asciiTheme="minorHAnsi" w:hAnsiTheme="minorHAnsi" w:cstheme="minorHAnsi"/>
          <w:sz w:val="15"/>
          <w:szCs w:val="15"/>
        </w:rPr>
        <w:t xml:space="preserve"> </w:t>
      </w:r>
    </w:p>
  </w:footnote>
  <w:footnote w:id="8">
    <w:p w14:paraId="27AFEFF6" w14:textId="60F874E5" w:rsidR="00243754" w:rsidRPr="00243754" w:rsidRDefault="00243754" w:rsidP="00243754">
      <w:pPr>
        <w:pStyle w:val="FootnoteText"/>
        <w:spacing w:before="40" w:line="240" w:lineRule="auto"/>
        <w:rPr>
          <w:sz w:val="15"/>
          <w:szCs w:val="15"/>
          <w:lang w:val="en-AU"/>
        </w:rPr>
      </w:pPr>
      <w:r w:rsidRPr="00243754">
        <w:rPr>
          <w:rStyle w:val="FootnoteReference"/>
          <w:sz w:val="15"/>
          <w:szCs w:val="15"/>
        </w:rPr>
        <w:footnoteRef/>
      </w:r>
      <w:r w:rsidRPr="00243754">
        <w:rPr>
          <w:sz w:val="15"/>
          <w:szCs w:val="15"/>
        </w:rPr>
        <w:t xml:space="preserve"> </w:t>
      </w:r>
      <w:r w:rsidRPr="00243754">
        <w:rPr>
          <w:rFonts w:asciiTheme="minorHAnsi" w:hAnsiTheme="minorHAnsi" w:cstheme="minorHAnsi"/>
          <w:sz w:val="15"/>
          <w:szCs w:val="15"/>
        </w:rPr>
        <w:t>Further information is available at:</w:t>
      </w:r>
      <w:r>
        <w:rPr>
          <w:rFonts w:asciiTheme="minorHAnsi" w:hAnsiTheme="minorHAnsi" w:cstheme="minorHAnsi"/>
          <w:sz w:val="15"/>
          <w:szCs w:val="15"/>
        </w:rPr>
        <w:t xml:space="preserve"> </w:t>
      </w:r>
      <w:hyperlink r:id="rId8" w:history="1">
        <w:r w:rsidRPr="000168D8">
          <w:rPr>
            <w:rStyle w:val="Hyperlink"/>
            <w:rFonts w:asciiTheme="minorHAnsi" w:hAnsiTheme="minorHAnsi" w:cstheme="minorHAnsi"/>
            <w:sz w:val="15"/>
            <w:szCs w:val="15"/>
          </w:rPr>
          <w:t>http://regnet.anu.edu.au/our-people/academic/hilary-charlesworth</w:t>
        </w:r>
      </w:hyperlink>
      <w:r>
        <w:rPr>
          <w:rFonts w:asciiTheme="minorHAnsi" w:hAnsiTheme="minorHAnsi" w:cstheme="minorHAnsi"/>
          <w:sz w:val="15"/>
          <w:szCs w:val="15"/>
        </w:rPr>
        <w:t xml:space="preserve"> </w:t>
      </w:r>
    </w:p>
  </w:footnote>
  <w:footnote w:id="9">
    <w:p w14:paraId="56F6E054" w14:textId="037A265A" w:rsidR="00243754" w:rsidRPr="00243754" w:rsidRDefault="00243754" w:rsidP="00243754">
      <w:pPr>
        <w:pStyle w:val="FootnoteText"/>
        <w:spacing w:before="40" w:line="240" w:lineRule="auto"/>
        <w:rPr>
          <w:sz w:val="15"/>
          <w:szCs w:val="15"/>
          <w:lang w:val="en-AU"/>
        </w:rPr>
      </w:pPr>
      <w:r w:rsidRPr="00243754">
        <w:rPr>
          <w:rStyle w:val="FootnoteReference"/>
          <w:sz w:val="15"/>
          <w:szCs w:val="15"/>
        </w:rPr>
        <w:footnoteRef/>
      </w:r>
      <w:r w:rsidRPr="00243754">
        <w:rPr>
          <w:sz w:val="15"/>
          <w:szCs w:val="15"/>
        </w:rPr>
        <w:t xml:space="preserve"> </w:t>
      </w:r>
      <w:r w:rsidRPr="00243754">
        <w:rPr>
          <w:rFonts w:asciiTheme="minorHAnsi" w:hAnsiTheme="minorHAnsi" w:cstheme="minorHAnsi"/>
          <w:sz w:val="15"/>
          <w:szCs w:val="15"/>
        </w:rPr>
        <w:t>Further information is available at:</w:t>
      </w:r>
      <w:r>
        <w:rPr>
          <w:rFonts w:asciiTheme="minorHAnsi" w:hAnsiTheme="minorHAnsi" w:cstheme="minorHAnsi"/>
          <w:sz w:val="15"/>
          <w:szCs w:val="15"/>
        </w:rPr>
        <w:t xml:space="preserve"> </w:t>
      </w:r>
      <w:hyperlink r:id="rId9" w:history="1">
        <w:r w:rsidRPr="000168D8">
          <w:rPr>
            <w:rStyle w:val="Hyperlink"/>
            <w:rFonts w:asciiTheme="minorHAnsi" w:hAnsiTheme="minorHAnsi" w:cstheme="minorHAnsi"/>
            <w:sz w:val="15"/>
            <w:szCs w:val="15"/>
          </w:rPr>
          <w:t>http://regnet.anu.edu.au/our-people/academic/john-braithwaite</w:t>
        </w:r>
      </w:hyperlink>
      <w:r>
        <w:rPr>
          <w:rFonts w:asciiTheme="minorHAnsi" w:hAnsiTheme="minorHAnsi" w:cstheme="minorHAnsi"/>
          <w:sz w:val="15"/>
          <w:szCs w:val="15"/>
        </w:rPr>
        <w:t xml:space="preserve"> </w:t>
      </w:r>
    </w:p>
  </w:footnote>
  <w:footnote w:id="10">
    <w:p w14:paraId="3A0BFBA5" w14:textId="3D153FFE" w:rsidR="00BA3E26" w:rsidRPr="00243754" w:rsidRDefault="00BA3E26" w:rsidP="00243754">
      <w:pPr>
        <w:pStyle w:val="FootnoteText"/>
        <w:spacing w:before="40" w:line="240" w:lineRule="auto"/>
        <w:rPr>
          <w:rFonts w:asciiTheme="minorHAnsi" w:hAnsiTheme="minorHAnsi" w:cstheme="minorHAnsi"/>
          <w:sz w:val="15"/>
          <w:szCs w:val="15"/>
          <w:lang w:val="en-AU"/>
        </w:rPr>
      </w:pPr>
      <w:r w:rsidRPr="00243754">
        <w:rPr>
          <w:rStyle w:val="FootnoteReference"/>
          <w:rFonts w:asciiTheme="minorHAnsi" w:hAnsiTheme="minorHAnsi" w:cstheme="minorHAnsi"/>
          <w:sz w:val="15"/>
          <w:szCs w:val="15"/>
        </w:rPr>
        <w:footnoteRef/>
      </w:r>
      <w:r w:rsidRPr="00243754">
        <w:rPr>
          <w:rFonts w:asciiTheme="minorHAnsi" w:hAnsiTheme="minorHAnsi" w:cstheme="minorHAnsi"/>
          <w:sz w:val="15"/>
          <w:szCs w:val="15"/>
        </w:rPr>
        <w:t xml:space="preserve"> Further information is available at: </w:t>
      </w:r>
      <w:hyperlink r:id="rId10" w:history="1">
        <w:r w:rsidRPr="00243754">
          <w:rPr>
            <w:rStyle w:val="Hyperlink"/>
            <w:rFonts w:asciiTheme="minorHAnsi" w:hAnsiTheme="minorHAnsi" w:cstheme="minorHAnsi"/>
            <w:sz w:val="15"/>
            <w:szCs w:val="15"/>
          </w:rPr>
          <w:t>http://info.humanrights.curtin.edu.au/</w:t>
        </w:r>
      </w:hyperlink>
      <w:r w:rsidRPr="00243754">
        <w:rPr>
          <w:rFonts w:asciiTheme="minorHAnsi" w:hAnsiTheme="minorHAnsi" w:cstheme="minorHAnsi"/>
          <w:sz w:val="15"/>
          <w:szCs w:val="15"/>
        </w:rPr>
        <w:t xml:space="preserve"> </w:t>
      </w:r>
    </w:p>
  </w:footnote>
  <w:footnote w:id="11">
    <w:p w14:paraId="3E9B7FC1" w14:textId="0AF9061A" w:rsidR="00243754" w:rsidRPr="00243754" w:rsidRDefault="00243754" w:rsidP="00243754">
      <w:pPr>
        <w:pStyle w:val="FootnoteText"/>
        <w:spacing w:before="40" w:line="240" w:lineRule="auto"/>
        <w:rPr>
          <w:sz w:val="15"/>
          <w:szCs w:val="15"/>
          <w:lang w:val="en-AU"/>
        </w:rPr>
      </w:pPr>
      <w:r w:rsidRPr="00243754">
        <w:rPr>
          <w:rStyle w:val="FootnoteReference"/>
          <w:sz w:val="15"/>
          <w:szCs w:val="15"/>
        </w:rPr>
        <w:footnoteRef/>
      </w:r>
      <w:r w:rsidRPr="00243754">
        <w:rPr>
          <w:sz w:val="15"/>
          <w:szCs w:val="15"/>
        </w:rPr>
        <w:t xml:space="preserve"> </w:t>
      </w:r>
      <w:r w:rsidRPr="00243754">
        <w:rPr>
          <w:rFonts w:asciiTheme="minorHAnsi" w:hAnsiTheme="minorHAnsi" w:cstheme="minorHAnsi"/>
          <w:sz w:val="15"/>
          <w:szCs w:val="15"/>
        </w:rPr>
        <w:t>Further information is available at:</w:t>
      </w:r>
      <w:r>
        <w:rPr>
          <w:rFonts w:asciiTheme="minorHAnsi" w:hAnsiTheme="minorHAnsi" w:cstheme="minorHAnsi"/>
          <w:sz w:val="15"/>
          <w:szCs w:val="15"/>
        </w:rPr>
        <w:t xml:space="preserve"> </w:t>
      </w:r>
      <w:hyperlink r:id="rId11" w:history="1">
        <w:r w:rsidRPr="000168D8">
          <w:rPr>
            <w:rStyle w:val="Hyperlink"/>
            <w:rFonts w:asciiTheme="minorHAnsi" w:hAnsiTheme="minorHAnsi" w:cstheme="minorHAnsi"/>
            <w:sz w:val="15"/>
            <w:szCs w:val="15"/>
          </w:rPr>
          <w:t>http://humanities.curtin.edu.au/about/humstaff/research.cfm/Baden.Offord</w:t>
        </w:r>
      </w:hyperlink>
      <w:r>
        <w:rPr>
          <w:rFonts w:asciiTheme="minorHAnsi" w:hAnsiTheme="minorHAnsi" w:cstheme="minorHAnsi"/>
          <w:sz w:val="15"/>
          <w:szCs w:val="15"/>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0D5DF" w14:textId="77777777" w:rsidR="0086549A" w:rsidRDefault="00865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3C04F4" w:rsidRPr="00C413D7" w:rsidRDefault="003C04F4" w:rsidP="00C413D7">
    <w:pPr>
      <w:pStyle w:val="Footer"/>
      <w:spacing w:after="80"/>
      <w:jc w:val="center"/>
      <w:rPr>
        <w:caps/>
        <w:color w:val="C00000"/>
        <w:sz w:val="16"/>
        <w:szCs w:val="16"/>
        <w:lang w:val="en-AU"/>
      </w:rPr>
    </w:pPr>
    <w:r w:rsidRPr="00C413D7">
      <w:rPr>
        <w:b/>
        <w:caps/>
        <w:color w:val="C00000"/>
        <w:sz w:val="16"/>
        <w:szCs w:val="16"/>
      </w:rPr>
      <w:t>Unclassified</w:t>
    </w:r>
  </w:p>
  <w:p w14:paraId="0B67EDB1" w14:textId="7859AB0F" w:rsidR="003C04F4" w:rsidRPr="00C413D7" w:rsidRDefault="003C04F4" w:rsidP="00C413D7">
    <w:pPr>
      <w:pStyle w:val="Header"/>
      <w:spacing w:after="80"/>
      <w:jc w:val="right"/>
      <w:rPr>
        <w:b/>
        <w:sz w:val="16"/>
        <w:szCs w:val="16"/>
      </w:rPr>
    </w:pPr>
    <w:r>
      <w:rPr>
        <w:b/>
        <w:sz w:val="16"/>
        <w:szCs w:val="16"/>
      </w:rPr>
      <w:t xml:space="preserve">Appendix </w:t>
    </w:r>
    <w:r w:rsidR="00575558">
      <w:rPr>
        <w:b/>
        <w:sz w:val="16"/>
        <w:szCs w:val="16"/>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6FC2" w14:textId="77777777" w:rsidR="0086549A" w:rsidRDefault="00865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94C"/>
    <w:multiLevelType w:val="multilevel"/>
    <w:tmpl w:val="C1CA0C2C"/>
    <w:lvl w:ilvl="0">
      <w:start w:val="1"/>
      <w:numFmt w:val="decimal"/>
      <w:pStyle w:val="Quic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5C37F7"/>
    <w:multiLevelType w:val="hybridMultilevel"/>
    <w:tmpl w:val="7DF20DA2"/>
    <w:lvl w:ilvl="0" w:tplc="67FCBA9A">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5">
    <w:nsid w:val="4CAC38B7"/>
    <w:multiLevelType w:val="multilevel"/>
    <w:tmpl w:val="1B9CA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7B98"/>
    <w:multiLevelType w:val="hybridMultilevel"/>
    <w:tmpl w:val="48EABE9E"/>
    <w:lvl w:ilvl="0" w:tplc="4BD495E8">
      <w:start w:val="1"/>
      <w:numFmt w:val="bullet"/>
      <w:lvlText w:val=""/>
      <w:lvlJc w:val="left"/>
      <w:pPr>
        <w:ind w:left="142" w:firstLine="0"/>
      </w:pPr>
      <w:rPr>
        <w:rFonts w:ascii="Wingdings" w:hAnsi="Wingdings" w:hint="default"/>
        <w:b/>
        <w:i w:val="0"/>
        <w:color w:val="auto"/>
        <w:position w:val="2"/>
        <w:sz w:val="12"/>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heme="min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8B63451"/>
    <w:multiLevelType w:val="hybridMultilevel"/>
    <w:tmpl w:val="DDBC1F22"/>
    <w:lvl w:ilvl="0" w:tplc="AF783B16">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11">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11"/>
  </w:num>
  <w:num w:numId="6">
    <w:abstractNumId w:val="7"/>
  </w:num>
  <w:num w:numId="7">
    <w:abstractNumId w:val="9"/>
  </w:num>
  <w:num w:numId="8">
    <w:abstractNumId w:val="3"/>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2"/>
    <w:lvlOverride w:ilvl="0">
      <w:startOverride w:val="1"/>
    </w:lvlOverride>
  </w:num>
  <w:num w:numId="19">
    <w:abstractNumId w:val="2"/>
  </w:num>
  <w:num w:numId="20">
    <w:abstractNumId w:val="2"/>
  </w:num>
  <w:num w:numId="21">
    <w:abstractNumId w:val="6"/>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D4C7E"/>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23ED"/>
    <w:rsid w:val="002264A9"/>
    <w:rsid w:val="00236B3D"/>
    <w:rsid w:val="00237049"/>
    <w:rsid w:val="00241222"/>
    <w:rsid w:val="00243754"/>
    <w:rsid w:val="002459ED"/>
    <w:rsid w:val="0024612D"/>
    <w:rsid w:val="00246A22"/>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5D3C"/>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B6CF6"/>
    <w:rsid w:val="003C04F4"/>
    <w:rsid w:val="003C0A38"/>
    <w:rsid w:val="003C106C"/>
    <w:rsid w:val="003C4257"/>
    <w:rsid w:val="003C5FE4"/>
    <w:rsid w:val="003D21AD"/>
    <w:rsid w:val="003D2393"/>
    <w:rsid w:val="003D2F96"/>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4727"/>
    <w:rsid w:val="0042700A"/>
    <w:rsid w:val="00432B51"/>
    <w:rsid w:val="00433D40"/>
    <w:rsid w:val="00435C3B"/>
    <w:rsid w:val="00436D0D"/>
    <w:rsid w:val="00440633"/>
    <w:rsid w:val="0044481E"/>
    <w:rsid w:val="00444A3B"/>
    <w:rsid w:val="0044642C"/>
    <w:rsid w:val="00452F69"/>
    <w:rsid w:val="00460C7F"/>
    <w:rsid w:val="00460FA0"/>
    <w:rsid w:val="004670C1"/>
    <w:rsid w:val="004676D3"/>
    <w:rsid w:val="00471FCC"/>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A77A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6D0D"/>
    <w:rsid w:val="00567780"/>
    <w:rsid w:val="00567EB4"/>
    <w:rsid w:val="005723B7"/>
    <w:rsid w:val="00575004"/>
    <w:rsid w:val="00575558"/>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0DB"/>
    <w:rsid w:val="00667DCA"/>
    <w:rsid w:val="00671D83"/>
    <w:rsid w:val="00674DB3"/>
    <w:rsid w:val="006824D5"/>
    <w:rsid w:val="00683B6E"/>
    <w:rsid w:val="00684087"/>
    <w:rsid w:val="00684B81"/>
    <w:rsid w:val="006863A7"/>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16341"/>
    <w:rsid w:val="00726A57"/>
    <w:rsid w:val="007326CE"/>
    <w:rsid w:val="0073786F"/>
    <w:rsid w:val="00740000"/>
    <w:rsid w:val="00750875"/>
    <w:rsid w:val="00751DA7"/>
    <w:rsid w:val="00753296"/>
    <w:rsid w:val="007535AF"/>
    <w:rsid w:val="00757210"/>
    <w:rsid w:val="007602C9"/>
    <w:rsid w:val="0076708E"/>
    <w:rsid w:val="00771ABA"/>
    <w:rsid w:val="00772471"/>
    <w:rsid w:val="0077537D"/>
    <w:rsid w:val="007754CE"/>
    <w:rsid w:val="00775DD5"/>
    <w:rsid w:val="007854FF"/>
    <w:rsid w:val="00790F01"/>
    <w:rsid w:val="00791477"/>
    <w:rsid w:val="00796C71"/>
    <w:rsid w:val="007A4BC0"/>
    <w:rsid w:val="007B3A7D"/>
    <w:rsid w:val="007C15F0"/>
    <w:rsid w:val="007C2E1E"/>
    <w:rsid w:val="007C485C"/>
    <w:rsid w:val="007D1026"/>
    <w:rsid w:val="007D208F"/>
    <w:rsid w:val="007E1832"/>
    <w:rsid w:val="007E4293"/>
    <w:rsid w:val="007F16A1"/>
    <w:rsid w:val="007F19C3"/>
    <w:rsid w:val="007F1E3F"/>
    <w:rsid w:val="007F5784"/>
    <w:rsid w:val="007F5ADA"/>
    <w:rsid w:val="007F5C0C"/>
    <w:rsid w:val="007F5EB0"/>
    <w:rsid w:val="00803FA5"/>
    <w:rsid w:val="00804604"/>
    <w:rsid w:val="00804D09"/>
    <w:rsid w:val="0080571A"/>
    <w:rsid w:val="008106B6"/>
    <w:rsid w:val="00811012"/>
    <w:rsid w:val="00813DCE"/>
    <w:rsid w:val="00814893"/>
    <w:rsid w:val="008163D0"/>
    <w:rsid w:val="008179C5"/>
    <w:rsid w:val="00821B37"/>
    <w:rsid w:val="00822198"/>
    <w:rsid w:val="00824BFB"/>
    <w:rsid w:val="008322C0"/>
    <w:rsid w:val="0085543F"/>
    <w:rsid w:val="00860D5B"/>
    <w:rsid w:val="00861EB2"/>
    <w:rsid w:val="008638D5"/>
    <w:rsid w:val="0086549A"/>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232"/>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72EC"/>
    <w:rsid w:val="00977909"/>
    <w:rsid w:val="00977C73"/>
    <w:rsid w:val="0098066D"/>
    <w:rsid w:val="0098081F"/>
    <w:rsid w:val="00980D81"/>
    <w:rsid w:val="00983E53"/>
    <w:rsid w:val="009904F9"/>
    <w:rsid w:val="00990E92"/>
    <w:rsid w:val="00995B59"/>
    <w:rsid w:val="009A14A4"/>
    <w:rsid w:val="009A3A05"/>
    <w:rsid w:val="009A45CA"/>
    <w:rsid w:val="009B04F8"/>
    <w:rsid w:val="009B1174"/>
    <w:rsid w:val="009C0ADA"/>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2834"/>
    <w:rsid w:val="009F7506"/>
    <w:rsid w:val="00A0787F"/>
    <w:rsid w:val="00A10E12"/>
    <w:rsid w:val="00A1103B"/>
    <w:rsid w:val="00A14383"/>
    <w:rsid w:val="00A156D8"/>
    <w:rsid w:val="00A22DDD"/>
    <w:rsid w:val="00A26DEF"/>
    <w:rsid w:val="00A27285"/>
    <w:rsid w:val="00A33131"/>
    <w:rsid w:val="00A35B8F"/>
    <w:rsid w:val="00A37923"/>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AF7E5D"/>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4951"/>
    <w:rsid w:val="00B55C5B"/>
    <w:rsid w:val="00B570A2"/>
    <w:rsid w:val="00B611D4"/>
    <w:rsid w:val="00B6149C"/>
    <w:rsid w:val="00B62778"/>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2FDD"/>
    <w:rsid w:val="00BA3E26"/>
    <w:rsid w:val="00BB4B7F"/>
    <w:rsid w:val="00BB629C"/>
    <w:rsid w:val="00BB6D15"/>
    <w:rsid w:val="00BB6E63"/>
    <w:rsid w:val="00BB7AEE"/>
    <w:rsid w:val="00BB7D91"/>
    <w:rsid w:val="00BC0627"/>
    <w:rsid w:val="00BC0CFD"/>
    <w:rsid w:val="00BC6A95"/>
    <w:rsid w:val="00BD1717"/>
    <w:rsid w:val="00BD50B1"/>
    <w:rsid w:val="00BE07CC"/>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3755C"/>
    <w:rsid w:val="00C413D7"/>
    <w:rsid w:val="00C45E94"/>
    <w:rsid w:val="00C462F5"/>
    <w:rsid w:val="00C50222"/>
    <w:rsid w:val="00C525F6"/>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28CF"/>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5AA2"/>
    <w:rsid w:val="00D87A58"/>
    <w:rsid w:val="00D87CB4"/>
    <w:rsid w:val="00D904AE"/>
    <w:rsid w:val="00D94310"/>
    <w:rsid w:val="00D94F93"/>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5D49"/>
    <w:rsid w:val="00EF7D1A"/>
    <w:rsid w:val="00F002A6"/>
    <w:rsid w:val="00F00AB0"/>
    <w:rsid w:val="00F042C2"/>
    <w:rsid w:val="00F04E41"/>
    <w:rsid w:val="00F07B8E"/>
    <w:rsid w:val="00F07D92"/>
    <w:rsid w:val="00F10F9F"/>
    <w:rsid w:val="00F11601"/>
    <w:rsid w:val="00F120F2"/>
    <w:rsid w:val="00F14832"/>
    <w:rsid w:val="00F17214"/>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067F"/>
    <w:rsid w:val="00F51A35"/>
    <w:rsid w:val="00F55E62"/>
    <w:rsid w:val="00F565C3"/>
    <w:rsid w:val="00F62E9B"/>
    <w:rsid w:val="00F63763"/>
    <w:rsid w:val="00F63CAC"/>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C0868"/>
    <w:rsid w:val="00FC1D85"/>
    <w:rsid w:val="00FC23C6"/>
    <w:rsid w:val="00FC2C5D"/>
    <w:rsid w:val="00FD1EA9"/>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Normal"/>
    <w:qFormat/>
    <w:rsid w:val="00684087"/>
    <w:pPr>
      <w:numPr>
        <w:numId w:val="1"/>
      </w:numPr>
      <w:spacing w:after="120"/>
      <w:ind w:left="0" w:right="-142" w:firstLine="0"/>
      <w:jc w:val="left"/>
    </w:p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B54951"/>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B54951"/>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 w:type="paragraph" w:customStyle="1" w:styleId="Quick1">
    <w:name w:val="Quick 1."/>
    <w:basedOn w:val="Normal"/>
    <w:rsid w:val="00C525F6"/>
    <w:pPr>
      <w:widowControl w:val="0"/>
      <w:numPr>
        <w:numId w:val="17"/>
      </w:numPr>
      <w:suppressAutoHyphens/>
      <w:jc w:val="left"/>
    </w:pPr>
    <w:rPr>
      <w:rFonts w:ascii="Courier" w:eastAsia="Times New Roman" w:hAnsi="Courier" w:cs="Times New Roman"/>
      <w:szCs w:val="20"/>
      <w:lang w:eastAsia="ar-SA"/>
    </w:rPr>
  </w:style>
  <w:style w:type="paragraph" w:customStyle="1" w:styleId="ICESCRHeadingMinor1">
    <w:name w:val="ICESCR Heading Minor 1"/>
    <w:basedOn w:val="Heading3"/>
    <w:qFormat/>
    <w:rsid w:val="00C525F6"/>
    <w:pPr>
      <w:spacing w:before="140" w:after="140"/>
      <w:jc w:val="left"/>
    </w:pPr>
    <w:rPr>
      <w:i/>
      <w:color w:val="auto"/>
      <w:sz w:val="26"/>
      <w:lang w:val="en-AU"/>
    </w:rPr>
  </w:style>
  <w:style w:type="paragraph" w:customStyle="1" w:styleId="ICESCRDotPoint">
    <w:name w:val="ICESCR Dot Point"/>
    <w:basedOn w:val="CERDBodyTextDotPoint"/>
    <w:next w:val="ICESCRBodyText"/>
    <w:qFormat/>
    <w:rsid w:val="00684087"/>
    <w:pPr>
      <w:ind w:left="426" w:right="0" w:hanging="284"/>
    </w:pPr>
    <w:rPr>
      <w:rFonts w:ascii="Times New Roman" w:hAnsi="Times New Roman" w:cs="Times New Roman"/>
    </w:rPr>
  </w:style>
  <w:style w:type="character" w:customStyle="1" w:styleId="field-content">
    <w:name w:val="field-content"/>
    <w:basedOn w:val="DefaultParagraphFont"/>
    <w:rsid w:val="0068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Normal"/>
    <w:qFormat/>
    <w:rsid w:val="00684087"/>
    <w:pPr>
      <w:numPr>
        <w:numId w:val="1"/>
      </w:numPr>
      <w:spacing w:after="120"/>
      <w:ind w:left="0" w:right="-142" w:firstLine="0"/>
      <w:jc w:val="left"/>
    </w:p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B54951"/>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B54951"/>
    <w:pPr>
      <w:numPr>
        <w:numId w:val="4"/>
      </w:numPr>
      <w:spacing w:after="80"/>
      <w:ind w:left="567" w:hanging="283"/>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 w:type="paragraph" w:customStyle="1" w:styleId="Quick1">
    <w:name w:val="Quick 1."/>
    <w:basedOn w:val="Normal"/>
    <w:rsid w:val="00C525F6"/>
    <w:pPr>
      <w:widowControl w:val="0"/>
      <w:numPr>
        <w:numId w:val="17"/>
      </w:numPr>
      <w:suppressAutoHyphens/>
      <w:jc w:val="left"/>
    </w:pPr>
    <w:rPr>
      <w:rFonts w:ascii="Courier" w:eastAsia="Times New Roman" w:hAnsi="Courier" w:cs="Times New Roman"/>
      <w:szCs w:val="20"/>
      <w:lang w:eastAsia="ar-SA"/>
    </w:rPr>
  </w:style>
  <w:style w:type="paragraph" w:customStyle="1" w:styleId="ICESCRHeadingMinor1">
    <w:name w:val="ICESCR Heading Minor 1"/>
    <w:basedOn w:val="Heading3"/>
    <w:qFormat/>
    <w:rsid w:val="00C525F6"/>
    <w:pPr>
      <w:spacing w:before="140" w:after="140"/>
      <w:jc w:val="left"/>
    </w:pPr>
    <w:rPr>
      <w:i/>
      <w:color w:val="auto"/>
      <w:sz w:val="26"/>
      <w:lang w:val="en-AU"/>
    </w:rPr>
  </w:style>
  <w:style w:type="paragraph" w:customStyle="1" w:styleId="ICESCRDotPoint">
    <w:name w:val="ICESCR Dot Point"/>
    <w:basedOn w:val="CERDBodyTextDotPoint"/>
    <w:next w:val="ICESCRBodyText"/>
    <w:qFormat/>
    <w:rsid w:val="00684087"/>
    <w:pPr>
      <w:ind w:left="426" w:right="0" w:hanging="284"/>
    </w:pPr>
    <w:rPr>
      <w:rFonts w:ascii="Times New Roman" w:hAnsi="Times New Roman" w:cs="Times New Roman"/>
    </w:rPr>
  </w:style>
  <w:style w:type="character" w:customStyle="1" w:styleId="field-content">
    <w:name w:val="field-content"/>
    <w:basedOn w:val="DefaultParagraphFont"/>
    <w:rsid w:val="0068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23741082">
      <w:bodyDiv w:val="1"/>
      <w:marLeft w:val="0"/>
      <w:marRight w:val="0"/>
      <w:marTop w:val="0"/>
      <w:marBottom w:val="0"/>
      <w:divBdr>
        <w:top w:val="none" w:sz="0" w:space="0" w:color="auto"/>
        <w:left w:val="none" w:sz="0" w:space="0" w:color="auto"/>
        <w:bottom w:val="none" w:sz="0" w:space="0" w:color="auto"/>
        <w:right w:val="none" w:sz="0" w:space="0" w:color="auto"/>
      </w:divBdr>
      <w:divsChild>
        <w:div w:id="1956012214">
          <w:marLeft w:val="0"/>
          <w:marRight w:val="0"/>
          <w:marTop w:val="0"/>
          <w:marBottom w:val="0"/>
          <w:divBdr>
            <w:top w:val="none" w:sz="0" w:space="0" w:color="auto"/>
            <w:left w:val="none" w:sz="0" w:space="0" w:color="auto"/>
            <w:bottom w:val="none" w:sz="0" w:space="0" w:color="auto"/>
            <w:right w:val="none" w:sz="0" w:space="0" w:color="auto"/>
          </w:divBdr>
          <w:divsChild>
            <w:div w:id="330455670">
              <w:marLeft w:val="0"/>
              <w:marRight w:val="0"/>
              <w:marTop w:val="0"/>
              <w:marBottom w:val="0"/>
              <w:divBdr>
                <w:top w:val="none" w:sz="0" w:space="0" w:color="auto"/>
                <w:left w:val="none" w:sz="0" w:space="0" w:color="auto"/>
                <w:bottom w:val="none" w:sz="0" w:space="0" w:color="auto"/>
                <w:right w:val="none" w:sz="0" w:space="0" w:color="auto"/>
              </w:divBdr>
              <w:divsChild>
                <w:div w:id="1570650266">
                  <w:marLeft w:val="0"/>
                  <w:marRight w:val="0"/>
                  <w:marTop w:val="0"/>
                  <w:marBottom w:val="0"/>
                  <w:divBdr>
                    <w:top w:val="none" w:sz="0" w:space="0" w:color="auto"/>
                    <w:left w:val="none" w:sz="0" w:space="0" w:color="auto"/>
                    <w:bottom w:val="none" w:sz="0" w:space="0" w:color="auto"/>
                    <w:right w:val="none" w:sz="0" w:space="0" w:color="auto"/>
                  </w:divBdr>
                  <w:divsChild>
                    <w:div w:id="2042854388">
                      <w:marLeft w:val="0"/>
                      <w:marRight w:val="0"/>
                      <w:marTop w:val="0"/>
                      <w:marBottom w:val="0"/>
                      <w:divBdr>
                        <w:top w:val="none" w:sz="0" w:space="0" w:color="auto"/>
                        <w:left w:val="none" w:sz="0" w:space="0" w:color="auto"/>
                        <w:bottom w:val="none" w:sz="0" w:space="0" w:color="auto"/>
                        <w:right w:val="none" w:sz="0" w:space="0" w:color="auto"/>
                      </w:divBdr>
                      <w:divsChild>
                        <w:div w:id="1449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781291216">
      <w:bodyDiv w:val="1"/>
      <w:marLeft w:val="0"/>
      <w:marRight w:val="0"/>
      <w:marTop w:val="0"/>
      <w:marBottom w:val="0"/>
      <w:divBdr>
        <w:top w:val="none" w:sz="0" w:space="0" w:color="auto"/>
        <w:left w:val="none" w:sz="0" w:space="0" w:color="auto"/>
        <w:bottom w:val="none" w:sz="0" w:space="0" w:color="auto"/>
        <w:right w:val="none" w:sz="0" w:space="0" w:color="auto"/>
      </w:divBdr>
      <w:divsChild>
        <w:div w:id="1415010853">
          <w:marLeft w:val="0"/>
          <w:marRight w:val="0"/>
          <w:marTop w:val="0"/>
          <w:marBottom w:val="0"/>
          <w:divBdr>
            <w:top w:val="none" w:sz="0" w:space="0" w:color="auto"/>
            <w:left w:val="none" w:sz="0" w:space="0" w:color="auto"/>
            <w:bottom w:val="none" w:sz="0" w:space="0" w:color="auto"/>
            <w:right w:val="none" w:sz="0" w:space="0" w:color="auto"/>
          </w:divBdr>
          <w:divsChild>
            <w:div w:id="1142310842">
              <w:marLeft w:val="0"/>
              <w:marRight w:val="0"/>
              <w:marTop w:val="0"/>
              <w:marBottom w:val="0"/>
              <w:divBdr>
                <w:top w:val="none" w:sz="0" w:space="0" w:color="auto"/>
                <w:left w:val="none" w:sz="0" w:space="0" w:color="auto"/>
                <w:bottom w:val="none" w:sz="0" w:space="0" w:color="auto"/>
                <w:right w:val="none" w:sz="0" w:space="0" w:color="auto"/>
              </w:divBdr>
              <w:divsChild>
                <w:div w:id="566957616">
                  <w:marLeft w:val="0"/>
                  <w:marRight w:val="0"/>
                  <w:marTop w:val="0"/>
                  <w:marBottom w:val="0"/>
                  <w:divBdr>
                    <w:top w:val="none" w:sz="0" w:space="0" w:color="auto"/>
                    <w:left w:val="none" w:sz="0" w:space="0" w:color="auto"/>
                    <w:bottom w:val="none" w:sz="0" w:space="0" w:color="auto"/>
                    <w:right w:val="none" w:sz="0" w:space="0" w:color="auto"/>
                  </w:divBdr>
                  <w:divsChild>
                    <w:div w:id="614486633">
                      <w:marLeft w:val="0"/>
                      <w:marRight w:val="0"/>
                      <w:marTop w:val="0"/>
                      <w:marBottom w:val="360"/>
                      <w:divBdr>
                        <w:top w:val="none" w:sz="0" w:space="0" w:color="auto"/>
                        <w:left w:val="none" w:sz="0" w:space="0" w:color="auto"/>
                        <w:bottom w:val="none" w:sz="0" w:space="0" w:color="auto"/>
                        <w:right w:val="none" w:sz="0" w:space="0" w:color="auto"/>
                      </w:divBdr>
                      <w:divsChild>
                        <w:div w:id="1440639818">
                          <w:marLeft w:val="0"/>
                          <w:marRight w:val="0"/>
                          <w:marTop w:val="0"/>
                          <w:marBottom w:val="0"/>
                          <w:divBdr>
                            <w:top w:val="none" w:sz="0" w:space="0" w:color="auto"/>
                            <w:left w:val="none" w:sz="0" w:space="0" w:color="auto"/>
                            <w:bottom w:val="none" w:sz="0" w:space="0" w:color="auto"/>
                            <w:right w:val="none" w:sz="0" w:space="0" w:color="auto"/>
                          </w:divBdr>
                          <w:divsChild>
                            <w:div w:id="1950047194">
                              <w:marLeft w:val="0"/>
                              <w:marRight w:val="0"/>
                              <w:marTop w:val="0"/>
                              <w:marBottom w:val="0"/>
                              <w:divBdr>
                                <w:top w:val="none" w:sz="0" w:space="0" w:color="auto"/>
                                <w:left w:val="none" w:sz="0" w:space="0" w:color="auto"/>
                                <w:bottom w:val="none" w:sz="0" w:space="0" w:color="auto"/>
                                <w:right w:val="none" w:sz="0" w:space="0" w:color="auto"/>
                              </w:divBdr>
                              <w:divsChild>
                                <w:div w:id="1480616573">
                                  <w:marLeft w:val="0"/>
                                  <w:marRight w:val="0"/>
                                  <w:marTop w:val="0"/>
                                  <w:marBottom w:val="0"/>
                                  <w:divBdr>
                                    <w:top w:val="none" w:sz="0" w:space="0" w:color="auto"/>
                                    <w:left w:val="none" w:sz="0" w:space="0" w:color="auto"/>
                                    <w:bottom w:val="none" w:sz="0" w:space="0" w:color="auto"/>
                                    <w:right w:val="none" w:sz="0" w:space="0" w:color="auto"/>
                                  </w:divBdr>
                                  <w:divsChild>
                                    <w:div w:id="144276794">
                                      <w:marLeft w:val="0"/>
                                      <w:marRight w:val="0"/>
                                      <w:marTop w:val="0"/>
                                      <w:marBottom w:val="0"/>
                                      <w:divBdr>
                                        <w:top w:val="none" w:sz="0" w:space="0" w:color="auto"/>
                                        <w:left w:val="none" w:sz="0" w:space="0" w:color="auto"/>
                                        <w:bottom w:val="none" w:sz="0" w:space="0" w:color="auto"/>
                                        <w:right w:val="none" w:sz="0" w:space="0" w:color="auto"/>
                                      </w:divBdr>
                                      <w:divsChild>
                                        <w:div w:id="255402950">
                                          <w:marLeft w:val="0"/>
                                          <w:marRight w:val="0"/>
                                          <w:marTop w:val="0"/>
                                          <w:marBottom w:val="0"/>
                                          <w:divBdr>
                                            <w:top w:val="none" w:sz="0" w:space="0" w:color="auto"/>
                                            <w:left w:val="none" w:sz="0" w:space="0" w:color="auto"/>
                                            <w:bottom w:val="none" w:sz="0" w:space="0" w:color="auto"/>
                                            <w:right w:val="none" w:sz="0" w:space="0" w:color="auto"/>
                                          </w:divBdr>
                                          <w:divsChild>
                                            <w:div w:id="769854455">
                                              <w:marLeft w:val="0"/>
                                              <w:marRight w:val="0"/>
                                              <w:marTop w:val="0"/>
                                              <w:marBottom w:val="0"/>
                                              <w:divBdr>
                                                <w:top w:val="none" w:sz="0" w:space="0" w:color="auto"/>
                                                <w:left w:val="none" w:sz="0" w:space="0" w:color="auto"/>
                                                <w:bottom w:val="none" w:sz="0" w:space="0" w:color="auto"/>
                                                <w:right w:val="none" w:sz="0" w:space="0" w:color="auto"/>
                                              </w:divBdr>
                                              <w:divsChild>
                                                <w:div w:id="438450508">
                                                  <w:marLeft w:val="0"/>
                                                  <w:marRight w:val="0"/>
                                                  <w:marTop w:val="0"/>
                                                  <w:marBottom w:val="0"/>
                                                  <w:divBdr>
                                                    <w:top w:val="none" w:sz="0" w:space="0" w:color="auto"/>
                                                    <w:left w:val="none" w:sz="0" w:space="0" w:color="auto"/>
                                                    <w:bottom w:val="none" w:sz="0" w:space="0" w:color="auto"/>
                                                    <w:right w:val="none" w:sz="0" w:space="0" w:color="auto"/>
                                                  </w:divBdr>
                                                </w:div>
                                                <w:div w:id="983311118">
                                                  <w:marLeft w:val="0"/>
                                                  <w:marRight w:val="0"/>
                                                  <w:marTop w:val="0"/>
                                                  <w:marBottom w:val="0"/>
                                                  <w:divBdr>
                                                    <w:top w:val="none" w:sz="0" w:space="0" w:color="auto"/>
                                                    <w:left w:val="none" w:sz="0" w:space="0" w:color="auto"/>
                                                    <w:bottom w:val="none" w:sz="0" w:space="0" w:color="auto"/>
                                                    <w:right w:val="none" w:sz="0" w:space="0" w:color="auto"/>
                                                  </w:divBdr>
                                                </w:div>
                                                <w:div w:id="1464349652">
                                                  <w:marLeft w:val="0"/>
                                                  <w:marRight w:val="0"/>
                                                  <w:marTop w:val="0"/>
                                                  <w:marBottom w:val="0"/>
                                                  <w:divBdr>
                                                    <w:top w:val="none" w:sz="0" w:space="0" w:color="auto"/>
                                                    <w:left w:val="none" w:sz="0" w:space="0" w:color="auto"/>
                                                    <w:bottom w:val="none" w:sz="0" w:space="0" w:color="auto"/>
                                                    <w:right w:val="none" w:sz="0" w:space="0" w:color="auto"/>
                                                  </w:divBdr>
                                                </w:div>
                                                <w:div w:id="1503623944">
                                                  <w:marLeft w:val="0"/>
                                                  <w:marRight w:val="0"/>
                                                  <w:marTop w:val="0"/>
                                                  <w:marBottom w:val="0"/>
                                                  <w:divBdr>
                                                    <w:top w:val="none" w:sz="0" w:space="0" w:color="auto"/>
                                                    <w:left w:val="none" w:sz="0" w:space="0" w:color="auto"/>
                                                    <w:bottom w:val="none" w:sz="0" w:space="0" w:color="auto"/>
                                                    <w:right w:val="none" w:sz="0" w:space="0" w:color="auto"/>
                                                  </w:divBdr>
                                                </w:div>
                                                <w:div w:id="514879823">
                                                  <w:marLeft w:val="0"/>
                                                  <w:marRight w:val="0"/>
                                                  <w:marTop w:val="0"/>
                                                  <w:marBottom w:val="0"/>
                                                  <w:divBdr>
                                                    <w:top w:val="none" w:sz="0" w:space="0" w:color="auto"/>
                                                    <w:left w:val="none" w:sz="0" w:space="0" w:color="auto"/>
                                                    <w:bottom w:val="none" w:sz="0" w:space="0" w:color="auto"/>
                                                    <w:right w:val="none" w:sz="0" w:space="0" w:color="auto"/>
                                                  </w:divBdr>
                                                </w:div>
                                                <w:div w:id="322701512">
                                                  <w:marLeft w:val="0"/>
                                                  <w:marRight w:val="0"/>
                                                  <w:marTop w:val="0"/>
                                                  <w:marBottom w:val="0"/>
                                                  <w:divBdr>
                                                    <w:top w:val="none" w:sz="0" w:space="0" w:color="auto"/>
                                                    <w:left w:val="none" w:sz="0" w:space="0" w:color="auto"/>
                                                    <w:bottom w:val="none" w:sz="0" w:space="0" w:color="auto"/>
                                                    <w:right w:val="none" w:sz="0" w:space="0" w:color="auto"/>
                                                  </w:divBdr>
                                                </w:div>
                                                <w:div w:id="1732078271">
                                                  <w:marLeft w:val="0"/>
                                                  <w:marRight w:val="0"/>
                                                  <w:marTop w:val="0"/>
                                                  <w:marBottom w:val="0"/>
                                                  <w:divBdr>
                                                    <w:top w:val="none" w:sz="0" w:space="0" w:color="auto"/>
                                                    <w:left w:val="none" w:sz="0" w:space="0" w:color="auto"/>
                                                    <w:bottom w:val="none" w:sz="0" w:space="0" w:color="auto"/>
                                                    <w:right w:val="none" w:sz="0" w:space="0" w:color="auto"/>
                                                  </w:divBdr>
                                                </w:div>
                                                <w:div w:id="10460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regnet.anu.edu.au/our-people/academic/hilary-charlesworth" TargetMode="External"/><Relationship Id="rId3" Type="http://schemas.openxmlformats.org/officeDocument/2006/relationships/hyperlink" Target="http://www.ahrcentre.org/" TargetMode="External"/><Relationship Id="rId7" Type="http://schemas.openxmlformats.org/officeDocument/2006/relationships/hyperlink" Target="http://regnet.anu.edu.au/research/centres/centre-international-governance-and-justice-cigj" TargetMode="External"/><Relationship Id="rId2" Type="http://schemas.openxmlformats.org/officeDocument/2006/relationships/hyperlink" Target="https://monash.edu/research/people/profiles/profile.html?sid=1387&amp;pid=2945" TargetMode="External"/><Relationship Id="rId1" Type="http://schemas.openxmlformats.org/officeDocument/2006/relationships/hyperlink" Target="http://www.monash.edu/law/centres/castancentre" TargetMode="External"/><Relationship Id="rId6" Type="http://schemas.openxmlformats.org/officeDocument/2006/relationships/hyperlink" Target="http://www.ahrcentre.org/staff/andrew-byrnes" TargetMode="External"/><Relationship Id="rId11" Type="http://schemas.openxmlformats.org/officeDocument/2006/relationships/hyperlink" Target="http://humanities.curtin.edu.au/about/humstaff/research.cfm/Baden.Offord" TargetMode="External"/><Relationship Id="rId5" Type="http://schemas.openxmlformats.org/officeDocument/2006/relationships/hyperlink" Target="http://www.ahrcentre.org/publications/hrd" TargetMode="External"/><Relationship Id="rId10" Type="http://schemas.openxmlformats.org/officeDocument/2006/relationships/hyperlink" Target="http://info.humanrights.curtin.edu.au/" TargetMode="External"/><Relationship Id="rId4" Type="http://schemas.openxmlformats.org/officeDocument/2006/relationships/hyperlink" Target="http://www.ahrcentre.org/publications/ajhr" TargetMode="External"/><Relationship Id="rId9" Type="http://schemas.openxmlformats.org/officeDocument/2006/relationships/hyperlink" Target="http://regnet.anu.edu.au/our-people/academic/john-braithwa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15C67-809E-4CB7-BB18-08C782012317}"/>
</file>

<file path=customXml/itemProps2.xml><?xml version="1.0" encoding="utf-8"?>
<ds:datastoreItem xmlns:ds="http://schemas.openxmlformats.org/officeDocument/2006/customXml" ds:itemID="{A734A0D9-D8C5-42CC-90C8-7000D6E86BE9}"/>
</file>

<file path=customXml/itemProps3.xml><?xml version="1.0" encoding="utf-8"?>
<ds:datastoreItem xmlns:ds="http://schemas.openxmlformats.org/officeDocument/2006/customXml" ds:itemID="{5DC29018-4626-4C63-BA1B-D6171FE76533}"/>
</file>

<file path=customXml/itemProps4.xml><?xml version="1.0" encoding="utf-8"?>
<ds:datastoreItem xmlns:ds="http://schemas.openxmlformats.org/officeDocument/2006/customXml" ds:itemID="{9B9735EF-50BB-4F52-8C25-831FE56F40ED}"/>
</file>

<file path=docProps/app.xml><?xml version="1.0" encoding="utf-8"?>
<Properties xmlns="http://schemas.openxmlformats.org/officeDocument/2006/extended-properties" xmlns:vt="http://schemas.openxmlformats.org/officeDocument/2006/docPropsVTypes">
  <Template>6A1943ED.dotm</Template>
  <TotalTime>0</TotalTime>
  <Pages>5</Pages>
  <Words>1038</Words>
  <Characters>5886</Characters>
  <Application>Microsoft Office Word</Application>
  <DocSecurity>0</DocSecurity>
  <Lines>130</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2016-02-02T23:01:00Z</dcterms:created>
  <dcterms:modified xsi:type="dcterms:W3CDTF">2016-02-02T23:01:00Z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fd5b5a05-573e-4d11-ba77-15f86d015bd7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1011800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