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9596B" w14:textId="44C99DCE" w:rsidR="00D038A5" w:rsidRDefault="00212369" w:rsidP="004F6232">
      <w:pPr>
        <w:pStyle w:val="BodyText"/>
        <w:rPr>
          <w:b/>
          <w:bCs/>
          <w:sz w:val="28"/>
          <w:szCs w:val="28"/>
        </w:rPr>
      </w:pPr>
      <w:r>
        <w:rPr>
          <w:b/>
          <w:bCs/>
          <w:sz w:val="28"/>
          <w:szCs w:val="28"/>
        </w:rPr>
        <w:t>Water for Women Fund</w:t>
      </w:r>
    </w:p>
    <w:p w14:paraId="486DA10F" w14:textId="279DDCF1" w:rsidR="004F6232" w:rsidRPr="004F6232" w:rsidRDefault="004F6232" w:rsidP="004F6232">
      <w:pPr>
        <w:pStyle w:val="BodyText"/>
        <w:rPr>
          <w:b/>
          <w:bCs/>
          <w:sz w:val="28"/>
          <w:szCs w:val="28"/>
        </w:rPr>
      </w:pPr>
      <w:r w:rsidRPr="004F6232">
        <w:rPr>
          <w:b/>
          <w:bCs/>
          <w:sz w:val="28"/>
          <w:szCs w:val="28"/>
        </w:rPr>
        <w:t xml:space="preserve">Management Response to the Mid-Term Review </w:t>
      </w:r>
      <w:r w:rsidR="00212369">
        <w:rPr>
          <w:b/>
          <w:bCs/>
          <w:sz w:val="28"/>
          <w:szCs w:val="28"/>
        </w:rPr>
        <w:t xml:space="preserve">of Progress </w:t>
      </w:r>
      <w:r w:rsidRPr="004F6232">
        <w:rPr>
          <w:b/>
          <w:bCs/>
          <w:sz w:val="28"/>
          <w:szCs w:val="28"/>
        </w:rPr>
        <w:t>(August 202</w:t>
      </w:r>
      <w:r w:rsidR="00B0736C">
        <w:rPr>
          <w:b/>
          <w:bCs/>
          <w:sz w:val="28"/>
          <w:szCs w:val="28"/>
        </w:rPr>
        <w:t>0</w:t>
      </w:r>
      <w:r w:rsidRPr="004F6232">
        <w:rPr>
          <w:b/>
          <w:bCs/>
          <w:sz w:val="28"/>
          <w:szCs w:val="28"/>
        </w:rPr>
        <w:t>)</w:t>
      </w:r>
      <w:r w:rsidR="00212369">
        <w:rPr>
          <w:b/>
          <w:bCs/>
          <w:sz w:val="28"/>
          <w:szCs w:val="28"/>
        </w:rPr>
        <w:t xml:space="preserve"> and Gender Equality and Social Inclusion Mid-Term Review (March 202</w:t>
      </w:r>
      <w:r w:rsidR="00B0736C">
        <w:rPr>
          <w:b/>
          <w:bCs/>
          <w:sz w:val="28"/>
          <w:szCs w:val="28"/>
        </w:rPr>
        <w:t>1</w:t>
      </w:r>
      <w:r w:rsidR="00212369">
        <w:rPr>
          <w:b/>
          <w:bCs/>
          <w:sz w:val="28"/>
          <w:szCs w:val="28"/>
        </w:rPr>
        <w:t>)</w:t>
      </w:r>
    </w:p>
    <w:p w14:paraId="63F93A07" w14:textId="64BC0B61" w:rsidR="00271AF2" w:rsidRPr="000A4A5A" w:rsidRDefault="00271AF2" w:rsidP="00271AF2">
      <w:pPr>
        <w:pStyle w:val="Heading3"/>
        <w:rPr>
          <w:b/>
          <w:bCs w:val="0"/>
        </w:rPr>
      </w:pPr>
      <w:r w:rsidRPr="000A4A5A">
        <w:rPr>
          <w:b/>
          <w:bCs w:val="0"/>
        </w:rPr>
        <w:t xml:space="preserve">Summary of </w:t>
      </w:r>
      <w:r w:rsidR="000A4A5A" w:rsidRPr="000A4A5A">
        <w:rPr>
          <w:b/>
          <w:bCs w:val="0"/>
        </w:rPr>
        <w:t>M</w:t>
      </w:r>
      <w:r w:rsidRPr="000A4A5A">
        <w:rPr>
          <w:b/>
          <w:bCs w:val="0"/>
        </w:rPr>
        <w:t xml:space="preserve">anagement </w:t>
      </w:r>
      <w:r w:rsidR="000A4A5A" w:rsidRPr="000A4A5A">
        <w:rPr>
          <w:b/>
          <w:bCs w:val="0"/>
        </w:rPr>
        <w:t>R</w:t>
      </w:r>
      <w:r w:rsidRPr="000A4A5A">
        <w:rPr>
          <w:b/>
          <w:bCs w:val="0"/>
        </w:rPr>
        <w:t xml:space="preserve">esponse </w:t>
      </w:r>
    </w:p>
    <w:p w14:paraId="123A8C6B" w14:textId="73F43308" w:rsidR="00212369" w:rsidRDefault="00212369" w:rsidP="001109F7">
      <w:pPr>
        <w:pStyle w:val="BodyText"/>
      </w:pPr>
      <w:r>
        <w:t xml:space="preserve">Independent Mid-Term Reviews of the Water for Women Fund were conducted in </w:t>
      </w:r>
      <w:r w:rsidR="008561A9">
        <w:t>mid-</w:t>
      </w:r>
      <w:r>
        <w:t xml:space="preserve">2020 and </w:t>
      </w:r>
      <w:r w:rsidR="008561A9">
        <w:t xml:space="preserve">early </w:t>
      </w:r>
      <w:r>
        <w:t xml:space="preserve">2021 covering both general progress against its end of program outcomes and gender equality and social inclusion.  Both reviews also commented on the program’s response to COVID-19.  The reviews concluded that the program is tracking </w:t>
      </w:r>
      <w:proofErr w:type="gramStart"/>
      <w:r>
        <w:t>well</w:t>
      </w:r>
      <w:proofErr w:type="gramEnd"/>
      <w:r>
        <w:t xml:space="preserve"> and both recommended that the program be extended.</w:t>
      </w:r>
    </w:p>
    <w:p w14:paraId="7A56A846" w14:textId="02F43390" w:rsidR="008561A9" w:rsidRDefault="008561A9" w:rsidP="001109F7">
      <w:pPr>
        <w:pStyle w:val="BodyText"/>
      </w:pPr>
      <w:r>
        <w:t>The review processes were intensive and involved extensive consultations with all Fund stakeholders including through workshops, one to one interviews and small group sessions on top of analysis of progress and other reporting from the Fund.</w:t>
      </w:r>
    </w:p>
    <w:p w14:paraId="6B34118E" w14:textId="2C8F5DE4" w:rsidR="00271AF2" w:rsidRDefault="00E67986" w:rsidP="001109F7">
      <w:pPr>
        <w:pStyle w:val="BodyText"/>
      </w:pPr>
      <w:r>
        <w:t xml:space="preserve">DFAT </w:t>
      </w:r>
      <w:r w:rsidR="00847EFE">
        <w:t xml:space="preserve">has agreed to all the recommendations as detailed in the table below including to exercise the </w:t>
      </w:r>
      <w:r w:rsidR="00212369">
        <w:t>three</w:t>
      </w:r>
      <w:r w:rsidR="00847EFE" w:rsidRPr="00847EFE">
        <w:t>-year extension option</w:t>
      </w:r>
      <w:r w:rsidR="00212369">
        <w:t xml:space="preserve"> </w:t>
      </w:r>
      <w:r w:rsidR="00847EFE" w:rsidRPr="00847EFE">
        <w:t>based on its performance to date</w:t>
      </w:r>
      <w:r w:rsidR="00212369">
        <w:t xml:space="preserve"> and subject to delegate approval.</w:t>
      </w:r>
      <w:r w:rsidR="008D6419">
        <w:t xml:space="preserve">  While in most cases, the status is recorded as ‘Ongoing’, substantial actions have already been taken in response.  The ongoing nature of the responses points more to the complexity of issues explored by the mid-term reviews and how actions are needed over a period of time.</w:t>
      </w:r>
    </w:p>
    <w:p w14:paraId="47926DD2" w14:textId="0C9D8DF3" w:rsidR="00271AF2" w:rsidRPr="00212369" w:rsidRDefault="00D038A5" w:rsidP="00271AF2">
      <w:pPr>
        <w:pStyle w:val="Heading3"/>
        <w:rPr>
          <w:rFonts w:asciiTheme="minorHAnsi" w:hAnsiTheme="minorHAnsi" w:cstheme="minorHAnsi"/>
          <w:b/>
          <w:bCs w:val="0"/>
        </w:rPr>
      </w:pPr>
      <w:r w:rsidRPr="00212369">
        <w:rPr>
          <w:rFonts w:asciiTheme="minorHAnsi" w:hAnsiTheme="minorHAnsi" w:cstheme="minorHAnsi"/>
          <w:b/>
          <w:bCs w:val="0"/>
        </w:rPr>
        <w:t xml:space="preserve">Individual </w:t>
      </w:r>
      <w:r w:rsidR="00271AF2" w:rsidRPr="00212369">
        <w:rPr>
          <w:rFonts w:asciiTheme="minorHAnsi" w:hAnsiTheme="minorHAnsi" w:cstheme="minorHAnsi"/>
          <w:b/>
          <w:bCs w:val="0"/>
        </w:rPr>
        <w:t xml:space="preserve">Management Response to the Recommendations </w:t>
      </w:r>
    </w:p>
    <w:p w14:paraId="135B6CCA" w14:textId="7F17B192" w:rsidR="00212369" w:rsidRPr="00212369" w:rsidRDefault="00212369" w:rsidP="00212369">
      <w:pPr>
        <w:rPr>
          <w:rFonts w:cstheme="minorHAnsi"/>
          <w:b/>
          <w:bCs/>
          <w:sz w:val="24"/>
          <w:szCs w:val="24"/>
          <w:lang w:val="en-AU"/>
        </w:rPr>
      </w:pPr>
      <w:r w:rsidRPr="00212369">
        <w:rPr>
          <w:rFonts w:cstheme="minorHAnsi"/>
          <w:b/>
          <w:bCs/>
          <w:sz w:val="24"/>
          <w:szCs w:val="24"/>
          <w:lang w:val="en-AU"/>
        </w:rPr>
        <w:t>Mid-Term Review of Progress</w:t>
      </w:r>
    </w:p>
    <w:tbl>
      <w:tblPr>
        <w:tblStyle w:val="DFATTable1"/>
        <w:tblW w:w="13139" w:type="dxa"/>
        <w:tblBorders>
          <w:top w:val="single" w:sz="4" w:space="0" w:color="4472C4" w:themeColor="accent1"/>
          <w:left w:val="single" w:sz="4" w:space="0" w:color="4472C4" w:themeColor="accent1"/>
          <w:right w:val="single" w:sz="4" w:space="0" w:color="4472C4" w:themeColor="accent1"/>
          <w:insideV w:val="single" w:sz="4" w:space="0" w:color="4472C4" w:themeColor="accent1"/>
        </w:tblBorders>
        <w:tblLook w:val="04A0" w:firstRow="1" w:lastRow="0" w:firstColumn="1" w:lastColumn="0" w:noHBand="0" w:noVBand="1"/>
      </w:tblPr>
      <w:tblGrid>
        <w:gridCol w:w="4390"/>
        <w:gridCol w:w="1173"/>
        <w:gridCol w:w="6481"/>
        <w:gridCol w:w="1095"/>
      </w:tblGrid>
      <w:tr w:rsidR="004B4EB9" w:rsidRPr="004F798E" w14:paraId="65DA7409" w14:textId="77777777" w:rsidTr="00A146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76F9A3F5" w14:textId="096E6AF5" w:rsidR="004B4EB9" w:rsidRPr="00212369" w:rsidRDefault="004B4EB9" w:rsidP="00811264">
            <w:pPr>
              <w:jc w:val="center"/>
              <w:rPr>
                <w:rFonts w:asciiTheme="minorHAnsi" w:hAnsiTheme="minorHAnsi" w:cstheme="minorHAnsi"/>
                <w:b/>
                <w:bCs/>
                <w:color w:val="auto"/>
                <w:lang w:val="en-AU"/>
              </w:rPr>
            </w:pPr>
            <w:r w:rsidRPr="00212369">
              <w:rPr>
                <w:rFonts w:asciiTheme="minorHAnsi" w:hAnsiTheme="minorHAnsi" w:cstheme="minorHAnsi"/>
                <w:b/>
                <w:bCs/>
                <w:color w:val="auto"/>
              </w:rPr>
              <w:t>Recommendation</w:t>
            </w:r>
          </w:p>
        </w:tc>
        <w:tc>
          <w:tcPr>
            <w:tcW w:w="1173" w:type="dxa"/>
            <w:shd w:val="clear" w:color="auto" w:fill="auto"/>
          </w:tcPr>
          <w:p w14:paraId="6213E67D" w14:textId="4D24A593" w:rsidR="004B4EB9" w:rsidRPr="00212369" w:rsidRDefault="004B4EB9" w:rsidP="0081126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auto"/>
                <w:lang w:val="en-AU"/>
              </w:rPr>
            </w:pPr>
            <w:r w:rsidRPr="00212369">
              <w:rPr>
                <w:rFonts w:asciiTheme="minorHAnsi" w:hAnsiTheme="minorHAnsi" w:cstheme="minorHAnsi"/>
                <w:b/>
                <w:bCs/>
                <w:color w:val="auto"/>
              </w:rPr>
              <w:t>Response</w:t>
            </w:r>
          </w:p>
        </w:tc>
        <w:tc>
          <w:tcPr>
            <w:tcW w:w="6481" w:type="dxa"/>
            <w:shd w:val="clear" w:color="auto" w:fill="auto"/>
          </w:tcPr>
          <w:p w14:paraId="3266399C" w14:textId="265DAB5F" w:rsidR="004B4EB9" w:rsidRPr="00212369" w:rsidRDefault="004B4EB9" w:rsidP="0081126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auto"/>
              </w:rPr>
            </w:pPr>
            <w:r w:rsidRPr="00212369">
              <w:rPr>
                <w:rFonts w:asciiTheme="minorHAnsi" w:hAnsiTheme="minorHAnsi" w:cstheme="minorHAnsi"/>
                <w:b/>
                <w:bCs/>
                <w:color w:val="auto"/>
              </w:rPr>
              <w:t>Action</w:t>
            </w:r>
            <w:r>
              <w:rPr>
                <w:rFonts w:asciiTheme="minorHAnsi" w:hAnsiTheme="minorHAnsi" w:cstheme="minorHAnsi"/>
                <w:b/>
                <w:bCs/>
                <w:color w:val="auto"/>
              </w:rPr>
              <w:t xml:space="preserve"> / Notes</w:t>
            </w:r>
          </w:p>
        </w:tc>
        <w:tc>
          <w:tcPr>
            <w:tcW w:w="1095" w:type="dxa"/>
            <w:shd w:val="clear" w:color="auto" w:fill="auto"/>
          </w:tcPr>
          <w:p w14:paraId="50A505C0" w14:textId="5B78069E" w:rsidR="004B4EB9" w:rsidRPr="00212369" w:rsidRDefault="004B4EB9" w:rsidP="0081126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auto"/>
                <w:lang w:val="en-AU"/>
              </w:rPr>
            </w:pPr>
            <w:r>
              <w:rPr>
                <w:rFonts w:asciiTheme="minorHAnsi" w:hAnsiTheme="minorHAnsi" w:cstheme="minorHAnsi"/>
                <w:b/>
                <w:bCs/>
                <w:color w:val="auto"/>
              </w:rPr>
              <w:t>Status</w:t>
            </w:r>
          </w:p>
        </w:tc>
      </w:tr>
      <w:tr w:rsidR="004B4EB9" w:rsidRPr="004F798E" w14:paraId="09D31DF9" w14:textId="77777777" w:rsidTr="00A14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603AAE4C" w14:textId="77777777" w:rsidR="004B4EB9" w:rsidRPr="00212369" w:rsidRDefault="004B4EB9" w:rsidP="00811264">
            <w:pPr>
              <w:rPr>
                <w:rFonts w:asciiTheme="minorHAnsi" w:hAnsiTheme="minorHAnsi" w:cstheme="minorHAnsi"/>
                <w:b/>
                <w:bCs/>
                <w:color w:val="auto"/>
                <w:lang w:val="en-AU"/>
              </w:rPr>
            </w:pPr>
            <w:r w:rsidRPr="00212369">
              <w:rPr>
                <w:rFonts w:asciiTheme="minorHAnsi" w:hAnsiTheme="minorHAnsi" w:cstheme="minorHAnsi"/>
                <w:b/>
                <w:bCs/>
                <w:color w:val="auto"/>
                <w:lang w:val="en-AU"/>
              </w:rPr>
              <w:t>Recommendation 1</w:t>
            </w:r>
          </w:p>
          <w:p w14:paraId="08A25C95" w14:textId="2708086D" w:rsidR="004B4EB9" w:rsidRPr="00212369" w:rsidRDefault="004B4EB9" w:rsidP="00811264">
            <w:pPr>
              <w:rPr>
                <w:rFonts w:asciiTheme="minorHAnsi" w:hAnsiTheme="minorHAnsi" w:cstheme="minorHAnsi"/>
                <w:color w:val="auto"/>
                <w:lang w:val="en-AU"/>
              </w:rPr>
            </w:pPr>
            <w:r w:rsidRPr="00212369">
              <w:rPr>
                <w:rFonts w:asciiTheme="minorHAnsi" w:hAnsiTheme="minorHAnsi" w:cstheme="minorHAnsi"/>
                <w:bCs/>
                <w:sz w:val="24"/>
                <w:szCs w:val="24"/>
              </w:rPr>
              <w:t>The</w:t>
            </w:r>
            <w:r w:rsidRPr="00212369">
              <w:rPr>
                <w:rFonts w:asciiTheme="minorHAnsi" w:hAnsiTheme="minorHAnsi" w:cstheme="minorHAnsi"/>
                <w:b/>
                <w:bCs/>
                <w:sz w:val="24"/>
                <w:szCs w:val="24"/>
              </w:rPr>
              <w:t xml:space="preserve"> </w:t>
            </w:r>
            <w:r w:rsidRPr="00212369">
              <w:rPr>
                <w:rFonts w:asciiTheme="minorHAnsi" w:hAnsiTheme="minorHAnsi" w:cstheme="minorHAnsi"/>
                <w:sz w:val="24"/>
                <w:szCs w:val="24"/>
              </w:rPr>
              <w:t xml:space="preserve">FC should engage with the FPG and DFAT on management approvals to determine if CSO’s and RO’s can be given more flexibility to take adaptive management action. Any allowed changes in activity management and budget line variations would have to meet the FC </w:t>
            </w:r>
            <w:r w:rsidRPr="00212369">
              <w:rPr>
                <w:rFonts w:asciiTheme="minorHAnsi" w:hAnsiTheme="minorHAnsi" w:cstheme="minorHAnsi"/>
                <w:sz w:val="24"/>
                <w:szCs w:val="24"/>
              </w:rPr>
              <w:lastRenderedPageBreak/>
              <w:t>corporate requirements and DFAT contractual reporting and risk management obligations.</w:t>
            </w:r>
          </w:p>
        </w:tc>
        <w:tc>
          <w:tcPr>
            <w:tcW w:w="1173" w:type="dxa"/>
            <w:shd w:val="clear" w:color="auto" w:fill="auto"/>
          </w:tcPr>
          <w:p w14:paraId="57C67567" w14:textId="6049848F" w:rsidR="004B4EB9" w:rsidRPr="00212369" w:rsidRDefault="004B4EB9" w:rsidP="0081126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lang w:val="en-AU"/>
              </w:rPr>
            </w:pPr>
            <w:r>
              <w:rPr>
                <w:rFonts w:asciiTheme="minorHAnsi" w:hAnsiTheme="minorHAnsi" w:cstheme="minorHAnsi"/>
                <w:b/>
                <w:bCs/>
                <w:color w:val="auto"/>
                <w:lang w:val="en-AU"/>
              </w:rPr>
              <w:lastRenderedPageBreak/>
              <w:t>Agree</w:t>
            </w:r>
          </w:p>
        </w:tc>
        <w:tc>
          <w:tcPr>
            <w:tcW w:w="6481" w:type="dxa"/>
            <w:shd w:val="clear" w:color="auto" w:fill="auto"/>
          </w:tcPr>
          <w:p w14:paraId="2B58ED85" w14:textId="291654C1" w:rsidR="004B4EB9" w:rsidRPr="00D97A40" w:rsidRDefault="004B4EB9" w:rsidP="00D97A40">
            <w:pPr>
              <w:spacing w:before="60" w:line="240" w:lineRule="atLeast"/>
              <w:cnfStyle w:val="000000100000" w:firstRow="0" w:lastRow="0" w:firstColumn="0" w:lastColumn="0" w:oddVBand="0" w:evenVBand="0" w:oddHBand="1" w:evenHBand="0" w:firstRowFirstColumn="0" w:firstRowLastColumn="0" w:lastRowFirstColumn="0" w:lastRowLastColumn="0"/>
              <w:rPr>
                <w:color w:val="auto"/>
                <w:sz w:val="24"/>
                <w:szCs w:val="24"/>
              </w:rPr>
            </w:pPr>
            <w:r w:rsidRPr="00D97A40">
              <w:rPr>
                <w:color w:val="auto"/>
                <w:sz w:val="24"/>
                <w:szCs w:val="24"/>
              </w:rPr>
              <w:t>Under the existing contract, GHD is required to have effective management systems and manage fiduciary and integrity risks. The response to this recommendation is therefore to leverage the partnership arrangements in the Fund. The Fund Partnership Group (FPG) Purpose Statement and Action plan have been revised to better reflect the resources available to the FPG and its strategic intent. FPG processes then allow for detailed discussions to reach agreement on adaptive management approaches.</w:t>
            </w:r>
            <w:r w:rsidR="009D3B4A">
              <w:rPr>
                <w:color w:val="auto"/>
                <w:sz w:val="24"/>
                <w:szCs w:val="24"/>
              </w:rPr>
              <w:t xml:space="preserve">  Recent examples of adaptive </w:t>
            </w:r>
            <w:r w:rsidR="009D3B4A">
              <w:rPr>
                <w:color w:val="auto"/>
                <w:sz w:val="24"/>
                <w:szCs w:val="24"/>
              </w:rPr>
              <w:lastRenderedPageBreak/>
              <w:t>management are the agreement to shift resources from the WaterAid Myanmar project to their Timor-Leste project and the agreement with Habitat for Humanity to focus their project on realistic deliverables.</w:t>
            </w:r>
          </w:p>
          <w:p w14:paraId="67EFD543" w14:textId="7FE2001B" w:rsidR="004B4EB9" w:rsidRPr="00D97A40" w:rsidRDefault="004B4EB9" w:rsidP="00D97A40">
            <w:pPr>
              <w:spacing w:before="60" w:line="240" w:lineRule="atLeast"/>
              <w:cnfStyle w:val="000000100000" w:firstRow="0" w:lastRow="0" w:firstColumn="0" w:lastColumn="0" w:oddVBand="0" w:evenVBand="0" w:oddHBand="1" w:evenHBand="0" w:firstRowFirstColumn="0" w:firstRowLastColumn="0" w:lastRowFirstColumn="0" w:lastRowLastColumn="0"/>
              <w:rPr>
                <w:sz w:val="18"/>
                <w:szCs w:val="18"/>
              </w:rPr>
            </w:pPr>
          </w:p>
        </w:tc>
        <w:tc>
          <w:tcPr>
            <w:tcW w:w="1095" w:type="dxa"/>
            <w:shd w:val="clear" w:color="auto" w:fill="auto"/>
          </w:tcPr>
          <w:p w14:paraId="73471A91" w14:textId="26316186" w:rsidR="004B4EB9" w:rsidRPr="00212369" w:rsidRDefault="004B4EB9" w:rsidP="0081126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lang w:val="en-AU"/>
              </w:rPr>
            </w:pPr>
            <w:r>
              <w:rPr>
                <w:rFonts w:asciiTheme="minorHAnsi" w:hAnsiTheme="minorHAnsi" w:cstheme="minorHAnsi"/>
                <w:color w:val="auto"/>
                <w:lang w:val="en-AU"/>
              </w:rPr>
              <w:lastRenderedPageBreak/>
              <w:t>Ongoing</w:t>
            </w:r>
          </w:p>
        </w:tc>
      </w:tr>
      <w:tr w:rsidR="004B4EB9" w:rsidRPr="004F798E" w14:paraId="3BBC64D7" w14:textId="77777777" w:rsidTr="00A146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329ADEB0" w14:textId="77777777" w:rsidR="004B4EB9" w:rsidRPr="00212369" w:rsidRDefault="004B4EB9" w:rsidP="00052649">
            <w:pPr>
              <w:rPr>
                <w:rFonts w:asciiTheme="minorHAnsi" w:hAnsiTheme="minorHAnsi" w:cstheme="minorHAnsi"/>
                <w:b/>
                <w:bCs/>
                <w:color w:val="auto"/>
                <w:lang w:val="en-AU"/>
              </w:rPr>
            </w:pPr>
            <w:r w:rsidRPr="00212369">
              <w:rPr>
                <w:rFonts w:asciiTheme="minorHAnsi" w:hAnsiTheme="minorHAnsi" w:cstheme="minorHAnsi"/>
                <w:b/>
                <w:bCs/>
                <w:color w:val="auto"/>
                <w:lang w:val="en-AU"/>
              </w:rPr>
              <w:t>Recommendation 2</w:t>
            </w:r>
          </w:p>
          <w:p w14:paraId="76E46923" w14:textId="7FEB866C" w:rsidR="004B4EB9" w:rsidRPr="00212369" w:rsidRDefault="004B4EB9" w:rsidP="00052649">
            <w:pPr>
              <w:rPr>
                <w:rFonts w:asciiTheme="minorHAnsi" w:hAnsiTheme="minorHAnsi" w:cstheme="minorHAnsi"/>
                <w:color w:val="auto"/>
                <w:lang w:val="en-AU"/>
              </w:rPr>
            </w:pPr>
            <w:r w:rsidRPr="00212369">
              <w:rPr>
                <w:rFonts w:asciiTheme="minorHAnsi" w:hAnsiTheme="minorHAnsi" w:cstheme="minorHAnsi"/>
                <w:sz w:val="24"/>
                <w:szCs w:val="24"/>
              </w:rPr>
              <w:t>Fund partners should finalise a K&amp;L workplan and budget. This should provide adequate resources to complement FC led K&amp;L activity with support for collaborative learning activity. CSO’s and RO’s identified as innovative and utilising best practice can share their knowledge and expertise across the Fund. COVID-19 travel restrictions will impact on delivery of a collaborative learning model but with new technology, including video conferencing and webinars, Fund Partners can address gaps in WASH systems strengthening and WASH access (hygiene behaviour change and disability inclusion).</w:t>
            </w:r>
          </w:p>
        </w:tc>
        <w:tc>
          <w:tcPr>
            <w:tcW w:w="1173" w:type="dxa"/>
            <w:shd w:val="clear" w:color="auto" w:fill="auto"/>
          </w:tcPr>
          <w:p w14:paraId="33A25E73" w14:textId="593721D8" w:rsidR="004B4EB9" w:rsidRPr="00212369" w:rsidRDefault="004B4EB9" w:rsidP="00052649">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auto"/>
                <w:lang w:val="en-AU"/>
              </w:rPr>
            </w:pPr>
            <w:r>
              <w:rPr>
                <w:rFonts w:asciiTheme="minorHAnsi" w:hAnsiTheme="minorHAnsi" w:cstheme="minorHAnsi"/>
                <w:b/>
                <w:bCs/>
                <w:color w:val="auto"/>
                <w:lang w:val="en-AU"/>
              </w:rPr>
              <w:t>Agree</w:t>
            </w:r>
          </w:p>
        </w:tc>
        <w:tc>
          <w:tcPr>
            <w:tcW w:w="6481" w:type="dxa"/>
            <w:shd w:val="clear" w:color="auto" w:fill="auto"/>
          </w:tcPr>
          <w:p w14:paraId="5972F6E3" w14:textId="56E2E45F" w:rsidR="004B4EB9" w:rsidRPr="004B4EB9" w:rsidRDefault="004B4EB9" w:rsidP="00052649">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szCs w:val="24"/>
                <w:lang w:val="en-AU"/>
              </w:rPr>
            </w:pPr>
            <w:r w:rsidRPr="004B4EB9">
              <w:rPr>
                <w:rFonts w:asciiTheme="minorHAnsi" w:hAnsiTheme="minorHAnsi" w:cstheme="minorHAnsi"/>
                <w:color w:val="auto"/>
                <w:sz w:val="24"/>
                <w:szCs w:val="24"/>
                <w:lang w:val="en-AU"/>
              </w:rPr>
              <w:t>The Learning Agenda and budget has been finalised and is now in operation with strong participation of Fund partners.</w:t>
            </w:r>
          </w:p>
          <w:p w14:paraId="2A7636E9" w14:textId="275C12A9" w:rsidR="004B4EB9" w:rsidRPr="004B4EB9" w:rsidRDefault="004B4EB9" w:rsidP="00210694">
            <w:pPr>
              <w:spacing w:before="60" w:line="240" w:lineRule="atLeast"/>
              <w:cnfStyle w:val="000000010000" w:firstRow="0" w:lastRow="0" w:firstColumn="0" w:lastColumn="0" w:oddVBand="0" w:evenVBand="0" w:oddHBand="0" w:evenHBand="1" w:firstRowFirstColumn="0" w:firstRowLastColumn="0" w:lastRowFirstColumn="0" w:lastRowLastColumn="0"/>
              <w:rPr>
                <w:color w:val="auto"/>
                <w:sz w:val="24"/>
                <w:szCs w:val="24"/>
                <w:lang w:eastAsia="en-AU"/>
              </w:rPr>
            </w:pPr>
            <w:r w:rsidRPr="004B4EB9">
              <w:rPr>
                <w:color w:val="auto"/>
                <w:sz w:val="24"/>
                <w:szCs w:val="24"/>
                <w:lang w:eastAsia="en-AU"/>
              </w:rPr>
              <w:t>The priority activities and resources for the Learning Agenda were endorsed by the FPG in mid-2021 and since then, numerous webinars such as the WASH &amp; LEARN series, have been run and learning resources prepared and placed in the program website and internal Hub. The program has supported partners to run and give presentations in regional and international events such as World Water Week.</w:t>
            </w:r>
          </w:p>
          <w:p w14:paraId="7793B3FC" w14:textId="7005982D" w:rsidR="004B4EB9" w:rsidRPr="004B4EB9" w:rsidRDefault="004B4EB9" w:rsidP="00210694">
            <w:pPr>
              <w:spacing w:before="60" w:line="240" w:lineRule="atLeast"/>
              <w:cnfStyle w:val="000000010000" w:firstRow="0" w:lastRow="0" w:firstColumn="0" w:lastColumn="0" w:oddVBand="0" w:evenVBand="0" w:oddHBand="0" w:evenHBand="1" w:firstRowFirstColumn="0" w:firstRowLastColumn="0" w:lastRowFirstColumn="0" w:lastRowLastColumn="0"/>
              <w:rPr>
                <w:color w:val="auto"/>
                <w:sz w:val="24"/>
                <w:szCs w:val="24"/>
                <w:lang w:eastAsia="en-AU"/>
              </w:rPr>
            </w:pPr>
            <w:r w:rsidRPr="004B4EB9">
              <w:rPr>
                <w:color w:val="auto"/>
                <w:sz w:val="24"/>
                <w:szCs w:val="24"/>
                <w:lang w:eastAsia="en-AU"/>
              </w:rPr>
              <w:t>This has allowed Increased collaboration and focus on WASH approaches, hygiene, private sector WASH supply chains, and systems strengthening.</w:t>
            </w:r>
          </w:p>
          <w:p w14:paraId="7160E9A3" w14:textId="151E4467" w:rsidR="004B4EB9" w:rsidRPr="00212369" w:rsidRDefault="004B4EB9" w:rsidP="004B4EB9">
            <w:pPr>
              <w:spacing w:before="60" w:line="240" w:lineRule="atLeas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lang w:val="en-AU"/>
              </w:rPr>
            </w:pPr>
            <w:r w:rsidRPr="004B4EB9">
              <w:rPr>
                <w:rFonts w:asciiTheme="minorHAnsi" w:hAnsiTheme="minorHAnsi" w:cstheme="minorHAnsi"/>
                <w:color w:val="auto"/>
                <w:sz w:val="24"/>
                <w:szCs w:val="24"/>
                <w:lang w:val="en-AU"/>
              </w:rPr>
              <w:t>The program’s knowledge and learning processes see active participation of Fund partners but need to be balanced against implementation of WASH activities in the field</w:t>
            </w:r>
          </w:p>
        </w:tc>
        <w:tc>
          <w:tcPr>
            <w:tcW w:w="1095" w:type="dxa"/>
            <w:shd w:val="clear" w:color="auto" w:fill="auto"/>
          </w:tcPr>
          <w:p w14:paraId="00E3BC53" w14:textId="594E14D2" w:rsidR="004B4EB9" w:rsidRPr="00212369" w:rsidRDefault="004B4EB9" w:rsidP="00052649">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lang w:val="en-AU"/>
              </w:rPr>
            </w:pPr>
            <w:r>
              <w:rPr>
                <w:rFonts w:asciiTheme="minorHAnsi" w:hAnsiTheme="minorHAnsi" w:cstheme="minorHAnsi"/>
                <w:color w:val="auto"/>
                <w:lang w:val="en-AU"/>
              </w:rPr>
              <w:t>Ongoing</w:t>
            </w:r>
          </w:p>
        </w:tc>
      </w:tr>
      <w:tr w:rsidR="004B4EB9" w:rsidRPr="004F798E" w14:paraId="4D4B7216" w14:textId="77777777" w:rsidTr="00A14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53D62B16" w14:textId="77777777" w:rsidR="004B4EB9" w:rsidRPr="00212369" w:rsidRDefault="004B4EB9" w:rsidP="00052649">
            <w:pPr>
              <w:rPr>
                <w:rFonts w:asciiTheme="minorHAnsi" w:hAnsiTheme="minorHAnsi" w:cstheme="minorHAnsi"/>
                <w:b/>
                <w:bCs/>
                <w:color w:val="auto"/>
                <w:lang w:val="en-AU"/>
              </w:rPr>
            </w:pPr>
            <w:r w:rsidRPr="00212369">
              <w:rPr>
                <w:rFonts w:asciiTheme="minorHAnsi" w:hAnsiTheme="minorHAnsi" w:cstheme="minorHAnsi"/>
                <w:b/>
                <w:bCs/>
                <w:color w:val="auto"/>
                <w:lang w:val="en-AU"/>
              </w:rPr>
              <w:t>Recommendation 3</w:t>
            </w:r>
          </w:p>
          <w:p w14:paraId="0CFBF885" w14:textId="388D00F8" w:rsidR="004B4EB9" w:rsidRPr="00212369" w:rsidRDefault="004B4EB9" w:rsidP="00052649">
            <w:pPr>
              <w:rPr>
                <w:rFonts w:asciiTheme="minorHAnsi" w:hAnsiTheme="minorHAnsi" w:cstheme="minorHAnsi"/>
                <w:color w:val="auto"/>
                <w:lang w:val="en-AU"/>
              </w:rPr>
            </w:pPr>
            <w:r w:rsidRPr="00212369">
              <w:rPr>
                <w:rFonts w:asciiTheme="minorHAnsi" w:hAnsiTheme="minorHAnsi" w:cstheme="minorHAnsi"/>
                <w:sz w:val="24"/>
                <w:szCs w:val="24"/>
              </w:rPr>
              <w:t xml:space="preserve">The FC should strengthen efforts and direct resources to improve the flow of information to the FPG as outlined in the Learning Advisory Group TOR. This will allow the FPG to work more effectively as </w:t>
            </w:r>
            <w:r w:rsidRPr="00212369">
              <w:rPr>
                <w:rFonts w:asciiTheme="minorHAnsi" w:hAnsiTheme="minorHAnsi" w:cstheme="minorHAnsi"/>
                <w:sz w:val="24"/>
                <w:szCs w:val="24"/>
              </w:rPr>
              <w:lastRenderedPageBreak/>
              <w:t xml:space="preserve">a strategic advisory mechanism. Actions will require allocation of FC management and specialist resources and facilitating early issue of documents. The FC should explore how The Hub can be used to improve flow of K&amp;L information from learning events and how CSO’s and RO’s can share stories of transformation and relevant information and learnings from projects.  </w:t>
            </w:r>
          </w:p>
        </w:tc>
        <w:tc>
          <w:tcPr>
            <w:tcW w:w="1173" w:type="dxa"/>
            <w:shd w:val="clear" w:color="auto" w:fill="auto"/>
          </w:tcPr>
          <w:p w14:paraId="3979C448" w14:textId="3E4006A3" w:rsidR="004B4EB9" w:rsidRPr="00212369" w:rsidRDefault="004B4EB9" w:rsidP="0005264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lang w:val="en-AU"/>
              </w:rPr>
            </w:pPr>
            <w:r>
              <w:rPr>
                <w:rFonts w:asciiTheme="minorHAnsi" w:hAnsiTheme="minorHAnsi" w:cstheme="minorHAnsi"/>
                <w:b/>
                <w:bCs/>
                <w:color w:val="auto"/>
                <w:lang w:val="en-AU"/>
              </w:rPr>
              <w:lastRenderedPageBreak/>
              <w:t>Agree</w:t>
            </w:r>
          </w:p>
        </w:tc>
        <w:tc>
          <w:tcPr>
            <w:tcW w:w="6481" w:type="dxa"/>
            <w:shd w:val="clear" w:color="auto" w:fill="auto"/>
          </w:tcPr>
          <w:p w14:paraId="75264567" w14:textId="32183872" w:rsidR="004B4EB9" w:rsidRPr="00267BD5" w:rsidRDefault="004B4EB9" w:rsidP="0005264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lang w:val="en-AU"/>
              </w:rPr>
            </w:pPr>
            <w:r w:rsidRPr="00267BD5">
              <w:rPr>
                <w:rFonts w:asciiTheme="minorHAnsi" w:hAnsiTheme="minorHAnsi" w:cstheme="minorHAnsi"/>
                <w:color w:val="auto"/>
                <w:sz w:val="24"/>
                <w:szCs w:val="24"/>
                <w:lang w:val="en-AU"/>
              </w:rPr>
              <w:t>FPG agendas allow for in depth discussion and partners are provided detailed information on issues and opportunities ahead of time.  The Hub</w:t>
            </w:r>
            <w:r w:rsidR="009D3B4A">
              <w:rPr>
                <w:rFonts w:asciiTheme="minorHAnsi" w:hAnsiTheme="minorHAnsi" w:cstheme="minorHAnsi"/>
                <w:color w:val="auto"/>
                <w:sz w:val="24"/>
                <w:szCs w:val="24"/>
                <w:lang w:val="en-AU"/>
              </w:rPr>
              <w:t xml:space="preserve"> has now been established and</w:t>
            </w:r>
            <w:r w:rsidRPr="00267BD5">
              <w:rPr>
                <w:rFonts w:asciiTheme="minorHAnsi" w:hAnsiTheme="minorHAnsi" w:cstheme="minorHAnsi"/>
                <w:color w:val="auto"/>
                <w:sz w:val="24"/>
                <w:szCs w:val="24"/>
                <w:lang w:val="en-AU"/>
              </w:rPr>
              <w:t xml:space="preserve"> is an active platform to share information and make announcements on learning events including those by other DFAT programs and </w:t>
            </w:r>
            <w:r w:rsidRPr="00267BD5">
              <w:rPr>
                <w:rFonts w:asciiTheme="minorHAnsi" w:hAnsiTheme="minorHAnsi" w:cstheme="minorHAnsi"/>
                <w:color w:val="auto"/>
                <w:sz w:val="24"/>
                <w:szCs w:val="24"/>
                <w:lang w:val="en-AU"/>
              </w:rPr>
              <w:lastRenderedPageBreak/>
              <w:t>by a wide range of organisations.</w:t>
            </w:r>
            <w:r w:rsidR="009D3B4A">
              <w:rPr>
                <w:rFonts w:asciiTheme="minorHAnsi" w:hAnsiTheme="minorHAnsi" w:cstheme="minorHAnsi"/>
                <w:color w:val="auto"/>
                <w:sz w:val="24"/>
                <w:szCs w:val="24"/>
                <w:lang w:val="en-AU"/>
              </w:rPr>
              <w:t xml:space="preserve">  The Fund Coordinator has increased resources to support FPG processes.</w:t>
            </w:r>
          </w:p>
          <w:p w14:paraId="60318DF4" w14:textId="48727A16" w:rsidR="00825AC8" w:rsidRPr="00267BD5" w:rsidRDefault="00825AC8" w:rsidP="0005264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lang w:val="en-AU"/>
              </w:rPr>
            </w:pPr>
            <w:r w:rsidRPr="00267BD5">
              <w:rPr>
                <w:rFonts w:asciiTheme="minorHAnsi" w:hAnsiTheme="minorHAnsi" w:cstheme="minorHAnsi"/>
                <w:color w:val="auto"/>
                <w:sz w:val="24"/>
                <w:szCs w:val="24"/>
                <w:lang w:val="en-AU"/>
              </w:rPr>
              <w:t>The program r</w:t>
            </w:r>
            <w:r w:rsidR="00267BD5" w:rsidRPr="00267BD5">
              <w:rPr>
                <w:rFonts w:asciiTheme="minorHAnsi" w:hAnsiTheme="minorHAnsi" w:cstheme="minorHAnsi"/>
                <w:color w:val="auto"/>
                <w:sz w:val="24"/>
                <w:szCs w:val="24"/>
                <w:lang w:val="en-AU"/>
              </w:rPr>
              <w:t>a</w:t>
            </w:r>
            <w:r w:rsidRPr="00267BD5">
              <w:rPr>
                <w:rFonts w:asciiTheme="minorHAnsi" w:hAnsiTheme="minorHAnsi" w:cstheme="minorHAnsi"/>
                <w:color w:val="auto"/>
                <w:sz w:val="24"/>
                <w:szCs w:val="24"/>
                <w:lang w:val="en-AU"/>
              </w:rPr>
              <w:t>n ‘sense making’</w:t>
            </w:r>
            <w:r w:rsidR="00267BD5" w:rsidRPr="00267BD5">
              <w:rPr>
                <w:rFonts w:asciiTheme="minorHAnsi" w:hAnsiTheme="minorHAnsi" w:cstheme="minorHAnsi"/>
                <w:color w:val="auto"/>
                <w:sz w:val="24"/>
                <w:szCs w:val="24"/>
                <w:lang w:val="en-AU"/>
              </w:rPr>
              <w:t xml:space="preserve"> workshops with partners from February to April 2021 that has allowed open discussion of Fund progress and to identify actions especially at the strategic level, moving forward.</w:t>
            </w:r>
          </w:p>
          <w:p w14:paraId="55B5F174" w14:textId="77777777" w:rsidR="004B4EB9" w:rsidRDefault="004B4EB9" w:rsidP="009D3B4A">
            <w:pPr>
              <w:spacing w:before="60" w:line="240" w:lineRule="atLeast"/>
              <w:cnfStyle w:val="000000100000" w:firstRow="0" w:lastRow="0" w:firstColumn="0" w:lastColumn="0" w:oddVBand="0" w:evenVBand="0" w:oddHBand="1" w:evenHBand="0" w:firstRowFirstColumn="0" w:firstRowLastColumn="0" w:lastRowFirstColumn="0" w:lastRowLastColumn="0"/>
              <w:rPr>
                <w:color w:val="auto"/>
                <w:sz w:val="24"/>
                <w:szCs w:val="24"/>
              </w:rPr>
            </w:pPr>
            <w:r w:rsidRPr="00267BD5">
              <w:rPr>
                <w:color w:val="auto"/>
                <w:sz w:val="24"/>
                <w:szCs w:val="24"/>
                <w:lang w:eastAsia="en-AU"/>
              </w:rPr>
              <w:t xml:space="preserve">The implementation of the Learning Agenda </w:t>
            </w:r>
            <w:r w:rsidR="00267BD5" w:rsidRPr="00267BD5">
              <w:rPr>
                <w:color w:val="auto"/>
                <w:sz w:val="24"/>
                <w:szCs w:val="24"/>
                <w:lang w:eastAsia="en-AU"/>
              </w:rPr>
              <w:t>is also</w:t>
            </w:r>
            <w:r w:rsidRPr="00267BD5">
              <w:rPr>
                <w:color w:val="auto"/>
                <w:sz w:val="24"/>
                <w:szCs w:val="24"/>
                <w:lang w:eastAsia="en-AU"/>
              </w:rPr>
              <w:t xml:space="preserve"> encourag</w:t>
            </w:r>
            <w:r w:rsidR="00267BD5" w:rsidRPr="00267BD5">
              <w:rPr>
                <w:color w:val="auto"/>
                <w:sz w:val="24"/>
                <w:szCs w:val="24"/>
                <w:lang w:eastAsia="en-AU"/>
              </w:rPr>
              <w:t>ing</w:t>
            </w:r>
            <w:r w:rsidRPr="00267BD5">
              <w:rPr>
                <w:color w:val="auto"/>
                <w:sz w:val="24"/>
                <w:szCs w:val="24"/>
                <w:lang w:eastAsia="en-AU"/>
              </w:rPr>
              <w:t xml:space="preserve"> ongoing sharing of information amongst Partners and to the FPG </w:t>
            </w:r>
            <w:r w:rsidR="00267BD5" w:rsidRPr="00267BD5">
              <w:rPr>
                <w:color w:val="auto"/>
                <w:sz w:val="24"/>
                <w:szCs w:val="24"/>
                <w:lang w:eastAsia="en-AU"/>
              </w:rPr>
              <w:t xml:space="preserve">and </w:t>
            </w:r>
            <w:r w:rsidRPr="00267BD5">
              <w:rPr>
                <w:color w:val="auto"/>
                <w:sz w:val="24"/>
                <w:szCs w:val="24"/>
                <w:lang w:eastAsia="en-AU"/>
              </w:rPr>
              <w:t>expand</w:t>
            </w:r>
            <w:r w:rsidR="00267BD5" w:rsidRPr="00267BD5">
              <w:rPr>
                <w:color w:val="auto"/>
                <w:sz w:val="24"/>
                <w:szCs w:val="24"/>
                <w:lang w:eastAsia="en-AU"/>
              </w:rPr>
              <w:t>ing</w:t>
            </w:r>
            <w:r w:rsidRPr="00267BD5">
              <w:rPr>
                <w:color w:val="auto"/>
                <w:sz w:val="24"/>
                <w:szCs w:val="24"/>
                <w:lang w:eastAsia="en-AU"/>
              </w:rPr>
              <w:t xml:space="preserve"> the amount of strategic information available to the FPG outside reporting processes.  </w:t>
            </w:r>
            <w:r w:rsidRPr="00267BD5">
              <w:rPr>
                <w:color w:val="auto"/>
                <w:sz w:val="24"/>
                <w:szCs w:val="24"/>
              </w:rPr>
              <w:t>The</w:t>
            </w:r>
            <w:r w:rsidR="00267BD5" w:rsidRPr="00267BD5">
              <w:rPr>
                <w:color w:val="auto"/>
                <w:sz w:val="24"/>
                <w:szCs w:val="24"/>
              </w:rPr>
              <w:t xml:space="preserve"> Learning Agenda process also encourages</w:t>
            </w:r>
            <w:r w:rsidRPr="00267BD5">
              <w:rPr>
                <w:color w:val="auto"/>
                <w:sz w:val="24"/>
                <w:szCs w:val="24"/>
              </w:rPr>
              <w:t xml:space="preserve"> more partner driven collaborative opportunities for sharing and engaging with each other beyond the FPG.</w:t>
            </w:r>
          </w:p>
          <w:p w14:paraId="69DD9435" w14:textId="64060335" w:rsidR="009D3B4A" w:rsidRPr="009D3B4A" w:rsidRDefault="009D3B4A" w:rsidP="009D3B4A">
            <w:pPr>
              <w:spacing w:before="60" w:line="240" w:lineRule="atLeast"/>
              <w:cnfStyle w:val="000000100000" w:firstRow="0" w:lastRow="0" w:firstColumn="0" w:lastColumn="0" w:oddVBand="0" w:evenVBand="0" w:oddHBand="1" w:evenHBand="0" w:firstRowFirstColumn="0" w:firstRowLastColumn="0" w:lastRowFirstColumn="0" w:lastRowLastColumn="0"/>
              <w:rPr>
                <w:color w:val="auto"/>
                <w:sz w:val="24"/>
                <w:szCs w:val="24"/>
              </w:rPr>
            </w:pPr>
          </w:p>
        </w:tc>
        <w:tc>
          <w:tcPr>
            <w:tcW w:w="1095" w:type="dxa"/>
            <w:shd w:val="clear" w:color="auto" w:fill="auto"/>
          </w:tcPr>
          <w:p w14:paraId="02C150F5" w14:textId="152BD0E9" w:rsidR="004B4EB9" w:rsidRPr="00212369" w:rsidRDefault="0082234D" w:rsidP="0005264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lang w:val="en-AU"/>
              </w:rPr>
            </w:pPr>
            <w:r>
              <w:rPr>
                <w:rFonts w:asciiTheme="minorHAnsi" w:hAnsiTheme="minorHAnsi" w:cstheme="minorHAnsi"/>
                <w:color w:val="auto"/>
                <w:lang w:val="en-AU"/>
              </w:rPr>
              <w:lastRenderedPageBreak/>
              <w:t>Ongoing</w:t>
            </w:r>
          </w:p>
        </w:tc>
      </w:tr>
      <w:tr w:rsidR="004B4EB9" w:rsidRPr="004F798E" w14:paraId="335278BA" w14:textId="77777777" w:rsidTr="00A146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2EDBD971" w14:textId="77777777" w:rsidR="004B4EB9" w:rsidRPr="00212369" w:rsidRDefault="004B4EB9" w:rsidP="00052649">
            <w:pPr>
              <w:rPr>
                <w:rFonts w:asciiTheme="minorHAnsi" w:hAnsiTheme="minorHAnsi" w:cstheme="minorHAnsi"/>
                <w:b/>
                <w:bCs/>
                <w:color w:val="auto"/>
                <w:lang w:val="en-AU"/>
              </w:rPr>
            </w:pPr>
            <w:r w:rsidRPr="00212369">
              <w:rPr>
                <w:rFonts w:asciiTheme="minorHAnsi" w:hAnsiTheme="minorHAnsi" w:cstheme="minorHAnsi"/>
                <w:b/>
                <w:bCs/>
                <w:color w:val="auto"/>
                <w:lang w:val="en-AU"/>
              </w:rPr>
              <w:t>Recommendation 4</w:t>
            </w:r>
          </w:p>
          <w:p w14:paraId="6A998182" w14:textId="37F4201E" w:rsidR="004B4EB9" w:rsidRPr="00212369" w:rsidRDefault="004B4EB9" w:rsidP="00052649">
            <w:pPr>
              <w:rPr>
                <w:rFonts w:asciiTheme="minorHAnsi" w:hAnsiTheme="minorHAnsi" w:cstheme="minorHAnsi"/>
                <w:color w:val="auto"/>
                <w:lang w:val="en-AU"/>
              </w:rPr>
            </w:pPr>
            <w:r w:rsidRPr="00212369">
              <w:rPr>
                <w:rFonts w:asciiTheme="minorHAnsi" w:hAnsiTheme="minorHAnsi" w:cstheme="minorHAnsi"/>
                <w:iCs/>
                <w:sz w:val="24"/>
                <w:szCs w:val="24"/>
              </w:rPr>
              <w:t>The FC should implement actions to better link M&amp;E and K&amp;L within the Fund. This can involve The Hub collecting and sharing transformational stories on projects and research. Sharing experiences closes the loop from evidence to practice, contributes to learning and exchange and supports the strategic advisory role of the FPG.</w:t>
            </w:r>
          </w:p>
        </w:tc>
        <w:tc>
          <w:tcPr>
            <w:tcW w:w="1173" w:type="dxa"/>
            <w:shd w:val="clear" w:color="auto" w:fill="auto"/>
          </w:tcPr>
          <w:p w14:paraId="1E0A4C4B" w14:textId="21B4EF0E" w:rsidR="004B4EB9" w:rsidRPr="00212369" w:rsidRDefault="004B4EB9" w:rsidP="00052649">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auto"/>
                <w:lang w:val="en-AU"/>
              </w:rPr>
            </w:pPr>
            <w:r>
              <w:rPr>
                <w:rFonts w:asciiTheme="minorHAnsi" w:hAnsiTheme="minorHAnsi" w:cstheme="minorHAnsi"/>
                <w:b/>
                <w:bCs/>
                <w:color w:val="auto"/>
                <w:lang w:val="en-AU"/>
              </w:rPr>
              <w:t>Agree</w:t>
            </w:r>
          </w:p>
        </w:tc>
        <w:tc>
          <w:tcPr>
            <w:tcW w:w="6481" w:type="dxa"/>
            <w:shd w:val="clear" w:color="auto" w:fill="auto"/>
          </w:tcPr>
          <w:p w14:paraId="2A031697" w14:textId="209084D9" w:rsidR="004B4EB9" w:rsidRPr="0082234D" w:rsidRDefault="001B222B" w:rsidP="00210694">
            <w:pPr>
              <w:spacing w:before="60" w:line="240" w:lineRule="atLeas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szCs w:val="24"/>
              </w:rPr>
            </w:pPr>
            <w:r>
              <w:rPr>
                <w:rFonts w:asciiTheme="minorHAnsi" w:hAnsiTheme="minorHAnsi" w:cstheme="minorHAnsi"/>
                <w:color w:val="auto"/>
                <w:sz w:val="24"/>
                <w:szCs w:val="24"/>
              </w:rPr>
              <w:t>In addition to documenting and sharing</w:t>
            </w:r>
            <w:r w:rsidR="004B4EB9" w:rsidRPr="0082234D">
              <w:rPr>
                <w:rFonts w:asciiTheme="minorHAnsi" w:hAnsiTheme="minorHAnsi" w:cstheme="minorHAnsi"/>
                <w:color w:val="auto"/>
                <w:sz w:val="24"/>
                <w:szCs w:val="24"/>
              </w:rPr>
              <w:t xml:space="preserve"> ‘transformational stories’ as a learning source</w:t>
            </w:r>
            <w:r>
              <w:rPr>
                <w:rFonts w:asciiTheme="minorHAnsi" w:hAnsiTheme="minorHAnsi" w:cstheme="minorHAnsi"/>
                <w:color w:val="auto"/>
                <w:sz w:val="24"/>
                <w:szCs w:val="24"/>
              </w:rPr>
              <w:t>, the</w:t>
            </w:r>
            <w:r w:rsidR="004B4EB9" w:rsidRPr="0082234D">
              <w:rPr>
                <w:rFonts w:asciiTheme="minorHAnsi" w:hAnsiTheme="minorHAnsi" w:cstheme="minorHAnsi"/>
                <w:color w:val="auto"/>
                <w:sz w:val="24"/>
                <w:szCs w:val="24"/>
              </w:rPr>
              <w:t xml:space="preserve"> sense-making processes (see Recommendation 3 above)</w:t>
            </w:r>
            <w:r>
              <w:rPr>
                <w:rFonts w:asciiTheme="minorHAnsi" w:hAnsiTheme="minorHAnsi" w:cstheme="minorHAnsi"/>
                <w:color w:val="auto"/>
                <w:sz w:val="24"/>
                <w:szCs w:val="24"/>
              </w:rPr>
              <w:t xml:space="preserve"> are important to close the loop from evidence to practice</w:t>
            </w:r>
            <w:r w:rsidR="004B4EB9" w:rsidRPr="0082234D">
              <w:rPr>
                <w:rFonts w:asciiTheme="minorHAnsi" w:hAnsiTheme="minorHAnsi" w:cstheme="minorHAnsi"/>
                <w:color w:val="auto"/>
                <w:sz w:val="24"/>
                <w:szCs w:val="24"/>
              </w:rPr>
              <w:t xml:space="preserve">. </w:t>
            </w:r>
          </w:p>
          <w:p w14:paraId="5386771F" w14:textId="264807CE" w:rsidR="004B4EB9" w:rsidRPr="0082234D" w:rsidRDefault="001B222B" w:rsidP="00210694">
            <w:pPr>
              <w:spacing w:before="60" w:line="240" w:lineRule="atLeas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szCs w:val="24"/>
                <w:lang w:eastAsia="en-AU"/>
              </w:rPr>
            </w:pPr>
            <w:r>
              <w:rPr>
                <w:rFonts w:asciiTheme="minorHAnsi" w:hAnsiTheme="minorHAnsi" w:cstheme="minorHAnsi"/>
                <w:color w:val="auto"/>
                <w:sz w:val="24"/>
                <w:szCs w:val="24"/>
                <w:lang w:eastAsia="en-AU"/>
              </w:rPr>
              <w:t xml:space="preserve">Various actions have been taken </w:t>
            </w:r>
            <w:r w:rsidR="004B4EB9" w:rsidRPr="0082234D">
              <w:rPr>
                <w:rFonts w:asciiTheme="minorHAnsi" w:hAnsiTheme="minorHAnsi" w:cstheme="minorHAnsi"/>
                <w:color w:val="auto"/>
                <w:sz w:val="24"/>
                <w:szCs w:val="24"/>
                <w:lang w:eastAsia="en-AU"/>
              </w:rPr>
              <w:t xml:space="preserve">to improve how M&amp;E and K&amp;L can inform each other by identifying explicit ‘touch’ points.  These include: </w:t>
            </w:r>
          </w:p>
          <w:p w14:paraId="6894B90D" w14:textId="57BE25AB" w:rsidR="004B4EB9" w:rsidRPr="0082234D" w:rsidRDefault="004B4EB9" w:rsidP="00210694">
            <w:pPr>
              <w:pStyle w:val="ListParagraph"/>
              <w:numPr>
                <w:ilvl w:val="0"/>
                <w:numId w:val="9"/>
              </w:numPr>
              <w:spacing w:before="60" w:after="60" w:line="240" w:lineRule="atLeas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4"/>
              </w:rPr>
            </w:pPr>
            <w:r w:rsidRPr="0082234D">
              <w:rPr>
                <w:rFonts w:asciiTheme="minorHAnsi" w:hAnsiTheme="minorHAnsi" w:cstheme="minorHAnsi"/>
                <w:sz w:val="24"/>
              </w:rPr>
              <w:t xml:space="preserve">Making linkages between the </w:t>
            </w:r>
            <w:r w:rsidR="001B222B">
              <w:rPr>
                <w:rFonts w:asciiTheme="minorHAnsi" w:hAnsiTheme="minorHAnsi" w:cstheme="minorHAnsi"/>
                <w:sz w:val="24"/>
              </w:rPr>
              <w:t>Learning Agenda</w:t>
            </w:r>
            <w:r w:rsidRPr="0082234D">
              <w:rPr>
                <w:rFonts w:asciiTheme="minorHAnsi" w:hAnsiTheme="minorHAnsi" w:cstheme="minorHAnsi"/>
                <w:sz w:val="24"/>
              </w:rPr>
              <w:t xml:space="preserve"> and the M</w:t>
            </w:r>
            <w:r w:rsidR="001B222B">
              <w:rPr>
                <w:rFonts w:asciiTheme="minorHAnsi" w:hAnsiTheme="minorHAnsi" w:cstheme="minorHAnsi"/>
                <w:sz w:val="24"/>
              </w:rPr>
              <w:t>&amp;E</w:t>
            </w:r>
            <w:r w:rsidRPr="0082234D">
              <w:rPr>
                <w:rFonts w:asciiTheme="minorHAnsi" w:hAnsiTheme="minorHAnsi" w:cstheme="minorHAnsi"/>
                <w:sz w:val="24"/>
              </w:rPr>
              <w:t xml:space="preserve"> Framework more explicit</w:t>
            </w:r>
            <w:r w:rsidR="001B222B">
              <w:rPr>
                <w:rFonts w:asciiTheme="minorHAnsi" w:hAnsiTheme="minorHAnsi" w:cstheme="minorHAnsi"/>
                <w:sz w:val="24"/>
              </w:rPr>
              <w:t>, for example</w:t>
            </w:r>
            <w:r w:rsidRPr="0082234D">
              <w:rPr>
                <w:rFonts w:asciiTheme="minorHAnsi" w:hAnsiTheme="minorHAnsi" w:cstheme="minorHAnsi"/>
                <w:sz w:val="24"/>
              </w:rPr>
              <w:t xml:space="preserve"> </w:t>
            </w:r>
            <w:r w:rsidR="001B222B">
              <w:rPr>
                <w:rFonts w:asciiTheme="minorHAnsi" w:hAnsiTheme="minorHAnsi" w:cstheme="minorHAnsi"/>
                <w:sz w:val="24"/>
              </w:rPr>
              <w:t xml:space="preserve">by clarifying </w:t>
            </w:r>
            <w:r w:rsidRPr="0082234D">
              <w:rPr>
                <w:rFonts w:asciiTheme="minorHAnsi" w:hAnsiTheme="minorHAnsi" w:cstheme="minorHAnsi"/>
                <w:sz w:val="24"/>
              </w:rPr>
              <w:t xml:space="preserve">approaches </w:t>
            </w:r>
            <w:r w:rsidR="001B222B">
              <w:rPr>
                <w:rFonts w:asciiTheme="minorHAnsi" w:hAnsiTheme="minorHAnsi" w:cstheme="minorHAnsi"/>
                <w:sz w:val="24"/>
              </w:rPr>
              <w:t>to</w:t>
            </w:r>
            <w:r w:rsidRPr="0082234D">
              <w:rPr>
                <w:rFonts w:asciiTheme="minorHAnsi" w:hAnsiTheme="minorHAnsi" w:cstheme="minorHAnsi"/>
                <w:sz w:val="24"/>
              </w:rPr>
              <w:t xml:space="preserve"> monitor unintended outcomes and social norms change by CSOs</w:t>
            </w:r>
          </w:p>
          <w:p w14:paraId="2C8C0AEE" w14:textId="3CD50954" w:rsidR="004B4EB9" w:rsidRPr="0082234D" w:rsidRDefault="004B4EB9" w:rsidP="00210694">
            <w:pPr>
              <w:pStyle w:val="ListParagraph"/>
              <w:numPr>
                <w:ilvl w:val="0"/>
                <w:numId w:val="9"/>
              </w:numPr>
              <w:spacing w:before="60" w:after="60" w:line="240" w:lineRule="atLeas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4"/>
              </w:rPr>
            </w:pPr>
            <w:r w:rsidRPr="0082234D">
              <w:rPr>
                <w:rFonts w:asciiTheme="minorHAnsi" w:hAnsiTheme="minorHAnsi" w:cstheme="minorHAnsi"/>
                <w:sz w:val="24"/>
              </w:rPr>
              <w:t>Using K&amp;L and research to address strategic M&amp;E questions for the Fund</w:t>
            </w:r>
            <w:r w:rsidR="001B222B">
              <w:rPr>
                <w:rFonts w:asciiTheme="minorHAnsi" w:hAnsiTheme="minorHAnsi" w:cstheme="minorHAnsi"/>
                <w:sz w:val="24"/>
              </w:rPr>
              <w:t xml:space="preserve"> such as whether WASH access alone results in its use</w:t>
            </w:r>
          </w:p>
          <w:p w14:paraId="7FBACB44" w14:textId="77777777" w:rsidR="004B4EB9" w:rsidRPr="0082234D" w:rsidRDefault="004B4EB9" w:rsidP="00210694">
            <w:pPr>
              <w:pStyle w:val="ListParagraph"/>
              <w:numPr>
                <w:ilvl w:val="0"/>
                <w:numId w:val="9"/>
              </w:numPr>
              <w:spacing w:before="60" w:after="60" w:line="240" w:lineRule="atLeas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4"/>
              </w:rPr>
            </w:pPr>
            <w:r w:rsidRPr="0082234D">
              <w:rPr>
                <w:rFonts w:asciiTheme="minorHAnsi" w:hAnsiTheme="minorHAnsi" w:cstheme="minorHAnsi"/>
                <w:sz w:val="24"/>
              </w:rPr>
              <w:lastRenderedPageBreak/>
              <w:t>Strengthening the MEL of K&amp;L to demonstrate achievements for EOPO4 (knowledge use in policy and practice)</w:t>
            </w:r>
          </w:p>
          <w:p w14:paraId="2D054EF7" w14:textId="022E9A9D" w:rsidR="004B4EB9" w:rsidRPr="00212369" w:rsidRDefault="001B222B" w:rsidP="00210694">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lang w:val="en-AU"/>
              </w:rPr>
            </w:pPr>
            <w:r>
              <w:rPr>
                <w:rFonts w:asciiTheme="minorHAnsi" w:hAnsiTheme="minorHAnsi" w:cstheme="minorHAnsi"/>
                <w:color w:val="auto"/>
                <w:sz w:val="24"/>
                <w:szCs w:val="24"/>
              </w:rPr>
              <w:t>T</w:t>
            </w:r>
            <w:r w:rsidR="004B4EB9" w:rsidRPr="0082234D">
              <w:rPr>
                <w:rFonts w:asciiTheme="minorHAnsi" w:hAnsiTheme="minorHAnsi" w:cstheme="minorHAnsi"/>
                <w:color w:val="auto"/>
                <w:sz w:val="24"/>
                <w:szCs w:val="24"/>
              </w:rPr>
              <w:t>he MEL Community of Practi</w:t>
            </w:r>
            <w:r>
              <w:rPr>
                <w:rFonts w:asciiTheme="minorHAnsi" w:hAnsiTheme="minorHAnsi" w:cstheme="minorHAnsi"/>
                <w:color w:val="auto"/>
                <w:sz w:val="24"/>
                <w:szCs w:val="24"/>
              </w:rPr>
              <w:t>c</w:t>
            </w:r>
            <w:r w:rsidR="004B4EB9" w:rsidRPr="0082234D">
              <w:rPr>
                <w:rFonts w:asciiTheme="minorHAnsi" w:hAnsiTheme="minorHAnsi" w:cstheme="minorHAnsi"/>
                <w:color w:val="auto"/>
                <w:sz w:val="24"/>
                <w:szCs w:val="24"/>
              </w:rPr>
              <w:t xml:space="preserve">e </w:t>
            </w:r>
            <w:r>
              <w:rPr>
                <w:rFonts w:asciiTheme="minorHAnsi" w:hAnsiTheme="minorHAnsi" w:cstheme="minorHAnsi"/>
                <w:color w:val="auto"/>
                <w:sz w:val="24"/>
                <w:szCs w:val="24"/>
              </w:rPr>
              <w:t xml:space="preserve">comprising Fund partners and GHD is </w:t>
            </w:r>
            <w:r>
              <w:rPr>
                <w:rFonts w:cstheme="minorHAnsi"/>
                <w:color w:val="auto"/>
                <w:sz w:val="24"/>
                <w:szCs w:val="24"/>
              </w:rPr>
              <w:t xml:space="preserve">facilitated by the </w:t>
            </w:r>
            <w:r w:rsidR="009D3B4A">
              <w:rPr>
                <w:rFonts w:cstheme="minorHAnsi"/>
                <w:color w:val="auto"/>
                <w:sz w:val="24"/>
                <w:szCs w:val="24"/>
              </w:rPr>
              <w:t>M&amp;E</w:t>
            </w:r>
            <w:r>
              <w:rPr>
                <w:rFonts w:cstheme="minorHAnsi"/>
                <w:color w:val="auto"/>
                <w:sz w:val="24"/>
                <w:szCs w:val="24"/>
              </w:rPr>
              <w:t xml:space="preserve"> Manager and </w:t>
            </w:r>
            <w:r w:rsidR="00FE587C">
              <w:rPr>
                <w:rFonts w:cstheme="minorHAnsi"/>
                <w:color w:val="auto"/>
                <w:sz w:val="24"/>
                <w:szCs w:val="24"/>
              </w:rPr>
              <w:t>its deliberations feed into FPG processes.</w:t>
            </w:r>
          </w:p>
        </w:tc>
        <w:tc>
          <w:tcPr>
            <w:tcW w:w="1095" w:type="dxa"/>
            <w:shd w:val="clear" w:color="auto" w:fill="auto"/>
          </w:tcPr>
          <w:p w14:paraId="75D624E6" w14:textId="4DEDCDBD" w:rsidR="004B4EB9" w:rsidRPr="00212369" w:rsidRDefault="00FE587C" w:rsidP="00052649">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lang w:val="en-AU"/>
              </w:rPr>
            </w:pPr>
            <w:r>
              <w:rPr>
                <w:rFonts w:asciiTheme="minorHAnsi" w:hAnsiTheme="minorHAnsi" w:cstheme="minorHAnsi"/>
                <w:color w:val="auto"/>
                <w:lang w:val="en-AU"/>
              </w:rPr>
              <w:lastRenderedPageBreak/>
              <w:t>Ongoing</w:t>
            </w:r>
          </w:p>
        </w:tc>
      </w:tr>
      <w:tr w:rsidR="004B4EB9" w:rsidRPr="004F798E" w14:paraId="57F98921" w14:textId="77777777" w:rsidTr="00A14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71674A17" w14:textId="77777777" w:rsidR="004B4EB9" w:rsidRPr="00212369" w:rsidRDefault="004B4EB9" w:rsidP="00052649">
            <w:pPr>
              <w:rPr>
                <w:rFonts w:asciiTheme="minorHAnsi" w:hAnsiTheme="minorHAnsi" w:cstheme="minorHAnsi"/>
                <w:b/>
                <w:bCs/>
                <w:color w:val="auto"/>
                <w:lang w:val="en-AU"/>
              </w:rPr>
            </w:pPr>
            <w:r w:rsidRPr="00212369">
              <w:rPr>
                <w:rFonts w:asciiTheme="minorHAnsi" w:hAnsiTheme="minorHAnsi" w:cstheme="minorHAnsi"/>
                <w:b/>
                <w:bCs/>
                <w:color w:val="auto"/>
                <w:lang w:val="en-AU"/>
              </w:rPr>
              <w:t>Recommendation 5</w:t>
            </w:r>
          </w:p>
          <w:p w14:paraId="02144032" w14:textId="77777777" w:rsidR="004B4EB9" w:rsidRPr="00212369" w:rsidRDefault="004B4EB9" w:rsidP="00052649">
            <w:pPr>
              <w:spacing w:after="160" w:line="259" w:lineRule="auto"/>
              <w:rPr>
                <w:rFonts w:asciiTheme="minorHAnsi" w:hAnsiTheme="minorHAnsi" w:cstheme="minorHAnsi"/>
                <w:iCs/>
                <w:sz w:val="24"/>
                <w:szCs w:val="24"/>
              </w:rPr>
            </w:pPr>
            <w:r w:rsidRPr="00212369">
              <w:rPr>
                <w:rFonts w:asciiTheme="minorHAnsi" w:hAnsiTheme="minorHAnsi" w:cstheme="minorHAnsi"/>
                <w:iCs/>
                <w:sz w:val="24"/>
                <w:szCs w:val="24"/>
              </w:rPr>
              <w:t xml:space="preserve">Action is required by Fund partners to progress implementation of a collaborative learning facility which can provide resources and facilitate knowledge sharing for systems strengthening and WASH access. The Fund has provision for collaborative learning to utilise CSO and RO strengths through cross learning and technical support. </w:t>
            </w:r>
          </w:p>
          <w:p w14:paraId="7FF0A672" w14:textId="05C8C402" w:rsidR="004B4EB9" w:rsidRPr="00212369" w:rsidRDefault="004B4EB9" w:rsidP="00052649">
            <w:pPr>
              <w:rPr>
                <w:rFonts w:asciiTheme="minorHAnsi" w:hAnsiTheme="minorHAnsi" w:cstheme="minorHAnsi"/>
                <w:color w:val="auto"/>
                <w:lang w:val="en-AU"/>
              </w:rPr>
            </w:pPr>
          </w:p>
        </w:tc>
        <w:tc>
          <w:tcPr>
            <w:tcW w:w="1173" w:type="dxa"/>
            <w:shd w:val="clear" w:color="auto" w:fill="auto"/>
          </w:tcPr>
          <w:p w14:paraId="4E2E66EA" w14:textId="75EE052F" w:rsidR="004B4EB9" w:rsidRPr="00212369" w:rsidRDefault="004B4EB9" w:rsidP="0005264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lang w:val="en-AU"/>
              </w:rPr>
            </w:pPr>
            <w:r>
              <w:rPr>
                <w:rFonts w:asciiTheme="minorHAnsi" w:hAnsiTheme="minorHAnsi" w:cstheme="minorHAnsi"/>
                <w:b/>
                <w:bCs/>
                <w:color w:val="auto"/>
                <w:lang w:val="en-AU"/>
              </w:rPr>
              <w:t>Agree</w:t>
            </w:r>
          </w:p>
        </w:tc>
        <w:tc>
          <w:tcPr>
            <w:tcW w:w="6481" w:type="dxa"/>
            <w:shd w:val="clear" w:color="auto" w:fill="auto"/>
          </w:tcPr>
          <w:p w14:paraId="372076A2" w14:textId="30EC3B5E" w:rsidR="00FE587C" w:rsidRPr="00FE587C" w:rsidRDefault="00FE587C" w:rsidP="00210694">
            <w:pPr>
              <w:spacing w:before="60" w:line="240" w:lineRule="atLeast"/>
              <w:cnfStyle w:val="000000100000" w:firstRow="0" w:lastRow="0" w:firstColumn="0" w:lastColumn="0" w:oddVBand="0" w:evenVBand="0" w:oddHBand="1" w:evenHBand="0" w:firstRowFirstColumn="0" w:firstRowLastColumn="0" w:lastRowFirstColumn="0" w:lastRowLastColumn="0"/>
              <w:rPr>
                <w:bCs/>
                <w:iCs/>
                <w:color w:val="auto"/>
                <w:sz w:val="24"/>
                <w:szCs w:val="24"/>
                <w:lang w:eastAsia="en-AU"/>
              </w:rPr>
            </w:pPr>
            <w:r w:rsidRPr="00FE587C">
              <w:rPr>
                <w:bCs/>
                <w:iCs/>
                <w:color w:val="auto"/>
                <w:sz w:val="24"/>
                <w:szCs w:val="24"/>
                <w:lang w:eastAsia="en-AU"/>
              </w:rPr>
              <w:t>Actioning of t</w:t>
            </w:r>
            <w:r w:rsidR="004B4EB9" w:rsidRPr="00FE587C">
              <w:rPr>
                <w:bCs/>
                <w:iCs/>
                <w:color w:val="auto"/>
                <w:sz w:val="24"/>
                <w:szCs w:val="24"/>
                <w:lang w:eastAsia="en-AU"/>
              </w:rPr>
              <w:t>he Learning Agenda</w:t>
            </w:r>
            <w:r w:rsidRPr="00FE587C">
              <w:rPr>
                <w:bCs/>
                <w:iCs/>
                <w:color w:val="auto"/>
                <w:sz w:val="24"/>
                <w:szCs w:val="24"/>
                <w:lang w:eastAsia="en-AU"/>
              </w:rPr>
              <w:t xml:space="preserve"> responds directly to this recommendation.</w:t>
            </w:r>
          </w:p>
          <w:p w14:paraId="0432D4D3" w14:textId="4E76D8BC" w:rsidR="004B4EB9" w:rsidRPr="00FE587C" w:rsidRDefault="00FE587C" w:rsidP="00210694">
            <w:pPr>
              <w:spacing w:before="60" w:line="240" w:lineRule="atLeast"/>
              <w:cnfStyle w:val="000000100000" w:firstRow="0" w:lastRow="0" w:firstColumn="0" w:lastColumn="0" w:oddVBand="0" w:evenVBand="0" w:oddHBand="1" w:evenHBand="0" w:firstRowFirstColumn="0" w:firstRowLastColumn="0" w:lastRowFirstColumn="0" w:lastRowLastColumn="0"/>
              <w:rPr>
                <w:bCs/>
                <w:iCs/>
                <w:color w:val="auto"/>
                <w:sz w:val="24"/>
                <w:szCs w:val="24"/>
                <w:lang w:eastAsia="en-AU"/>
              </w:rPr>
            </w:pPr>
            <w:r w:rsidRPr="00FE587C">
              <w:rPr>
                <w:bCs/>
                <w:iCs/>
                <w:color w:val="auto"/>
                <w:sz w:val="24"/>
                <w:szCs w:val="24"/>
                <w:lang w:eastAsia="en-AU"/>
              </w:rPr>
              <w:t xml:space="preserve">The Learning Agenda </w:t>
            </w:r>
            <w:r w:rsidR="004B4EB9" w:rsidRPr="00FE587C">
              <w:rPr>
                <w:bCs/>
                <w:iCs/>
                <w:color w:val="auto"/>
                <w:sz w:val="24"/>
                <w:szCs w:val="24"/>
                <w:lang w:eastAsia="en-AU"/>
              </w:rPr>
              <w:t xml:space="preserve">sets out the thematic areas in which the Fund partners will work progressively to generate and share knowledge through a series of events/webinars/workshops, product development, etc. These themes cover both WASH approaches and GSI. There is a dedicated theme for systems strengthening and another four themes that address WASH access issues (safely managed WASH, climate change, HCF and private sector). </w:t>
            </w:r>
          </w:p>
          <w:p w14:paraId="5E3997BA" w14:textId="77777777" w:rsidR="004B4EB9" w:rsidRDefault="004B4EB9" w:rsidP="00210694">
            <w:pPr>
              <w:cnfStyle w:val="000000100000" w:firstRow="0" w:lastRow="0" w:firstColumn="0" w:lastColumn="0" w:oddVBand="0" w:evenVBand="0" w:oddHBand="1" w:evenHBand="0" w:firstRowFirstColumn="0" w:firstRowLastColumn="0" w:lastRowFirstColumn="0" w:lastRowLastColumn="0"/>
              <w:rPr>
                <w:bCs/>
                <w:iCs/>
                <w:color w:val="auto"/>
                <w:sz w:val="24"/>
                <w:szCs w:val="24"/>
                <w:lang w:eastAsia="en-AU"/>
              </w:rPr>
            </w:pPr>
            <w:r w:rsidRPr="00FE587C">
              <w:rPr>
                <w:bCs/>
                <w:iCs/>
                <w:color w:val="auto"/>
                <w:sz w:val="24"/>
                <w:szCs w:val="24"/>
                <w:lang w:eastAsia="en-AU"/>
              </w:rPr>
              <w:t xml:space="preserve">In addition, the Hub </w:t>
            </w:r>
            <w:r w:rsidR="00FE587C" w:rsidRPr="00FE587C">
              <w:rPr>
                <w:bCs/>
                <w:iCs/>
                <w:color w:val="auto"/>
                <w:sz w:val="24"/>
                <w:szCs w:val="24"/>
                <w:lang w:eastAsia="en-AU"/>
              </w:rPr>
              <w:t xml:space="preserve">continues to function well (especially by providing an information and communication platform for in-country teams).  It supports </w:t>
            </w:r>
            <w:r w:rsidRPr="00FE587C">
              <w:rPr>
                <w:bCs/>
                <w:iCs/>
                <w:color w:val="auto"/>
                <w:sz w:val="24"/>
                <w:szCs w:val="24"/>
                <w:lang w:eastAsia="en-AU"/>
              </w:rPr>
              <w:t>collaborative exchange between partners on a wide range of learning themes, including those identified in the Learning Agenda.</w:t>
            </w:r>
          </w:p>
          <w:p w14:paraId="55811FBB" w14:textId="7692FA7F" w:rsidR="009D3B4A" w:rsidRPr="00212369" w:rsidRDefault="009D3B4A" w:rsidP="0021069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lang w:val="en-AU"/>
              </w:rPr>
            </w:pPr>
            <w:r>
              <w:rPr>
                <w:rFonts w:cstheme="minorHAnsi"/>
                <w:color w:val="auto"/>
              </w:rPr>
              <w:t xml:space="preserve">Fund partners have collaborated around global events such as World Water Week, </w:t>
            </w:r>
            <w:proofErr w:type="spellStart"/>
            <w:r>
              <w:rPr>
                <w:rFonts w:cstheme="minorHAnsi"/>
                <w:color w:val="auto"/>
              </w:rPr>
              <w:t>Water&amp;WASH</w:t>
            </w:r>
            <w:proofErr w:type="spellEnd"/>
            <w:r>
              <w:rPr>
                <w:rFonts w:cstheme="minorHAnsi"/>
                <w:color w:val="auto"/>
              </w:rPr>
              <w:t xml:space="preserve"> Futures COVID-19 Symposium, the 6</w:t>
            </w:r>
            <w:r w:rsidRPr="009D3B4A">
              <w:rPr>
                <w:rFonts w:cstheme="minorHAnsi"/>
                <w:color w:val="auto"/>
                <w:vertAlign w:val="superscript"/>
              </w:rPr>
              <w:t>th</w:t>
            </w:r>
            <w:r>
              <w:rPr>
                <w:rFonts w:cstheme="minorHAnsi"/>
                <w:color w:val="auto"/>
              </w:rPr>
              <w:t xml:space="preserve"> Faecal Sludge Management Conference and global e-learning events run by partners.</w:t>
            </w:r>
          </w:p>
        </w:tc>
        <w:tc>
          <w:tcPr>
            <w:tcW w:w="1095" w:type="dxa"/>
            <w:shd w:val="clear" w:color="auto" w:fill="auto"/>
          </w:tcPr>
          <w:p w14:paraId="1D86D080" w14:textId="535BE193" w:rsidR="004B4EB9" w:rsidRPr="00212369" w:rsidRDefault="00FE587C" w:rsidP="0005264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lang w:val="en-AU"/>
              </w:rPr>
            </w:pPr>
            <w:r>
              <w:rPr>
                <w:rFonts w:asciiTheme="minorHAnsi" w:hAnsiTheme="minorHAnsi" w:cstheme="minorHAnsi"/>
                <w:color w:val="auto"/>
                <w:lang w:val="en-AU"/>
              </w:rPr>
              <w:t>Ongoing</w:t>
            </w:r>
          </w:p>
        </w:tc>
      </w:tr>
      <w:tr w:rsidR="004B4EB9" w:rsidRPr="004F798E" w14:paraId="533387EB" w14:textId="77777777" w:rsidTr="00A146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2A918CD5" w14:textId="77777777" w:rsidR="004B4EB9" w:rsidRPr="00212369" w:rsidRDefault="004B4EB9" w:rsidP="00052649">
            <w:pPr>
              <w:rPr>
                <w:rFonts w:asciiTheme="minorHAnsi" w:hAnsiTheme="minorHAnsi" w:cstheme="minorHAnsi"/>
                <w:b/>
                <w:bCs/>
                <w:color w:val="auto"/>
                <w:lang w:val="en-AU"/>
              </w:rPr>
            </w:pPr>
            <w:r w:rsidRPr="00212369">
              <w:rPr>
                <w:rFonts w:asciiTheme="minorHAnsi" w:hAnsiTheme="minorHAnsi" w:cstheme="minorHAnsi"/>
                <w:b/>
                <w:bCs/>
                <w:color w:val="auto"/>
                <w:lang w:val="en-AU"/>
              </w:rPr>
              <w:lastRenderedPageBreak/>
              <w:t>Recommendation 6</w:t>
            </w:r>
          </w:p>
          <w:p w14:paraId="179421A3" w14:textId="4E19469C" w:rsidR="004B4EB9" w:rsidRPr="00212369" w:rsidRDefault="004B4EB9" w:rsidP="00052649">
            <w:pPr>
              <w:rPr>
                <w:rFonts w:asciiTheme="minorHAnsi" w:hAnsiTheme="minorHAnsi" w:cstheme="minorHAnsi"/>
                <w:color w:val="auto"/>
                <w:lang w:val="en-AU"/>
              </w:rPr>
            </w:pPr>
            <w:r w:rsidRPr="00212369">
              <w:rPr>
                <w:rFonts w:asciiTheme="minorHAnsi" w:hAnsiTheme="minorHAnsi" w:cstheme="minorHAnsi"/>
                <w:iCs/>
                <w:sz w:val="24"/>
                <w:szCs w:val="24"/>
              </w:rPr>
              <w:t>The Fund should work with CSO’s to understand why beneficiary numbers are so low for people with a disability and work with the FPG on strategies to improve results over the remaining life of the Fund.</w:t>
            </w:r>
          </w:p>
        </w:tc>
        <w:tc>
          <w:tcPr>
            <w:tcW w:w="1173" w:type="dxa"/>
            <w:shd w:val="clear" w:color="auto" w:fill="auto"/>
          </w:tcPr>
          <w:p w14:paraId="28DB2F27" w14:textId="76AB8C16" w:rsidR="004B4EB9" w:rsidRPr="00212369" w:rsidRDefault="004B4EB9" w:rsidP="00052649">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auto"/>
                <w:lang w:val="en-AU"/>
              </w:rPr>
            </w:pPr>
            <w:r>
              <w:rPr>
                <w:rFonts w:asciiTheme="minorHAnsi" w:hAnsiTheme="minorHAnsi" w:cstheme="minorHAnsi"/>
                <w:b/>
                <w:bCs/>
                <w:color w:val="auto"/>
                <w:lang w:val="en-AU"/>
              </w:rPr>
              <w:t>Agree</w:t>
            </w:r>
          </w:p>
        </w:tc>
        <w:tc>
          <w:tcPr>
            <w:tcW w:w="6481" w:type="dxa"/>
            <w:shd w:val="clear" w:color="auto" w:fill="auto"/>
          </w:tcPr>
          <w:p w14:paraId="34759BC6" w14:textId="6F1EFCF4" w:rsidR="001152BF" w:rsidRPr="00FE587C" w:rsidRDefault="001152BF" w:rsidP="001152BF">
            <w:pPr>
              <w:spacing w:before="60" w:line="240" w:lineRule="atLeast"/>
              <w:cnfStyle w:val="000000010000" w:firstRow="0" w:lastRow="0" w:firstColumn="0" w:lastColumn="0" w:oddVBand="0" w:evenVBand="0" w:oddHBand="0" w:evenHBand="1" w:firstRowFirstColumn="0" w:firstRowLastColumn="0" w:lastRowFirstColumn="0" w:lastRowLastColumn="0"/>
              <w:rPr>
                <w:color w:val="auto"/>
                <w:sz w:val="24"/>
                <w:szCs w:val="24"/>
                <w:lang w:eastAsia="en-AU"/>
              </w:rPr>
            </w:pPr>
            <w:r>
              <w:rPr>
                <w:color w:val="auto"/>
                <w:sz w:val="24"/>
                <w:szCs w:val="24"/>
                <w:lang w:eastAsia="en-AU"/>
              </w:rPr>
              <w:t>GHD has</w:t>
            </w:r>
            <w:r w:rsidRPr="00FE587C">
              <w:rPr>
                <w:color w:val="auto"/>
                <w:sz w:val="24"/>
                <w:szCs w:val="24"/>
                <w:lang w:eastAsia="en-AU"/>
              </w:rPr>
              <w:t xml:space="preserve"> investigate</w:t>
            </w:r>
            <w:r>
              <w:rPr>
                <w:color w:val="auto"/>
                <w:sz w:val="24"/>
                <w:szCs w:val="24"/>
                <w:lang w:eastAsia="en-AU"/>
              </w:rPr>
              <w:t>d</w:t>
            </w:r>
            <w:r w:rsidRPr="00FE587C">
              <w:rPr>
                <w:color w:val="auto"/>
                <w:sz w:val="24"/>
                <w:szCs w:val="24"/>
                <w:lang w:eastAsia="en-AU"/>
              </w:rPr>
              <w:t xml:space="preserve"> how project</w:t>
            </w:r>
            <w:r>
              <w:rPr>
                <w:color w:val="auto"/>
                <w:sz w:val="24"/>
                <w:szCs w:val="24"/>
                <w:lang w:eastAsia="en-AU"/>
              </w:rPr>
              <w:t xml:space="preserve"> partners</w:t>
            </w:r>
            <w:r w:rsidRPr="00FE587C">
              <w:rPr>
                <w:color w:val="auto"/>
                <w:sz w:val="24"/>
                <w:szCs w:val="24"/>
                <w:lang w:eastAsia="en-AU"/>
              </w:rPr>
              <w:t xml:space="preserve"> have arrived at beneficiary numbers </w:t>
            </w:r>
            <w:r w:rsidR="00A1468C">
              <w:rPr>
                <w:color w:val="auto"/>
                <w:sz w:val="24"/>
                <w:szCs w:val="24"/>
                <w:lang w:eastAsia="en-AU"/>
              </w:rPr>
              <w:t>especially in relation to people with a disability.</w:t>
            </w:r>
          </w:p>
          <w:p w14:paraId="3F1C01EE" w14:textId="2648B5D1" w:rsidR="004B4EB9" w:rsidRPr="00FE587C" w:rsidRDefault="00A1468C" w:rsidP="00210694">
            <w:pPr>
              <w:spacing w:before="60" w:line="240" w:lineRule="atLeast"/>
              <w:cnfStyle w:val="000000010000" w:firstRow="0" w:lastRow="0" w:firstColumn="0" w:lastColumn="0" w:oddVBand="0" w:evenVBand="0" w:oddHBand="0" w:evenHBand="1" w:firstRowFirstColumn="0" w:firstRowLastColumn="0" w:lastRowFirstColumn="0" w:lastRowLastColumn="0"/>
              <w:rPr>
                <w:color w:val="auto"/>
                <w:sz w:val="24"/>
                <w:szCs w:val="24"/>
                <w:lang w:eastAsia="en-AU"/>
              </w:rPr>
            </w:pPr>
            <w:r>
              <w:rPr>
                <w:color w:val="auto"/>
                <w:sz w:val="24"/>
                <w:szCs w:val="24"/>
                <w:lang w:eastAsia="en-AU"/>
              </w:rPr>
              <w:t>It is concluded that the low beneficiary numbers for people with a disability is more about</w:t>
            </w:r>
            <w:r w:rsidR="004B4EB9" w:rsidRPr="00FE587C">
              <w:rPr>
                <w:b/>
                <w:i/>
                <w:color w:val="auto"/>
                <w:sz w:val="24"/>
                <w:szCs w:val="24"/>
                <w:lang w:eastAsia="en-AU"/>
              </w:rPr>
              <w:t xml:space="preserve"> counting and reporting, not with attention to or success of outcomes for people with a disability.</w:t>
            </w:r>
          </w:p>
          <w:p w14:paraId="24A931D7" w14:textId="75720F56" w:rsidR="004B4EB9" w:rsidRPr="00212369" w:rsidRDefault="00A1468C" w:rsidP="00210694">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lang w:val="en-AU"/>
              </w:rPr>
            </w:pPr>
            <w:r>
              <w:rPr>
                <w:color w:val="auto"/>
                <w:sz w:val="24"/>
                <w:szCs w:val="24"/>
                <w:lang w:eastAsia="en-AU"/>
              </w:rPr>
              <w:t>GHD will continue to monitor this issue closely but progress reporting since the MTR are pointing to improved numbers of beneficiaries in this target group.</w:t>
            </w:r>
          </w:p>
        </w:tc>
        <w:tc>
          <w:tcPr>
            <w:tcW w:w="1095" w:type="dxa"/>
            <w:shd w:val="clear" w:color="auto" w:fill="auto"/>
          </w:tcPr>
          <w:p w14:paraId="16FF1774" w14:textId="20CACF14" w:rsidR="004B4EB9" w:rsidRPr="00212369" w:rsidRDefault="00A1468C" w:rsidP="00052649">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lang w:val="en-AU"/>
              </w:rPr>
            </w:pPr>
            <w:r>
              <w:rPr>
                <w:rFonts w:asciiTheme="minorHAnsi" w:hAnsiTheme="minorHAnsi" w:cstheme="minorHAnsi"/>
                <w:color w:val="auto"/>
                <w:lang w:val="en-AU"/>
              </w:rPr>
              <w:t>Ongoing</w:t>
            </w:r>
          </w:p>
        </w:tc>
      </w:tr>
      <w:tr w:rsidR="004B4EB9" w:rsidRPr="004F798E" w14:paraId="35777CFF" w14:textId="77777777" w:rsidTr="00A14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527D30A5" w14:textId="77777777" w:rsidR="004B4EB9" w:rsidRPr="00212369" w:rsidRDefault="004B4EB9" w:rsidP="00052649">
            <w:pPr>
              <w:rPr>
                <w:rFonts w:asciiTheme="minorHAnsi" w:hAnsiTheme="minorHAnsi" w:cstheme="minorHAnsi"/>
                <w:b/>
                <w:bCs/>
                <w:color w:val="auto"/>
                <w:lang w:val="en-AU"/>
              </w:rPr>
            </w:pPr>
            <w:r w:rsidRPr="00212369">
              <w:rPr>
                <w:rFonts w:asciiTheme="minorHAnsi" w:hAnsiTheme="minorHAnsi" w:cstheme="minorHAnsi"/>
                <w:b/>
                <w:bCs/>
                <w:color w:val="auto"/>
                <w:lang w:val="en-AU"/>
              </w:rPr>
              <w:t>Recommendation 7</w:t>
            </w:r>
          </w:p>
          <w:p w14:paraId="585F68B9" w14:textId="09287289" w:rsidR="004B4EB9" w:rsidRPr="00212369" w:rsidRDefault="004B4EB9" w:rsidP="00052649">
            <w:pPr>
              <w:rPr>
                <w:rFonts w:asciiTheme="minorHAnsi" w:hAnsiTheme="minorHAnsi" w:cstheme="minorHAnsi"/>
                <w:color w:val="auto"/>
                <w:lang w:val="en-AU"/>
              </w:rPr>
            </w:pPr>
            <w:r w:rsidRPr="00212369">
              <w:rPr>
                <w:rFonts w:asciiTheme="minorHAnsi" w:hAnsiTheme="minorHAnsi" w:cstheme="minorHAnsi"/>
                <w:iCs/>
                <w:sz w:val="24"/>
                <w:szCs w:val="24"/>
              </w:rPr>
              <w:t xml:space="preserve">This review was undertaken without the inclusion of sector specialists, including gender and social inclusion, in the review Team due to COVID-19 restrictions. A priority for DFAT is to follow up with in depth analysis by GSI specialists (gender, disability and SGM) to further assess how the Fund is progressing on GSI transformation and how M&amp;E systems can better measure fund wide progress.  </w:t>
            </w:r>
            <w:r w:rsidRPr="00212369">
              <w:rPr>
                <w:rFonts w:asciiTheme="minorHAnsi" w:hAnsiTheme="minorHAnsi" w:cstheme="minorHAnsi"/>
                <w:noProof/>
                <w:sz w:val="24"/>
                <w:szCs w:val="24"/>
              </w:rPr>
              <w:t xml:space="preserve"> </w:t>
            </w:r>
          </w:p>
        </w:tc>
        <w:tc>
          <w:tcPr>
            <w:tcW w:w="1173" w:type="dxa"/>
            <w:shd w:val="clear" w:color="auto" w:fill="auto"/>
          </w:tcPr>
          <w:p w14:paraId="5F416F46" w14:textId="36C29DBD" w:rsidR="004B4EB9" w:rsidRPr="00212369" w:rsidRDefault="004B4EB9" w:rsidP="0005264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lang w:val="en-AU"/>
              </w:rPr>
            </w:pPr>
            <w:r>
              <w:rPr>
                <w:rFonts w:asciiTheme="minorHAnsi" w:hAnsiTheme="minorHAnsi" w:cstheme="minorHAnsi"/>
                <w:b/>
                <w:bCs/>
                <w:color w:val="auto"/>
                <w:lang w:val="en-AU"/>
              </w:rPr>
              <w:t>Agree</w:t>
            </w:r>
          </w:p>
        </w:tc>
        <w:tc>
          <w:tcPr>
            <w:tcW w:w="6481" w:type="dxa"/>
            <w:shd w:val="clear" w:color="auto" w:fill="auto"/>
          </w:tcPr>
          <w:p w14:paraId="69ED14AC" w14:textId="7EE70EBE" w:rsidR="004B4EB9" w:rsidRPr="00A1468C" w:rsidRDefault="004B4EB9" w:rsidP="00A1468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lang w:val="en-AU"/>
              </w:rPr>
            </w:pPr>
            <w:r w:rsidRPr="00A1468C">
              <w:rPr>
                <w:rFonts w:asciiTheme="minorHAnsi" w:hAnsiTheme="minorHAnsi" w:cstheme="minorHAnsi"/>
                <w:color w:val="auto"/>
                <w:sz w:val="24"/>
                <w:szCs w:val="24"/>
                <w:lang w:val="en-AU"/>
              </w:rPr>
              <w:t>GESI review conducted and review report presented to DFAT in March 2021.</w:t>
            </w:r>
            <w:r w:rsidR="00A1468C">
              <w:rPr>
                <w:rFonts w:asciiTheme="minorHAnsi" w:hAnsiTheme="minorHAnsi" w:cstheme="minorHAnsi"/>
                <w:color w:val="auto"/>
                <w:sz w:val="24"/>
                <w:szCs w:val="24"/>
                <w:lang w:val="en-AU"/>
              </w:rPr>
              <w:t xml:space="preserve">  Responses to the recommendations from the GESI review are outlined below.</w:t>
            </w:r>
          </w:p>
        </w:tc>
        <w:tc>
          <w:tcPr>
            <w:tcW w:w="1095" w:type="dxa"/>
            <w:shd w:val="clear" w:color="auto" w:fill="auto"/>
          </w:tcPr>
          <w:p w14:paraId="56F5F9A8" w14:textId="716B1AF1" w:rsidR="004B4EB9" w:rsidRPr="00212369" w:rsidRDefault="004B4EB9" w:rsidP="0005264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lang w:val="en-AU"/>
              </w:rPr>
            </w:pPr>
            <w:r>
              <w:rPr>
                <w:rFonts w:asciiTheme="minorHAnsi" w:hAnsiTheme="minorHAnsi" w:cstheme="minorHAnsi"/>
                <w:color w:val="auto"/>
                <w:lang w:val="en-AU"/>
              </w:rPr>
              <w:t>Done</w:t>
            </w:r>
          </w:p>
        </w:tc>
      </w:tr>
      <w:tr w:rsidR="004B4EB9" w:rsidRPr="004F798E" w14:paraId="7F244804" w14:textId="77777777" w:rsidTr="00A146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5FE7CE7D" w14:textId="44223550" w:rsidR="004B4EB9" w:rsidRPr="00212369" w:rsidRDefault="004B4EB9" w:rsidP="00052649">
            <w:pPr>
              <w:rPr>
                <w:rFonts w:asciiTheme="minorHAnsi" w:hAnsiTheme="minorHAnsi" w:cstheme="minorHAnsi"/>
                <w:b/>
                <w:bCs/>
                <w:color w:val="auto"/>
                <w:lang w:val="en-AU"/>
              </w:rPr>
            </w:pPr>
            <w:r w:rsidRPr="00212369">
              <w:rPr>
                <w:rFonts w:asciiTheme="minorHAnsi" w:hAnsiTheme="minorHAnsi" w:cstheme="minorHAnsi"/>
                <w:b/>
                <w:bCs/>
                <w:color w:val="auto"/>
                <w:lang w:val="en-AU"/>
              </w:rPr>
              <w:t>Recommendation 8</w:t>
            </w:r>
          </w:p>
          <w:p w14:paraId="6F641CC5" w14:textId="094ABF37" w:rsidR="004B4EB9" w:rsidRPr="00212369" w:rsidRDefault="004B4EB9" w:rsidP="00052649">
            <w:pPr>
              <w:rPr>
                <w:rFonts w:asciiTheme="minorHAnsi" w:hAnsiTheme="minorHAnsi" w:cstheme="minorHAnsi"/>
                <w:b/>
                <w:bCs/>
                <w:color w:val="auto"/>
                <w:lang w:val="en-AU"/>
              </w:rPr>
            </w:pPr>
            <w:r w:rsidRPr="00212369">
              <w:rPr>
                <w:rFonts w:asciiTheme="minorHAnsi" w:hAnsiTheme="minorHAnsi" w:cstheme="minorHAnsi"/>
                <w:iCs/>
                <w:sz w:val="24"/>
                <w:szCs w:val="24"/>
              </w:rPr>
              <w:t xml:space="preserve">DFAT should consider managing the longer-term impacts of COVID-19 through a </w:t>
            </w:r>
            <w:proofErr w:type="gramStart"/>
            <w:r w:rsidRPr="00212369">
              <w:rPr>
                <w:rFonts w:asciiTheme="minorHAnsi" w:hAnsiTheme="minorHAnsi" w:cstheme="minorHAnsi"/>
                <w:iCs/>
                <w:sz w:val="24"/>
                <w:szCs w:val="24"/>
              </w:rPr>
              <w:t>2-3 year</w:t>
            </w:r>
            <w:proofErr w:type="gramEnd"/>
            <w:r w:rsidRPr="00212369">
              <w:rPr>
                <w:rFonts w:asciiTheme="minorHAnsi" w:hAnsiTheme="minorHAnsi" w:cstheme="minorHAnsi"/>
                <w:iCs/>
                <w:sz w:val="24"/>
                <w:szCs w:val="24"/>
              </w:rPr>
              <w:t xml:space="preserve"> extension of the Water for Women Fund with a strengthened </w:t>
            </w:r>
            <w:r w:rsidRPr="00212369">
              <w:rPr>
                <w:rFonts w:asciiTheme="minorHAnsi" w:hAnsiTheme="minorHAnsi" w:cstheme="minorHAnsi"/>
                <w:iCs/>
                <w:sz w:val="24"/>
                <w:szCs w:val="24"/>
              </w:rPr>
              <w:lastRenderedPageBreak/>
              <w:t>alignment to the Partnerships for Recovery strategy. Delivery of a new WASH program will take several years to progress from concept to implementation and in a post COVID-19 period new project commencement will be higher risk, due to travel and distancing restrictions and possible new waves of infection. DFAT support for the WASH sector over the next 3-5 years would be an effective development response in support of Partnerships for Recovery. This approach would harness existing partnerships, utilise proven and effective management and grant arrangements, harness knowledge and learning and research findings from the Fund and deliver early results compared to a new investment program. Any project extension will require a review and necessary adjustment of the design Theory of Change and be subject to satisfactory performance of the FC, CSO and RO’s and continued alignment with DFAT policy and budget limitations.</w:t>
            </w:r>
          </w:p>
          <w:p w14:paraId="52AD1625" w14:textId="77777777" w:rsidR="004B4EB9" w:rsidRPr="00212369" w:rsidRDefault="004B4EB9" w:rsidP="00052649">
            <w:pPr>
              <w:rPr>
                <w:rFonts w:asciiTheme="minorHAnsi" w:hAnsiTheme="minorHAnsi" w:cstheme="minorHAnsi"/>
                <w:b/>
                <w:bCs/>
                <w:color w:val="auto"/>
                <w:lang w:val="en-AU"/>
              </w:rPr>
            </w:pPr>
          </w:p>
        </w:tc>
        <w:tc>
          <w:tcPr>
            <w:tcW w:w="1173" w:type="dxa"/>
            <w:shd w:val="clear" w:color="auto" w:fill="auto"/>
          </w:tcPr>
          <w:p w14:paraId="55375E1C" w14:textId="1393C9B8" w:rsidR="004B4EB9" w:rsidRPr="00212369" w:rsidRDefault="004B4EB9" w:rsidP="00052649">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auto"/>
                <w:lang w:val="en-AU"/>
              </w:rPr>
            </w:pPr>
            <w:r>
              <w:rPr>
                <w:rFonts w:asciiTheme="minorHAnsi" w:hAnsiTheme="minorHAnsi" w:cstheme="minorHAnsi"/>
                <w:b/>
                <w:bCs/>
                <w:color w:val="auto"/>
                <w:lang w:val="en-AU"/>
              </w:rPr>
              <w:lastRenderedPageBreak/>
              <w:t>Agree</w:t>
            </w:r>
          </w:p>
        </w:tc>
        <w:tc>
          <w:tcPr>
            <w:tcW w:w="6481" w:type="dxa"/>
            <w:shd w:val="clear" w:color="auto" w:fill="auto"/>
          </w:tcPr>
          <w:p w14:paraId="4841A17D" w14:textId="77777777" w:rsidR="004B4EB9" w:rsidRDefault="004B4EB9" w:rsidP="00052649">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lang w:val="en-AU"/>
              </w:rPr>
            </w:pPr>
            <w:r>
              <w:rPr>
                <w:rFonts w:asciiTheme="minorHAnsi" w:hAnsiTheme="minorHAnsi" w:cstheme="minorHAnsi"/>
                <w:color w:val="auto"/>
                <w:lang w:val="en-AU"/>
              </w:rPr>
              <w:t>WTR Section is currently seeking ACD endorsement of process to gain approval of extension.  The next step would be to approach Deputy Secretary to approve approach to the Aid Governance Board for their endorsement of an extension.  If the board endorses the extension, formal S23 approval will be sought from the Secretary.</w:t>
            </w:r>
          </w:p>
          <w:p w14:paraId="645B1DF3" w14:textId="67B5E5E6" w:rsidR="004B4EB9" w:rsidRPr="00212369" w:rsidRDefault="004B4EB9" w:rsidP="00A1468C">
            <w:pPr>
              <w:spacing w:before="60" w:line="240" w:lineRule="atLeas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lang w:val="en-AU"/>
              </w:rPr>
            </w:pPr>
          </w:p>
        </w:tc>
        <w:tc>
          <w:tcPr>
            <w:tcW w:w="1095" w:type="dxa"/>
            <w:shd w:val="clear" w:color="auto" w:fill="auto"/>
          </w:tcPr>
          <w:p w14:paraId="1698CE05" w14:textId="1ACEF192" w:rsidR="004B4EB9" w:rsidRPr="00212369" w:rsidRDefault="004B4EB9" w:rsidP="00052649">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lang w:val="en-AU"/>
              </w:rPr>
            </w:pPr>
            <w:r>
              <w:rPr>
                <w:rFonts w:asciiTheme="minorHAnsi" w:hAnsiTheme="minorHAnsi" w:cstheme="minorHAnsi"/>
                <w:color w:val="auto"/>
                <w:lang w:val="en-AU"/>
              </w:rPr>
              <w:t>In progress</w:t>
            </w:r>
          </w:p>
        </w:tc>
      </w:tr>
    </w:tbl>
    <w:p w14:paraId="22FB1D29" w14:textId="76B68084" w:rsidR="00271AF2" w:rsidRDefault="00271AF2" w:rsidP="00271AF2">
      <w:pPr>
        <w:rPr>
          <w:lang w:val="en-AU"/>
        </w:rPr>
      </w:pPr>
    </w:p>
    <w:p w14:paraId="526D4D40" w14:textId="46396F7C" w:rsidR="00E327BC" w:rsidRDefault="00E327BC" w:rsidP="00271AF2">
      <w:pPr>
        <w:rPr>
          <w:lang w:val="en-AU"/>
        </w:rPr>
      </w:pPr>
    </w:p>
    <w:p w14:paraId="2476BCB8" w14:textId="489D10A6" w:rsidR="00E327BC" w:rsidRPr="008E35BE" w:rsidRDefault="00E327BC" w:rsidP="00271AF2">
      <w:pPr>
        <w:rPr>
          <w:b/>
          <w:bCs/>
          <w:color w:val="auto"/>
          <w:sz w:val="24"/>
          <w:szCs w:val="24"/>
          <w:lang w:val="en-AU"/>
        </w:rPr>
      </w:pPr>
      <w:r w:rsidRPr="008E35BE">
        <w:rPr>
          <w:b/>
          <w:bCs/>
          <w:color w:val="auto"/>
          <w:sz w:val="24"/>
          <w:szCs w:val="24"/>
          <w:lang w:val="en-AU"/>
        </w:rPr>
        <w:lastRenderedPageBreak/>
        <w:t>Gender Equality and Social Inclusion Mid-Term Review</w:t>
      </w:r>
    </w:p>
    <w:tbl>
      <w:tblPr>
        <w:tblStyle w:val="DFATTable1"/>
        <w:tblW w:w="13036" w:type="dxa"/>
        <w:tblBorders>
          <w:top w:val="single" w:sz="4" w:space="0" w:color="4472C4" w:themeColor="accent1"/>
          <w:left w:val="single" w:sz="4" w:space="0" w:color="4472C4" w:themeColor="accent1"/>
          <w:right w:val="single" w:sz="4" w:space="0" w:color="4472C4" w:themeColor="accent1"/>
          <w:insideV w:val="single" w:sz="4" w:space="0" w:color="4472C4" w:themeColor="accent1"/>
        </w:tblBorders>
        <w:tblLook w:val="04A0" w:firstRow="1" w:lastRow="0" w:firstColumn="1" w:lastColumn="0" w:noHBand="0" w:noVBand="1"/>
      </w:tblPr>
      <w:tblGrid>
        <w:gridCol w:w="4390"/>
        <w:gridCol w:w="1092"/>
        <w:gridCol w:w="6562"/>
        <w:gridCol w:w="992"/>
      </w:tblGrid>
      <w:tr w:rsidR="00A1468C" w:rsidRPr="004F798E" w14:paraId="091A91B8" w14:textId="77777777" w:rsidTr="00A146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69A4DFC8" w14:textId="77777777" w:rsidR="00A1468C" w:rsidRPr="00212369" w:rsidRDefault="00A1468C" w:rsidP="003F1157">
            <w:pPr>
              <w:jc w:val="center"/>
              <w:rPr>
                <w:rFonts w:asciiTheme="minorHAnsi" w:hAnsiTheme="minorHAnsi" w:cstheme="minorHAnsi"/>
                <w:b/>
                <w:bCs/>
                <w:color w:val="auto"/>
                <w:lang w:val="en-AU"/>
              </w:rPr>
            </w:pPr>
            <w:r w:rsidRPr="00212369">
              <w:rPr>
                <w:rFonts w:asciiTheme="minorHAnsi" w:hAnsiTheme="minorHAnsi" w:cstheme="minorHAnsi"/>
                <w:b/>
                <w:bCs/>
                <w:color w:val="auto"/>
              </w:rPr>
              <w:t>Recommendation</w:t>
            </w:r>
          </w:p>
        </w:tc>
        <w:tc>
          <w:tcPr>
            <w:tcW w:w="1092" w:type="dxa"/>
            <w:shd w:val="clear" w:color="auto" w:fill="auto"/>
          </w:tcPr>
          <w:p w14:paraId="7529F9E8" w14:textId="77777777" w:rsidR="00A1468C" w:rsidRPr="00212369" w:rsidRDefault="00A1468C" w:rsidP="003F115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auto"/>
                <w:lang w:val="en-AU"/>
              </w:rPr>
            </w:pPr>
            <w:r w:rsidRPr="00212369">
              <w:rPr>
                <w:rFonts w:asciiTheme="minorHAnsi" w:hAnsiTheme="minorHAnsi" w:cstheme="minorHAnsi"/>
                <w:b/>
                <w:bCs/>
                <w:color w:val="auto"/>
              </w:rPr>
              <w:t>Response</w:t>
            </w:r>
          </w:p>
        </w:tc>
        <w:tc>
          <w:tcPr>
            <w:tcW w:w="6562" w:type="dxa"/>
            <w:shd w:val="clear" w:color="auto" w:fill="auto"/>
          </w:tcPr>
          <w:p w14:paraId="54B9F773" w14:textId="77777777" w:rsidR="00A1468C" w:rsidRPr="00212369" w:rsidRDefault="00A1468C" w:rsidP="003F115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auto"/>
              </w:rPr>
            </w:pPr>
            <w:r w:rsidRPr="00212369">
              <w:rPr>
                <w:rFonts w:asciiTheme="minorHAnsi" w:hAnsiTheme="minorHAnsi" w:cstheme="minorHAnsi"/>
                <w:b/>
                <w:bCs/>
                <w:color w:val="auto"/>
              </w:rPr>
              <w:t>Action</w:t>
            </w:r>
          </w:p>
        </w:tc>
        <w:tc>
          <w:tcPr>
            <w:tcW w:w="992" w:type="dxa"/>
            <w:shd w:val="clear" w:color="auto" w:fill="auto"/>
          </w:tcPr>
          <w:p w14:paraId="7D56E19F" w14:textId="77777777" w:rsidR="00A1468C" w:rsidRPr="00212369" w:rsidRDefault="00A1468C" w:rsidP="003F115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auto"/>
                <w:lang w:val="en-AU"/>
              </w:rPr>
            </w:pPr>
            <w:r>
              <w:rPr>
                <w:rFonts w:asciiTheme="minorHAnsi" w:hAnsiTheme="minorHAnsi" w:cstheme="minorHAnsi"/>
                <w:b/>
                <w:bCs/>
                <w:color w:val="auto"/>
              </w:rPr>
              <w:t>Status</w:t>
            </w:r>
          </w:p>
        </w:tc>
      </w:tr>
      <w:tr w:rsidR="00A1468C" w:rsidRPr="004F798E" w14:paraId="1F9FFEAB" w14:textId="77777777" w:rsidTr="00A14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5B54E42F" w14:textId="718594D5" w:rsidR="00A1468C" w:rsidRPr="00212369" w:rsidRDefault="00A1468C" w:rsidP="003F1157">
            <w:pPr>
              <w:rPr>
                <w:rFonts w:asciiTheme="minorHAnsi" w:hAnsiTheme="minorHAnsi" w:cstheme="minorHAnsi"/>
                <w:b/>
                <w:bCs/>
                <w:color w:val="auto"/>
                <w:lang w:val="en-AU"/>
              </w:rPr>
            </w:pPr>
            <w:r w:rsidRPr="00212369">
              <w:rPr>
                <w:rFonts w:asciiTheme="minorHAnsi" w:hAnsiTheme="minorHAnsi" w:cstheme="minorHAnsi"/>
                <w:b/>
                <w:bCs/>
                <w:color w:val="auto"/>
                <w:lang w:val="en-AU"/>
              </w:rPr>
              <w:t xml:space="preserve">Recommendation </w:t>
            </w:r>
            <w:r>
              <w:rPr>
                <w:rFonts w:asciiTheme="minorHAnsi" w:hAnsiTheme="minorHAnsi" w:cstheme="minorHAnsi"/>
                <w:b/>
                <w:bCs/>
                <w:color w:val="auto"/>
                <w:lang w:val="en-AU"/>
              </w:rPr>
              <w:t>– Sustainability and Scalability</w:t>
            </w:r>
          </w:p>
          <w:p w14:paraId="4F74B98F" w14:textId="77777777" w:rsidR="00A1468C" w:rsidRDefault="00A1468C" w:rsidP="003F1157">
            <w:pPr>
              <w:rPr>
                <w:rFonts w:asciiTheme="minorHAnsi" w:hAnsiTheme="minorHAnsi" w:cstheme="minorHAnsi"/>
                <w:color w:val="auto"/>
                <w:lang w:val="en-AU"/>
              </w:rPr>
            </w:pPr>
            <w:r>
              <w:rPr>
                <w:rFonts w:asciiTheme="minorHAnsi" w:hAnsiTheme="minorHAnsi" w:cstheme="minorHAnsi"/>
                <w:color w:val="auto"/>
                <w:lang w:val="en-AU"/>
              </w:rPr>
              <w:t>Continue to use entry points such as:</w:t>
            </w:r>
          </w:p>
          <w:p w14:paraId="187E6B9E" w14:textId="44F35082" w:rsidR="00A1468C" w:rsidRDefault="00A1468C" w:rsidP="00A15B30">
            <w:pPr>
              <w:pStyle w:val="ListParagraph"/>
              <w:numPr>
                <w:ilvl w:val="0"/>
                <w:numId w:val="8"/>
              </w:numPr>
              <w:rPr>
                <w:rFonts w:cstheme="minorHAnsi"/>
              </w:rPr>
            </w:pPr>
            <w:r>
              <w:rPr>
                <w:rFonts w:cstheme="minorHAnsi"/>
              </w:rPr>
              <w:t>Ongoing investments and relationships of DFAT with governments</w:t>
            </w:r>
          </w:p>
          <w:p w14:paraId="421AC2DA" w14:textId="77777777" w:rsidR="00A1468C" w:rsidRDefault="00A1468C" w:rsidP="00A15B30">
            <w:pPr>
              <w:pStyle w:val="ListParagraph"/>
              <w:numPr>
                <w:ilvl w:val="0"/>
                <w:numId w:val="8"/>
              </w:numPr>
              <w:rPr>
                <w:rFonts w:cstheme="minorHAnsi"/>
              </w:rPr>
            </w:pPr>
            <w:r>
              <w:rPr>
                <w:rFonts w:cstheme="minorHAnsi"/>
              </w:rPr>
              <w:t>Capacity building of Rights Holder Organisations in WASH and GESI</w:t>
            </w:r>
          </w:p>
          <w:p w14:paraId="62C2BC95" w14:textId="3D6CEA91" w:rsidR="00A1468C" w:rsidRPr="00A15B30" w:rsidRDefault="00A1468C" w:rsidP="00A15B30">
            <w:pPr>
              <w:pStyle w:val="ListParagraph"/>
              <w:numPr>
                <w:ilvl w:val="0"/>
                <w:numId w:val="8"/>
              </w:numPr>
              <w:rPr>
                <w:rFonts w:cstheme="minorHAnsi"/>
              </w:rPr>
            </w:pPr>
            <w:r>
              <w:rPr>
                <w:rFonts w:cstheme="minorHAnsi"/>
              </w:rPr>
              <w:t>Influencing norms at the community level</w:t>
            </w:r>
          </w:p>
        </w:tc>
        <w:tc>
          <w:tcPr>
            <w:tcW w:w="1092" w:type="dxa"/>
            <w:shd w:val="clear" w:color="auto" w:fill="auto"/>
          </w:tcPr>
          <w:p w14:paraId="63C99457" w14:textId="7C428D3F" w:rsidR="00A1468C" w:rsidRPr="00212369" w:rsidRDefault="00A1468C" w:rsidP="003F115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lang w:val="en-AU"/>
              </w:rPr>
            </w:pPr>
            <w:r>
              <w:rPr>
                <w:rFonts w:asciiTheme="minorHAnsi" w:hAnsiTheme="minorHAnsi" w:cstheme="minorHAnsi"/>
                <w:b/>
                <w:bCs/>
                <w:color w:val="auto"/>
                <w:lang w:val="en-AU"/>
              </w:rPr>
              <w:t>Agree</w:t>
            </w:r>
          </w:p>
        </w:tc>
        <w:tc>
          <w:tcPr>
            <w:tcW w:w="6562" w:type="dxa"/>
            <w:shd w:val="clear" w:color="auto" w:fill="auto"/>
          </w:tcPr>
          <w:p w14:paraId="216CE3DE" w14:textId="2F978C0A" w:rsidR="00A1468C" w:rsidRDefault="00A1468C" w:rsidP="003F115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lang w:val="en-AU"/>
              </w:rPr>
            </w:pPr>
            <w:r>
              <w:rPr>
                <w:rFonts w:asciiTheme="minorHAnsi" w:hAnsiTheme="minorHAnsi" w:cstheme="minorHAnsi"/>
                <w:color w:val="auto"/>
                <w:lang w:val="en-AU"/>
              </w:rPr>
              <w:t>All these aspects are built into the Fund’s K&amp;L and M&amp;E processes and progress against them reported twice a year.</w:t>
            </w:r>
          </w:p>
          <w:p w14:paraId="6294530D" w14:textId="77777777" w:rsidR="00A1468C" w:rsidRDefault="00A1468C" w:rsidP="003F115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lang w:val="en-AU"/>
              </w:rPr>
            </w:pPr>
            <w:r>
              <w:rPr>
                <w:rFonts w:asciiTheme="minorHAnsi" w:hAnsiTheme="minorHAnsi" w:cstheme="minorHAnsi"/>
                <w:color w:val="auto"/>
                <w:lang w:val="en-AU"/>
              </w:rPr>
              <w:t>WfW partners are highly focused on institutional capacity building especially the duty bearers and officials of government agencies and RHOs so that they can work to influence norms at the community level and in the private sector.</w:t>
            </w:r>
          </w:p>
          <w:p w14:paraId="66EB021B" w14:textId="04E59BAA" w:rsidR="00A1468C" w:rsidRPr="00212369" w:rsidRDefault="00A1468C" w:rsidP="003F115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lang w:val="en-AU"/>
              </w:rPr>
            </w:pPr>
          </w:p>
        </w:tc>
        <w:tc>
          <w:tcPr>
            <w:tcW w:w="992" w:type="dxa"/>
            <w:shd w:val="clear" w:color="auto" w:fill="auto"/>
          </w:tcPr>
          <w:p w14:paraId="400BCC0E" w14:textId="1FDF67E8" w:rsidR="00A1468C" w:rsidRPr="00212369" w:rsidRDefault="00A1468C" w:rsidP="003F115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lang w:val="en-AU"/>
              </w:rPr>
            </w:pPr>
            <w:r>
              <w:rPr>
                <w:rFonts w:asciiTheme="minorHAnsi" w:hAnsiTheme="minorHAnsi" w:cstheme="minorHAnsi"/>
                <w:color w:val="auto"/>
                <w:lang w:val="en-AU"/>
              </w:rPr>
              <w:t>Ongoing</w:t>
            </w:r>
          </w:p>
        </w:tc>
      </w:tr>
      <w:tr w:rsidR="00A1468C" w:rsidRPr="004F798E" w14:paraId="37AF8652" w14:textId="77777777" w:rsidTr="00A146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7C1F611B" w14:textId="77777777" w:rsidR="00A1468C" w:rsidRDefault="00A1468C" w:rsidP="003F1157">
            <w:pPr>
              <w:rPr>
                <w:rFonts w:cstheme="minorHAnsi"/>
                <w:b/>
                <w:bCs/>
                <w:color w:val="auto"/>
                <w:lang w:val="en-AU"/>
              </w:rPr>
            </w:pPr>
            <w:r>
              <w:rPr>
                <w:rFonts w:cstheme="minorHAnsi"/>
                <w:b/>
                <w:bCs/>
                <w:color w:val="auto"/>
                <w:lang w:val="en-AU"/>
              </w:rPr>
              <w:t>Recommendation – Working with other DFAT programs</w:t>
            </w:r>
          </w:p>
          <w:p w14:paraId="55E0E5AD" w14:textId="77777777" w:rsidR="00A1468C" w:rsidRDefault="00A1468C" w:rsidP="00A15B30">
            <w:pPr>
              <w:pStyle w:val="ListParagraph"/>
              <w:numPr>
                <w:ilvl w:val="0"/>
                <w:numId w:val="7"/>
              </w:numPr>
            </w:pPr>
            <w:r>
              <w:t xml:space="preserve">Establish a community of practice within DFAT on GESI in WASH to ensure that all DFAT funded WASH programs are sending consistent messages.  </w:t>
            </w:r>
          </w:p>
          <w:p w14:paraId="2FD7F6CA" w14:textId="77777777" w:rsidR="00A1468C" w:rsidRDefault="00A1468C" w:rsidP="00A15B30">
            <w:pPr>
              <w:pStyle w:val="ListParagraph"/>
              <w:numPr>
                <w:ilvl w:val="0"/>
                <w:numId w:val="7"/>
              </w:numPr>
            </w:pPr>
            <w:r>
              <w:t>Involve relevant staff at post beyond those engaged on WASH to identify other opportunities.</w:t>
            </w:r>
          </w:p>
          <w:p w14:paraId="0B236E2A" w14:textId="77777777" w:rsidR="00A1468C" w:rsidRDefault="00A1468C" w:rsidP="00A15B30">
            <w:pPr>
              <w:pStyle w:val="ListParagraph"/>
              <w:numPr>
                <w:ilvl w:val="0"/>
                <w:numId w:val="7"/>
              </w:numPr>
            </w:pPr>
            <w:r>
              <w:t xml:space="preserve">Hold periodic seminars or round tables at post for CSO and RO partners to share their experience. </w:t>
            </w:r>
          </w:p>
          <w:p w14:paraId="08C394C3" w14:textId="4C949B87" w:rsidR="00A1468C" w:rsidRPr="00A15B30" w:rsidRDefault="00A1468C" w:rsidP="003F1157">
            <w:pPr>
              <w:rPr>
                <w:rFonts w:cstheme="minorHAnsi"/>
                <w:color w:val="auto"/>
                <w:lang w:val="en-AU"/>
              </w:rPr>
            </w:pPr>
          </w:p>
        </w:tc>
        <w:tc>
          <w:tcPr>
            <w:tcW w:w="1092" w:type="dxa"/>
            <w:shd w:val="clear" w:color="auto" w:fill="auto"/>
          </w:tcPr>
          <w:p w14:paraId="522EABBF" w14:textId="016F7697" w:rsidR="00A1468C" w:rsidRPr="00212369" w:rsidRDefault="00A1468C" w:rsidP="003F1157">
            <w:pPr>
              <w:jc w:val="center"/>
              <w:cnfStyle w:val="000000010000" w:firstRow="0" w:lastRow="0" w:firstColumn="0" w:lastColumn="0" w:oddVBand="0" w:evenVBand="0" w:oddHBand="0" w:evenHBand="1" w:firstRowFirstColumn="0" w:firstRowLastColumn="0" w:lastRowFirstColumn="0" w:lastRowLastColumn="0"/>
              <w:rPr>
                <w:rFonts w:cstheme="minorHAnsi"/>
                <w:b/>
                <w:bCs/>
                <w:color w:val="auto"/>
                <w:lang w:val="en-AU"/>
              </w:rPr>
            </w:pPr>
            <w:r>
              <w:rPr>
                <w:rFonts w:cstheme="minorHAnsi"/>
                <w:b/>
                <w:bCs/>
                <w:color w:val="auto"/>
                <w:lang w:val="en-AU"/>
              </w:rPr>
              <w:t>Agree</w:t>
            </w:r>
          </w:p>
        </w:tc>
        <w:tc>
          <w:tcPr>
            <w:tcW w:w="6562" w:type="dxa"/>
            <w:shd w:val="clear" w:color="auto" w:fill="auto"/>
          </w:tcPr>
          <w:p w14:paraId="16276C39" w14:textId="12897FF4" w:rsidR="00A1468C" w:rsidRDefault="00A1468C" w:rsidP="003F115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lang w:val="en-AU"/>
              </w:rPr>
            </w:pPr>
            <w:r>
              <w:rPr>
                <w:rFonts w:asciiTheme="minorHAnsi" w:hAnsiTheme="minorHAnsi" w:cstheme="minorHAnsi"/>
                <w:color w:val="auto"/>
                <w:lang w:val="en-AU"/>
              </w:rPr>
              <w:t>Fund partners, for example in the PNG Consortium are working with ‘Pacific Women Lead’, another DFAT funded program to strengthen efforts to empower women, using WASH as an anchor.</w:t>
            </w:r>
          </w:p>
          <w:p w14:paraId="3FFE646B" w14:textId="2C609E50" w:rsidR="00A1468C" w:rsidRDefault="00A1468C" w:rsidP="003F115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lang w:val="en-AU"/>
              </w:rPr>
            </w:pPr>
            <w:r>
              <w:rPr>
                <w:rFonts w:asciiTheme="minorHAnsi" w:hAnsiTheme="minorHAnsi" w:cstheme="minorHAnsi"/>
                <w:color w:val="auto"/>
                <w:lang w:val="en-AU"/>
              </w:rPr>
              <w:t>Strong efforts during global events such as Global Handwashing Day, World Toilet Day and Global Menstrual Hygiene Day to share knowledge with DFAT Posts and Desks.  WfW also runs open seminars with invitations sent to Posts and Desks.</w:t>
            </w:r>
          </w:p>
          <w:p w14:paraId="11A63988" w14:textId="1E0CB77D" w:rsidR="00A1468C" w:rsidRDefault="00A1468C" w:rsidP="003F115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lang w:val="en-AU"/>
              </w:rPr>
            </w:pPr>
            <w:r>
              <w:rPr>
                <w:rFonts w:asciiTheme="minorHAnsi" w:hAnsiTheme="minorHAnsi" w:cstheme="minorHAnsi"/>
                <w:color w:val="auto"/>
                <w:lang w:val="en-AU"/>
              </w:rPr>
              <w:t>Contact lists regularly updated for Post and Desk engagement.</w:t>
            </w:r>
          </w:p>
          <w:p w14:paraId="736252BB" w14:textId="2933E4CB" w:rsidR="00A1468C" w:rsidRDefault="00A1468C" w:rsidP="003F115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lang w:val="en-AU"/>
              </w:rPr>
            </w:pPr>
            <w:r>
              <w:rPr>
                <w:rFonts w:asciiTheme="minorHAnsi" w:hAnsiTheme="minorHAnsi" w:cstheme="minorHAnsi"/>
                <w:color w:val="auto"/>
                <w:lang w:val="en-AU"/>
              </w:rPr>
              <w:t>CSO and RO partners are encouraged and supported to enhance their Post engagement as well as share case studies and learning briefs.  They also regularly invite Post participation for local events, for example, a recent visit to Bhubaneswar by DFAT Kolkata Consul-</w:t>
            </w:r>
            <w:proofErr w:type="spellStart"/>
            <w:r>
              <w:rPr>
                <w:rFonts w:asciiTheme="minorHAnsi" w:hAnsiTheme="minorHAnsi" w:cstheme="minorHAnsi"/>
                <w:color w:val="auto"/>
                <w:lang w:val="en-AU"/>
              </w:rPr>
              <w:t>Genera</w:t>
            </w:r>
            <w:proofErr w:type="spellEnd"/>
            <w:r>
              <w:rPr>
                <w:rFonts w:asciiTheme="minorHAnsi" w:hAnsiTheme="minorHAnsi" w:cstheme="minorHAnsi"/>
                <w:color w:val="auto"/>
                <w:lang w:val="en-AU"/>
              </w:rPr>
              <w:t>.</w:t>
            </w:r>
          </w:p>
          <w:p w14:paraId="2F508E24" w14:textId="3C0B3CC7" w:rsidR="00A1468C" w:rsidRPr="00212369" w:rsidRDefault="00A1468C" w:rsidP="003F1157">
            <w:pPr>
              <w:cnfStyle w:val="000000010000" w:firstRow="0" w:lastRow="0" w:firstColumn="0" w:lastColumn="0" w:oddVBand="0" w:evenVBand="0" w:oddHBand="0" w:evenHBand="1" w:firstRowFirstColumn="0" w:firstRowLastColumn="0" w:lastRowFirstColumn="0" w:lastRowLastColumn="0"/>
              <w:rPr>
                <w:rFonts w:cstheme="minorHAnsi"/>
                <w:color w:val="auto"/>
                <w:lang w:val="en-AU"/>
              </w:rPr>
            </w:pPr>
          </w:p>
        </w:tc>
        <w:tc>
          <w:tcPr>
            <w:tcW w:w="992" w:type="dxa"/>
            <w:shd w:val="clear" w:color="auto" w:fill="auto"/>
          </w:tcPr>
          <w:p w14:paraId="4069D8D0" w14:textId="3FE4D649" w:rsidR="00A1468C" w:rsidRPr="00212369" w:rsidRDefault="00A1468C" w:rsidP="003F1157">
            <w:pPr>
              <w:cnfStyle w:val="000000010000" w:firstRow="0" w:lastRow="0" w:firstColumn="0" w:lastColumn="0" w:oddVBand="0" w:evenVBand="0" w:oddHBand="0" w:evenHBand="1" w:firstRowFirstColumn="0" w:firstRowLastColumn="0" w:lastRowFirstColumn="0" w:lastRowLastColumn="0"/>
              <w:rPr>
                <w:rFonts w:cstheme="minorHAnsi"/>
                <w:color w:val="auto"/>
                <w:lang w:val="en-AU"/>
              </w:rPr>
            </w:pPr>
            <w:r>
              <w:rPr>
                <w:rFonts w:cstheme="minorHAnsi"/>
                <w:color w:val="auto"/>
                <w:lang w:val="en-AU"/>
              </w:rPr>
              <w:t>Ongoing</w:t>
            </w:r>
          </w:p>
        </w:tc>
      </w:tr>
      <w:tr w:rsidR="00A1468C" w:rsidRPr="004F798E" w14:paraId="4C0221A8" w14:textId="77777777" w:rsidTr="00A14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76A88570" w14:textId="77777777" w:rsidR="00A1468C" w:rsidRDefault="00A1468C" w:rsidP="003F1157">
            <w:pPr>
              <w:rPr>
                <w:rFonts w:cstheme="minorHAnsi"/>
                <w:b/>
                <w:bCs/>
                <w:color w:val="auto"/>
                <w:lang w:val="en-AU"/>
              </w:rPr>
            </w:pPr>
            <w:bookmarkStart w:id="0" w:name="_Hlk87973841"/>
            <w:r>
              <w:rPr>
                <w:rFonts w:cstheme="minorHAnsi"/>
                <w:b/>
                <w:bCs/>
                <w:color w:val="auto"/>
                <w:lang w:val="en-AU"/>
              </w:rPr>
              <w:t>Working with RHOs</w:t>
            </w:r>
          </w:p>
          <w:p w14:paraId="4ABB46E5" w14:textId="1C237DD1" w:rsidR="00A1468C" w:rsidRDefault="00A1468C" w:rsidP="003F1157">
            <w:pPr>
              <w:rPr>
                <w:rFonts w:cstheme="minorHAnsi"/>
                <w:color w:val="auto"/>
                <w:lang w:val="en-AU"/>
              </w:rPr>
            </w:pPr>
            <w:r w:rsidRPr="00A15B30">
              <w:rPr>
                <w:rFonts w:cstheme="minorHAnsi"/>
                <w:color w:val="auto"/>
                <w:lang w:val="en-AU"/>
              </w:rPr>
              <w:lastRenderedPageBreak/>
              <w:t>Explore various issues for potential future research topics</w:t>
            </w:r>
            <w:r>
              <w:rPr>
                <w:rFonts w:cstheme="minorHAnsi"/>
                <w:color w:val="auto"/>
                <w:lang w:val="en-AU"/>
              </w:rPr>
              <w:t xml:space="preserve">, </w:t>
            </w:r>
            <w:r w:rsidRPr="00A15B30">
              <w:rPr>
                <w:rFonts w:cstheme="minorHAnsi"/>
                <w:color w:val="auto"/>
                <w:lang w:val="en-AU"/>
              </w:rPr>
              <w:t>analysis</w:t>
            </w:r>
            <w:r>
              <w:rPr>
                <w:rFonts w:cstheme="minorHAnsi"/>
                <w:color w:val="auto"/>
                <w:lang w:val="en-AU"/>
              </w:rPr>
              <w:t xml:space="preserve"> or action</w:t>
            </w:r>
            <w:r w:rsidRPr="00A15B30">
              <w:rPr>
                <w:rFonts w:cstheme="minorHAnsi"/>
                <w:color w:val="auto"/>
                <w:lang w:val="en-AU"/>
              </w:rPr>
              <w:t xml:space="preserve"> by the Fund Coordinator</w:t>
            </w:r>
            <w:r>
              <w:rPr>
                <w:rFonts w:cstheme="minorHAnsi"/>
                <w:color w:val="auto"/>
                <w:lang w:val="en-AU"/>
              </w:rPr>
              <w:t>:</w:t>
            </w:r>
          </w:p>
          <w:p w14:paraId="179447B3" w14:textId="77777777" w:rsidR="00A1468C" w:rsidRDefault="00A1468C" w:rsidP="00A15B30">
            <w:pPr>
              <w:pStyle w:val="ListParagraph"/>
              <w:numPr>
                <w:ilvl w:val="0"/>
                <w:numId w:val="6"/>
              </w:numPr>
              <w:rPr>
                <w:rFonts w:ascii="Calibri" w:hAnsi="Calibri" w:cstheme="minorHAnsi"/>
              </w:rPr>
            </w:pPr>
            <w:r>
              <w:rPr>
                <w:rFonts w:ascii="Calibri" w:hAnsi="Calibri" w:cstheme="minorHAnsi"/>
              </w:rPr>
              <w:t>Influencing traditional women’s organisations through training in inclusion and gender equality</w:t>
            </w:r>
          </w:p>
          <w:p w14:paraId="2D6B841C" w14:textId="77777777" w:rsidR="00A1468C" w:rsidRDefault="00A1468C" w:rsidP="00A15B30">
            <w:pPr>
              <w:pStyle w:val="ListParagraph"/>
              <w:numPr>
                <w:ilvl w:val="0"/>
                <w:numId w:val="6"/>
              </w:numPr>
              <w:rPr>
                <w:rFonts w:ascii="Calibri" w:hAnsi="Calibri" w:cstheme="minorHAnsi"/>
              </w:rPr>
            </w:pPr>
            <w:r>
              <w:rPr>
                <w:rFonts w:ascii="Calibri" w:hAnsi="Calibri" w:cstheme="minorHAnsi"/>
              </w:rPr>
              <w:t>Impact of engagement on operation and mandates of DPOs</w:t>
            </w:r>
          </w:p>
          <w:p w14:paraId="33888ACA" w14:textId="77777777" w:rsidR="00A1468C" w:rsidRDefault="00A1468C" w:rsidP="00A15B30">
            <w:pPr>
              <w:pStyle w:val="ListParagraph"/>
              <w:numPr>
                <w:ilvl w:val="0"/>
                <w:numId w:val="6"/>
              </w:numPr>
              <w:rPr>
                <w:rFonts w:ascii="Calibri" w:hAnsi="Calibri" w:cstheme="minorHAnsi"/>
              </w:rPr>
            </w:pPr>
            <w:r>
              <w:rPr>
                <w:rFonts w:ascii="Calibri" w:hAnsi="Calibri" w:cstheme="minorHAnsi"/>
              </w:rPr>
              <w:t>Effect on inclusion of people with disabilities at the community level</w:t>
            </w:r>
          </w:p>
          <w:p w14:paraId="4C8E5154" w14:textId="77777777" w:rsidR="00A1468C" w:rsidRDefault="00A1468C" w:rsidP="00A15B30">
            <w:pPr>
              <w:pStyle w:val="ListParagraph"/>
              <w:numPr>
                <w:ilvl w:val="0"/>
                <w:numId w:val="6"/>
              </w:numPr>
              <w:rPr>
                <w:rFonts w:ascii="Calibri" w:hAnsi="Calibri" w:cstheme="minorHAnsi"/>
              </w:rPr>
            </w:pPr>
            <w:r>
              <w:rPr>
                <w:rFonts w:ascii="Calibri" w:hAnsi="Calibri" w:cstheme="minorHAnsi"/>
              </w:rPr>
              <w:t>Approaches to issues of intersectionality</w:t>
            </w:r>
          </w:p>
          <w:p w14:paraId="3A7DCC4E" w14:textId="77777777" w:rsidR="00A1468C" w:rsidRDefault="00A1468C" w:rsidP="00A15B30">
            <w:pPr>
              <w:pStyle w:val="ListParagraph"/>
              <w:numPr>
                <w:ilvl w:val="0"/>
                <w:numId w:val="6"/>
              </w:numPr>
              <w:rPr>
                <w:rFonts w:ascii="Calibri" w:hAnsi="Calibri" w:cstheme="minorHAnsi"/>
              </w:rPr>
            </w:pPr>
            <w:r>
              <w:rPr>
                <w:rFonts w:ascii="Calibri" w:hAnsi="Calibri" w:cstheme="minorHAnsi"/>
              </w:rPr>
              <w:t>Expansion of representation of women to include young and old women, women with disabilities, ethnic or religious minority women</w:t>
            </w:r>
          </w:p>
          <w:p w14:paraId="1148B394" w14:textId="4D739EC9" w:rsidR="00A1468C" w:rsidRPr="00A15B30" w:rsidRDefault="00A1468C" w:rsidP="00A15B30">
            <w:pPr>
              <w:pStyle w:val="ListParagraph"/>
              <w:numPr>
                <w:ilvl w:val="0"/>
                <w:numId w:val="6"/>
              </w:numPr>
              <w:rPr>
                <w:rFonts w:ascii="Calibri" w:hAnsi="Calibri" w:cstheme="minorHAnsi"/>
              </w:rPr>
            </w:pPr>
            <w:r>
              <w:rPr>
                <w:rFonts w:ascii="Calibri" w:hAnsi="Calibri" w:cstheme="minorHAnsi"/>
              </w:rPr>
              <w:t>Opportunities for contribution by progressive feminist organisations</w:t>
            </w:r>
          </w:p>
        </w:tc>
        <w:tc>
          <w:tcPr>
            <w:tcW w:w="1092" w:type="dxa"/>
            <w:shd w:val="clear" w:color="auto" w:fill="auto"/>
          </w:tcPr>
          <w:p w14:paraId="2D1DF1E9" w14:textId="076FDAAE" w:rsidR="00A1468C" w:rsidRPr="00212369" w:rsidRDefault="00A1468C" w:rsidP="003F1157">
            <w:pPr>
              <w:jc w:val="center"/>
              <w:cnfStyle w:val="000000100000" w:firstRow="0" w:lastRow="0" w:firstColumn="0" w:lastColumn="0" w:oddVBand="0" w:evenVBand="0" w:oddHBand="1" w:evenHBand="0" w:firstRowFirstColumn="0" w:firstRowLastColumn="0" w:lastRowFirstColumn="0" w:lastRowLastColumn="0"/>
              <w:rPr>
                <w:rFonts w:cstheme="minorHAnsi"/>
                <w:b/>
                <w:bCs/>
                <w:color w:val="auto"/>
                <w:lang w:val="en-AU"/>
              </w:rPr>
            </w:pPr>
            <w:r>
              <w:rPr>
                <w:rFonts w:cstheme="minorHAnsi"/>
                <w:b/>
                <w:bCs/>
                <w:color w:val="auto"/>
                <w:lang w:val="en-AU"/>
              </w:rPr>
              <w:lastRenderedPageBreak/>
              <w:t>Agree</w:t>
            </w:r>
          </w:p>
        </w:tc>
        <w:tc>
          <w:tcPr>
            <w:tcW w:w="6562" w:type="dxa"/>
            <w:shd w:val="clear" w:color="auto" w:fill="auto"/>
          </w:tcPr>
          <w:p w14:paraId="7A6AD059" w14:textId="4A3D4E61" w:rsidR="00A1468C" w:rsidRDefault="00A1468C" w:rsidP="003F1157">
            <w:pPr>
              <w:cnfStyle w:val="000000100000" w:firstRow="0" w:lastRow="0" w:firstColumn="0" w:lastColumn="0" w:oddVBand="0" w:evenVBand="0" w:oddHBand="1" w:evenHBand="0" w:firstRowFirstColumn="0" w:firstRowLastColumn="0" w:lastRowFirstColumn="0" w:lastRowLastColumn="0"/>
              <w:rPr>
                <w:rFonts w:cstheme="minorHAnsi"/>
                <w:color w:val="auto"/>
                <w:lang w:val="en-AU"/>
              </w:rPr>
            </w:pPr>
            <w:r>
              <w:rPr>
                <w:rFonts w:cstheme="minorHAnsi"/>
                <w:color w:val="auto"/>
                <w:lang w:val="en-AU"/>
              </w:rPr>
              <w:t>Working with traditional women’s organisations is done in a sensitive manner with full consultation.  It is a two-way process and a do no harm approach is used so that entry points for WASH are mutually identified.</w:t>
            </w:r>
          </w:p>
          <w:p w14:paraId="2CF4C6DE" w14:textId="042128D7" w:rsidR="00A1468C" w:rsidRDefault="00A1468C" w:rsidP="003F1157">
            <w:pPr>
              <w:cnfStyle w:val="000000100000" w:firstRow="0" w:lastRow="0" w:firstColumn="0" w:lastColumn="0" w:oddVBand="0" w:evenVBand="0" w:oddHBand="1" w:evenHBand="0" w:firstRowFirstColumn="0" w:firstRowLastColumn="0" w:lastRowFirstColumn="0" w:lastRowLastColumn="0"/>
              <w:rPr>
                <w:rFonts w:cstheme="minorHAnsi"/>
                <w:color w:val="auto"/>
                <w:lang w:val="en-AU"/>
              </w:rPr>
            </w:pPr>
            <w:r>
              <w:rPr>
                <w:rFonts w:cstheme="minorHAnsi"/>
                <w:color w:val="auto"/>
                <w:lang w:val="en-AU"/>
              </w:rPr>
              <w:lastRenderedPageBreak/>
              <w:t>DPOs tend to be male-</w:t>
            </w:r>
            <w:proofErr w:type="gramStart"/>
            <w:r>
              <w:rPr>
                <w:rFonts w:cstheme="minorHAnsi"/>
                <w:color w:val="auto"/>
                <w:lang w:val="en-AU"/>
              </w:rPr>
              <w:t>centric</w:t>
            </w:r>
            <w:proofErr w:type="gramEnd"/>
            <w:r>
              <w:rPr>
                <w:rFonts w:cstheme="minorHAnsi"/>
                <w:color w:val="auto"/>
                <w:lang w:val="en-AU"/>
              </w:rPr>
              <w:t xml:space="preserve"> and this is taken into account in capacity building. Their capacity development is done in a highly consultative manner. The Fund ran a disability / WASH workshop that examined all the issues identified by the reviewer and shared approaches among Fund partners.</w:t>
            </w:r>
          </w:p>
          <w:p w14:paraId="07287F80" w14:textId="7002547F" w:rsidR="00A1468C" w:rsidRDefault="00A1468C" w:rsidP="003F1157">
            <w:pPr>
              <w:cnfStyle w:val="000000100000" w:firstRow="0" w:lastRow="0" w:firstColumn="0" w:lastColumn="0" w:oddVBand="0" w:evenVBand="0" w:oddHBand="1" w:evenHBand="0" w:firstRowFirstColumn="0" w:firstRowLastColumn="0" w:lastRowFirstColumn="0" w:lastRowLastColumn="0"/>
              <w:rPr>
                <w:rFonts w:cstheme="minorHAnsi"/>
                <w:color w:val="auto"/>
                <w:lang w:val="en-AU"/>
              </w:rPr>
            </w:pPr>
            <w:r>
              <w:rPr>
                <w:rFonts w:cstheme="minorHAnsi"/>
                <w:color w:val="auto"/>
                <w:lang w:val="en-AU"/>
              </w:rPr>
              <w:t>Washington Group short set questions are being used but are complemented by other qualitative approaches to broaden the scope of consultation and analysis and include issues such as barriers, barrier removal, participation and access.</w:t>
            </w:r>
          </w:p>
          <w:p w14:paraId="2B308D64" w14:textId="77777777" w:rsidR="00A1468C" w:rsidRDefault="00A1468C" w:rsidP="003F1157">
            <w:pPr>
              <w:cnfStyle w:val="000000100000" w:firstRow="0" w:lastRow="0" w:firstColumn="0" w:lastColumn="0" w:oddVBand="0" w:evenVBand="0" w:oddHBand="1" w:evenHBand="0" w:firstRowFirstColumn="0" w:firstRowLastColumn="0" w:lastRowFirstColumn="0" w:lastRowLastColumn="0"/>
              <w:rPr>
                <w:rFonts w:cstheme="minorHAnsi"/>
                <w:color w:val="auto"/>
                <w:lang w:val="en-AU"/>
              </w:rPr>
            </w:pPr>
            <w:r>
              <w:rPr>
                <w:rFonts w:cstheme="minorHAnsi"/>
                <w:color w:val="auto"/>
                <w:lang w:val="en-AU"/>
              </w:rPr>
              <w:t>Projects work with a wide range of women’s organisations. Partners are encouraged and supported to engage with progressive feminist organisations.  Where possible, issues of intersectionality are addressed such as in engagement with DPOs on gender equality.</w:t>
            </w:r>
          </w:p>
          <w:p w14:paraId="2311F298" w14:textId="33F29A62" w:rsidR="00A1468C" w:rsidRDefault="00A1468C" w:rsidP="003F1157">
            <w:pPr>
              <w:cnfStyle w:val="000000100000" w:firstRow="0" w:lastRow="0" w:firstColumn="0" w:lastColumn="0" w:oddVBand="0" w:evenVBand="0" w:oddHBand="1" w:evenHBand="0" w:firstRowFirstColumn="0" w:firstRowLastColumn="0" w:lastRowFirstColumn="0" w:lastRowLastColumn="0"/>
              <w:rPr>
                <w:rFonts w:cstheme="minorHAnsi"/>
                <w:color w:val="auto"/>
                <w:lang w:val="en-AU"/>
              </w:rPr>
            </w:pPr>
            <w:r>
              <w:rPr>
                <w:rFonts w:cstheme="minorHAnsi"/>
                <w:color w:val="auto"/>
                <w:lang w:val="en-AU"/>
              </w:rPr>
              <w:t>There is also a focus to encourage networking between RHOs, DPOs and women’s organisations (</w:t>
            </w:r>
            <w:proofErr w:type="spellStart"/>
            <w:proofErr w:type="gramStart"/>
            <w:r>
              <w:rPr>
                <w:rFonts w:cstheme="minorHAnsi"/>
                <w:color w:val="auto"/>
                <w:lang w:val="en-AU"/>
              </w:rPr>
              <w:t>eg</w:t>
            </w:r>
            <w:proofErr w:type="spellEnd"/>
            <w:proofErr w:type="gramEnd"/>
            <w:r>
              <w:rPr>
                <w:rFonts w:cstheme="minorHAnsi"/>
                <w:color w:val="auto"/>
                <w:lang w:val="en-AU"/>
              </w:rPr>
              <w:t xml:space="preserve"> SNV Bhutan and ISF research project in Indonesia and Timor-Leste). This partly addresses issues of intersectionality.</w:t>
            </w:r>
          </w:p>
          <w:p w14:paraId="64830772" w14:textId="68456B96" w:rsidR="00A1468C" w:rsidRPr="00212369" w:rsidRDefault="00A1468C" w:rsidP="003F1157">
            <w:pPr>
              <w:cnfStyle w:val="000000100000" w:firstRow="0" w:lastRow="0" w:firstColumn="0" w:lastColumn="0" w:oddVBand="0" w:evenVBand="0" w:oddHBand="1" w:evenHBand="0" w:firstRowFirstColumn="0" w:firstRowLastColumn="0" w:lastRowFirstColumn="0" w:lastRowLastColumn="0"/>
              <w:rPr>
                <w:rFonts w:cstheme="minorHAnsi"/>
                <w:color w:val="auto"/>
                <w:lang w:val="en-AU"/>
              </w:rPr>
            </w:pPr>
            <w:r>
              <w:rPr>
                <w:rFonts w:cstheme="minorHAnsi"/>
                <w:color w:val="auto"/>
                <w:lang w:val="en-AU"/>
              </w:rPr>
              <w:t>SNV Lao and IRC Pakistan and other projects work in areas with larger representation of ethnic and religious minority women.</w:t>
            </w:r>
          </w:p>
        </w:tc>
        <w:tc>
          <w:tcPr>
            <w:tcW w:w="992" w:type="dxa"/>
            <w:shd w:val="clear" w:color="auto" w:fill="auto"/>
          </w:tcPr>
          <w:p w14:paraId="11C19F1F" w14:textId="1F9DA0C8" w:rsidR="00A1468C" w:rsidRPr="00212369" w:rsidRDefault="008D6419" w:rsidP="003F1157">
            <w:pPr>
              <w:cnfStyle w:val="000000100000" w:firstRow="0" w:lastRow="0" w:firstColumn="0" w:lastColumn="0" w:oddVBand="0" w:evenVBand="0" w:oddHBand="1" w:evenHBand="0" w:firstRowFirstColumn="0" w:firstRowLastColumn="0" w:lastRowFirstColumn="0" w:lastRowLastColumn="0"/>
              <w:rPr>
                <w:rFonts w:cstheme="minorHAnsi"/>
                <w:color w:val="auto"/>
                <w:lang w:val="en-AU"/>
              </w:rPr>
            </w:pPr>
            <w:r>
              <w:rPr>
                <w:rFonts w:cstheme="minorHAnsi"/>
                <w:color w:val="auto"/>
                <w:lang w:val="en-AU"/>
              </w:rPr>
              <w:lastRenderedPageBreak/>
              <w:t>Ongoing</w:t>
            </w:r>
          </w:p>
        </w:tc>
      </w:tr>
      <w:tr w:rsidR="00A1468C" w:rsidRPr="004F798E" w14:paraId="13966907" w14:textId="77777777" w:rsidTr="00A146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2D6C1172" w14:textId="77777777" w:rsidR="00A1468C" w:rsidRPr="008E35BE" w:rsidRDefault="00A1468C" w:rsidP="003F1157">
            <w:pPr>
              <w:rPr>
                <w:rFonts w:asciiTheme="minorHAnsi" w:hAnsiTheme="minorHAnsi" w:cstheme="minorHAnsi"/>
                <w:b/>
                <w:bCs/>
                <w:color w:val="auto"/>
                <w:lang w:val="en-AU"/>
              </w:rPr>
            </w:pPr>
            <w:r w:rsidRPr="008E35BE">
              <w:rPr>
                <w:rFonts w:asciiTheme="minorHAnsi" w:hAnsiTheme="minorHAnsi" w:cstheme="minorHAnsi"/>
                <w:b/>
                <w:bCs/>
                <w:color w:val="auto"/>
                <w:lang w:val="en-AU"/>
              </w:rPr>
              <w:t>Social and gender norms</w:t>
            </w:r>
          </w:p>
          <w:p w14:paraId="59A12FAC" w14:textId="77777777" w:rsidR="00A1468C" w:rsidRPr="008E35BE" w:rsidRDefault="00A1468C" w:rsidP="00A15B30">
            <w:pPr>
              <w:pStyle w:val="ListParagraph"/>
              <w:numPr>
                <w:ilvl w:val="0"/>
                <w:numId w:val="5"/>
              </w:numPr>
              <w:rPr>
                <w:rFonts w:asciiTheme="minorHAnsi" w:hAnsiTheme="minorHAnsi" w:cstheme="minorHAnsi"/>
              </w:rPr>
            </w:pPr>
            <w:r w:rsidRPr="008E35BE">
              <w:rPr>
                <w:rFonts w:asciiTheme="minorHAnsi" w:hAnsiTheme="minorHAnsi" w:cstheme="minorHAnsi"/>
              </w:rPr>
              <w:t>Develop a gender and social norms framework for WASH</w:t>
            </w:r>
          </w:p>
          <w:p w14:paraId="17AECC81" w14:textId="77777777" w:rsidR="00A1468C" w:rsidRPr="008E35BE" w:rsidRDefault="00A1468C" w:rsidP="00A15B30">
            <w:pPr>
              <w:pStyle w:val="ListParagraph"/>
              <w:numPr>
                <w:ilvl w:val="0"/>
                <w:numId w:val="5"/>
              </w:numPr>
              <w:rPr>
                <w:rFonts w:asciiTheme="minorHAnsi" w:hAnsiTheme="minorHAnsi" w:cstheme="minorHAnsi"/>
              </w:rPr>
            </w:pPr>
            <w:r w:rsidRPr="008E35BE">
              <w:rPr>
                <w:rFonts w:asciiTheme="minorHAnsi" w:hAnsiTheme="minorHAnsi" w:cstheme="minorHAnsi"/>
              </w:rPr>
              <w:t>Provide guidance on strategies that can be used to influence norms</w:t>
            </w:r>
          </w:p>
          <w:p w14:paraId="3D7003CC" w14:textId="6AB36690" w:rsidR="00A1468C" w:rsidRPr="008E35BE" w:rsidRDefault="00A1468C" w:rsidP="003F1157">
            <w:pPr>
              <w:pStyle w:val="ListParagraph"/>
              <w:numPr>
                <w:ilvl w:val="0"/>
                <w:numId w:val="5"/>
              </w:numPr>
              <w:rPr>
                <w:rFonts w:asciiTheme="minorHAnsi" w:hAnsiTheme="minorHAnsi" w:cstheme="minorHAnsi"/>
              </w:rPr>
            </w:pPr>
            <w:r w:rsidRPr="008E35BE">
              <w:rPr>
                <w:rFonts w:asciiTheme="minorHAnsi" w:hAnsiTheme="minorHAnsi" w:cstheme="minorHAnsi"/>
              </w:rPr>
              <w:t>Adopt a monitoring system that can be used across WfW projects and that will help identify successful strategies (the WASH-GEM framework may be the basis of this).</w:t>
            </w:r>
          </w:p>
        </w:tc>
        <w:tc>
          <w:tcPr>
            <w:tcW w:w="1092" w:type="dxa"/>
            <w:shd w:val="clear" w:color="auto" w:fill="auto"/>
          </w:tcPr>
          <w:p w14:paraId="0D4E741E" w14:textId="040BACEF" w:rsidR="00A1468C" w:rsidRPr="00212369" w:rsidRDefault="00A1468C" w:rsidP="003F1157">
            <w:pPr>
              <w:jc w:val="center"/>
              <w:cnfStyle w:val="000000010000" w:firstRow="0" w:lastRow="0" w:firstColumn="0" w:lastColumn="0" w:oddVBand="0" w:evenVBand="0" w:oddHBand="0" w:evenHBand="1" w:firstRowFirstColumn="0" w:firstRowLastColumn="0" w:lastRowFirstColumn="0" w:lastRowLastColumn="0"/>
              <w:rPr>
                <w:rFonts w:cstheme="minorHAnsi"/>
                <w:b/>
                <w:bCs/>
                <w:color w:val="auto"/>
                <w:lang w:val="en-AU"/>
              </w:rPr>
            </w:pPr>
            <w:r>
              <w:rPr>
                <w:rFonts w:cstheme="minorHAnsi"/>
                <w:b/>
                <w:bCs/>
                <w:color w:val="auto"/>
                <w:lang w:val="en-AU"/>
              </w:rPr>
              <w:t>Agree</w:t>
            </w:r>
          </w:p>
        </w:tc>
        <w:tc>
          <w:tcPr>
            <w:tcW w:w="6562" w:type="dxa"/>
            <w:shd w:val="clear" w:color="auto" w:fill="auto"/>
          </w:tcPr>
          <w:p w14:paraId="66FDDE50" w14:textId="32B91DA6" w:rsidR="00A1468C" w:rsidRPr="00212369" w:rsidRDefault="00A1468C" w:rsidP="003F1157">
            <w:pPr>
              <w:cnfStyle w:val="000000010000" w:firstRow="0" w:lastRow="0" w:firstColumn="0" w:lastColumn="0" w:oddVBand="0" w:evenVBand="0" w:oddHBand="0" w:evenHBand="1" w:firstRowFirstColumn="0" w:firstRowLastColumn="0" w:lastRowFirstColumn="0" w:lastRowLastColumn="0"/>
              <w:rPr>
                <w:rFonts w:cstheme="minorHAnsi"/>
                <w:color w:val="auto"/>
                <w:lang w:val="en-AU"/>
              </w:rPr>
            </w:pPr>
            <w:r>
              <w:rPr>
                <w:rFonts w:cstheme="minorHAnsi"/>
                <w:color w:val="auto"/>
                <w:lang w:val="en-AU"/>
              </w:rPr>
              <w:t>The Fund Partnership Group has agreed to develop a gender and social norms framework and GHD will engage Gillian Brown to assist.  This will include work on broad indicators that will help build the evidence and guidance on strategies that best influence norms.</w:t>
            </w:r>
          </w:p>
        </w:tc>
        <w:tc>
          <w:tcPr>
            <w:tcW w:w="992" w:type="dxa"/>
            <w:shd w:val="clear" w:color="auto" w:fill="auto"/>
          </w:tcPr>
          <w:p w14:paraId="34469A33" w14:textId="73C6A30C" w:rsidR="00A1468C" w:rsidRPr="00212369" w:rsidRDefault="008D6419" w:rsidP="003F1157">
            <w:pPr>
              <w:cnfStyle w:val="000000010000" w:firstRow="0" w:lastRow="0" w:firstColumn="0" w:lastColumn="0" w:oddVBand="0" w:evenVBand="0" w:oddHBand="0" w:evenHBand="1" w:firstRowFirstColumn="0" w:firstRowLastColumn="0" w:lastRowFirstColumn="0" w:lastRowLastColumn="0"/>
              <w:rPr>
                <w:rFonts w:cstheme="minorHAnsi"/>
                <w:color w:val="auto"/>
                <w:lang w:val="en-AU"/>
              </w:rPr>
            </w:pPr>
            <w:r>
              <w:rPr>
                <w:rFonts w:cstheme="minorHAnsi"/>
                <w:color w:val="auto"/>
                <w:lang w:val="en-AU"/>
              </w:rPr>
              <w:t>Ongoing</w:t>
            </w:r>
          </w:p>
        </w:tc>
      </w:tr>
      <w:tr w:rsidR="00A1468C" w:rsidRPr="004F798E" w14:paraId="71EB558C" w14:textId="77777777" w:rsidTr="00A14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05167AF9" w14:textId="77777777" w:rsidR="00A1468C" w:rsidRPr="008E35BE" w:rsidRDefault="00A1468C" w:rsidP="003F1157">
            <w:pPr>
              <w:rPr>
                <w:rFonts w:asciiTheme="minorHAnsi" w:hAnsiTheme="minorHAnsi" w:cstheme="minorHAnsi"/>
                <w:b/>
                <w:bCs/>
                <w:color w:val="auto"/>
                <w:lang w:val="en-AU"/>
              </w:rPr>
            </w:pPr>
            <w:r w:rsidRPr="008E35BE">
              <w:rPr>
                <w:rFonts w:asciiTheme="minorHAnsi" w:hAnsiTheme="minorHAnsi" w:cstheme="minorHAnsi"/>
                <w:b/>
                <w:bCs/>
                <w:color w:val="auto"/>
                <w:lang w:val="en-AU"/>
              </w:rPr>
              <w:lastRenderedPageBreak/>
              <w:t>Transformation and empowerment of people with disabilities</w:t>
            </w:r>
          </w:p>
          <w:p w14:paraId="7BB4E94A" w14:textId="4BD8371E" w:rsidR="00A1468C" w:rsidRPr="008E35BE" w:rsidRDefault="00A1468C" w:rsidP="003F1157">
            <w:pPr>
              <w:rPr>
                <w:rFonts w:asciiTheme="minorHAnsi" w:hAnsiTheme="minorHAnsi" w:cstheme="minorHAnsi"/>
                <w:color w:val="auto"/>
              </w:rPr>
            </w:pPr>
            <w:r w:rsidRPr="008E35BE">
              <w:rPr>
                <w:rFonts w:asciiTheme="minorHAnsi" w:hAnsiTheme="minorHAnsi" w:cstheme="minorHAnsi"/>
                <w:color w:val="auto"/>
              </w:rPr>
              <w:t xml:space="preserve">Initiate a dialogue with CBM as to whether it would be useful to develop a framework </w:t>
            </w:r>
            <w:proofErr w:type="gramStart"/>
            <w:r w:rsidRPr="008E35BE">
              <w:rPr>
                <w:rFonts w:asciiTheme="minorHAnsi" w:hAnsiTheme="minorHAnsi" w:cstheme="minorHAnsi"/>
                <w:color w:val="auto"/>
              </w:rPr>
              <w:t>similar to</w:t>
            </w:r>
            <w:proofErr w:type="gramEnd"/>
            <w:r w:rsidRPr="008E35BE">
              <w:rPr>
                <w:rFonts w:asciiTheme="minorHAnsi" w:hAnsiTheme="minorHAnsi" w:cstheme="minorHAnsi"/>
                <w:color w:val="auto"/>
              </w:rPr>
              <w:t xml:space="preserve"> the WASH-GEM framework on transformation and empowerment of people with disabilities and how best to involve partners.</w:t>
            </w:r>
          </w:p>
        </w:tc>
        <w:tc>
          <w:tcPr>
            <w:tcW w:w="1092" w:type="dxa"/>
            <w:shd w:val="clear" w:color="auto" w:fill="auto"/>
          </w:tcPr>
          <w:p w14:paraId="6666ACF3" w14:textId="2E2A2A38" w:rsidR="00A1468C" w:rsidRPr="00212369" w:rsidRDefault="00A1468C" w:rsidP="003F1157">
            <w:pPr>
              <w:jc w:val="center"/>
              <w:cnfStyle w:val="000000100000" w:firstRow="0" w:lastRow="0" w:firstColumn="0" w:lastColumn="0" w:oddVBand="0" w:evenVBand="0" w:oddHBand="1" w:evenHBand="0" w:firstRowFirstColumn="0" w:firstRowLastColumn="0" w:lastRowFirstColumn="0" w:lastRowLastColumn="0"/>
              <w:rPr>
                <w:rFonts w:cstheme="minorHAnsi"/>
                <w:b/>
                <w:bCs/>
                <w:color w:val="auto"/>
                <w:lang w:val="en-AU"/>
              </w:rPr>
            </w:pPr>
            <w:r>
              <w:rPr>
                <w:rFonts w:cstheme="minorHAnsi"/>
                <w:b/>
                <w:bCs/>
                <w:color w:val="auto"/>
                <w:lang w:val="en-AU"/>
              </w:rPr>
              <w:t>Agree</w:t>
            </w:r>
          </w:p>
        </w:tc>
        <w:tc>
          <w:tcPr>
            <w:tcW w:w="6562" w:type="dxa"/>
            <w:shd w:val="clear" w:color="auto" w:fill="auto"/>
          </w:tcPr>
          <w:p w14:paraId="55F27630" w14:textId="2F26F3A2" w:rsidR="00A1468C" w:rsidRPr="00212369" w:rsidRDefault="00A1468C" w:rsidP="003F1157">
            <w:pPr>
              <w:cnfStyle w:val="000000100000" w:firstRow="0" w:lastRow="0" w:firstColumn="0" w:lastColumn="0" w:oddVBand="0" w:evenVBand="0" w:oddHBand="1" w:evenHBand="0" w:firstRowFirstColumn="0" w:firstRowLastColumn="0" w:lastRowFirstColumn="0" w:lastRowLastColumn="0"/>
              <w:rPr>
                <w:rFonts w:cstheme="minorHAnsi"/>
                <w:color w:val="auto"/>
                <w:lang w:val="en-AU"/>
              </w:rPr>
            </w:pPr>
            <w:r>
              <w:rPr>
                <w:rFonts w:cstheme="minorHAnsi"/>
                <w:color w:val="auto"/>
                <w:lang w:val="en-AU"/>
              </w:rPr>
              <w:t>This is being explored with CBM with the possibility that such a framework be developed in an extension phase.</w:t>
            </w:r>
          </w:p>
        </w:tc>
        <w:tc>
          <w:tcPr>
            <w:tcW w:w="992" w:type="dxa"/>
            <w:shd w:val="clear" w:color="auto" w:fill="auto"/>
          </w:tcPr>
          <w:p w14:paraId="51ACEC1F" w14:textId="68140330" w:rsidR="00A1468C" w:rsidRPr="00212369" w:rsidRDefault="008D6419" w:rsidP="003F1157">
            <w:pPr>
              <w:cnfStyle w:val="000000100000" w:firstRow="0" w:lastRow="0" w:firstColumn="0" w:lastColumn="0" w:oddVBand="0" w:evenVBand="0" w:oddHBand="1" w:evenHBand="0" w:firstRowFirstColumn="0" w:firstRowLastColumn="0" w:lastRowFirstColumn="0" w:lastRowLastColumn="0"/>
              <w:rPr>
                <w:rFonts w:cstheme="minorHAnsi"/>
                <w:color w:val="auto"/>
                <w:lang w:val="en-AU"/>
              </w:rPr>
            </w:pPr>
            <w:r>
              <w:rPr>
                <w:rFonts w:cstheme="minorHAnsi"/>
                <w:color w:val="auto"/>
                <w:lang w:val="en-AU"/>
              </w:rPr>
              <w:t>Ongoing</w:t>
            </w:r>
          </w:p>
        </w:tc>
      </w:tr>
      <w:tr w:rsidR="00A1468C" w:rsidRPr="004F798E" w14:paraId="75FDBF60" w14:textId="77777777" w:rsidTr="00A146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tcPr>
          <w:p w14:paraId="0748CF32" w14:textId="77777777" w:rsidR="00A1468C" w:rsidRPr="008E35BE" w:rsidRDefault="00A1468C" w:rsidP="003F1157">
            <w:pPr>
              <w:rPr>
                <w:rFonts w:cstheme="minorHAnsi"/>
                <w:b/>
                <w:bCs/>
                <w:color w:val="auto"/>
                <w:lang w:val="en-AU"/>
              </w:rPr>
            </w:pPr>
            <w:r w:rsidRPr="008E35BE">
              <w:rPr>
                <w:rFonts w:cstheme="minorHAnsi"/>
                <w:b/>
                <w:bCs/>
                <w:color w:val="auto"/>
                <w:lang w:val="en-AU"/>
              </w:rPr>
              <w:t>Managing knowledge</w:t>
            </w:r>
          </w:p>
          <w:p w14:paraId="5B73D11A" w14:textId="505441F0" w:rsidR="00A1468C" w:rsidRPr="008E35BE" w:rsidRDefault="00A1468C" w:rsidP="00E327BC">
            <w:pPr>
              <w:rPr>
                <w:color w:val="auto"/>
              </w:rPr>
            </w:pPr>
            <w:r w:rsidRPr="008E35BE">
              <w:rPr>
                <w:color w:val="auto"/>
              </w:rPr>
              <w:t>If not already scheduled, plan an in-depth review of the Stories of Transformation once enough have been collected to allow this.</w:t>
            </w:r>
          </w:p>
          <w:p w14:paraId="19DD0BE2" w14:textId="4A7861B2" w:rsidR="00A1468C" w:rsidRPr="008E35BE" w:rsidRDefault="00A1468C" w:rsidP="003F1157">
            <w:pPr>
              <w:rPr>
                <w:rFonts w:cstheme="minorHAnsi"/>
                <w:b/>
                <w:bCs/>
                <w:color w:val="auto"/>
                <w:lang w:val="en-AU"/>
              </w:rPr>
            </w:pPr>
          </w:p>
        </w:tc>
        <w:tc>
          <w:tcPr>
            <w:tcW w:w="1092" w:type="dxa"/>
            <w:shd w:val="clear" w:color="auto" w:fill="auto"/>
          </w:tcPr>
          <w:p w14:paraId="501D98AB" w14:textId="1C788575" w:rsidR="00A1468C" w:rsidRPr="00212369" w:rsidRDefault="00A1468C" w:rsidP="003F1157">
            <w:pPr>
              <w:jc w:val="center"/>
              <w:cnfStyle w:val="000000010000" w:firstRow="0" w:lastRow="0" w:firstColumn="0" w:lastColumn="0" w:oddVBand="0" w:evenVBand="0" w:oddHBand="0" w:evenHBand="1" w:firstRowFirstColumn="0" w:firstRowLastColumn="0" w:lastRowFirstColumn="0" w:lastRowLastColumn="0"/>
              <w:rPr>
                <w:rFonts w:cstheme="minorHAnsi"/>
                <w:b/>
                <w:bCs/>
                <w:color w:val="auto"/>
                <w:lang w:val="en-AU"/>
              </w:rPr>
            </w:pPr>
            <w:r>
              <w:rPr>
                <w:rFonts w:cstheme="minorHAnsi"/>
                <w:b/>
                <w:bCs/>
                <w:color w:val="auto"/>
                <w:lang w:val="en-AU"/>
              </w:rPr>
              <w:t>Agree</w:t>
            </w:r>
          </w:p>
        </w:tc>
        <w:tc>
          <w:tcPr>
            <w:tcW w:w="6562" w:type="dxa"/>
            <w:shd w:val="clear" w:color="auto" w:fill="auto"/>
          </w:tcPr>
          <w:p w14:paraId="79F9A115" w14:textId="77777777" w:rsidR="00A1468C" w:rsidRDefault="00A1468C" w:rsidP="003F1157">
            <w:pPr>
              <w:cnfStyle w:val="000000010000" w:firstRow="0" w:lastRow="0" w:firstColumn="0" w:lastColumn="0" w:oddVBand="0" w:evenVBand="0" w:oddHBand="0" w:evenHBand="1" w:firstRowFirstColumn="0" w:firstRowLastColumn="0" w:lastRowFirstColumn="0" w:lastRowLastColumn="0"/>
              <w:rPr>
                <w:rFonts w:cstheme="minorHAnsi"/>
                <w:color w:val="auto"/>
                <w:lang w:val="en-AU"/>
              </w:rPr>
            </w:pPr>
            <w:r>
              <w:rPr>
                <w:rFonts w:cstheme="minorHAnsi"/>
                <w:color w:val="auto"/>
                <w:lang w:val="en-AU"/>
              </w:rPr>
              <w:t>Stories of Transformation have been collated and reviewed. Results have been reported in the annual progress report and will continue in future progress reports.</w:t>
            </w:r>
          </w:p>
          <w:p w14:paraId="58E90144" w14:textId="2DD244DA" w:rsidR="00A1468C" w:rsidRPr="00212369" w:rsidRDefault="00A1468C" w:rsidP="003F1157">
            <w:pPr>
              <w:cnfStyle w:val="000000010000" w:firstRow="0" w:lastRow="0" w:firstColumn="0" w:lastColumn="0" w:oddVBand="0" w:evenVBand="0" w:oddHBand="0" w:evenHBand="1" w:firstRowFirstColumn="0" w:firstRowLastColumn="0" w:lastRowFirstColumn="0" w:lastRowLastColumn="0"/>
              <w:rPr>
                <w:rFonts w:cstheme="minorHAnsi"/>
                <w:color w:val="auto"/>
                <w:lang w:val="en-AU"/>
              </w:rPr>
            </w:pPr>
            <w:r>
              <w:rPr>
                <w:rFonts w:cstheme="minorHAnsi"/>
                <w:color w:val="auto"/>
                <w:lang w:val="en-AU"/>
              </w:rPr>
              <w:t xml:space="preserve">Climate resilience will become more important as an area of interest in GESI work across the Fund. </w:t>
            </w:r>
          </w:p>
        </w:tc>
        <w:tc>
          <w:tcPr>
            <w:tcW w:w="992" w:type="dxa"/>
            <w:shd w:val="clear" w:color="auto" w:fill="auto"/>
          </w:tcPr>
          <w:p w14:paraId="7DE28463" w14:textId="70E3A4B3" w:rsidR="00A1468C" w:rsidRPr="00212369" w:rsidRDefault="008D6419" w:rsidP="003F1157">
            <w:pPr>
              <w:cnfStyle w:val="000000010000" w:firstRow="0" w:lastRow="0" w:firstColumn="0" w:lastColumn="0" w:oddVBand="0" w:evenVBand="0" w:oddHBand="0" w:evenHBand="1" w:firstRowFirstColumn="0" w:firstRowLastColumn="0" w:lastRowFirstColumn="0" w:lastRowLastColumn="0"/>
              <w:rPr>
                <w:rFonts w:cstheme="minorHAnsi"/>
                <w:color w:val="auto"/>
                <w:lang w:val="en-AU"/>
              </w:rPr>
            </w:pPr>
            <w:r>
              <w:rPr>
                <w:rFonts w:cstheme="minorHAnsi"/>
                <w:color w:val="auto"/>
                <w:lang w:val="en-AU"/>
              </w:rPr>
              <w:t>Done</w:t>
            </w:r>
          </w:p>
        </w:tc>
      </w:tr>
      <w:bookmarkEnd w:id="0"/>
    </w:tbl>
    <w:p w14:paraId="5B1A6164" w14:textId="77777777" w:rsidR="00271AF2" w:rsidRDefault="00271AF2" w:rsidP="00A1468C"/>
    <w:sectPr w:rsidR="00271AF2" w:rsidSect="00271AF2">
      <w:pgSz w:w="16838" w:h="11906" w:orient="landscape" w:code="9"/>
      <w:pgMar w:top="1134" w:right="1701" w:bottom="1134" w:left="1985"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03F16" w14:textId="77777777" w:rsidR="00C61CC3" w:rsidRDefault="00C61CC3" w:rsidP="00271AF2">
      <w:pPr>
        <w:spacing w:before="0" w:after="0" w:line="240" w:lineRule="auto"/>
      </w:pPr>
      <w:r>
        <w:separator/>
      </w:r>
    </w:p>
  </w:endnote>
  <w:endnote w:type="continuationSeparator" w:id="0">
    <w:p w14:paraId="2989448E" w14:textId="77777777" w:rsidR="00C61CC3" w:rsidRDefault="00C61CC3" w:rsidP="00271AF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65A6D" w14:textId="77777777" w:rsidR="00C61CC3" w:rsidRDefault="00C61CC3" w:rsidP="00271AF2">
      <w:pPr>
        <w:spacing w:before="0" w:after="0" w:line="240" w:lineRule="auto"/>
      </w:pPr>
      <w:r>
        <w:separator/>
      </w:r>
    </w:p>
  </w:footnote>
  <w:footnote w:type="continuationSeparator" w:id="0">
    <w:p w14:paraId="18935857" w14:textId="77777777" w:rsidR="00C61CC3" w:rsidRDefault="00C61CC3" w:rsidP="00271AF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23F99"/>
    <w:multiLevelType w:val="hybridMultilevel"/>
    <w:tmpl w:val="0EB0F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9B25AE"/>
    <w:multiLevelType w:val="hybridMultilevel"/>
    <w:tmpl w:val="9B243D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C057623"/>
    <w:multiLevelType w:val="hybridMultilevel"/>
    <w:tmpl w:val="C018F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B7C2B17"/>
    <w:multiLevelType w:val="hybridMultilevel"/>
    <w:tmpl w:val="142A1252"/>
    <w:lvl w:ilvl="0" w:tplc="81366DA0">
      <w:start w:val="1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BFE2668"/>
    <w:multiLevelType w:val="hybridMultilevel"/>
    <w:tmpl w:val="1A826A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DA90D43"/>
    <w:multiLevelType w:val="hybridMultilevel"/>
    <w:tmpl w:val="FF089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56043A"/>
    <w:multiLevelType w:val="multilevel"/>
    <w:tmpl w:val="69AEB596"/>
    <w:numStyleLink w:val="BulletsList"/>
  </w:abstractNum>
  <w:abstractNum w:abstractNumId="7" w15:restartNumberingAfterBreak="0">
    <w:nsid w:val="65594833"/>
    <w:multiLevelType w:val="hybridMultilevel"/>
    <w:tmpl w:val="3C8E7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107305"/>
    <w:multiLevelType w:val="multilevel"/>
    <w:tmpl w:val="69AEB596"/>
    <w:styleLink w:val="BulletsList"/>
    <w:lvl w:ilvl="0">
      <w:start w:val="1"/>
      <w:numFmt w:val="bullet"/>
      <w:pStyle w:val="Bullet1"/>
      <w:lvlText w:val=""/>
      <w:lvlJc w:val="left"/>
      <w:pPr>
        <w:tabs>
          <w:tab w:val="num" w:pos="284"/>
        </w:tabs>
        <w:ind w:left="284" w:hanging="284"/>
      </w:pPr>
      <w:rPr>
        <w:rFonts w:ascii="Symbol" w:hAnsi="Symbol" w:hint="default"/>
        <w:color w:val="4472C4" w:themeColor="accent1"/>
      </w:rPr>
    </w:lvl>
    <w:lvl w:ilvl="1">
      <w:start w:val="1"/>
      <w:numFmt w:val="bullet"/>
      <w:pStyle w:val="Bullet2"/>
      <w:lvlText w:val="–"/>
      <w:lvlJc w:val="left"/>
      <w:pPr>
        <w:tabs>
          <w:tab w:val="num" w:pos="568"/>
        </w:tabs>
        <w:ind w:left="568" w:hanging="284"/>
      </w:pPr>
      <w:rPr>
        <w:rFonts w:ascii="Arial" w:hAnsi="Arial" w:hint="default"/>
        <w:color w:val="4472C4" w:themeColor="accent1"/>
      </w:rPr>
    </w:lvl>
    <w:lvl w:ilvl="2">
      <w:start w:val="1"/>
      <w:numFmt w:val="bullet"/>
      <w:pStyle w:val="Bullet3"/>
      <w:lvlText w:val="»"/>
      <w:lvlJc w:val="left"/>
      <w:pPr>
        <w:tabs>
          <w:tab w:val="num" w:pos="852"/>
        </w:tabs>
        <w:ind w:left="852" w:hanging="285"/>
      </w:pPr>
      <w:rPr>
        <w:rFonts w:ascii="Arial" w:hAnsi="Arial" w:hint="default"/>
        <w:color w:val="4472C4"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num w:numId="1">
    <w:abstractNumId w:val="8"/>
  </w:num>
  <w:num w:numId="2">
    <w:abstractNumId w:val="6"/>
  </w:num>
  <w:num w:numId="3">
    <w:abstractNumId w:val="5"/>
  </w:num>
  <w:num w:numId="4">
    <w:abstractNumId w:val="7"/>
  </w:num>
  <w:num w:numId="5">
    <w:abstractNumId w:val="2"/>
  </w:num>
  <w:num w:numId="6">
    <w:abstractNumId w:val="1"/>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AF2"/>
    <w:rsid w:val="000204ED"/>
    <w:rsid w:val="00036759"/>
    <w:rsid w:val="00052649"/>
    <w:rsid w:val="000A4A5A"/>
    <w:rsid w:val="000D7C9D"/>
    <w:rsid w:val="000F4987"/>
    <w:rsid w:val="001109F7"/>
    <w:rsid w:val="001152BF"/>
    <w:rsid w:val="001333C8"/>
    <w:rsid w:val="001A216E"/>
    <w:rsid w:val="001B222B"/>
    <w:rsid w:val="00210694"/>
    <w:rsid w:val="00212369"/>
    <w:rsid w:val="00215206"/>
    <w:rsid w:val="0023216D"/>
    <w:rsid w:val="00257CCC"/>
    <w:rsid w:val="00267BD5"/>
    <w:rsid w:val="00271AF2"/>
    <w:rsid w:val="00297F7A"/>
    <w:rsid w:val="002D4B28"/>
    <w:rsid w:val="002F1030"/>
    <w:rsid w:val="00311EDA"/>
    <w:rsid w:val="003311ED"/>
    <w:rsid w:val="00350FBC"/>
    <w:rsid w:val="0036605F"/>
    <w:rsid w:val="00375801"/>
    <w:rsid w:val="003A28AB"/>
    <w:rsid w:val="003C439C"/>
    <w:rsid w:val="003F2BFE"/>
    <w:rsid w:val="00403C42"/>
    <w:rsid w:val="004463C8"/>
    <w:rsid w:val="004B4EB9"/>
    <w:rsid w:val="004F6232"/>
    <w:rsid w:val="004F798E"/>
    <w:rsid w:val="00560C1D"/>
    <w:rsid w:val="0059042E"/>
    <w:rsid w:val="005C0AE1"/>
    <w:rsid w:val="0062794F"/>
    <w:rsid w:val="00656C43"/>
    <w:rsid w:val="006670E5"/>
    <w:rsid w:val="00692BEB"/>
    <w:rsid w:val="006A3645"/>
    <w:rsid w:val="006B57DC"/>
    <w:rsid w:val="006B6E92"/>
    <w:rsid w:val="006D2290"/>
    <w:rsid w:val="006E3C5D"/>
    <w:rsid w:val="007233A0"/>
    <w:rsid w:val="00750B46"/>
    <w:rsid w:val="007532E6"/>
    <w:rsid w:val="007B7DED"/>
    <w:rsid w:val="007D3334"/>
    <w:rsid w:val="007E5732"/>
    <w:rsid w:val="00811264"/>
    <w:rsid w:val="0082234D"/>
    <w:rsid w:val="00825AC8"/>
    <w:rsid w:val="00847EFE"/>
    <w:rsid w:val="008545D7"/>
    <w:rsid w:val="008561A9"/>
    <w:rsid w:val="008574D1"/>
    <w:rsid w:val="0086041D"/>
    <w:rsid w:val="008D6419"/>
    <w:rsid w:val="008E35BE"/>
    <w:rsid w:val="00912204"/>
    <w:rsid w:val="00923960"/>
    <w:rsid w:val="009335F5"/>
    <w:rsid w:val="00961B03"/>
    <w:rsid w:val="0098387E"/>
    <w:rsid w:val="00991607"/>
    <w:rsid w:val="009929FD"/>
    <w:rsid w:val="009C4B14"/>
    <w:rsid w:val="009D3B4A"/>
    <w:rsid w:val="00A12126"/>
    <w:rsid w:val="00A1468C"/>
    <w:rsid w:val="00A15B30"/>
    <w:rsid w:val="00A67F02"/>
    <w:rsid w:val="00AD47FB"/>
    <w:rsid w:val="00B0736C"/>
    <w:rsid w:val="00BC141F"/>
    <w:rsid w:val="00BF3AE3"/>
    <w:rsid w:val="00C61CC3"/>
    <w:rsid w:val="00C81361"/>
    <w:rsid w:val="00C961B5"/>
    <w:rsid w:val="00CB413D"/>
    <w:rsid w:val="00CF11C3"/>
    <w:rsid w:val="00CF2825"/>
    <w:rsid w:val="00CF4B79"/>
    <w:rsid w:val="00CF665C"/>
    <w:rsid w:val="00D00F42"/>
    <w:rsid w:val="00D038A5"/>
    <w:rsid w:val="00D16D4B"/>
    <w:rsid w:val="00D21960"/>
    <w:rsid w:val="00D57AFD"/>
    <w:rsid w:val="00D75BF3"/>
    <w:rsid w:val="00D97A40"/>
    <w:rsid w:val="00E327BC"/>
    <w:rsid w:val="00E54553"/>
    <w:rsid w:val="00E57A26"/>
    <w:rsid w:val="00E67986"/>
    <w:rsid w:val="00E90F39"/>
    <w:rsid w:val="00EE6AF6"/>
    <w:rsid w:val="00F201CA"/>
    <w:rsid w:val="00F41CA6"/>
    <w:rsid w:val="00F54312"/>
    <w:rsid w:val="00F54F57"/>
    <w:rsid w:val="00F94932"/>
    <w:rsid w:val="00FE587C"/>
    <w:rsid w:val="00FF60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454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AF2"/>
    <w:pPr>
      <w:suppressAutoHyphens/>
      <w:spacing w:before="120" w:after="60" w:line="260" w:lineRule="atLeast"/>
    </w:pPr>
    <w:rPr>
      <w:color w:val="44546A" w:themeColor="text2"/>
      <w:lang w:val="en-GB"/>
    </w:rPr>
  </w:style>
  <w:style w:type="paragraph" w:styleId="Heading2">
    <w:name w:val="heading 2"/>
    <w:basedOn w:val="Normal"/>
    <w:next w:val="Normal"/>
    <w:link w:val="Heading2Char"/>
    <w:uiPriority w:val="9"/>
    <w:semiHidden/>
    <w:unhideWhenUsed/>
    <w:qFormat/>
    <w:rsid w:val="00271A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unhideWhenUsed/>
    <w:qFormat/>
    <w:rsid w:val="00271AF2"/>
    <w:pPr>
      <w:spacing w:before="480" w:after="120" w:line="360" w:lineRule="atLeast"/>
      <w:contextualSpacing/>
      <w:outlineLvl w:val="2"/>
    </w:pPr>
    <w:rPr>
      <w:bCs/>
      <w:color w:val="44546A" w:themeColor="text2"/>
      <w:sz w:val="3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71AF2"/>
    <w:rPr>
      <w:rFonts w:asciiTheme="majorHAnsi" w:eastAsiaTheme="majorEastAsia" w:hAnsiTheme="majorHAnsi" w:cstheme="majorBidi"/>
      <w:bCs/>
      <w:color w:val="44546A" w:themeColor="text2"/>
      <w:sz w:val="30"/>
      <w:szCs w:val="26"/>
    </w:rPr>
  </w:style>
  <w:style w:type="paragraph" w:customStyle="1" w:styleId="Bullet1">
    <w:name w:val="Bullet 1"/>
    <w:basedOn w:val="Normal"/>
    <w:qFormat/>
    <w:rsid w:val="00271AF2"/>
    <w:pPr>
      <w:numPr>
        <w:numId w:val="2"/>
      </w:numPr>
      <w:tabs>
        <w:tab w:val="left" w:pos="567"/>
      </w:tabs>
      <w:spacing w:before="60"/>
    </w:pPr>
  </w:style>
  <w:style w:type="paragraph" w:customStyle="1" w:styleId="Bullet2">
    <w:name w:val="Bullet 2"/>
    <w:basedOn w:val="Bullet1"/>
    <w:qFormat/>
    <w:rsid w:val="00271AF2"/>
    <w:pPr>
      <w:numPr>
        <w:ilvl w:val="1"/>
      </w:numPr>
      <w:tabs>
        <w:tab w:val="clear" w:pos="568"/>
        <w:tab w:val="left" w:pos="851"/>
      </w:tabs>
    </w:pPr>
  </w:style>
  <w:style w:type="paragraph" w:customStyle="1" w:styleId="Bullet3">
    <w:name w:val="Bullet 3"/>
    <w:basedOn w:val="Bullet2"/>
    <w:qFormat/>
    <w:rsid w:val="00271AF2"/>
    <w:pPr>
      <w:numPr>
        <w:ilvl w:val="2"/>
      </w:numPr>
      <w:tabs>
        <w:tab w:val="clear" w:pos="852"/>
        <w:tab w:val="left" w:pos="1134"/>
      </w:tabs>
    </w:pPr>
  </w:style>
  <w:style w:type="numbering" w:customStyle="1" w:styleId="BulletsList">
    <w:name w:val="Bullets List"/>
    <w:uiPriority w:val="99"/>
    <w:rsid w:val="00271AF2"/>
    <w:pPr>
      <w:numPr>
        <w:numId w:val="1"/>
      </w:numPr>
    </w:pPr>
  </w:style>
  <w:style w:type="paragraph" w:customStyle="1" w:styleId="TableHeaderRow">
    <w:name w:val="Table Header Row"/>
    <w:basedOn w:val="Normal"/>
    <w:qFormat/>
    <w:rsid w:val="00271AF2"/>
    <w:pPr>
      <w:spacing w:before="60"/>
    </w:pPr>
    <w:rPr>
      <w:rFonts w:ascii="Calibri" w:hAnsi="Calibri"/>
      <w:b/>
      <w:color w:val="FFFFFF" w:themeColor="background1"/>
      <w:szCs w:val="21"/>
    </w:rPr>
  </w:style>
  <w:style w:type="table" w:customStyle="1" w:styleId="DFATTable1">
    <w:name w:val="DFAT Table 1"/>
    <w:basedOn w:val="TableNormal"/>
    <w:uiPriority w:val="99"/>
    <w:rsid w:val="00271AF2"/>
    <w:pPr>
      <w:spacing w:before="60" w:after="60" w:line="260" w:lineRule="atLeast"/>
    </w:pPr>
    <w:rPr>
      <w:rFonts w:ascii="Calibri" w:hAnsi="Calibri"/>
      <w:color w:val="44546A" w:themeColor="text2"/>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rPr>
        <w:tblHeader/>
      </w:trPr>
      <w:tcPr>
        <w:tcBorders>
          <w:top w:val="single" w:sz="4" w:space="0" w:color="4472C4" w:themeColor="accent1"/>
          <w:bottom w:val="single" w:sz="4" w:space="0" w:color="4472C4" w:themeColor="accent1"/>
          <w:insideH w:val="single" w:sz="4" w:space="0" w:color="4472C4" w:themeColor="accent1"/>
        </w:tcBorders>
        <w:shd w:val="clear" w:color="auto" w:fill="4472C4"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9E2F3" w:themeFill="accent1" w:themeFillTint="33"/>
      </w:tcPr>
    </w:tblStylePr>
    <w:tblStylePr w:type="band2Vert">
      <w:tblPr/>
      <w:tcPr>
        <w:shd w:val="clear" w:color="auto" w:fill="B4C6E7" w:themeFill="accent1" w:themeFillTint="66"/>
      </w:tcPr>
    </w:tblStylePr>
    <w:tblStylePr w:type="band1Horz">
      <w:tblPr/>
      <w:tcPr>
        <w:shd w:val="clear" w:color="auto" w:fill="D9E2F3" w:themeFill="accent1" w:themeFillTint="33"/>
      </w:tcPr>
    </w:tblStylePr>
    <w:tblStylePr w:type="band2Horz">
      <w:tblPr/>
      <w:tcPr>
        <w:shd w:val="clear" w:color="auto" w:fill="B4C6E7" w:themeFill="accent1" w:themeFillTint="66"/>
      </w:tcPr>
    </w:tblStylePr>
  </w:style>
  <w:style w:type="paragraph" w:styleId="BodyText">
    <w:name w:val="Body Text"/>
    <w:basedOn w:val="Normal"/>
    <w:link w:val="BodyTextChar"/>
    <w:uiPriority w:val="99"/>
    <w:unhideWhenUsed/>
    <w:qFormat/>
    <w:rsid w:val="00271AF2"/>
  </w:style>
  <w:style w:type="character" w:customStyle="1" w:styleId="BodyTextChar">
    <w:name w:val="Body Text Char"/>
    <w:basedOn w:val="DefaultParagraphFont"/>
    <w:link w:val="BodyText"/>
    <w:uiPriority w:val="99"/>
    <w:rsid w:val="00271AF2"/>
    <w:rPr>
      <w:color w:val="44546A" w:themeColor="text2"/>
      <w:lang w:val="en-GB"/>
    </w:rPr>
  </w:style>
  <w:style w:type="character" w:customStyle="1" w:styleId="Heading2Char">
    <w:name w:val="Heading 2 Char"/>
    <w:basedOn w:val="DefaultParagraphFont"/>
    <w:link w:val="Heading2"/>
    <w:uiPriority w:val="9"/>
    <w:semiHidden/>
    <w:rsid w:val="00271AF2"/>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FF600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005"/>
    <w:rPr>
      <w:rFonts w:ascii="Segoe UI" w:hAnsi="Segoe UI" w:cs="Segoe UI"/>
      <w:color w:val="44546A" w:themeColor="text2"/>
      <w:sz w:val="18"/>
      <w:szCs w:val="18"/>
      <w:lang w:val="en-GB"/>
    </w:rPr>
  </w:style>
  <w:style w:type="table" w:styleId="TableGrid">
    <w:name w:val="Table Grid"/>
    <w:basedOn w:val="TableNormal"/>
    <w:uiPriority w:val="39"/>
    <w:rsid w:val="00811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3F2BFE"/>
    <w:pPr>
      <w:suppressAutoHyphens w:val="0"/>
      <w:spacing w:before="0" w:after="0" w:line="240" w:lineRule="auto"/>
    </w:pPr>
    <w:rPr>
      <w:rFonts w:ascii="Arial" w:eastAsia="Arial" w:hAnsi="Arial" w:cs="Times New Roman"/>
      <w:color w:val="auto"/>
      <w:sz w:val="20"/>
      <w:szCs w:val="20"/>
      <w:lang w:val="en-AU"/>
    </w:rPr>
  </w:style>
  <w:style w:type="character" w:customStyle="1" w:styleId="CommentTextChar">
    <w:name w:val="Comment Text Char"/>
    <w:basedOn w:val="DefaultParagraphFont"/>
    <w:link w:val="CommentText"/>
    <w:uiPriority w:val="99"/>
    <w:rsid w:val="003F2BFE"/>
    <w:rPr>
      <w:rFonts w:ascii="Arial" w:eastAsia="Arial" w:hAnsi="Arial" w:cs="Times New Roman"/>
      <w:sz w:val="20"/>
      <w:szCs w:val="20"/>
    </w:rPr>
  </w:style>
  <w:style w:type="character" w:styleId="CommentReference">
    <w:name w:val="annotation reference"/>
    <w:basedOn w:val="DefaultParagraphFont"/>
    <w:uiPriority w:val="99"/>
    <w:semiHidden/>
    <w:unhideWhenUsed/>
    <w:rsid w:val="003F2BFE"/>
    <w:rPr>
      <w:sz w:val="16"/>
      <w:szCs w:val="16"/>
    </w:rPr>
  </w:style>
  <w:style w:type="paragraph" w:styleId="CommentSubject">
    <w:name w:val="annotation subject"/>
    <w:basedOn w:val="CommentText"/>
    <w:next w:val="CommentText"/>
    <w:link w:val="CommentSubjectChar"/>
    <w:uiPriority w:val="99"/>
    <w:semiHidden/>
    <w:unhideWhenUsed/>
    <w:rsid w:val="00CF11C3"/>
    <w:pPr>
      <w:suppressAutoHyphens/>
      <w:spacing w:before="120" w:after="60"/>
    </w:pPr>
    <w:rPr>
      <w:rFonts w:asciiTheme="minorHAnsi" w:eastAsiaTheme="minorHAnsi" w:hAnsiTheme="minorHAnsi" w:cstheme="minorBidi"/>
      <w:b/>
      <w:bCs/>
      <w:color w:val="44546A" w:themeColor="text2"/>
      <w:lang w:val="en-GB"/>
    </w:rPr>
  </w:style>
  <w:style w:type="character" w:customStyle="1" w:styleId="CommentSubjectChar">
    <w:name w:val="Comment Subject Char"/>
    <w:basedOn w:val="CommentTextChar"/>
    <w:link w:val="CommentSubject"/>
    <w:uiPriority w:val="99"/>
    <w:semiHidden/>
    <w:rsid w:val="00CF11C3"/>
    <w:rPr>
      <w:rFonts w:ascii="Arial" w:eastAsia="Arial" w:hAnsi="Arial" w:cs="Times New Roman"/>
      <w:b/>
      <w:bCs/>
      <w:color w:val="44546A" w:themeColor="text2"/>
      <w:sz w:val="20"/>
      <w:szCs w:val="20"/>
      <w:lang w:val="en-GB"/>
    </w:rPr>
  </w:style>
  <w:style w:type="paragraph" w:styleId="Header">
    <w:name w:val="header"/>
    <w:basedOn w:val="Normal"/>
    <w:link w:val="HeaderChar"/>
    <w:uiPriority w:val="99"/>
    <w:unhideWhenUsed/>
    <w:rsid w:val="007233A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233A0"/>
    <w:rPr>
      <w:color w:val="44546A" w:themeColor="text2"/>
      <w:lang w:val="en-GB"/>
    </w:rPr>
  </w:style>
  <w:style w:type="paragraph" w:styleId="Footer">
    <w:name w:val="footer"/>
    <w:basedOn w:val="Normal"/>
    <w:link w:val="FooterChar"/>
    <w:uiPriority w:val="99"/>
    <w:unhideWhenUsed/>
    <w:rsid w:val="007233A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233A0"/>
    <w:rPr>
      <w:color w:val="44546A" w:themeColor="text2"/>
      <w:lang w:val="en-GB"/>
    </w:rPr>
  </w:style>
  <w:style w:type="paragraph" w:styleId="ListParagraph">
    <w:name w:val="List Paragraph"/>
    <w:aliases w:val="List Paragraph1,List Paragraph11,L,Recommendation,CV text,Table text,Colorful List - Accent 11,COOP,Primary Bullet List,List Paragraph (numbered (a)),MCHIP_list paragraph,Bullet List,FooterText,F5 List Paragraph,Dot pt,No Spacing1,Bullets"/>
    <w:basedOn w:val="Normal"/>
    <w:link w:val="ListParagraphChar"/>
    <w:uiPriority w:val="34"/>
    <w:qFormat/>
    <w:rsid w:val="00E327BC"/>
    <w:pPr>
      <w:suppressAutoHyphens w:val="0"/>
      <w:spacing w:before="0" w:after="120" w:line="240" w:lineRule="auto"/>
      <w:ind w:left="720"/>
      <w:contextualSpacing/>
    </w:pPr>
    <w:rPr>
      <w:rFonts w:asciiTheme="majorHAnsi" w:eastAsiaTheme="minorEastAsia" w:hAnsiTheme="majorHAnsi"/>
      <w:color w:val="auto"/>
      <w:szCs w:val="24"/>
      <w:lang w:val="en-AU"/>
    </w:rPr>
  </w:style>
  <w:style w:type="character" w:customStyle="1" w:styleId="ListParagraphChar">
    <w:name w:val="List Paragraph Char"/>
    <w:aliases w:val="List Paragraph1 Char,List Paragraph11 Char,L Char,Recommendation Char,CV text Char,Table text Char,Colorful List - Accent 11 Char,COOP Char,Primary Bullet List Char,List Paragraph (numbered (a)) Char,MCHIP_list paragraph Char"/>
    <w:basedOn w:val="DefaultParagraphFont"/>
    <w:link w:val="ListParagraph"/>
    <w:uiPriority w:val="34"/>
    <w:qFormat/>
    <w:rsid w:val="00E327BC"/>
    <w:rPr>
      <w:rFonts w:asciiTheme="majorHAnsi" w:eastAsiaTheme="minorEastAsia" w:hAnsiTheme="maj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704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2453</Words>
  <Characters>13598</Characters>
  <Application>Microsoft Office Word</Application>
  <DocSecurity>0</DocSecurity>
  <Lines>391</Lines>
  <Paragraphs>125</Paragraphs>
  <ScaleCrop>false</ScaleCrop>
  <Company/>
  <LinksUpToDate>false</LinksUpToDate>
  <CharactersWithSpaces>15976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response to Gender and Social Inclusion Review of Progress of Water for Women Fund and Covid-19 Response</dc:title>
  <dc:subject/>
  <dc:creator/>
  <cp:keywords/>
  <dc:description/>
  <cp:lastModifiedBy/>
  <cp:revision>1</cp:revision>
  <dcterms:created xsi:type="dcterms:W3CDTF">2021-12-06T05:54:00Z</dcterms:created>
  <dcterms:modified xsi:type="dcterms:W3CDTF">2021-12-06T05:54:00Z</dcterms:modified>
  <cp:category/>
</cp:coreProperties>
</file>