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7A86" w14:textId="198D5F5C" w:rsidR="00992C76" w:rsidRDefault="00C5278C" w:rsidP="00B04FEA">
      <w:pPr>
        <w:pStyle w:val="Title"/>
        <w:spacing w:before="480"/>
      </w:pPr>
      <w:r>
        <w:t>gender equality and women’s empowerment in dfat’s aid program</w:t>
      </w:r>
    </w:p>
    <w:p w14:paraId="148E7A87" w14:textId="0620E8BF" w:rsidR="00CD0E4B" w:rsidRDefault="00C5278C" w:rsidP="00D37B04">
      <w:pPr>
        <w:pStyle w:val="Subtitle"/>
      </w:pPr>
      <w:r>
        <w:t>good practice note</w:t>
      </w:r>
    </w:p>
    <w:p w14:paraId="148E7A88" w14:textId="378D93AC" w:rsidR="00992C76" w:rsidRPr="00897FA2" w:rsidRDefault="00992C76" w:rsidP="00897FA2">
      <w:pPr>
        <w:pStyle w:val="PhotoMargins"/>
      </w:pPr>
    </w:p>
    <w:p w14:paraId="148E7A8A" w14:textId="77776F3F" w:rsidR="004C6342" w:rsidRDefault="00C5278C">
      <w:pPr>
        <w:pStyle w:val="Heading1Numbered"/>
      </w:pPr>
      <w:r>
        <w:t>overview</w:t>
      </w:r>
    </w:p>
    <w:p w14:paraId="278DB490" w14:textId="0C2B96C4" w:rsidR="00C5278C" w:rsidRPr="006253B9" w:rsidRDefault="00C5278C" w:rsidP="00F93B65">
      <w:pPr>
        <w:pStyle w:val="IntroPara"/>
        <w:jc w:val="both"/>
      </w:pPr>
      <w:r>
        <w:t>This good practice note</w:t>
      </w:r>
      <w:r w:rsidRPr="00870E65">
        <w:t xml:space="preserve"> </w:t>
      </w:r>
      <w:r>
        <w:t xml:space="preserve">sets out DFAT’s strategic objectives for gender equality and </w:t>
      </w:r>
      <w:r w:rsidR="00BE7D65">
        <w:t xml:space="preserve">women’s empowerment and </w:t>
      </w:r>
      <w:r>
        <w:t>the main entry points through the aid management cycle</w:t>
      </w:r>
      <w:r w:rsidRPr="00870E65">
        <w:t>.</w:t>
      </w:r>
      <w:r>
        <w:t xml:space="preserve">  </w:t>
      </w:r>
      <w:r w:rsidRPr="006253B9">
        <w:t>It sits beneath DFAT’s Gender Equality and Women’s Empowerment</w:t>
      </w:r>
      <w:r w:rsidR="003154EA">
        <w:t xml:space="preserve"> Strategy</w:t>
      </w:r>
      <w:r w:rsidRPr="006253B9">
        <w:t xml:space="preserve"> as practical guidance for aid management. It </w:t>
      </w:r>
      <w:r w:rsidRPr="006253B9">
        <w:rPr>
          <w:szCs w:val="21"/>
        </w:rPr>
        <w:t xml:space="preserve">supports staff to implement </w:t>
      </w:r>
      <w:r w:rsidR="006253B9">
        <w:rPr>
          <w:szCs w:val="21"/>
        </w:rPr>
        <w:t xml:space="preserve">Australia’s development strategy </w:t>
      </w:r>
      <w:hyperlink r:id="rId11" w:history="1">
        <w:r w:rsidR="006253B9" w:rsidRPr="0059198F">
          <w:rPr>
            <w:rStyle w:val="Hyperlink"/>
            <w:rFonts w:cstheme="minorBidi"/>
            <w:i/>
            <w:color w:val="7FB64D" w:themeColor="accent2" w:themeShade="BF"/>
            <w:szCs w:val="21"/>
          </w:rPr>
          <w:t>Partnerships for Recovery: Australia’s COVID-19 Development Response</w:t>
        </w:r>
      </w:hyperlink>
      <w:r w:rsidR="006253B9">
        <w:rPr>
          <w:szCs w:val="21"/>
        </w:rPr>
        <w:t>, which commits the Australian Government to maintaining Australia’s strong support and advocacy for initiatives to enhance gender equality and address gender-based violence, and to invest in gender equality and women’s economic empowerment.</w:t>
      </w:r>
    </w:p>
    <w:p w14:paraId="5F0CF3D5" w14:textId="135A8B9C" w:rsidR="00C5278C" w:rsidRDefault="00C5278C" w:rsidP="00C5278C">
      <w:r>
        <w:t xml:space="preserve">Australian Aid </w:t>
      </w:r>
      <w:r w:rsidR="00BE7D65">
        <w:t>supports gender equality and women’s empowerment through a twin</w:t>
      </w:r>
      <w:r w:rsidR="003154EA">
        <w:t>-</w:t>
      </w:r>
      <w:r w:rsidR="00BE7D65">
        <w:t>track approach</w:t>
      </w:r>
      <w:r>
        <w:t>:</w:t>
      </w:r>
    </w:p>
    <w:p w14:paraId="43626E21" w14:textId="7F252A83" w:rsidR="00C5278C" w:rsidRPr="003154EA" w:rsidRDefault="00C5278C" w:rsidP="003154EA">
      <w:pPr>
        <w:pStyle w:val="ListParagraph"/>
        <w:numPr>
          <w:ilvl w:val="0"/>
          <w:numId w:val="11"/>
        </w:numPr>
        <w:jc w:val="both"/>
        <w:rPr>
          <w:lang w:val="en-AU"/>
        </w:rPr>
      </w:pPr>
      <w:r w:rsidRPr="003154EA">
        <w:rPr>
          <w:b/>
          <w:iCs/>
          <w:lang w:val="en-AU"/>
        </w:rPr>
        <w:t>Integrating gender equality into all DFAT’s aid investments</w:t>
      </w:r>
      <w:r w:rsidR="00BE7D65" w:rsidRPr="003154EA">
        <w:rPr>
          <w:b/>
          <w:iCs/>
          <w:lang w:val="en-AU"/>
        </w:rPr>
        <w:t xml:space="preserve"> (gender mainstreaming)</w:t>
      </w:r>
      <w:r w:rsidRPr="003154EA">
        <w:rPr>
          <w:lang w:val="en-AU"/>
        </w:rPr>
        <w:t>, regardless of sector and area of focus.</w:t>
      </w:r>
      <w:r w:rsidR="003D0B88" w:rsidRPr="003154EA">
        <w:rPr>
          <w:lang w:val="en-AU"/>
        </w:rPr>
        <w:t xml:space="preserve"> </w:t>
      </w:r>
      <w:r w:rsidR="00437A25" w:rsidRPr="003154EA">
        <w:rPr>
          <w:lang w:val="en-AU"/>
        </w:rPr>
        <w:t xml:space="preserve">To support gender mainstreaming, </w:t>
      </w:r>
      <w:r w:rsidR="003D0B88" w:rsidRPr="003154EA">
        <w:rPr>
          <w:lang w:val="en-AU"/>
        </w:rPr>
        <w:t xml:space="preserve">Australia requires </w:t>
      </w:r>
      <w:r w:rsidR="00AA46D1" w:rsidRPr="003154EA">
        <w:rPr>
          <w:lang w:val="en-AU"/>
        </w:rPr>
        <w:t xml:space="preserve">all </w:t>
      </w:r>
      <w:r w:rsidR="00437A25" w:rsidRPr="003154EA">
        <w:rPr>
          <w:lang w:val="en-AU"/>
        </w:rPr>
        <w:t>new</w:t>
      </w:r>
      <w:r w:rsidR="003D0B88" w:rsidRPr="003154EA">
        <w:rPr>
          <w:lang w:val="en-AU"/>
        </w:rPr>
        <w:t xml:space="preserve"> investments </w:t>
      </w:r>
      <w:r w:rsidR="00437A25" w:rsidRPr="003154EA">
        <w:rPr>
          <w:lang w:val="en-AU"/>
        </w:rPr>
        <w:t>to</w:t>
      </w:r>
      <w:r w:rsidR="003D0B88" w:rsidRPr="003154EA">
        <w:rPr>
          <w:lang w:val="en-AU"/>
        </w:rPr>
        <w:t xml:space="preserve"> include a gender equality outcome</w:t>
      </w:r>
      <w:r w:rsidR="003154EA" w:rsidRPr="003154EA">
        <w:rPr>
          <w:lang w:val="en-AU"/>
        </w:rPr>
        <w:t>,</w:t>
      </w:r>
      <w:r w:rsidR="00AA46D1" w:rsidRPr="003154EA">
        <w:rPr>
          <w:lang w:val="en-AU"/>
        </w:rPr>
        <w:t xml:space="preserve"> regardless of sector</w:t>
      </w:r>
      <w:r w:rsidR="003D0B88" w:rsidRPr="003154EA">
        <w:rPr>
          <w:lang w:val="en-AU"/>
        </w:rPr>
        <w:t>.</w:t>
      </w:r>
      <w:r w:rsidR="00A425F3" w:rsidRPr="003154EA">
        <w:rPr>
          <w:lang w:val="en-AU"/>
        </w:rPr>
        <w:t xml:space="preserve"> </w:t>
      </w:r>
      <w:r w:rsidR="00A425F3">
        <w:t xml:space="preserve">They must also </w:t>
      </w:r>
      <w:r w:rsidR="00A425F3" w:rsidRPr="003154EA">
        <w:rPr>
          <w:rFonts w:eastAsia="Times New Roman"/>
        </w:rPr>
        <w:t>meet the OECD DAC minimum criteria for gender equality to be classified as a Principal or Significant objective</w:t>
      </w:r>
      <w:r w:rsidR="00A425F3" w:rsidRPr="003154EA">
        <w:rPr>
          <w:lang w:val="en-AU"/>
        </w:rPr>
        <w:t>.</w:t>
      </w:r>
      <w:r w:rsidR="00AA46D1">
        <w:rPr>
          <w:rStyle w:val="FootnoteReference"/>
          <w:lang w:val="en-AU"/>
        </w:rPr>
        <w:footnoteReference w:id="1"/>
      </w:r>
    </w:p>
    <w:p w14:paraId="3227CD71" w14:textId="2CF0D40E" w:rsidR="00C5278C" w:rsidRPr="00C5278C" w:rsidRDefault="00C5278C">
      <w:pPr>
        <w:numPr>
          <w:ilvl w:val="0"/>
          <w:numId w:val="11"/>
        </w:numPr>
        <w:rPr>
          <w:lang w:val="en-AU"/>
        </w:rPr>
      </w:pPr>
      <w:r w:rsidRPr="003154EA">
        <w:rPr>
          <w:b/>
          <w:iCs/>
          <w:lang w:val="en-AU"/>
        </w:rPr>
        <w:t>Targeted investments</w:t>
      </w:r>
      <w:r w:rsidRPr="00C5278C">
        <w:rPr>
          <w:lang w:val="en-AU"/>
        </w:rPr>
        <w:t xml:space="preserve"> </w:t>
      </w:r>
      <w:r w:rsidR="00437A25">
        <w:rPr>
          <w:lang w:val="en-AU"/>
        </w:rPr>
        <w:t xml:space="preserve">are </w:t>
      </w:r>
      <w:proofErr w:type="gramStart"/>
      <w:r w:rsidR="006A2EDF">
        <w:rPr>
          <w:lang w:val="en-AU"/>
        </w:rPr>
        <w:t>gender-focused</w:t>
      </w:r>
      <w:proofErr w:type="gramEnd"/>
      <w:r w:rsidR="00437A25">
        <w:rPr>
          <w:lang w:val="en-AU"/>
        </w:rPr>
        <w:t xml:space="preserve">. They </w:t>
      </w:r>
      <w:r w:rsidR="00BE7D65">
        <w:rPr>
          <w:lang w:val="en-AU"/>
        </w:rPr>
        <w:t xml:space="preserve">tackle persistent </w:t>
      </w:r>
      <w:r w:rsidR="00437A25">
        <w:rPr>
          <w:lang w:val="en-AU"/>
        </w:rPr>
        <w:t xml:space="preserve">gender-related </w:t>
      </w:r>
      <w:r w:rsidR="00BE7D65">
        <w:rPr>
          <w:lang w:val="en-AU"/>
        </w:rPr>
        <w:t xml:space="preserve">challenges </w:t>
      </w:r>
      <w:r w:rsidRPr="00C5278C">
        <w:rPr>
          <w:lang w:val="en-AU"/>
        </w:rPr>
        <w:t xml:space="preserve">where progress is slow, </w:t>
      </w:r>
      <w:r w:rsidR="00437A25">
        <w:rPr>
          <w:lang w:val="en-AU"/>
        </w:rPr>
        <w:t xml:space="preserve">and </w:t>
      </w:r>
      <w:r w:rsidRPr="00C5278C">
        <w:rPr>
          <w:lang w:val="en-AU"/>
        </w:rPr>
        <w:t>challeng</w:t>
      </w:r>
      <w:r w:rsidR="00437A25">
        <w:rPr>
          <w:lang w:val="en-AU"/>
        </w:rPr>
        <w:t>e</w:t>
      </w:r>
      <w:r w:rsidRPr="00C5278C">
        <w:rPr>
          <w:lang w:val="en-AU"/>
        </w:rPr>
        <w:t xml:space="preserve"> </w:t>
      </w:r>
      <w:r w:rsidR="00437A25">
        <w:rPr>
          <w:lang w:val="en-AU"/>
        </w:rPr>
        <w:t xml:space="preserve">harmful </w:t>
      </w:r>
      <w:r w:rsidRPr="00C5278C">
        <w:rPr>
          <w:lang w:val="en-AU"/>
        </w:rPr>
        <w:t>social norms.</w:t>
      </w:r>
    </w:p>
    <w:p w14:paraId="56EFB0E9" w14:textId="1AF70CFD" w:rsidR="00FB04AA" w:rsidRPr="00FB04AA" w:rsidRDefault="00FB04AA" w:rsidP="00FB04AA">
      <w:r w:rsidRPr="00FB04AA">
        <w:t xml:space="preserve">DFAT’s </w:t>
      </w:r>
      <w:hyperlink r:id="rId12" w:history="1">
        <w:r w:rsidRPr="0091078B">
          <w:rPr>
            <w:rStyle w:val="Hyperlink"/>
            <w:rFonts w:cstheme="minorBidi"/>
          </w:rPr>
          <w:t>Gender Equality and Women’s Empowerment Strategy</w:t>
        </w:r>
      </w:hyperlink>
      <w:r w:rsidRPr="00FB04AA">
        <w:t xml:space="preserve"> </w:t>
      </w:r>
      <w:r w:rsidR="00BE7D65">
        <w:t>establishes</w:t>
      </w:r>
      <w:r w:rsidRPr="00FB04AA">
        <w:t xml:space="preserve"> three priorit</w:t>
      </w:r>
      <w:r w:rsidR="00BE7D65">
        <w:t>y areas</w:t>
      </w:r>
      <w:r w:rsidRPr="00FB04AA">
        <w:t>:</w:t>
      </w:r>
    </w:p>
    <w:p w14:paraId="3E2C9475" w14:textId="77777777" w:rsidR="00FB04AA" w:rsidRDefault="00FB04AA">
      <w:pPr>
        <w:pStyle w:val="Bullet1"/>
      </w:pPr>
      <w:r>
        <w:t>Enhancing women’s voice in decision making, leadership and peacebuilding</w:t>
      </w:r>
    </w:p>
    <w:p w14:paraId="4F481F13" w14:textId="77777777" w:rsidR="00FB04AA" w:rsidRDefault="00FB04AA">
      <w:pPr>
        <w:pStyle w:val="Bullet1"/>
      </w:pPr>
      <w:r>
        <w:t>Promoting women’s economic empowerment</w:t>
      </w:r>
    </w:p>
    <w:p w14:paraId="1CDCFC30" w14:textId="77777777" w:rsidR="00FB04AA" w:rsidRDefault="00FB04AA">
      <w:pPr>
        <w:pStyle w:val="Bullet1"/>
      </w:pPr>
      <w:r>
        <w:t>Ending violence against women and girls</w:t>
      </w:r>
    </w:p>
    <w:p w14:paraId="18656C29" w14:textId="275CE21E" w:rsidR="00AA46D1" w:rsidRDefault="00FB04AA" w:rsidP="00FB04AA">
      <w:pPr>
        <w:rPr>
          <w:lang w:val="en-AU"/>
        </w:rPr>
      </w:pPr>
      <w:r w:rsidRPr="00FB04AA">
        <w:rPr>
          <w:lang w:val="en-AU"/>
        </w:rPr>
        <w:t xml:space="preserve">These </w:t>
      </w:r>
      <w:r w:rsidR="00BE7D65">
        <w:rPr>
          <w:lang w:val="en-AU"/>
        </w:rPr>
        <w:t>priorit</w:t>
      </w:r>
      <w:r w:rsidR="00437A25">
        <w:rPr>
          <w:lang w:val="en-AU"/>
        </w:rPr>
        <w:t>ies</w:t>
      </w:r>
      <w:r w:rsidRPr="00FB04AA">
        <w:rPr>
          <w:lang w:val="en-AU"/>
        </w:rPr>
        <w:t xml:space="preserve"> are mutually reinforcing and require efforts to address gender norms to </w:t>
      </w:r>
      <w:r w:rsidR="00437A25">
        <w:rPr>
          <w:lang w:val="en-AU"/>
        </w:rPr>
        <w:t>achieve</w:t>
      </w:r>
      <w:r w:rsidR="00437A25" w:rsidRPr="00FB04AA">
        <w:rPr>
          <w:lang w:val="en-AU"/>
        </w:rPr>
        <w:t xml:space="preserve"> </w:t>
      </w:r>
      <w:r w:rsidRPr="00FB04AA">
        <w:rPr>
          <w:lang w:val="en-AU"/>
        </w:rPr>
        <w:t xml:space="preserve">lasting, transformative change. </w:t>
      </w:r>
    </w:p>
    <w:p w14:paraId="315B5F66" w14:textId="196793BA" w:rsidR="004416B2" w:rsidRDefault="004416B2" w:rsidP="00FB04AA">
      <w:pPr>
        <w:rPr>
          <w:lang w:val="en-AU"/>
        </w:rPr>
      </w:pPr>
    </w:p>
    <w:p w14:paraId="359B033A" w14:textId="77777777" w:rsidR="004416B2" w:rsidRDefault="004416B2" w:rsidP="00FB04AA">
      <w:pPr>
        <w:rPr>
          <w:lang w:val="en-AU"/>
        </w:rPr>
      </w:pPr>
    </w:p>
    <w:p w14:paraId="7A5211F0" w14:textId="6A3B2E47" w:rsidR="00C370F7" w:rsidRDefault="00D21CBE" w:rsidP="00C370F7">
      <w:pPr>
        <w:pStyle w:val="Box2Heading"/>
      </w:pPr>
      <w:r>
        <w:lastRenderedPageBreak/>
        <w:t xml:space="preserve">There are specific measures in the </w:t>
      </w:r>
      <w:hyperlink r:id="rId13" w:history="1">
        <w:r>
          <w:rPr>
            <w:rStyle w:val="Hyperlink"/>
          </w:rPr>
          <w:t>performance framework</w:t>
        </w:r>
      </w:hyperlink>
      <w:r>
        <w:t xml:space="preserve"> for </w:t>
      </w:r>
      <w:r>
        <w:rPr>
          <w:i/>
          <w:iCs/>
        </w:rPr>
        <w:t>Partnerships for Recovery</w:t>
      </w:r>
      <w:r>
        <w:t xml:space="preserve"> </w:t>
      </w:r>
      <w:r w:rsidR="00437A25">
        <w:t>which</w:t>
      </w:r>
      <w:r>
        <w:t xml:space="preserve"> measure progress on gender equality (sexual and reproductive health, violence against women, and economic empowerment) and gender mainstreaming (percentage of investments effectively addressing gender issues).</w:t>
      </w:r>
    </w:p>
    <w:p w14:paraId="0400CDAF" w14:textId="2DDF5498" w:rsidR="00BE7D65" w:rsidRDefault="00BE7D65" w:rsidP="00FB04AA">
      <w:pPr>
        <w:rPr>
          <w:lang w:val="en-AU"/>
        </w:rPr>
      </w:pPr>
    </w:p>
    <w:p w14:paraId="75E3EE27" w14:textId="2B7B27C8" w:rsidR="00BE7D65" w:rsidRPr="00BE7D65" w:rsidRDefault="00AA0302">
      <w:pPr>
        <w:pStyle w:val="Heading1Numbered"/>
        <w:rPr>
          <w:lang w:val="en-AU"/>
        </w:rPr>
      </w:pPr>
      <w:r w:rsidRPr="0047066A">
        <w:rPr>
          <w:rFonts w:eastAsia="Times New Roman"/>
        </w:rPr>
        <w:t>Checklist</w:t>
      </w:r>
      <w:r w:rsidRPr="00BE7D65" w:rsidDel="00AA0302">
        <w:rPr>
          <w:lang w:val="en-AU"/>
        </w:rPr>
        <w:t xml:space="preserve"> </w:t>
      </w:r>
      <w:r>
        <w:rPr>
          <w:lang w:val="en-AU"/>
        </w:rPr>
        <w:t>for</w:t>
      </w:r>
      <w:r w:rsidR="00BE7D65" w:rsidRPr="00BE7D65">
        <w:rPr>
          <w:lang w:val="en-AU"/>
        </w:rPr>
        <w:t xml:space="preserve"> aid management</w:t>
      </w:r>
    </w:p>
    <w:p w14:paraId="443437E4" w14:textId="54B45324" w:rsidR="00BE7D65" w:rsidRDefault="00BE7D65" w:rsidP="00BE7D65">
      <w:pPr>
        <w:rPr>
          <w:lang w:val="en-AU"/>
        </w:rPr>
      </w:pPr>
      <w:r w:rsidRPr="00BE7D65">
        <w:rPr>
          <w:lang w:val="en-AU"/>
        </w:rPr>
        <w:t>Gender equality must be considered at all stages of the aid management cycle –</w:t>
      </w:r>
      <w:r w:rsidR="00437A25">
        <w:rPr>
          <w:lang w:val="en-AU"/>
        </w:rPr>
        <w:t xml:space="preserve"> </w:t>
      </w:r>
      <w:r w:rsidRPr="00BE7D65">
        <w:rPr>
          <w:lang w:val="en-AU"/>
        </w:rPr>
        <w:t xml:space="preserve">in policy and direction setting, planning and design, implementation and monitoring, performance reporting and evaluation.  </w:t>
      </w:r>
      <w:r w:rsidR="00437A25">
        <w:rPr>
          <w:lang w:val="en-AU"/>
        </w:rPr>
        <w:t>E</w:t>
      </w:r>
      <w:r w:rsidRPr="00BE7D65">
        <w:rPr>
          <w:lang w:val="en-AU"/>
        </w:rPr>
        <w:t>ntry points includ</w:t>
      </w:r>
      <w:r w:rsidR="00437A25">
        <w:rPr>
          <w:lang w:val="en-AU"/>
        </w:rPr>
        <w:t>e</w:t>
      </w:r>
      <w:r w:rsidRPr="00BE7D65">
        <w:rPr>
          <w:lang w:val="en-A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A46D1" w14:paraId="38ED7D86" w14:textId="77777777" w:rsidTr="005A5F63">
        <w:tc>
          <w:tcPr>
            <w:tcW w:w="1838" w:type="dxa"/>
            <w:shd w:val="clear" w:color="auto" w:fill="auto"/>
          </w:tcPr>
          <w:p w14:paraId="202B9DF3" w14:textId="77777777" w:rsidR="00AA46D1" w:rsidRDefault="00AA46D1" w:rsidP="005A5F63">
            <w:r w:rsidRPr="00BE7D65">
              <w:t>Policy and Direction Setting</w:t>
            </w:r>
          </w:p>
        </w:tc>
        <w:tc>
          <w:tcPr>
            <w:tcW w:w="7790" w:type="dxa"/>
            <w:shd w:val="clear" w:color="auto" w:fill="auto"/>
          </w:tcPr>
          <w:p w14:paraId="44573451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Does the CRP draw on gender analysis (existing or new) to inform the understanding of the context and priorities?</w:t>
            </w:r>
          </w:p>
          <w:p w14:paraId="607ED460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Were gender equality issues addressed in other analyses undertaken, </w:t>
            </w:r>
            <w:proofErr w:type="gramStart"/>
            <w:r>
              <w:t>e.g.</w:t>
            </w:r>
            <w:proofErr w:type="gramEnd"/>
            <w:r>
              <w:t xml:space="preserve"> political economy analysis; poverty analysis; constraints to growth analysis?</w:t>
            </w:r>
          </w:p>
          <w:p w14:paraId="7CA6559E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Does the CRP identify gender equality as part of each CRP objective integrated in other priorities or as a stand-alone objective?</w:t>
            </w:r>
          </w:p>
          <w:p w14:paraId="142F7A13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Do the performance benchmarks include gender equality outcomes or outputs in a significant way, where possible at program as well as policy level? </w:t>
            </w:r>
          </w:p>
          <w:p w14:paraId="7C6ADF20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Do the performance benchmarks and mutual obligations use sex, </w:t>
            </w:r>
            <w:proofErr w:type="gramStart"/>
            <w:r>
              <w:t>age</w:t>
            </w:r>
            <w:proofErr w:type="gramEnd"/>
            <w:r>
              <w:t xml:space="preserve"> and disability-disaggregated data and/or gender indicators? </w:t>
            </w:r>
          </w:p>
          <w:p w14:paraId="2AFEBF9E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Does the forward pipeline identify investments that promote gender equality?</w:t>
            </w:r>
          </w:p>
          <w:p w14:paraId="0A09E6F2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Does the Performance Assessment Framework use sex, age and disability-disaggregated data, and quantitative and qualitative indicators related to gender equality to monitor the performance of the program?</w:t>
            </w:r>
          </w:p>
        </w:tc>
      </w:tr>
      <w:tr w:rsidR="00AA46D1" w14:paraId="32142841" w14:textId="77777777" w:rsidTr="005A5F63">
        <w:tc>
          <w:tcPr>
            <w:tcW w:w="1838" w:type="dxa"/>
            <w:shd w:val="clear" w:color="auto" w:fill="auto"/>
          </w:tcPr>
          <w:p w14:paraId="09F54C95" w14:textId="77777777" w:rsidR="00AA46D1" w:rsidRDefault="00AA46D1" w:rsidP="005A5F63">
            <w:r w:rsidRPr="00BE7D65">
              <w:t>Concept and Design</w:t>
            </w:r>
          </w:p>
        </w:tc>
        <w:tc>
          <w:tcPr>
            <w:tcW w:w="7790" w:type="dxa"/>
            <w:shd w:val="clear" w:color="auto" w:fill="auto"/>
          </w:tcPr>
          <w:p w14:paraId="2287ADDF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Does gender analysis (existing or new) inform the investment concept and design?</w:t>
            </w:r>
          </w:p>
          <w:p w14:paraId="4A261143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Was gender expertise used during the concept preparation/ design mission/development of the design?</w:t>
            </w:r>
          </w:p>
          <w:p w14:paraId="31711B98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Do the investment concept/ design clearly specify whether and how diverse groups of both women and men will participate and benefit equally?</w:t>
            </w:r>
          </w:p>
          <w:p w14:paraId="5B3C7168" w14:textId="29F15F2B" w:rsidR="00AA46D1" w:rsidRDefault="004416B2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Does the concept/design include at least one </w:t>
            </w:r>
            <w:r w:rsidR="00AA46D1">
              <w:t>gender equality outcomes</w:t>
            </w:r>
            <w:r>
              <w:t xml:space="preserve"> (End of Program Outcome or Intermediate Outcome)?</w:t>
            </w:r>
            <w:r w:rsidR="00AA46D1">
              <w:t xml:space="preserve"> </w:t>
            </w:r>
          </w:p>
          <w:p w14:paraId="38D77ECB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Are indicators measuring changes for women or changes in gender status included in the monitoring and evaluation framework?</w:t>
            </w:r>
          </w:p>
          <w:p w14:paraId="3E280DAF" w14:textId="588EEDBE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Has the concept/design articulated a coherent and explicit approach and strategies to promote gender equality?</w:t>
            </w:r>
          </w:p>
          <w:p w14:paraId="21A1C78C" w14:textId="7E43673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Has the concept/design identified and made use of entry points within existing systems and policy frameworks of the partner(s)? </w:t>
            </w:r>
          </w:p>
          <w:p w14:paraId="5670F896" w14:textId="31617D15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Has the design considered the impact (intended and unintended) that it could have on women’s status and included strategies </w:t>
            </w:r>
            <w:r w:rsidR="004416B2">
              <w:t>to Do No Harm?</w:t>
            </w:r>
            <w:r>
              <w:t xml:space="preserve"> </w:t>
            </w:r>
          </w:p>
          <w:p w14:paraId="46FD6B35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Does the budget include an allocation for activities promoting gender equality, including human resources? </w:t>
            </w:r>
          </w:p>
          <w:p w14:paraId="0306AC7F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Does the initiative work with others to maximise gender equality outcomes?</w:t>
            </w:r>
          </w:p>
        </w:tc>
      </w:tr>
      <w:tr w:rsidR="00AA46D1" w14:paraId="5D56F353" w14:textId="77777777" w:rsidTr="005A5F63">
        <w:tc>
          <w:tcPr>
            <w:tcW w:w="1838" w:type="dxa"/>
            <w:shd w:val="clear" w:color="auto" w:fill="auto"/>
          </w:tcPr>
          <w:p w14:paraId="4A590E39" w14:textId="77777777" w:rsidR="00AA46D1" w:rsidRDefault="00AA46D1" w:rsidP="005A5F63">
            <w:r w:rsidRPr="00BE7D65">
              <w:lastRenderedPageBreak/>
              <w:t>Risk management and Procurement</w:t>
            </w:r>
          </w:p>
        </w:tc>
        <w:tc>
          <w:tcPr>
            <w:tcW w:w="7790" w:type="dxa"/>
            <w:shd w:val="clear" w:color="auto" w:fill="auto"/>
          </w:tcPr>
          <w:p w14:paraId="55836B8F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Is gender equality addressed in the risk matrix? </w:t>
            </w:r>
          </w:p>
          <w:p w14:paraId="2DC23866" w14:textId="527FF762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Are gender equality issues identified in the safeguards assessment</w:t>
            </w:r>
            <w:r w:rsidR="004416B2">
              <w:t xml:space="preserve">, </w:t>
            </w:r>
            <w:r>
              <w:t>particularly for children and indigenous groups, or those at risk of resettlement?</w:t>
            </w:r>
          </w:p>
          <w:p w14:paraId="0EFA66AB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Are the gender equality deliverables clearly outlined in the scope of services, or agreement, and financed?</w:t>
            </w:r>
          </w:p>
          <w:p w14:paraId="374157C8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Do the position descriptions include responsibility for addressing gender issues (not just the gender adviser but also the Team Leader and Specified Personnel, including monitoring and evaluation advisers)? </w:t>
            </w:r>
          </w:p>
          <w:p w14:paraId="60D16D32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Does the scope of services of contracts explicitly require gender equality deliverables?</w:t>
            </w:r>
          </w:p>
        </w:tc>
      </w:tr>
      <w:tr w:rsidR="00AA46D1" w14:paraId="44701006" w14:textId="77777777" w:rsidTr="005A5F63">
        <w:tc>
          <w:tcPr>
            <w:tcW w:w="1838" w:type="dxa"/>
            <w:shd w:val="clear" w:color="auto" w:fill="auto"/>
          </w:tcPr>
          <w:p w14:paraId="6BC1A106" w14:textId="77777777" w:rsidR="00AA46D1" w:rsidRDefault="00AA46D1" w:rsidP="005A5F63">
            <w:r w:rsidRPr="00BE7D65">
              <w:t>Monitoring and Evaluation</w:t>
            </w:r>
          </w:p>
        </w:tc>
        <w:tc>
          <w:tcPr>
            <w:tcW w:w="7790" w:type="dxa"/>
            <w:shd w:val="clear" w:color="auto" w:fill="auto"/>
          </w:tcPr>
          <w:p w14:paraId="7E4B5644" w14:textId="12423A6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Is collection and analysis of sex, age and disability-disaggregated data planned for, and are there gender sensitive indicators in place for monitoring and evaluation? </w:t>
            </w:r>
          </w:p>
          <w:p w14:paraId="2B396EE8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Is the implementing partner’s performance on addressing gender equality being monitored as part of the monitoring and evaluation framework?</w:t>
            </w:r>
          </w:p>
          <w:p w14:paraId="55608C07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 xml:space="preserve">Are sufficient resources available to collect and assess sex, </w:t>
            </w:r>
            <w:proofErr w:type="gramStart"/>
            <w:r>
              <w:t>age</w:t>
            </w:r>
            <w:proofErr w:type="gramEnd"/>
            <w:r>
              <w:t xml:space="preserve"> and disability-disaggregated and gender equality data?</w:t>
            </w:r>
          </w:p>
          <w:p w14:paraId="73E8C8E6" w14:textId="77777777" w:rsidR="00AA46D1" w:rsidRDefault="00AA46D1" w:rsidP="00AA46D1">
            <w:pPr>
              <w:pStyle w:val="Bullet1"/>
              <w:numPr>
                <w:ilvl w:val="0"/>
                <w:numId w:val="13"/>
              </w:numPr>
            </w:pPr>
            <w:r>
              <w:t>Does the evaluation assess how well the investment performed on promoting gender equality and detail lessons learned?</w:t>
            </w:r>
          </w:p>
        </w:tc>
      </w:tr>
    </w:tbl>
    <w:p w14:paraId="30A6CD4C" w14:textId="46338C26" w:rsidR="00FB04AA" w:rsidRDefault="00FB04AA" w:rsidP="00527D01"/>
    <w:p w14:paraId="0D042D06" w14:textId="758019AD" w:rsidR="00927525" w:rsidRPr="00785A46" w:rsidRDefault="00927525" w:rsidP="004416B2">
      <w:pPr>
        <w:pStyle w:val="Heading1Numbered"/>
        <w:jc w:val="both"/>
      </w:pPr>
      <w:r w:rsidRPr="00785A46">
        <w:t>Measuring results</w:t>
      </w:r>
      <w:r w:rsidR="00AA0302">
        <w:t xml:space="preserve"> and expenditure</w:t>
      </w:r>
    </w:p>
    <w:p w14:paraId="036D23D4" w14:textId="41CB45EE" w:rsidR="00927525" w:rsidRDefault="00927525" w:rsidP="004416B2">
      <w:pPr>
        <w:jc w:val="both"/>
      </w:pPr>
      <w:r w:rsidRPr="00927525">
        <w:t>DFAT monitor</w:t>
      </w:r>
      <w:r w:rsidR="00AA0302">
        <w:t>s</w:t>
      </w:r>
      <w:r w:rsidRPr="00927525">
        <w:t xml:space="preserve"> performance on gender equality through assessing investment quality and expenditure.</w:t>
      </w:r>
    </w:p>
    <w:p w14:paraId="4B2C5B2B" w14:textId="197F2EE6" w:rsidR="00927525" w:rsidRDefault="00AA46D1" w:rsidP="004416B2">
      <w:pPr>
        <w:pStyle w:val="Heading2Numbered"/>
        <w:ind w:left="567"/>
        <w:jc w:val="both"/>
      </w:pPr>
      <w:r>
        <w:t xml:space="preserve">investment </w:t>
      </w:r>
      <w:r w:rsidR="00927525" w:rsidRPr="00927525">
        <w:t>Quality</w:t>
      </w:r>
    </w:p>
    <w:p w14:paraId="2B83DE6F" w14:textId="16F770AC" w:rsidR="00927525" w:rsidRDefault="00945048" w:rsidP="004416B2">
      <w:pPr>
        <w:jc w:val="both"/>
      </w:pPr>
      <w:r w:rsidRPr="00945048">
        <w:t>Under the performance framework the Department track</w:t>
      </w:r>
      <w:r w:rsidR="00AA46D1">
        <w:t>s</w:t>
      </w:r>
      <w:r w:rsidRPr="00945048">
        <w:t xml:space="preserve"> </w:t>
      </w:r>
      <w:r w:rsidR="00A92A3B">
        <w:t xml:space="preserve">the </w:t>
      </w:r>
      <w:r w:rsidR="00A92A3B" w:rsidRPr="00A92A3B">
        <w:t>percentage of investments effectively addressing gender issues</w:t>
      </w:r>
      <w:r w:rsidR="00A92A3B">
        <w:t xml:space="preserve"> </w:t>
      </w:r>
      <w:r w:rsidRPr="00945048">
        <w:t>in their implementation</w:t>
      </w:r>
      <w:r>
        <w:t xml:space="preserve"> </w:t>
      </w:r>
      <w:r w:rsidR="00927525" w:rsidRPr="00945048">
        <w:t xml:space="preserve">through the </w:t>
      </w:r>
      <w:r w:rsidR="00AA46D1">
        <w:t>Investment Monitoring Review (IMR)</w:t>
      </w:r>
      <w:r w:rsidR="00927525" w:rsidRPr="00945048">
        <w:t xml:space="preserve"> of DFAT investments above $3 million. </w:t>
      </w:r>
    </w:p>
    <w:p w14:paraId="58835B73" w14:textId="7221DEA2" w:rsidR="008A61C1" w:rsidRDefault="008A61C1" w:rsidP="004416B2">
      <w:pPr>
        <w:jc w:val="both"/>
      </w:pPr>
      <w:r>
        <w:t>In rating gender equality performance</w:t>
      </w:r>
      <w:r w:rsidR="004416B2">
        <w:t>,</w:t>
      </w:r>
      <w:r w:rsidR="00AA46D1">
        <w:t xml:space="preserve"> IMRs </w:t>
      </w:r>
      <w:r>
        <w:t>consider whether</w:t>
      </w:r>
      <w:r w:rsidR="00AA46D1">
        <w:t>:</w:t>
      </w:r>
      <w:r>
        <w:t xml:space="preserve"> </w:t>
      </w:r>
    </w:p>
    <w:p w14:paraId="425826B7" w14:textId="10C84E14" w:rsidR="008A61C1" w:rsidRDefault="008A61C1" w:rsidP="004416B2">
      <w:pPr>
        <w:pStyle w:val="Bullet1"/>
        <w:jc w:val="both"/>
      </w:pPr>
      <w:r>
        <w:t>analysis of gender quality gaps and opportunities substantially inform the investment</w:t>
      </w:r>
    </w:p>
    <w:p w14:paraId="4AD20F73" w14:textId="39144BF7" w:rsidR="008A61C1" w:rsidRDefault="008A61C1" w:rsidP="004416B2">
      <w:pPr>
        <w:pStyle w:val="Bullet1"/>
        <w:jc w:val="both"/>
      </w:pPr>
      <w:r>
        <w:t>risks to gender equality identified and appropriately managed</w:t>
      </w:r>
    </w:p>
    <w:p w14:paraId="77A787DD" w14:textId="03CAEBFC" w:rsidR="008A61C1" w:rsidRDefault="008A61C1" w:rsidP="004416B2">
      <w:pPr>
        <w:pStyle w:val="Bullet1"/>
        <w:jc w:val="both"/>
      </w:pPr>
      <w:r>
        <w:t>the investment is making progress as expected in effectively implementing strategies to promote gender equality and women’s empowerment</w:t>
      </w:r>
    </w:p>
    <w:p w14:paraId="7114285C" w14:textId="5CC100F4" w:rsidR="008A61C1" w:rsidRDefault="008A61C1" w:rsidP="004416B2">
      <w:pPr>
        <w:pStyle w:val="Bullet1"/>
        <w:jc w:val="both"/>
      </w:pPr>
      <w:r>
        <w:t>the M&amp;E system collects sex-disaggregated data and includes indicators to measure gender equality outcomes</w:t>
      </w:r>
    </w:p>
    <w:p w14:paraId="2D5D5406" w14:textId="71C6525D" w:rsidR="008A61C1" w:rsidRDefault="008A61C1" w:rsidP="004416B2">
      <w:pPr>
        <w:pStyle w:val="Bullet1"/>
        <w:jc w:val="both"/>
      </w:pPr>
      <w:r>
        <w:t>there is sufficient expertise and budget allocation to achieve gender equality related outputs of the investment</w:t>
      </w:r>
    </w:p>
    <w:p w14:paraId="632210D7" w14:textId="4AF86BB2" w:rsidR="008A61C1" w:rsidRDefault="008A61C1" w:rsidP="004416B2">
      <w:pPr>
        <w:pStyle w:val="Bullet1"/>
        <w:jc w:val="both"/>
      </w:pPr>
      <w:r>
        <w:t xml:space="preserve">partners are increasingly treating gender equality as a priority through their own policies and process </w:t>
      </w:r>
      <w:proofErr w:type="gramStart"/>
      <w:r>
        <w:t>as a result of</w:t>
      </w:r>
      <w:proofErr w:type="gramEnd"/>
      <w:r>
        <w:t xml:space="preserve"> the investment</w:t>
      </w:r>
    </w:p>
    <w:p w14:paraId="148F143C" w14:textId="77777777" w:rsidR="008A61C1" w:rsidRDefault="008A61C1" w:rsidP="004416B2">
      <w:pPr>
        <w:jc w:val="both"/>
      </w:pPr>
      <w:r>
        <w:t>Evidence shows that good performance on gender equality is built on:</w:t>
      </w:r>
    </w:p>
    <w:p w14:paraId="5007FB0B" w14:textId="4F24E730" w:rsidR="008A61C1" w:rsidRDefault="008A61C1" w:rsidP="004416B2">
      <w:pPr>
        <w:pStyle w:val="Bullet1"/>
        <w:jc w:val="both"/>
      </w:pPr>
      <w:r>
        <w:t>early analysis of gender</w:t>
      </w:r>
      <w:r w:rsidR="0059198F">
        <w:t xml:space="preserve"> equality</w:t>
      </w:r>
      <w:r>
        <w:t xml:space="preserve"> issues,</w:t>
      </w:r>
    </w:p>
    <w:p w14:paraId="5D36B482" w14:textId="32604069" w:rsidR="008A61C1" w:rsidRDefault="008A61C1" w:rsidP="004416B2">
      <w:pPr>
        <w:pStyle w:val="Bullet1"/>
        <w:jc w:val="both"/>
      </w:pPr>
      <w:r>
        <w:t>timely access to technical support</w:t>
      </w:r>
      <w:r w:rsidR="0059198F">
        <w:t xml:space="preserve"> and</w:t>
      </w:r>
      <w:r w:rsidR="0015504E">
        <w:t xml:space="preserve"> </w:t>
      </w:r>
      <w:r>
        <w:t>resources for gender equality during implementation</w:t>
      </w:r>
      <w:r w:rsidR="0059198F">
        <w:t xml:space="preserve"> </w:t>
      </w:r>
    </w:p>
    <w:p w14:paraId="37487AC9" w14:textId="3193D935" w:rsidR="008A61C1" w:rsidRDefault="0059198F" w:rsidP="004416B2">
      <w:pPr>
        <w:pStyle w:val="Bullet1"/>
        <w:jc w:val="both"/>
      </w:pPr>
      <w:r>
        <w:t xml:space="preserve">strong leadership and </w:t>
      </w:r>
      <w:r w:rsidR="008A61C1">
        <w:t>prioritisation of gender</w:t>
      </w:r>
      <w:r>
        <w:t xml:space="preserve"> equality</w:t>
      </w:r>
      <w:r w:rsidR="008A61C1">
        <w:t xml:space="preserve"> issues when implementation does not go as expected.</w:t>
      </w:r>
    </w:p>
    <w:p w14:paraId="32C42B76" w14:textId="72D2AE93" w:rsidR="00927525" w:rsidRPr="0049177A" w:rsidRDefault="00AA46D1" w:rsidP="00AA46D1">
      <w:pPr>
        <w:pStyle w:val="Heading2Numbered"/>
        <w:ind w:left="567"/>
      </w:pPr>
      <w:r>
        <w:lastRenderedPageBreak/>
        <w:t>Expenditure</w:t>
      </w:r>
    </w:p>
    <w:p w14:paraId="33B580DB" w14:textId="548DFA45" w:rsidR="008A61C1" w:rsidRPr="00AA46D1" w:rsidRDefault="00DE1C12" w:rsidP="004416B2">
      <w:pPr>
        <w:jc w:val="both"/>
        <w:rPr>
          <w:lang w:val="en-AU"/>
        </w:rPr>
      </w:pPr>
      <w:r w:rsidRPr="008A61C1">
        <w:t>DFAT report</w:t>
      </w:r>
      <w:r w:rsidR="0028185E">
        <w:t>s</w:t>
      </w:r>
      <w:r w:rsidRPr="008A61C1">
        <w:t xml:space="preserve"> gender equality focussed expenditure to the OECD Development Assistance Committee (DAC). </w:t>
      </w:r>
      <w:r w:rsidR="0028185E">
        <w:t xml:space="preserve">Reported expenditure </w:t>
      </w:r>
      <w:r w:rsidR="008A61C1" w:rsidRPr="008A61C1">
        <w:rPr>
          <w:lang w:val="en-AU"/>
        </w:rPr>
        <w:t>excludes core payments to multilateral organisations, departmental costs of running the aid program and Australian ODA delivered by other government agencies. DFAT does not have an expenditure target.</w:t>
      </w:r>
    </w:p>
    <w:p w14:paraId="59D7BF15" w14:textId="086F0D46" w:rsidR="008A61C1" w:rsidRPr="008A61C1" w:rsidRDefault="008A61C1" w:rsidP="004416B2">
      <w:pPr>
        <w:jc w:val="both"/>
      </w:pPr>
      <w:r w:rsidRPr="008A61C1">
        <w:t xml:space="preserve">The </w:t>
      </w:r>
      <w:hyperlink r:id="rId14" w:history="1">
        <w:r w:rsidRPr="004416B2">
          <w:rPr>
            <w:rStyle w:val="Hyperlink"/>
            <w:rFonts w:cstheme="minorBidi"/>
          </w:rPr>
          <w:t xml:space="preserve">DAC </w:t>
        </w:r>
        <w:r w:rsidR="004416B2" w:rsidRPr="004416B2">
          <w:rPr>
            <w:rStyle w:val="Hyperlink"/>
            <w:rFonts w:cstheme="minorBidi"/>
          </w:rPr>
          <w:t>G</w:t>
        </w:r>
        <w:r w:rsidRPr="004416B2">
          <w:rPr>
            <w:rStyle w:val="Hyperlink"/>
            <w:rFonts w:cstheme="minorBidi"/>
          </w:rPr>
          <w:t>ender</w:t>
        </w:r>
        <w:r w:rsidR="004416B2" w:rsidRPr="004416B2">
          <w:rPr>
            <w:rStyle w:val="Hyperlink"/>
            <w:rFonts w:cstheme="minorBidi"/>
          </w:rPr>
          <w:t xml:space="preserve"> Equality</w:t>
        </w:r>
        <w:r w:rsidRPr="004416B2">
          <w:rPr>
            <w:rStyle w:val="Hyperlink"/>
            <w:rFonts w:cstheme="minorBidi"/>
          </w:rPr>
          <w:t xml:space="preserve"> </w:t>
        </w:r>
        <w:r w:rsidR="004416B2" w:rsidRPr="004416B2">
          <w:rPr>
            <w:rStyle w:val="Hyperlink"/>
            <w:rFonts w:cstheme="minorBidi"/>
          </w:rPr>
          <w:t>P</w:t>
        </w:r>
        <w:r w:rsidRPr="004416B2">
          <w:rPr>
            <w:rStyle w:val="Hyperlink"/>
            <w:rFonts w:cstheme="minorBidi"/>
          </w:rPr>
          <w:t xml:space="preserve">olicy </w:t>
        </w:r>
        <w:r w:rsidR="004416B2" w:rsidRPr="004416B2">
          <w:rPr>
            <w:rStyle w:val="Hyperlink"/>
            <w:rFonts w:cstheme="minorBidi"/>
          </w:rPr>
          <w:t>M</w:t>
        </w:r>
        <w:r w:rsidRPr="004416B2">
          <w:rPr>
            <w:rStyle w:val="Hyperlink"/>
            <w:rFonts w:cstheme="minorBidi"/>
          </w:rPr>
          <w:t>arker</w:t>
        </w:r>
      </w:hyperlink>
      <w:r w:rsidRPr="008A61C1">
        <w:t xml:space="preserve"> is </w:t>
      </w:r>
      <w:r w:rsidR="00A425F3">
        <w:t xml:space="preserve">used to track expenditure </w:t>
      </w:r>
      <w:r w:rsidRPr="008A61C1">
        <w:t>in AidWorks</w:t>
      </w:r>
      <w:r w:rsidR="00A425F3">
        <w:t>. Expenditure</w:t>
      </w:r>
      <w:r w:rsidR="00A425F3" w:rsidRPr="008A61C1">
        <w:t xml:space="preserve"> </w:t>
      </w:r>
      <w:r w:rsidR="00A425F3">
        <w:t>by</w:t>
      </w:r>
      <w:r w:rsidR="00A425F3" w:rsidRPr="008A61C1">
        <w:t xml:space="preserve"> investments marked as having gender equality as a significant or principal objective is counted as gender equality focussed aid and reported to the DAC, in DFAT’s Annual Report and Performance of Australian Aid Report. </w:t>
      </w:r>
      <w:r w:rsidR="00A425F3">
        <w:t>Additional information about t</w:t>
      </w:r>
      <w:r>
        <w:t>he c</w:t>
      </w:r>
      <w:r w:rsidRPr="008A61C1">
        <w:t xml:space="preserve">riteria </w:t>
      </w:r>
      <w:r w:rsidR="00A425F3">
        <w:t xml:space="preserve">used </w:t>
      </w:r>
      <w:r w:rsidRPr="008A61C1">
        <w:t xml:space="preserve">for </w:t>
      </w:r>
      <w:r w:rsidR="00A425F3">
        <w:t xml:space="preserve">gender equality to be considered a principal or significant objective </w:t>
      </w:r>
      <w:r w:rsidR="00AA46D1">
        <w:t xml:space="preserve">is outlined in the </w:t>
      </w:r>
      <w:hyperlink r:id="rId15" w:history="1">
        <w:r w:rsidR="00AA46D1" w:rsidRPr="00F956BE">
          <w:rPr>
            <w:rStyle w:val="Hyperlink"/>
            <w:rFonts w:cstheme="minorBidi"/>
          </w:rPr>
          <w:t>DAC Sector Gender Theme Quick Reference Guide</w:t>
        </w:r>
      </w:hyperlink>
      <w:r w:rsidR="00A425F3">
        <w:rPr>
          <w:rStyle w:val="Hyperlink"/>
          <w:rFonts w:cstheme="minorBidi"/>
        </w:rPr>
        <w:t>.</w:t>
      </w:r>
    </w:p>
    <w:p w14:paraId="4AA405CD" w14:textId="77777777" w:rsidR="002A574C" w:rsidRDefault="002A574C" w:rsidP="004416B2">
      <w:pPr>
        <w:pStyle w:val="Heading1Numbered"/>
        <w:numPr>
          <w:ilvl w:val="0"/>
          <w:numId w:val="0"/>
        </w:numPr>
        <w:ind w:left="567"/>
        <w:jc w:val="both"/>
        <w:rPr>
          <w:lang w:val="en-AU"/>
        </w:rPr>
      </w:pPr>
    </w:p>
    <w:p w14:paraId="70556FB9" w14:textId="5840D7CF" w:rsidR="002A574C" w:rsidRPr="0013694F" w:rsidRDefault="002A574C" w:rsidP="004416B2">
      <w:pPr>
        <w:pStyle w:val="Heading1Numbered"/>
        <w:numPr>
          <w:ilvl w:val="0"/>
          <w:numId w:val="3"/>
        </w:numPr>
        <w:jc w:val="both"/>
        <w:rPr>
          <w:lang w:val="en-AU"/>
        </w:rPr>
      </w:pPr>
      <w:r w:rsidRPr="0013694F">
        <w:rPr>
          <w:lang w:val="en-AU"/>
        </w:rPr>
        <w:t>Further information and advice</w:t>
      </w:r>
    </w:p>
    <w:p w14:paraId="59315A1B" w14:textId="77777777" w:rsidR="003154EA" w:rsidRPr="0013694F" w:rsidRDefault="003154EA" w:rsidP="004416B2">
      <w:pPr>
        <w:jc w:val="both"/>
        <w:rPr>
          <w:lang w:val="en-AU"/>
        </w:rPr>
      </w:pPr>
      <w:r>
        <w:rPr>
          <w:lang w:val="en-AU"/>
        </w:rPr>
        <w:t>The Support Unit for Gender Equality (SURGE) includes a panel of gender advisers in different sectors who can provide technical assistance on gender equality across the program cycle. To access the panel and f</w:t>
      </w:r>
      <w:r w:rsidRPr="0013694F">
        <w:rPr>
          <w:lang w:val="en-AU"/>
        </w:rPr>
        <w:t>or further assistance on gender equality integration please contact the Gender Equality</w:t>
      </w:r>
      <w:r>
        <w:rPr>
          <w:lang w:val="en-AU"/>
        </w:rPr>
        <w:t>, Disability and Social Inclusion Branch</w:t>
      </w:r>
      <w:r w:rsidRPr="0013694F">
        <w:rPr>
          <w:lang w:val="en-AU"/>
        </w:rPr>
        <w:t xml:space="preserve"> at </w:t>
      </w:r>
      <w:hyperlink r:id="rId16" w:history="1">
        <w:r w:rsidRPr="00925C33">
          <w:rPr>
            <w:rStyle w:val="Hyperlink"/>
            <w:rFonts w:cstheme="minorBidi"/>
            <w:lang w:val="en-AU"/>
          </w:rPr>
          <w:t>gender.equality@dfat.gov.au</w:t>
        </w:r>
      </w:hyperlink>
      <w:r w:rsidRPr="0013694F">
        <w:rPr>
          <w:lang w:val="en-AU"/>
        </w:rPr>
        <w:t>.</w:t>
      </w:r>
    </w:p>
    <w:p w14:paraId="2C7680A1" w14:textId="77777777" w:rsidR="003154EA" w:rsidRPr="0013694F" w:rsidRDefault="003154EA" w:rsidP="002A574C">
      <w:pPr>
        <w:jc w:val="both"/>
        <w:rPr>
          <w:lang w:val="en-AU"/>
        </w:rPr>
      </w:pPr>
    </w:p>
    <w:p w14:paraId="3EB9796B" w14:textId="77777777" w:rsidR="00927525" w:rsidRPr="00927525" w:rsidRDefault="00927525" w:rsidP="00927525"/>
    <w:sectPr w:rsidR="00927525" w:rsidRPr="00927525" w:rsidSect="00FC322F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701" w:right="1134" w:bottom="1418" w:left="1134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E126" w14:textId="77777777" w:rsidR="006A72B8" w:rsidRDefault="006A72B8" w:rsidP="00D37B04">
      <w:r>
        <w:separator/>
      </w:r>
    </w:p>
  </w:endnote>
  <w:endnote w:type="continuationSeparator" w:id="0">
    <w:p w14:paraId="28DAB4A6" w14:textId="77777777" w:rsidR="006A72B8" w:rsidRDefault="006A72B8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95" w14:textId="77777777" w:rsidR="00FC322F" w:rsidRPr="00FC322F" w:rsidRDefault="00FC322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148E7A9A" wp14:editId="148E7A9B">
          <wp:extent cx="108000" cy="87480"/>
          <wp:effectExtent l="0" t="0" r="6350" b="8255"/>
          <wp:docPr id="35" name="Picture 35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>@</w:t>
    </w:r>
    <w:proofErr w:type="gramStart"/>
    <w:r w:rsidRPr="00FC322F">
      <w:rPr>
        <w:b/>
      </w:rPr>
      <w:t xml:space="preserve">DFAT  </w:t>
    </w:r>
    <w:r w:rsidRPr="00FC322F">
      <w:rPr>
        <w:rStyle w:val="Green"/>
        <w:b/>
      </w:rPr>
      <w:t>DFAT.GOV.AU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97" w14:textId="77777777" w:rsidR="00FC322F" w:rsidRPr="00FC322F" w:rsidRDefault="00FC322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148E7AA2" wp14:editId="148E7AA3">
          <wp:extent cx="108000" cy="87480"/>
          <wp:effectExtent l="0" t="0" r="6350" b="8255"/>
          <wp:docPr id="38" name="Picture 38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>@</w:t>
    </w:r>
    <w:proofErr w:type="gramStart"/>
    <w:r w:rsidRPr="00FC322F">
      <w:rPr>
        <w:b/>
      </w:rPr>
      <w:t xml:space="preserve">DFAT  </w:t>
    </w:r>
    <w:r w:rsidRPr="00FC322F">
      <w:rPr>
        <w:rStyle w:val="Green"/>
        <w:b/>
      </w:rPr>
      <w:t>DFAT.GOV.AU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1094" w14:textId="77777777" w:rsidR="006A72B8" w:rsidRPr="008C5A0E" w:rsidRDefault="006A72B8" w:rsidP="00D37B04">
      <w:pPr>
        <w:pStyle w:val="Footer"/>
      </w:pPr>
    </w:p>
  </w:footnote>
  <w:footnote w:type="continuationSeparator" w:id="0">
    <w:p w14:paraId="268A97FB" w14:textId="77777777" w:rsidR="006A72B8" w:rsidRDefault="006A72B8" w:rsidP="00D37B04">
      <w:r>
        <w:continuationSeparator/>
      </w:r>
    </w:p>
  </w:footnote>
  <w:footnote w:id="1">
    <w:p w14:paraId="764401B0" w14:textId="5A4C88E7" w:rsidR="00AA46D1" w:rsidRPr="00AA46D1" w:rsidRDefault="00AA46D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minimum criteria for an investment to have gender equality as the principal or a significant objective are set by the OECD DAC. Gender equality is considered a significant objective where it is an important and deliberate objective, but not the principal reason for undertaking the investment. The investment, in addition to other objectives is designed to have a positive impact on advancing gender equality and/or the empowerment of women and girls, reducing gender discrimination or inequalities, or meeting gender-specific needs. Gender equality is considered the principal objective where gender equality is the main objective of the investment </w:t>
      </w:r>
      <w:r w:rsidRPr="00F956BE">
        <w:t xml:space="preserve">and is fundamental to its design and expected results. The investment would not have been undertaken without this gender equality objective. The minimum criteria are set out in the AidWorks </w:t>
      </w:r>
      <w:hyperlink r:id="rId1" w:history="1">
        <w:r w:rsidRPr="00F956BE">
          <w:rPr>
            <w:rStyle w:val="Hyperlink"/>
            <w:rFonts w:cstheme="minorBidi"/>
          </w:rPr>
          <w:t>DAC Sector Gender Theme Quick Reference Guide</w:t>
        </w:r>
      </w:hyperlink>
      <w:r w:rsidR="004B43B6">
        <w:rPr>
          <w:rStyle w:val="Hyperlink"/>
          <w:rFonts w:cstheme="minorBidi"/>
        </w:rPr>
        <w:t xml:space="preserve">. </w:t>
      </w:r>
      <w:r w:rsidR="004B43B6" w:rsidRPr="004B43B6">
        <w:t>DFAT requires new investments valued at $3 million and over to include at least one gender equality outcome. Exemptions automatically apply to investments in a limited number of categories, as outlined in the Aid Programming Guide.</w:t>
      </w:r>
      <w:r w:rsidR="004B43B6" w:rsidRPr="004B43B6"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94" w14:textId="77777777"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1" wp14:anchorId="148E7A98" wp14:editId="1044A035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3810" b="0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8BCA" w14:textId="1BC73917" w:rsidR="00D3574C" w:rsidRDefault="002D5B25" w:rsidP="00943730">
    <w:pPr>
      <w:pStyle w:val="Header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B70A9D">
      <w:rPr>
        <w:noProof/>
      </w:rPr>
      <w:t>December 2022</w:t>
    </w:r>
    <w:r w:rsidRPr="00943730">
      <w:fldChar w:fldCharType="end"/>
    </w:r>
  </w:p>
  <w:p w14:paraId="43DEDF4B" w14:textId="77777777" w:rsidR="00D3574C" w:rsidRDefault="00D3574C" w:rsidP="00943730">
    <w:pPr>
      <w:pStyle w:val="Header"/>
    </w:pPr>
  </w:p>
  <w:p w14:paraId="148E7A96" w14:textId="03A4F89D" w:rsidR="00D37B04" w:rsidRPr="00943730" w:rsidRDefault="00D3574C" w:rsidP="00B04FEA">
    <w:pPr>
      <w:pStyle w:val="Header"/>
      <w:tabs>
        <w:tab w:val="clear" w:pos="9026"/>
        <w:tab w:val="left" w:pos="7260"/>
        <w:tab w:val="left" w:pos="7665"/>
      </w:tabs>
      <w:spacing w:before="240"/>
    </w:pPr>
    <w:r w:rsidRPr="00943730">
      <w:rPr>
        <w:noProof/>
        <w:lang w:val="en-AU" w:eastAsia="en-AU"/>
      </w:rPr>
      <w:drawing>
        <wp:inline distT="0" distB="0" distL="0" distR="0" wp14:anchorId="722AB294" wp14:editId="6B11C229">
          <wp:extent cx="3166920" cy="554400"/>
          <wp:effectExtent l="0" t="0" r="0" b="0"/>
          <wp:docPr id="36" name="Picture 36" descr="Department of Foreign Affairs and Trade" title="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4FEA">
      <w:tab/>
    </w:r>
    <w:r w:rsidR="00B04FEA">
      <w:tab/>
    </w:r>
    <w:r w:rsidR="00252C04" w:rsidRPr="00252C04">
      <w:rPr>
        <w:noProof/>
        <w:lang w:val="en-AU" w:eastAsia="en-AU"/>
      </w:rPr>
      <w:drawing>
        <wp:inline distT="0" distB="0" distL="0" distR="0" wp14:anchorId="148E7A9C" wp14:editId="39792B15">
          <wp:extent cx="1115640" cy="512640"/>
          <wp:effectExtent l="0" t="0" r="8890" b="1905"/>
          <wp:docPr id="60" name="Picture 60" descr="Australian Aid" title="Australian 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40" cy="51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B25"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148E7AA0" wp14:editId="2C02AE9E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194F283D"/>
    <w:multiLevelType w:val="hybridMultilevel"/>
    <w:tmpl w:val="99CCCFE2"/>
    <w:lvl w:ilvl="0" w:tplc="CD3E52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37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323132F1"/>
    <w:multiLevelType w:val="hybridMultilevel"/>
    <w:tmpl w:val="A8DA23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8EF586">
      <w:numFmt w:val="bullet"/>
      <w:lvlText w:val="•"/>
      <w:lvlJc w:val="left"/>
      <w:pPr>
        <w:ind w:left="1440" w:hanging="720"/>
      </w:pPr>
      <w:rPr>
        <w:rFonts w:ascii="Calibri Light" w:eastAsiaTheme="minorHAnsi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E508B"/>
    <w:multiLevelType w:val="hybridMultilevel"/>
    <w:tmpl w:val="1B60B7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FEAF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553D9F"/>
    <w:multiLevelType w:val="multilevel"/>
    <w:tmpl w:val="A6FA45D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575C3E9F"/>
    <w:multiLevelType w:val="hybridMultilevel"/>
    <w:tmpl w:val="9FB8CAB4"/>
    <w:lvl w:ilvl="0" w:tplc="010EE09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5EA94F02"/>
    <w:multiLevelType w:val="hybridMultilevel"/>
    <w:tmpl w:val="7DE8CBF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07305"/>
    <w:multiLevelType w:val="multilevel"/>
    <w:tmpl w:val="A6FA45D0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7B5288C"/>
    <w:multiLevelType w:val="hybridMultilevel"/>
    <w:tmpl w:val="6192776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CFC102A"/>
    <w:multiLevelType w:val="multilevel"/>
    <w:tmpl w:val="B908FDAE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2"/>
  </w:num>
  <w:num w:numId="15">
    <w:abstractNumId w:val="10"/>
  </w:num>
  <w:num w:numId="16">
    <w:abstractNumId w:val="2"/>
  </w:num>
  <w:num w:numId="17">
    <w:abstractNumId w:val="5"/>
  </w:num>
  <w:num w:numId="18">
    <w:abstractNumId w:val="3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00BA"/>
    <w:rsid w:val="00001DA8"/>
    <w:rsid w:val="000020C1"/>
    <w:rsid w:val="0002080A"/>
    <w:rsid w:val="0002782F"/>
    <w:rsid w:val="00035BBF"/>
    <w:rsid w:val="00050806"/>
    <w:rsid w:val="000546D9"/>
    <w:rsid w:val="00054E4D"/>
    <w:rsid w:val="00060073"/>
    <w:rsid w:val="000616C6"/>
    <w:rsid w:val="00071DD3"/>
    <w:rsid w:val="000854FD"/>
    <w:rsid w:val="000B37F5"/>
    <w:rsid w:val="000D66D6"/>
    <w:rsid w:val="00113288"/>
    <w:rsid w:val="001214BE"/>
    <w:rsid w:val="00125591"/>
    <w:rsid w:val="0013101C"/>
    <w:rsid w:val="00143420"/>
    <w:rsid w:val="001461D6"/>
    <w:rsid w:val="001541EA"/>
    <w:rsid w:val="0015504E"/>
    <w:rsid w:val="00156A66"/>
    <w:rsid w:val="00190C37"/>
    <w:rsid w:val="001975EF"/>
    <w:rsid w:val="001A2073"/>
    <w:rsid w:val="001D663E"/>
    <w:rsid w:val="001E1DC0"/>
    <w:rsid w:val="00203277"/>
    <w:rsid w:val="00205B2E"/>
    <w:rsid w:val="00252C04"/>
    <w:rsid w:val="0028185E"/>
    <w:rsid w:val="0028602A"/>
    <w:rsid w:val="002A574C"/>
    <w:rsid w:val="002B5E10"/>
    <w:rsid w:val="002C1786"/>
    <w:rsid w:val="002C793D"/>
    <w:rsid w:val="002D5B25"/>
    <w:rsid w:val="002F3624"/>
    <w:rsid w:val="002F4F2B"/>
    <w:rsid w:val="003002C0"/>
    <w:rsid w:val="00301144"/>
    <w:rsid w:val="003031C6"/>
    <w:rsid w:val="00304984"/>
    <w:rsid w:val="00312BF8"/>
    <w:rsid w:val="003148B7"/>
    <w:rsid w:val="003154EA"/>
    <w:rsid w:val="003158C3"/>
    <w:rsid w:val="003274CD"/>
    <w:rsid w:val="00333501"/>
    <w:rsid w:val="003457C4"/>
    <w:rsid w:val="0035119D"/>
    <w:rsid w:val="00384D40"/>
    <w:rsid w:val="0039344A"/>
    <w:rsid w:val="00395163"/>
    <w:rsid w:val="003B4F12"/>
    <w:rsid w:val="003C17B2"/>
    <w:rsid w:val="003D0B88"/>
    <w:rsid w:val="003F2041"/>
    <w:rsid w:val="00402ACC"/>
    <w:rsid w:val="004120EC"/>
    <w:rsid w:val="00423F31"/>
    <w:rsid w:val="00431899"/>
    <w:rsid w:val="00437A25"/>
    <w:rsid w:val="004416B2"/>
    <w:rsid w:val="00442055"/>
    <w:rsid w:val="00471C21"/>
    <w:rsid w:val="00482AE8"/>
    <w:rsid w:val="0048492D"/>
    <w:rsid w:val="00486804"/>
    <w:rsid w:val="004939C4"/>
    <w:rsid w:val="004B3775"/>
    <w:rsid w:val="004B43B6"/>
    <w:rsid w:val="004C6342"/>
    <w:rsid w:val="004D0BA0"/>
    <w:rsid w:val="004E058F"/>
    <w:rsid w:val="004E3B87"/>
    <w:rsid w:val="00510921"/>
    <w:rsid w:val="00510AD3"/>
    <w:rsid w:val="00513348"/>
    <w:rsid w:val="00513AD8"/>
    <w:rsid w:val="005204D2"/>
    <w:rsid w:val="00522396"/>
    <w:rsid w:val="00527D01"/>
    <w:rsid w:val="00533B5D"/>
    <w:rsid w:val="0059198F"/>
    <w:rsid w:val="005978C4"/>
    <w:rsid w:val="005A20F6"/>
    <w:rsid w:val="005B55E8"/>
    <w:rsid w:val="005D3655"/>
    <w:rsid w:val="005E4830"/>
    <w:rsid w:val="00622B86"/>
    <w:rsid w:val="00623BA1"/>
    <w:rsid w:val="006253B9"/>
    <w:rsid w:val="006346BC"/>
    <w:rsid w:val="0066652A"/>
    <w:rsid w:val="006719C3"/>
    <w:rsid w:val="00680522"/>
    <w:rsid w:val="00682167"/>
    <w:rsid w:val="006A2EDF"/>
    <w:rsid w:val="006A72B8"/>
    <w:rsid w:val="006C42AF"/>
    <w:rsid w:val="006C5A45"/>
    <w:rsid w:val="00711D8E"/>
    <w:rsid w:val="00712672"/>
    <w:rsid w:val="00734E3F"/>
    <w:rsid w:val="00736985"/>
    <w:rsid w:val="00745DF5"/>
    <w:rsid w:val="0076250F"/>
    <w:rsid w:val="007706B8"/>
    <w:rsid w:val="00774EE4"/>
    <w:rsid w:val="00780FA5"/>
    <w:rsid w:val="007B6200"/>
    <w:rsid w:val="007C4E16"/>
    <w:rsid w:val="007F3395"/>
    <w:rsid w:val="00801B9F"/>
    <w:rsid w:val="0080204D"/>
    <w:rsid w:val="00805B9C"/>
    <w:rsid w:val="0083052F"/>
    <w:rsid w:val="008475F0"/>
    <w:rsid w:val="008557A7"/>
    <w:rsid w:val="00870928"/>
    <w:rsid w:val="00885A62"/>
    <w:rsid w:val="0089405C"/>
    <w:rsid w:val="00897FA2"/>
    <w:rsid w:val="008A5AFE"/>
    <w:rsid w:val="008A61C1"/>
    <w:rsid w:val="008C5A0E"/>
    <w:rsid w:val="009000BB"/>
    <w:rsid w:val="0091078B"/>
    <w:rsid w:val="00927525"/>
    <w:rsid w:val="00943730"/>
    <w:rsid w:val="00945048"/>
    <w:rsid w:val="00961E72"/>
    <w:rsid w:val="00975CA5"/>
    <w:rsid w:val="00983AED"/>
    <w:rsid w:val="00986590"/>
    <w:rsid w:val="00992C76"/>
    <w:rsid w:val="009969D6"/>
    <w:rsid w:val="009A3DD2"/>
    <w:rsid w:val="009B4D3B"/>
    <w:rsid w:val="009B7942"/>
    <w:rsid w:val="009D7407"/>
    <w:rsid w:val="009E0866"/>
    <w:rsid w:val="009E273C"/>
    <w:rsid w:val="009F09E7"/>
    <w:rsid w:val="009F1350"/>
    <w:rsid w:val="009F395E"/>
    <w:rsid w:val="009F6423"/>
    <w:rsid w:val="00A16D42"/>
    <w:rsid w:val="00A175B3"/>
    <w:rsid w:val="00A24A62"/>
    <w:rsid w:val="00A31C9F"/>
    <w:rsid w:val="00A4144F"/>
    <w:rsid w:val="00A425F3"/>
    <w:rsid w:val="00A61B4D"/>
    <w:rsid w:val="00A80F95"/>
    <w:rsid w:val="00A834FC"/>
    <w:rsid w:val="00A91795"/>
    <w:rsid w:val="00A92A3B"/>
    <w:rsid w:val="00A97BF1"/>
    <w:rsid w:val="00AA0302"/>
    <w:rsid w:val="00AA298A"/>
    <w:rsid w:val="00AA315B"/>
    <w:rsid w:val="00AA46D1"/>
    <w:rsid w:val="00AC164A"/>
    <w:rsid w:val="00AE448A"/>
    <w:rsid w:val="00AF2050"/>
    <w:rsid w:val="00B03CA8"/>
    <w:rsid w:val="00B04FEA"/>
    <w:rsid w:val="00B33C0A"/>
    <w:rsid w:val="00B359C6"/>
    <w:rsid w:val="00B461EB"/>
    <w:rsid w:val="00B55E19"/>
    <w:rsid w:val="00B70A9D"/>
    <w:rsid w:val="00B94758"/>
    <w:rsid w:val="00BA4B6D"/>
    <w:rsid w:val="00BB26C5"/>
    <w:rsid w:val="00BC31BD"/>
    <w:rsid w:val="00BE7D65"/>
    <w:rsid w:val="00BF4DE6"/>
    <w:rsid w:val="00C06B13"/>
    <w:rsid w:val="00C27D25"/>
    <w:rsid w:val="00C27EC4"/>
    <w:rsid w:val="00C370F7"/>
    <w:rsid w:val="00C42541"/>
    <w:rsid w:val="00C42CDE"/>
    <w:rsid w:val="00C5182A"/>
    <w:rsid w:val="00C5278C"/>
    <w:rsid w:val="00C63EE9"/>
    <w:rsid w:val="00CA16F3"/>
    <w:rsid w:val="00CA37B1"/>
    <w:rsid w:val="00CB1959"/>
    <w:rsid w:val="00CC5F3A"/>
    <w:rsid w:val="00CC741B"/>
    <w:rsid w:val="00CD0E4B"/>
    <w:rsid w:val="00CE4C89"/>
    <w:rsid w:val="00CF07BA"/>
    <w:rsid w:val="00D0296C"/>
    <w:rsid w:val="00D21CBE"/>
    <w:rsid w:val="00D32D6F"/>
    <w:rsid w:val="00D3574C"/>
    <w:rsid w:val="00D37B04"/>
    <w:rsid w:val="00D540C6"/>
    <w:rsid w:val="00D64BD1"/>
    <w:rsid w:val="00D92254"/>
    <w:rsid w:val="00DE084C"/>
    <w:rsid w:val="00DE1C12"/>
    <w:rsid w:val="00E14F51"/>
    <w:rsid w:val="00E357B7"/>
    <w:rsid w:val="00E53800"/>
    <w:rsid w:val="00E6081F"/>
    <w:rsid w:val="00E8296D"/>
    <w:rsid w:val="00E8457B"/>
    <w:rsid w:val="00EA04B2"/>
    <w:rsid w:val="00EA20F3"/>
    <w:rsid w:val="00ED2831"/>
    <w:rsid w:val="00ED43D1"/>
    <w:rsid w:val="00EE25F4"/>
    <w:rsid w:val="00EE4EE1"/>
    <w:rsid w:val="00EF4574"/>
    <w:rsid w:val="00EF5FB3"/>
    <w:rsid w:val="00F25A93"/>
    <w:rsid w:val="00F2684E"/>
    <w:rsid w:val="00F5404C"/>
    <w:rsid w:val="00F729EF"/>
    <w:rsid w:val="00F744A2"/>
    <w:rsid w:val="00F77CAE"/>
    <w:rsid w:val="00F82271"/>
    <w:rsid w:val="00F83428"/>
    <w:rsid w:val="00F93B65"/>
    <w:rsid w:val="00F96BB9"/>
    <w:rsid w:val="00FB04AA"/>
    <w:rsid w:val="00FC322F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8E7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B55E8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B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3AED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B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83AED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3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aliases w:val="Normal + Font:9 Point,Superscript 3 Point Times"/>
    <w:basedOn w:val="DefaultParagraphFont"/>
    <w:uiPriority w:val="99"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Bullet1,List Paragraph1,Recommendation,List Paragraph11,Rec para,L,CV text,Table text,F5 List Paragraph,Dot pt,Colorful List - Accent 11,No Spacing1,List Paragraph Char Char Char,Indicator Text,Numbered Para 1,Bullet Points,Bullet point,列"/>
    <w:basedOn w:val="Normal"/>
    <w:link w:val="ListParagraphChar"/>
    <w:uiPriority w:val="34"/>
    <w:qFormat/>
    <w:locked/>
    <w:rsid w:val="00FB04AA"/>
    <w:pPr>
      <w:ind w:left="720"/>
      <w:contextualSpacing/>
    </w:pPr>
  </w:style>
  <w:style w:type="paragraph" w:styleId="Revision">
    <w:name w:val="Revision"/>
    <w:hidden/>
    <w:uiPriority w:val="99"/>
    <w:semiHidden/>
    <w:rsid w:val="003D0B88"/>
    <w:pPr>
      <w:spacing w:after="0" w:line="240" w:lineRule="auto"/>
    </w:pPr>
    <w:rPr>
      <w:color w:val="495965" w:themeColor="text2"/>
      <w:lang w:val="en-GB"/>
    </w:rPr>
  </w:style>
  <w:style w:type="character" w:customStyle="1" w:styleId="ListParagraphChar">
    <w:name w:val="List Paragraph Char"/>
    <w:aliases w:val="Bullet1 Char,List Paragraph1 Char,Recommendation Char,List Paragraph11 Char,Rec para Char,L Char,CV text Char,Table text Char,F5 List Paragraph Char,Dot pt Char,Colorful List - Accent 11 Char,No Spacing1 Char,Indicator Text Char"/>
    <w:basedOn w:val="DefaultParagraphFont"/>
    <w:link w:val="ListParagraph"/>
    <w:uiPriority w:val="34"/>
    <w:qFormat/>
    <w:locked/>
    <w:rsid w:val="003D0B88"/>
    <w:rPr>
      <w:color w:val="495965" w:themeColor="text2"/>
      <w:lang w:val="en-GB"/>
    </w:rPr>
  </w:style>
  <w:style w:type="character" w:customStyle="1" w:styleId="srch-url2">
    <w:name w:val="srch-url2"/>
    <w:basedOn w:val="DefaultParagraphFont"/>
    <w:rsid w:val="00B359C6"/>
  </w:style>
  <w:style w:type="character" w:styleId="UnresolvedMention">
    <w:name w:val="Unresolved Mention"/>
    <w:basedOn w:val="DefaultParagraphFont"/>
    <w:uiPriority w:val="99"/>
    <w:semiHidden/>
    <w:unhideWhenUsed/>
    <w:rsid w:val="0044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at.gov.au/aid/performance-assessme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fat.gov.au/sites/default/files/gender-equality-and-womens-empowerment-strategy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ender.equality@dfat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at.gov.au/publications/aid/partnerships-recovery-australias-covid-19-development-respon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dfatintranet.titan.satin.lo/managing-aid/aidworks-learning-hub/Quick%20Reference%20Guides/Development%20Assistance%20Committee%20Gender%20themes%20overview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ecd.org/dac/gender-development/dac-gender-equality-marker.ht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fatintranet.titan.satin.lo/managing-aid/aidworks-learning-hub/Quick%20Reference%20Guides/Development%20Assistance%20Committee%20Gender%20themes%20overview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F11698F851D4286149BAD04EB95E2" ma:contentTypeVersion="17" ma:contentTypeDescription="Create a new document." ma:contentTypeScope="" ma:versionID="81ac74173f6f9929a551feb884d0aca3">
  <xsd:schema xmlns:xsd="http://www.w3.org/2001/XMLSchema" xmlns:xs="http://www.w3.org/2001/XMLSchema" xmlns:p="http://schemas.microsoft.com/office/2006/metadata/properties" xmlns:ns2="905de4b5-ad8c-41bf-b5aa-35e58ae5ca1b" xmlns:ns3="483130e5-07f6-470c-8a9c-eb0e720b6157" targetNamespace="http://schemas.microsoft.com/office/2006/metadata/properties" ma:root="true" ma:fieldsID="6cb654d547301dd5dbb2d30b58127469" ns2:_="" ns3:_="">
    <xsd:import namespace="905de4b5-ad8c-41bf-b5aa-35e58ae5ca1b"/>
    <xsd:import namespace="483130e5-07f6-470c-8a9c-eb0e720b6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e4b5-ad8c-41bf-b5aa-35e58ae5c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30e5-07f6-470c-8a9c-eb0e720b6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c25356-9634-4cff-a3fc-6889fb3e5345}" ma:internalName="TaxCatchAll" ma:showField="CatchAllData" ma:web="483130e5-07f6-470c-8a9c-eb0e720b6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de4b5-ad8c-41bf-b5aa-35e58ae5ca1b">
      <Terms xmlns="http://schemas.microsoft.com/office/infopath/2007/PartnerControls"/>
    </lcf76f155ced4ddcb4097134ff3c332f>
    <TaxCatchAll xmlns="483130e5-07f6-470c-8a9c-eb0e720b6157" xsi:nil="true"/>
  </documentManagement>
</p:properties>
</file>

<file path=customXml/itemProps1.xml><?xml version="1.0" encoding="utf-8"?>
<ds:datastoreItem xmlns:ds="http://schemas.openxmlformats.org/officeDocument/2006/customXml" ds:itemID="{B7C801A7-046F-4158-86B1-9E7644E47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F723E-DE63-4C95-A1E6-C41FA835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de4b5-ad8c-41bf-b5aa-35e58ae5ca1b"/>
    <ds:schemaRef ds:uri="483130e5-07f6-470c-8a9c-eb0e720b6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5F231-713D-4E38-8729-B5EA213C38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464E6-49C0-4399-8999-4BB8C216B8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3130e5-07f6-470c-8a9c-eb0e720b6157"/>
    <ds:schemaRef ds:uri="http://schemas.microsoft.com/office/infopath/2007/PartnerControls"/>
    <ds:schemaRef ds:uri="http://purl.org/dc/elements/1.1/"/>
    <ds:schemaRef ds:uri="http://schemas.microsoft.com/office/2006/metadata/properties"/>
    <ds:schemaRef ds:uri="905de4b5-ad8c-41bf-b5aa-35e58ae5ca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7170</Characters>
  <Application>Microsoft Office Word</Application>
  <DocSecurity>0</DocSecurity>
  <Lines>136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equality and women’s empowerment in the aid program</vt:lpstr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equality and women’s empowerment in the aid program</dc:title>
  <dc:creator/>
  <cp:keywords>[SEC=OFFICIAL]</cp:keywords>
  <cp:lastModifiedBy/>
  <cp:revision>1</cp:revision>
  <dcterms:created xsi:type="dcterms:W3CDTF">2022-11-28T01:22:00Z</dcterms:created>
  <dcterms:modified xsi:type="dcterms:W3CDTF">2022-12-06T00:07:00Z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40591026-9c90-4250-a65b-be87893f2b51</vt:lpwstr>
  </property>
  <property fmtid="{D5CDD505-2E9C-101B-9397-08002B2CF9AE}" pid="3" name="SEC">
    <vt:lpwstr>OFFICIAL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D5D310F6D8894877B3E674B66CD0764F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899E4EA469A04FB023F4432B63374BB33589BF8A</vt:lpwstr>
  </property>
  <property fmtid="{D5CDD505-2E9C-101B-9397-08002B2CF9AE}" pid="13" name="PM_OriginationTimeStamp">
    <vt:lpwstr>2022-12-06T00:07:09Z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Uuid">
    <vt:lpwstr>ABBFF5E2-9674-55C9-B08D-C9980002FD58</vt:lpwstr>
  </property>
  <property fmtid="{D5CDD505-2E9C-101B-9397-08002B2CF9AE}" pid="22" name="PMUuidVer">
    <vt:lpwstr>2022.1</vt:lpwstr>
  </property>
  <property fmtid="{D5CDD505-2E9C-101B-9397-08002B2CF9AE}" pid="23" name="PM_Hash_Version">
    <vt:lpwstr>2018.0</vt:lpwstr>
  </property>
  <property fmtid="{D5CDD505-2E9C-101B-9397-08002B2CF9AE}" pid="24" name="PM_Hash_Salt_Prev">
    <vt:lpwstr>A41F033B5B46369BDCFF5B41D2B2390F</vt:lpwstr>
  </property>
  <property fmtid="{D5CDD505-2E9C-101B-9397-08002B2CF9AE}" pid="25" name="PM_Hash_Salt">
    <vt:lpwstr>A53C9C11875EA915B5D6082B1F85EAD6</vt:lpwstr>
  </property>
  <property fmtid="{D5CDD505-2E9C-101B-9397-08002B2CF9AE}" pid="26" name="PM_Hash_SHA1">
    <vt:lpwstr>AEC55FE7B0B81665BB98CE3202245D6B5728B7A5</vt:lpwstr>
  </property>
  <property fmtid="{D5CDD505-2E9C-101B-9397-08002B2CF9AE}" pid="27" name="PM_OriginatorUserAccountName_SHA256">
    <vt:lpwstr>290C9CFCFE70E139C4500567FB5830ACF9049F26A1998DDACA65669D45D5D2AD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PM_MinimumSecurityClassification">
    <vt:lpwstr>OFFICIAL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ContentTypeId">
    <vt:lpwstr>0x010100044F11698F851D4286149BAD04EB95E2</vt:lpwstr>
  </property>
  <property fmtid="{D5CDD505-2E9C-101B-9397-08002B2CF9AE}" pid="33" name="MediaServiceImageTags">
    <vt:lpwstr/>
  </property>
</Properties>
</file>