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7662" w14:textId="77777777" w:rsidR="00B163E3" w:rsidRDefault="00B163E3" w:rsidP="009265C7">
      <w:pPr>
        <w:pStyle w:val="Subtitle"/>
        <w:numPr>
          <w:ilvl w:val="0"/>
          <w:numId w:val="0"/>
        </w:numPr>
        <w:spacing w:before="400"/>
        <w:rPr>
          <w:rFonts w:asciiTheme="majorHAnsi" w:hAnsiTheme="majorHAnsi"/>
          <w:b/>
          <w:szCs w:val="52"/>
          <w:lang w:val="en-AU"/>
        </w:rPr>
      </w:pPr>
      <w:r w:rsidRPr="00B163E3">
        <w:rPr>
          <w:rFonts w:asciiTheme="majorHAnsi" w:hAnsiTheme="majorHAnsi"/>
          <w:b/>
          <w:szCs w:val="52"/>
          <w:lang w:val="en-AU"/>
        </w:rPr>
        <w:t xml:space="preserve">Gender Equality in Investment Design </w:t>
      </w:r>
    </w:p>
    <w:p w14:paraId="2371EF4A" w14:textId="608483A7" w:rsidR="00B163E3" w:rsidRPr="00B163E3" w:rsidRDefault="00B163E3" w:rsidP="00B163E3">
      <w:pPr>
        <w:pStyle w:val="Subtitle"/>
        <w:numPr>
          <w:ilvl w:val="0"/>
          <w:numId w:val="0"/>
        </w:numPr>
        <w:rPr>
          <w:rFonts w:asciiTheme="majorHAnsi" w:hAnsiTheme="majorHAnsi"/>
          <w:b/>
          <w:szCs w:val="52"/>
          <w:lang w:val="en-AU"/>
        </w:rPr>
      </w:pPr>
      <w:r w:rsidRPr="00B163E3">
        <w:rPr>
          <w:rFonts w:asciiTheme="majorHAnsi" w:hAnsiTheme="majorHAnsi"/>
          <w:b/>
          <w:szCs w:val="52"/>
          <w:lang w:val="en-AU"/>
        </w:rPr>
        <w:t xml:space="preserve"> </w:t>
      </w:r>
    </w:p>
    <w:p w14:paraId="29D0C445" w14:textId="62548BD0" w:rsidR="00CD0E4B" w:rsidRDefault="00B163E3" w:rsidP="00D37B04">
      <w:pPr>
        <w:pStyle w:val="Subtitle"/>
      </w:pPr>
      <w:r>
        <w:t>good practice note</w:t>
      </w:r>
    </w:p>
    <w:p w14:paraId="3F25F63F" w14:textId="77777777" w:rsidR="00B163E3" w:rsidRPr="00B163E3" w:rsidRDefault="00B163E3" w:rsidP="00B163E3">
      <w:pPr>
        <w:pStyle w:val="Heading1Numbered"/>
        <w:rPr>
          <w:lang w:val="en-AU"/>
        </w:rPr>
      </w:pPr>
      <w:r w:rsidRPr="00B163E3">
        <w:rPr>
          <w:lang w:val="en-AU"/>
        </w:rPr>
        <w:t>Overview</w:t>
      </w:r>
    </w:p>
    <w:p w14:paraId="686FD931" w14:textId="50E3746A" w:rsidR="0028609E" w:rsidRPr="0028609E" w:rsidRDefault="00092DD6" w:rsidP="00311F6C">
      <w:pPr>
        <w:pStyle w:val="IntroPara"/>
        <w:jc w:val="both"/>
        <w:rPr>
          <w:color w:val="557B32" w:themeColor="accent2" w:themeShade="80"/>
          <w:szCs w:val="21"/>
        </w:rPr>
      </w:pPr>
      <w:r>
        <w:rPr>
          <w:color w:val="557B32" w:themeColor="accent2" w:themeShade="80"/>
          <w:szCs w:val="21"/>
        </w:rPr>
        <w:t xml:space="preserve">DFAT requires </w:t>
      </w:r>
      <w:r w:rsidR="0028609E" w:rsidRPr="006947DD">
        <w:rPr>
          <w:color w:val="557B32" w:themeColor="accent2" w:themeShade="80"/>
        </w:rPr>
        <w:t>new</w:t>
      </w:r>
      <w:r w:rsidRPr="006947DD">
        <w:rPr>
          <w:color w:val="557B32" w:themeColor="accent2" w:themeShade="80"/>
        </w:rPr>
        <w:t xml:space="preserve"> aid</w:t>
      </w:r>
      <w:r w:rsidR="0028609E" w:rsidRPr="006947DD">
        <w:rPr>
          <w:color w:val="557B32" w:themeColor="accent2" w:themeShade="80"/>
        </w:rPr>
        <w:t xml:space="preserve"> investments valued at $3 million</w:t>
      </w:r>
      <w:r w:rsidR="00C96425" w:rsidRPr="006947DD">
        <w:rPr>
          <w:color w:val="557B32" w:themeColor="accent2" w:themeShade="80"/>
        </w:rPr>
        <w:t xml:space="preserve"> and over</w:t>
      </w:r>
      <w:r w:rsidR="0028609E" w:rsidRPr="006947DD">
        <w:rPr>
          <w:color w:val="557B32" w:themeColor="accent2" w:themeShade="80"/>
        </w:rPr>
        <w:t xml:space="preserve"> to include a gender equality outcome</w:t>
      </w:r>
      <w:r>
        <w:rPr>
          <w:color w:val="557B32" w:themeColor="accent2" w:themeShade="80"/>
        </w:rPr>
        <w:t>, regardless of sector</w:t>
      </w:r>
      <w:r w:rsidR="0028609E" w:rsidRPr="006947DD">
        <w:rPr>
          <w:color w:val="557B32" w:themeColor="accent2" w:themeShade="80"/>
        </w:rPr>
        <w:t xml:space="preserve">. </w:t>
      </w:r>
      <w:r w:rsidR="00B163E3" w:rsidRPr="0087096F">
        <w:rPr>
          <w:color w:val="557B32" w:themeColor="accent2" w:themeShade="80"/>
          <w:lang w:val="en-AU"/>
        </w:rPr>
        <w:t xml:space="preserve">This Good Practice Note helps DFAT staff </w:t>
      </w:r>
      <w:r>
        <w:rPr>
          <w:color w:val="557B32" w:themeColor="accent2" w:themeShade="80"/>
          <w:lang w:val="en-AU"/>
        </w:rPr>
        <w:t>meet this requirement</w:t>
      </w:r>
      <w:r w:rsidR="0028609E">
        <w:rPr>
          <w:color w:val="557B32" w:themeColor="accent2" w:themeShade="80"/>
          <w:lang w:val="en-AU"/>
        </w:rPr>
        <w:t xml:space="preserve"> and </w:t>
      </w:r>
      <w:r w:rsidR="00B163E3" w:rsidRPr="0087096F">
        <w:rPr>
          <w:color w:val="557B32" w:themeColor="accent2" w:themeShade="80"/>
          <w:lang w:val="en-AU"/>
        </w:rPr>
        <w:t xml:space="preserve">integrate gender equality into program design.  It </w:t>
      </w:r>
      <w:r w:rsidR="0028609E">
        <w:rPr>
          <w:color w:val="557B32" w:themeColor="accent2" w:themeShade="80"/>
          <w:lang w:val="en-AU"/>
        </w:rPr>
        <w:t xml:space="preserve">also </w:t>
      </w:r>
      <w:r w:rsidR="00B163E3" w:rsidRPr="0087096F">
        <w:rPr>
          <w:color w:val="557B32" w:themeColor="accent2" w:themeShade="80"/>
          <w:lang w:val="en-AU"/>
        </w:rPr>
        <w:t>supports</w:t>
      </w:r>
      <w:r w:rsidR="00F956BE" w:rsidRPr="0087096F">
        <w:rPr>
          <w:color w:val="557B32" w:themeColor="accent2" w:themeShade="80"/>
          <w:lang w:val="en-AU"/>
        </w:rPr>
        <w:t xml:space="preserve"> staff </w:t>
      </w:r>
      <w:r w:rsidR="00F956BE" w:rsidRPr="0087096F">
        <w:rPr>
          <w:color w:val="557B32" w:themeColor="accent2" w:themeShade="80"/>
        </w:rPr>
        <w:t>to</w:t>
      </w:r>
      <w:r w:rsidR="00F956BE" w:rsidRPr="0087096F">
        <w:rPr>
          <w:color w:val="557B32" w:themeColor="accent2" w:themeShade="80"/>
          <w:szCs w:val="21"/>
        </w:rPr>
        <w:t xml:space="preserve"> implement Australia’s development strategy </w:t>
      </w:r>
      <w:hyperlink r:id="rId11" w:history="1">
        <w:r w:rsidR="00F956BE" w:rsidRPr="0087096F">
          <w:rPr>
            <w:rStyle w:val="Hyperlink"/>
            <w:rFonts w:cstheme="minorBidi"/>
            <w:i/>
            <w:color w:val="557B32" w:themeColor="accent2" w:themeShade="80"/>
            <w:szCs w:val="21"/>
          </w:rPr>
          <w:t>Partnerships for Recovery: Australia’s COVID-19 Development Response</w:t>
        </w:r>
      </w:hyperlink>
      <w:r w:rsidR="00F956BE" w:rsidRPr="0087096F">
        <w:rPr>
          <w:color w:val="557B32" w:themeColor="accent2" w:themeShade="80"/>
          <w:szCs w:val="21"/>
        </w:rPr>
        <w:t>, which commits the Australian Government to maintaining Australia’s strong support and advocacy for initiatives to enhance gender equality and address gender-based violence, and to invest in gender equality and women’s economic empowerment</w:t>
      </w:r>
      <w:r w:rsidR="00B637B3" w:rsidRPr="0087096F">
        <w:rPr>
          <w:color w:val="557B32" w:themeColor="accent2" w:themeShade="80"/>
          <w:szCs w:val="21"/>
        </w:rPr>
        <w:t>.</w:t>
      </w:r>
      <w:r w:rsidR="0028609E">
        <w:rPr>
          <w:color w:val="557B32" w:themeColor="accent2" w:themeShade="80"/>
          <w:szCs w:val="21"/>
        </w:rPr>
        <w:t xml:space="preserve"> </w:t>
      </w:r>
    </w:p>
    <w:p w14:paraId="463F58B9" w14:textId="7EB39E49" w:rsidR="00F956BE" w:rsidRPr="00F956BE" w:rsidRDefault="00F627A8" w:rsidP="00F956BE">
      <w:pPr>
        <w:pStyle w:val="Box2Heading"/>
      </w:pPr>
      <w:r>
        <w:t xml:space="preserve">There are specific measures in Tier 2 of the </w:t>
      </w:r>
      <w:hyperlink r:id="rId12" w:history="1">
        <w:r w:rsidRPr="0087096F">
          <w:rPr>
            <w:rStyle w:val="Hyperlink"/>
            <w:color w:val="D9D9D9" w:themeColor="background1" w:themeShade="D9"/>
          </w:rPr>
          <w:t>performance framework</w:t>
        </w:r>
      </w:hyperlink>
      <w:r>
        <w:t xml:space="preserve"> for </w:t>
      </w:r>
      <w:r>
        <w:rPr>
          <w:i/>
          <w:iCs/>
        </w:rPr>
        <w:t>Partnerships for Recovery</w:t>
      </w:r>
      <w:r>
        <w:t xml:space="preserve"> which allow us to measure progress on key gender equality issues (sexual and reproductive health, violence against women, and economic empowerment) and in Tier 3 which will allow tracking of effective gender mainstreaming (percentage of investments effectively addressing gender issues).</w:t>
      </w:r>
    </w:p>
    <w:p w14:paraId="6732B608" w14:textId="0C164806" w:rsidR="00B163E3" w:rsidRPr="00B163E3" w:rsidRDefault="00B163E3" w:rsidP="00303779">
      <w:pPr>
        <w:jc w:val="both"/>
        <w:rPr>
          <w:lang w:val="en-AU"/>
        </w:rPr>
      </w:pPr>
      <w:r w:rsidRPr="00B163E3">
        <w:rPr>
          <w:lang w:val="en-AU"/>
        </w:rPr>
        <w:t>Gender equality is central to economic and human development. Equal opportunity for women and men supports economic growth and helps to reduce poverty. Gender equality is critically important to achieving other development objectives and to improving the effectiveness of efforts to reduce poverty and support economic growth. It is</w:t>
      </w:r>
      <w:r w:rsidR="003D6C9E">
        <w:rPr>
          <w:lang w:val="en-AU"/>
        </w:rPr>
        <w:t xml:space="preserve"> also</w:t>
      </w:r>
      <w:r w:rsidRPr="00B163E3">
        <w:rPr>
          <w:lang w:val="en-AU"/>
        </w:rPr>
        <w:t xml:space="preserve"> </w:t>
      </w:r>
      <w:proofErr w:type="gramStart"/>
      <w:r w:rsidRPr="00B163E3">
        <w:rPr>
          <w:lang w:val="en-AU"/>
        </w:rPr>
        <w:t>important in its own right</w:t>
      </w:r>
      <w:proofErr w:type="gramEnd"/>
      <w:r w:rsidRPr="00B163E3">
        <w:rPr>
          <w:lang w:val="en-AU"/>
        </w:rPr>
        <w:t>.</w:t>
      </w:r>
    </w:p>
    <w:p w14:paraId="1F7E3EE7" w14:textId="45EDB06D" w:rsidR="00B163E3" w:rsidRPr="00B163E3" w:rsidRDefault="00B163E3" w:rsidP="00303779">
      <w:pPr>
        <w:jc w:val="both"/>
        <w:rPr>
          <w:lang w:val="en-AU"/>
        </w:rPr>
      </w:pPr>
      <w:r w:rsidRPr="00B163E3">
        <w:rPr>
          <w:lang w:val="en-AU"/>
        </w:rPr>
        <w:lastRenderedPageBreak/>
        <w:t>Integrating gender equality into</w:t>
      </w:r>
      <w:r w:rsidR="00092DD6">
        <w:rPr>
          <w:lang w:val="en-AU"/>
        </w:rPr>
        <w:t xml:space="preserve"> investment</w:t>
      </w:r>
      <w:r w:rsidRPr="00B163E3">
        <w:rPr>
          <w:lang w:val="en-AU"/>
        </w:rPr>
        <w:t xml:space="preserve"> design</w:t>
      </w:r>
      <w:r w:rsidR="00092DD6">
        <w:rPr>
          <w:lang w:val="en-AU"/>
        </w:rPr>
        <w:t>s</w:t>
      </w:r>
      <w:r w:rsidRPr="00B163E3">
        <w:rPr>
          <w:lang w:val="en-AU"/>
        </w:rPr>
        <w:t xml:space="preserve"> is key to securing an investment</w:t>
      </w:r>
      <w:r w:rsidR="00F956BE">
        <w:rPr>
          <w:lang w:val="en-AU"/>
        </w:rPr>
        <w:t>’</w:t>
      </w:r>
      <w:r w:rsidRPr="00B163E3">
        <w:rPr>
          <w:lang w:val="en-AU"/>
        </w:rPr>
        <w:t xml:space="preserve">s good performance on gender equality during implementation, regardless of </w:t>
      </w:r>
      <w:r w:rsidR="003D6C9E">
        <w:rPr>
          <w:lang w:val="en-AU"/>
        </w:rPr>
        <w:t xml:space="preserve">its </w:t>
      </w:r>
      <w:r w:rsidRPr="00B163E3">
        <w:rPr>
          <w:lang w:val="en-AU"/>
        </w:rPr>
        <w:t xml:space="preserve">sector. </w:t>
      </w:r>
      <w:r w:rsidR="00092DD6">
        <w:rPr>
          <w:lang w:val="en-AU"/>
        </w:rPr>
        <w:t>DFAT a</w:t>
      </w:r>
      <w:r w:rsidR="00092DD6" w:rsidRPr="00B163E3">
        <w:rPr>
          <w:lang w:val="en-AU"/>
        </w:rPr>
        <w:t xml:space="preserve">nalysis </w:t>
      </w:r>
      <w:r w:rsidRPr="00B163E3">
        <w:rPr>
          <w:lang w:val="en-AU"/>
        </w:rPr>
        <w:t xml:space="preserve">shows that initiatives that have a principal or significant </w:t>
      </w:r>
      <w:r w:rsidR="00092DD6">
        <w:rPr>
          <w:lang w:val="en-AU"/>
        </w:rPr>
        <w:t xml:space="preserve">focus on </w:t>
      </w:r>
      <w:r w:rsidRPr="00B163E3">
        <w:rPr>
          <w:lang w:val="en-AU"/>
        </w:rPr>
        <w:t xml:space="preserve">gender equality perform </w:t>
      </w:r>
      <w:r w:rsidR="000856D3">
        <w:rPr>
          <w:lang w:val="en-AU"/>
        </w:rPr>
        <w:t xml:space="preserve">better on effectiveness and efficiency </w:t>
      </w:r>
      <w:r w:rsidRPr="00B163E3">
        <w:rPr>
          <w:lang w:val="en-AU"/>
        </w:rPr>
        <w:t xml:space="preserve">during </w:t>
      </w:r>
      <w:r w:rsidR="006947DD" w:rsidRPr="00B163E3">
        <w:rPr>
          <w:lang w:val="en-AU"/>
        </w:rPr>
        <w:t>implementation</w:t>
      </w:r>
      <w:r w:rsidRPr="00B163E3">
        <w:rPr>
          <w:lang w:val="en-AU"/>
        </w:rPr>
        <w:t xml:space="preserve">.  Development results cannot be maximised without explicit attention to the different needs, interests, priorities and roles of women, men, boys and girls, and people with diverse gender identities, and the relations between them. </w:t>
      </w:r>
    </w:p>
    <w:p w14:paraId="493FF045" w14:textId="349EA791" w:rsidR="00B163E3" w:rsidRDefault="00B163E3" w:rsidP="00303779">
      <w:pPr>
        <w:jc w:val="both"/>
        <w:rPr>
          <w:lang w:val="en-AU"/>
        </w:rPr>
      </w:pPr>
      <w:r w:rsidRPr="00B163E3">
        <w:rPr>
          <w:lang w:val="en-AU"/>
        </w:rPr>
        <w:t>This Good Practice Note helps program managers</w:t>
      </w:r>
      <w:r w:rsidR="000856D3">
        <w:rPr>
          <w:lang w:val="en-AU"/>
        </w:rPr>
        <w:t xml:space="preserve"> address</w:t>
      </w:r>
      <w:r w:rsidRPr="00B163E3">
        <w:rPr>
          <w:lang w:val="en-AU"/>
        </w:rPr>
        <w:t xml:space="preserve"> gender equality at each stage of aid investment design. It is aligned with the planning and design chapters of the </w:t>
      </w:r>
      <w:hyperlink r:id="rId13" w:history="1">
        <w:r w:rsidRPr="00FC7B3F">
          <w:rPr>
            <w:rStyle w:val="Hyperlink"/>
            <w:rFonts w:cstheme="minorBidi"/>
            <w:lang w:val="en-AU"/>
          </w:rPr>
          <w:t xml:space="preserve">Aid Programming </w:t>
        </w:r>
        <w:r w:rsidR="006947DD" w:rsidRPr="00FC7B3F">
          <w:rPr>
            <w:rStyle w:val="Hyperlink"/>
            <w:rFonts w:cstheme="minorBidi"/>
            <w:lang w:val="en-AU"/>
          </w:rPr>
          <w:t>Guide</w:t>
        </w:r>
      </w:hyperlink>
      <w:r w:rsidR="006947DD" w:rsidRPr="00B163E3">
        <w:rPr>
          <w:lang w:val="en-AU"/>
        </w:rPr>
        <w:t xml:space="preserve"> and</w:t>
      </w:r>
      <w:r w:rsidRPr="00B163E3">
        <w:rPr>
          <w:lang w:val="en-AU"/>
        </w:rPr>
        <w:t xml:space="preserve"> supplements the three design </w:t>
      </w:r>
      <w:r w:rsidR="003D6C9E">
        <w:rPr>
          <w:lang w:val="en-AU"/>
        </w:rPr>
        <w:t>paths</w:t>
      </w:r>
      <w:r w:rsidRPr="00B163E3">
        <w:rPr>
          <w:lang w:val="en-AU"/>
        </w:rPr>
        <w:t xml:space="preserve">: Investment concept; DFAT-led design; </w:t>
      </w:r>
      <w:r w:rsidR="00092DD6">
        <w:rPr>
          <w:lang w:val="en-AU"/>
        </w:rPr>
        <w:t xml:space="preserve">and </w:t>
      </w:r>
      <w:r w:rsidRPr="00B163E3">
        <w:rPr>
          <w:lang w:val="en-AU"/>
        </w:rPr>
        <w:t>Partner-led design.</w:t>
      </w:r>
    </w:p>
    <w:p w14:paraId="4933880C" w14:textId="77777777" w:rsidR="0028609E" w:rsidRPr="0028609E" w:rsidRDefault="0028609E" w:rsidP="0028609E"/>
    <w:p w14:paraId="4E25A1E6" w14:textId="7BC86C2E" w:rsidR="00B163E3" w:rsidRPr="005F0E90" w:rsidRDefault="00047AF3" w:rsidP="00B163E3">
      <w:pPr>
        <w:pStyle w:val="Heading1Numbered"/>
      </w:pPr>
      <w:r>
        <w:t xml:space="preserve">gender equality in design </w:t>
      </w:r>
      <w:r w:rsidR="00B163E3">
        <w:t>CHECKLIST</w:t>
      </w:r>
      <w:r w:rsidR="00B163E3" w:rsidRPr="005F0E90">
        <w:t xml:space="preserve"> </w:t>
      </w:r>
    </w:p>
    <w:p w14:paraId="0D386197" w14:textId="77777777" w:rsidR="00B163E3" w:rsidRDefault="00B163E3" w:rsidP="00B163E3">
      <w:pPr>
        <w:pStyle w:val="Box1Heading"/>
        <w:rPr>
          <w:lang w:eastAsia="en-AU"/>
        </w:rPr>
      </w:pPr>
      <w:bookmarkStart w:id="0" w:name="_Toc189887936"/>
      <w:bookmarkStart w:id="1" w:name="_Toc190080889"/>
      <w:bookmarkStart w:id="2" w:name="_Toc190165572"/>
      <w:bookmarkStart w:id="3" w:name="_Toc190165842"/>
      <w:bookmarkStart w:id="4" w:name="_Toc189887136"/>
      <w:bookmarkStart w:id="5" w:name="_Toc189887159"/>
      <w:bookmarkStart w:id="6" w:name="_Toc189887218"/>
      <w:bookmarkStart w:id="7" w:name="_Toc189887938"/>
      <w:bookmarkStart w:id="8" w:name="_Toc190080891"/>
      <w:bookmarkStart w:id="9" w:name="_Toc190165574"/>
      <w:bookmarkStart w:id="10" w:name="_Toc190165844"/>
      <w:bookmarkStart w:id="11" w:name="_Toc189887942"/>
      <w:bookmarkStart w:id="12" w:name="_Toc190080896"/>
      <w:bookmarkStart w:id="13" w:name="_Toc190165579"/>
      <w:bookmarkStart w:id="14" w:name="_Toc190165849"/>
      <w:bookmarkStart w:id="15" w:name="_Toc189887967"/>
      <w:bookmarkStart w:id="16" w:name="_Toc190080921"/>
      <w:bookmarkStart w:id="17" w:name="_Toc190165604"/>
      <w:bookmarkStart w:id="18" w:name="_Toc190165874"/>
      <w:bookmarkStart w:id="19" w:name="_Toc190165655"/>
      <w:bookmarkStart w:id="20" w:name="_Toc19016592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lang w:eastAsia="en-AU"/>
        </w:rPr>
        <w:t>Concept preparation</w:t>
      </w:r>
    </w:p>
    <w:p w14:paraId="4704A3EA" w14:textId="7FA259FC" w:rsidR="00B163E3" w:rsidRDefault="00DE7610" w:rsidP="00B163E3">
      <w:pPr>
        <w:pStyle w:val="Box1Bullet"/>
        <w:rPr>
          <w:lang w:eastAsia="en-AU"/>
        </w:rPr>
      </w:pPr>
      <w:r>
        <w:rPr>
          <w:lang w:eastAsia="en-AU"/>
        </w:rPr>
        <w:t xml:space="preserve">Did </w:t>
      </w:r>
      <w:r w:rsidR="00B163E3">
        <w:rPr>
          <w:lang w:eastAsia="en-AU"/>
        </w:rPr>
        <w:t>gender analysis (existing or new)</w:t>
      </w:r>
      <w:r>
        <w:rPr>
          <w:lang w:eastAsia="en-AU"/>
        </w:rPr>
        <w:t xml:space="preserve"> inform </w:t>
      </w:r>
      <w:r w:rsidR="00B163E3">
        <w:rPr>
          <w:lang w:eastAsia="en-AU"/>
        </w:rPr>
        <w:t xml:space="preserve">development of the investment concept? </w:t>
      </w:r>
    </w:p>
    <w:p w14:paraId="18111B7B" w14:textId="12630CEA" w:rsidR="00B163E3" w:rsidRDefault="00B163E3" w:rsidP="00B163E3">
      <w:pPr>
        <w:pStyle w:val="Box1Bullet"/>
        <w:rPr>
          <w:lang w:eastAsia="en-AU"/>
        </w:rPr>
      </w:pPr>
      <w:r>
        <w:rPr>
          <w:lang w:eastAsia="en-AU"/>
        </w:rPr>
        <w:t xml:space="preserve">Were gender issues addressed in other analyses that were undertaken </w:t>
      </w:r>
      <w:r w:rsidR="00DE7610">
        <w:rPr>
          <w:lang w:eastAsia="en-AU"/>
        </w:rPr>
        <w:t>(</w:t>
      </w:r>
      <w:proofErr w:type="gramStart"/>
      <w:r>
        <w:rPr>
          <w:lang w:eastAsia="en-AU"/>
        </w:rPr>
        <w:t>e.g.</w:t>
      </w:r>
      <w:proofErr w:type="gramEnd"/>
      <w:r>
        <w:rPr>
          <w:lang w:eastAsia="en-AU"/>
        </w:rPr>
        <w:t xml:space="preserve"> political economy analysis; constraints to growth analysis; poverty analysis; </w:t>
      </w:r>
      <w:r w:rsidR="00A04790">
        <w:rPr>
          <w:lang w:eastAsia="en-AU"/>
        </w:rPr>
        <w:t xml:space="preserve">time-use; </w:t>
      </w:r>
      <w:r>
        <w:rPr>
          <w:lang w:eastAsia="en-AU"/>
        </w:rPr>
        <w:t xml:space="preserve">social analysis; </w:t>
      </w:r>
      <w:r w:rsidR="00426685">
        <w:rPr>
          <w:lang w:eastAsia="en-AU"/>
        </w:rPr>
        <w:t xml:space="preserve">health and </w:t>
      </w:r>
      <w:r>
        <w:rPr>
          <w:lang w:eastAsia="en-AU"/>
        </w:rPr>
        <w:t>conflict analysis</w:t>
      </w:r>
      <w:r w:rsidR="00DE7610">
        <w:rPr>
          <w:lang w:eastAsia="en-AU"/>
        </w:rPr>
        <w:t>)</w:t>
      </w:r>
      <w:r>
        <w:rPr>
          <w:lang w:eastAsia="en-AU"/>
        </w:rPr>
        <w:t>?</w:t>
      </w:r>
    </w:p>
    <w:p w14:paraId="1BC6BAB4" w14:textId="18D62DA6" w:rsidR="00DE7610" w:rsidRDefault="00DE7610" w:rsidP="00B163E3">
      <w:pPr>
        <w:pStyle w:val="Box1Bullet"/>
        <w:rPr>
          <w:lang w:eastAsia="en-AU"/>
        </w:rPr>
      </w:pPr>
      <w:r>
        <w:rPr>
          <w:lang w:eastAsia="en-AU"/>
        </w:rPr>
        <w:t>Do indicative outcomes include at least one gender equality outcome (either End of Program Outcome or Intermediate Outcome)?</w:t>
      </w:r>
    </w:p>
    <w:p w14:paraId="6357FE7F" w14:textId="77777777" w:rsidR="00B163E3" w:rsidRDefault="00B163E3" w:rsidP="00B163E3">
      <w:pPr>
        <w:pStyle w:val="Box1Bullet"/>
        <w:rPr>
          <w:lang w:eastAsia="en-AU"/>
        </w:rPr>
      </w:pPr>
      <w:r>
        <w:rPr>
          <w:lang w:eastAsia="en-AU"/>
        </w:rPr>
        <w:t>Was gender expertise used to inform the development of the investment concept?</w:t>
      </w:r>
    </w:p>
    <w:p w14:paraId="41CB2C8C" w14:textId="77777777" w:rsidR="00B163E3" w:rsidRDefault="00B163E3" w:rsidP="00B163E3">
      <w:pPr>
        <w:pStyle w:val="Box1Bullet"/>
        <w:rPr>
          <w:lang w:eastAsia="en-AU"/>
        </w:rPr>
      </w:pPr>
      <w:r>
        <w:rPr>
          <w:lang w:eastAsia="en-AU"/>
        </w:rPr>
        <w:t>Were women and women’s organisations consulted in the identification and prioritisation of the development problem?</w:t>
      </w:r>
    </w:p>
    <w:p w14:paraId="2A78CB9B" w14:textId="77777777" w:rsidR="00B163E3" w:rsidRDefault="00B163E3" w:rsidP="00B163E3">
      <w:pPr>
        <w:pStyle w:val="Box1Heading"/>
        <w:rPr>
          <w:lang w:eastAsia="en-AU"/>
        </w:rPr>
      </w:pPr>
      <w:r>
        <w:rPr>
          <w:lang w:eastAsia="en-AU"/>
        </w:rPr>
        <w:t>Design</w:t>
      </w:r>
    </w:p>
    <w:p w14:paraId="7727BD7E" w14:textId="7CF323ED" w:rsidR="00B163E3" w:rsidRDefault="00DE7610" w:rsidP="00B163E3">
      <w:pPr>
        <w:pStyle w:val="Box1Bullet"/>
        <w:rPr>
          <w:lang w:eastAsia="en-AU"/>
        </w:rPr>
      </w:pPr>
      <w:r>
        <w:rPr>
          <w:lang w:eastAsia="en-AU"/>
        </w:rPr>
        <w:t xml:space="preserve">Was gender </w:t>
      </w:r>
      <w:r w:rsidR="00B163E3">
        <w:rPr>
          <w:lang w:eastAsia="en-AU"/>
        </w:rPr>
        <w:t xml:space="preserve">analysis </w:t>
      </w:r>
      <w:r>
        <w:rPr>
          <w:lang w:eastAsia="en-AU"/>
        </w:rPr>
        <w:t xml:space="preserve">undertaken to </w:t>
      </w:r>
      <w:r w:rsidR="00B163E3">
        <w:rPr>
          <w:lang w:eastAsia="en-AU"/>
        </w:rPr>
        <w:t>inform the investment design?</w:t>
      </w:r>
    </w:p>
    <w:p w14:paraId="4A9D6FDA" w14:textId="35CF3342" w:rsidR="00B163E3" w:rsidRDefault="00B163E3" w:rsidP="00B163E3">
      <w:pPr>
        <w:pStyle w:val="Box1Bullet"/>
        <w:rPr>
          <w:lang w:eastAsia="en-AU"/>
        </w:rPr>
      </w:pPr>
      <w:r>
        <w:rPr>
          <w:lang w:eastAsia="en-AU"/>
        </w:rPr>
        <w:t xml:space="preserve">Was gender expertise used during </w:t>
      </w:r>
      <w:r w:rsidR="00C14BF0">
        <w:rPr>
          <w:lang w:eastAsia="en-AU"/>
        </w:rPr>
        <w:t xml:space="preserve">stakeholder engagement and </w:t>
      </w:r>
      <w:r>
        <w:rPr>
          <w:lang w:eastAsia="en-AU"/>
        </w:rPr>
        <w:t>development of the design?</w:t>
      </w:r>
    </w:p>
    <w:p w14:paraId="14D8D963" w14:textId="28F41D80" w:rsidR="00B163E3" w:rsidRDefault="00B163E3" w:rsidP="00B163E3">
      <w:pPr>
        <w:pStyle w:val="Box1Bullet"/>
        <w:rPr>
          <w:lang w:eastAsia="en-AU"/>
        </w:rPr>
      </w:pPr>
      <w:r>
        <w:rPr>
          <w:lang w:eastAsia="en-AU"/>
        </w:rPr>
        <w:t>Does the investment design clearly specify whether and how women</w:t>
      </w:r>
      <w:r w:rsidR="00DE7610">
        <w:rPr>
          <w:lang w:eastAsia="en-AU"/>
        </w:rPr>
        <w:t>,</w:t>
      </w:r>
      <w:r>
        <w:rPr>
          <w:lang w:eastAsia="en-AU"/>
        </w:rPr>
        <w:t xml:space="preserve"> men</w:t>
      </w:r>
      <w:r w:rsidR="00DE7610">
        <w:rPr>
          <w:lang w:eastAsia="en-AU"/>
        </w:rPr>
        <w:t>, and</w:t>
      </w:r>
      <w:r w:rsidR="0028609E">
        <w:t xml:space="preserve"> people with diverse sexual orientation and gender identit</w:t>
      </w:r>
      <w:r w:rsidR="00304433">
        <w:t>i</w:t>
      </w:r>
      <w:r w:rsidR="00DF01B0">
        <w:t>es</w:t>
      </w:r>
      <w:r w:rsidR="0028609E" w:rsidRPr="0013694F">
        <w:t xml:space="preserve"> </w:t>
      </w:r>
      <w:r>
        <w:rPr>
          <w:lang w:eastAsia="en-AU"/>
        </w:rPr>
        <w:t>will participate and benefit equally?</w:t>
      </w:r>
    </w:p>
    <w:p w14:paraId="26F1DE65" w14:textId="5BF18F17" w:rsidR="0028609E" w:rsidRDefault="0028609E" w:rsidP="0028609E">
      <w:pPr>
        <w:pStyle w:val="Box1Bullet"/>
        <w:rPr>
          <w:lang w:eastAsia="en-AU"/>
        </w:rPr>
      </w:pPr>
      <w:r>
        <w:rPr>
          <w:lang w:eastAsia="en-AU"/>
        </w:rPr>
        <w:t xml:space="preserve">Does </w:t>
      </w:r>
      <w:r w:rsidR="00DE7610">
        <w:rPr>
          <w:lang w:eastAsia="en-AU"/>
        </w:rPr>
        <w:t>investment design include</w:t>
      </w:r>
      <w:r>
        <w:rPr>
          <w:lang w:eastAsia="en-AU"/>
        </w:rPr>
        <w:t xml:space="preserve"> at least one gender equality outcome</w:t>
      </w:r>
      <w:r w:rsidR="00DE7610">
        <w:rPr>
          <w:lang w:eastAsia="en-AU"/>
        </w:rPr>
        <w:t xml:space="preserve"> (either End of Program Outcome or Intermediate Outcome)?</w:t>
      </w:r>
      <w:r>
        <w:rPr>
          <w:lang w:eastAsia="en-AU"/>
        </w:rPr>
        <w:t xml:space="preserve"> </w:t>
      </w:r>
    </w:p>
    <w:p w14:paraId="15CC3CAF" w14:textId="68971501" w:rsidR="00DE7610" w:rsidRDefault="00DE7610" w:rsidP="0028609E">
      <w:pPr>
        <w:pStyle w:val="Box1Bullet"/>
        <w:rPr>
          <w:lang w:eastAsia="en-AU"/>
        </w:rPr>
      </w:pPr>
      <w:r>
        <w:rPr>
          <w:rFonts w:eastAsia="Times New Roman"/>
        </w:rPr>
        <w:lastRenderedPageBreak/>
        <w:t xml:space="preserve">Does </w:t>
      </w:r>
      <w:r w:rsidRPr="0016386D">
        <w:rPr>
          <w:rFonts w:eastAsia="Times New Roman"/>
        </w:rPr>
        <w:t xml:space="preserve">the design narrative </w:t>
      </w:r>
      <w:r>
        <w:rPr>
          <w:rFonts w:eastAsia="Times New Roman"/>
        </w:rPr>
        <w:t>clearly</w:t>
      </w:r>
      <w:r w:rsidRPr="0016386D">
        <w:rPr>
          <w:rFonts w:eastAsia="Times New Roman"/>
        </w:rPr>
        <w:t xml:space="preserve"> articulate interventions and approaches to support achievement of the gender equality </w:t>
      </w:r>
      <w:r>
        <w:rPr>
          <w:rFonts w:eastAsia="Times New Roman"/>
        </w:rPr>
        <w:t>o</w:t>
      </w:r>
      <w:r w:rsidRPr="0016386D">
        <w:rPr>
          <w:rFonts w:eastAsia="Times New Roman"/>
        </w:rPr>
        <w:t>utcome/s</w:t>
      </w:r>
      <w:r>
        <w:rPr>
          <w:rFonts w:eastAsia="Times New Roman"/>
        </w:rPr>
        <w:t>?</w:t>
      </w:r>
    </w:p>
    <w:p w14:paraId="5E18609D" w14:textId="6E2512CE" w:rsidR="00B163E3" w:rsidRDefault="00E879BE" w:rsidP="00B163E3">
      <w:pPr>
        <w:pStyle w:val="Box1Bullet"/>
        <w:rPr>
          <w:lang w:eastAsia="en-AU"/>
        </w:rPr>
      </w:pPr>
      <w:r>
        <w:rPr>
          <w:lang w:eastAsia="en-AU"/>
        </w:rPr>
        <w:t>A</w:t>
      </w:r>
      <w:r w:rsidR="00B163E3">
        <w:rPr>
          <w:lang w:eastAsia="en-AU"/>
        </w:rPr>
        <w:t>re indicators</w:t>
      </w:r>
      <w:r w:rsidR="00930F80">
        <w:rPr>
          <w:lang w:eastAsia="en-AU"/>
        </w:rPr>
        <w:t xml:space="preserve"> to measure gender </w:t>
      </w:r>
      <w:r w:rsidR="00B163E3">
        <w:rPr>
          <w:lang w:eastAsia="en-AU"/>
        </w:rPr>
        <w:t>equality</w:t>
      </w:r>
      <w:r w:rsidR="00930F80">
        <w:rPr>
          <w:lang w:eastAsia="en-AU"/>
        </w:rPr>
        <w:t xml:space="preserve"> </w:t>
      </w:r>
      <w:r w:rsidR="006947DD">
        <w:rPr>
          <w:lang w:eastAsia="en-AU"/>
        </w:rPr>
        <w:t>outcomes and changes in gender relations</w:t>
      </w:r>
      <w:r w:rsidR="00B163E3">
        <w:rPr>
          <w:lang w:eastAsia="en-AU"/>
        </w:rPr>
        <w:t xml:space="preserve"> included explicitly in the </w:t>
      </w:r>
      <w:r w:rsidR="008F110B">
        <w:rPr>
          <w:lang w:eastAsia="en-AU"/>
        </w:rPr>
        <w:t>M&amp;E</w:t>
      </w:r>
      <w:r w:rsidR="00B163E3">
        <w:rPr>
          <w:lang w:eastAsia="en-AU"/>
        </w:rPr>
        <w:t xml:space="preserve"> framework?</w:t>
      </w:r>
      <w:r w:rsidR="00930F80">
        <w:rPr>
          <w:lang w:eastAsia="en-AU"/>
        </w:rPr>
        <w:t xml:space="preserve"> Are relevant indicators disaggregated by sex, age, and disability?</w:t>
      </w:r>
      <w:r w:rsidR="006947DD">
        <w:rPr>
          <w:lang w:eastAsia="en-AU"/>
        </w:rPr>
        <w:t xml:space="preserve"> (See Gender Equality in Monitoring and Evaluation Good Practice Guide for more information).</w:t>
      </w:r>
    </w:p>
    <w:p w14:paraId="393771B0" w14:textId="3FA8E7D2" w:rsidR="00B163E3" w:rsidRDefault="00B163E3" w:rsidP="00B163E3">
      <w:pPr>
        <w:pStyle w:val="Box1Bullet"/>
        <w:rPr>
          <w:lang w:eastAsia="en-AU"/>
        </w:rPr>
      </w:pPr>
      <w:r>
        <w:rPr>
          <w:lang w:eastAsia="en-AU"/>
        </w:rPr>
        <w:t>Does the design clearly outline how the investment will contribute to DFAT priority areas for gender equality – in particular, enhancing women’s leadership and decision-making, women’s economic empowerment and eliminating violence against women and addressing discriminatory social norms?</w:t>
      </w:r>
    </w:p>
    <w:p w14:paraId="74A9F3E7" w14:textId="2E6B6786" w:rsidR="00B163E3" w:rsidRDefault="00B163E3" w:rsidP="00B163E3">
      <w:pPr>
        <w:pStyle w:val="Box1Bullet"/>
        <w:rPr>
          <w:lang w:eastAsia="en-AU"/>
        </w:rPr>
      </w:pPr>
      <w:r>
        <w:rPr>
          <w:lang w:eastAsia="en-AU"/>
        </w:rPr>
        <w:t xml:space="preserve">Has the design considered the </w:t>
      </w:r>
      <w:r w:rsidR="002A3591">
        <w:rPr>
          <w:lang w:eastAsia="en-AU"/>
        </w:rPr>
        <w:t xml:space="preserve">consequences </w:t>
      </w:r>
      <w:r>
        <w:rPr>
          <w:lang w:eastAsia="en-AU"/>
        </w:rPr>
        <w:t>(intended and unintended) that the intervention could have on</w:t>
      </w:r>
      <w:r w:rsidR="002A3591">
        <w:rPr>
          <w:lang w:eastAsia="en-AU"/>
        </w:rPr>
        <w:t xml:space="preserve"> participants,</w:t>
      </w:r>
      <w:r>
        <w:rPr>
          <w:lang w:eastAsia="en-AU"/>
        </w:rPr>
        <w:t xml:space="preserve"> and included strategies for </w:t>
      </w:r>
      <w:r w:rsidR="002A3591">
        <w:rPr>
          <w:lang w:eastAsia="en-AU"/>
        </w:rPr>
        <w:t xml:space="preserve">mitigating and monitoring </w:t>
      </w:r>
      <w:r>
        <w:rPr>
          <w:lang w:eastAsia="en-AU"/>
        </w:rPr>
        <w:t>negative impacts on</w:t>
      </w:r>
      <w:r w:rsidR="003E4704">
        <w:rPr>
          <w:lang w:eastAsia="en-AU"/>
        </w:rPr>
        <w:t xml:space="preserve"> different groups?</w:t>
      </w:r>
      <w:r>
        <w:rPr>
          <w:lang w:eastAsia="en-AU"/>
        </w:rPr>
        <w:t xml:space="preserve"> </w:t>
      </w:r>
    </w:p>
    <w:p w14:paraId="36FED5C3" w14:textId="5E019669" w:rsidR="00B163E3" w:rsidRDefault="00B163E3" w:rsidP="00B163E3">
      <w:pPr>
        <w:pStyle w:val="Box1Bullet"/>
        <w:rPr>
          <w:lang w:eastAsia="en-AU"/>
        </w:rPr>
      </w:pPr>
      <w:r>
        <w:rPr>
          <w:lang w:eastAsia="en-AU"/>
        </w:rPr>
        <w:t>Does the budget include a</w:t>
      </w:r>
      <w:r w:rsidR="003E4704">
        <w:rPr>
          <w:lang w:eastAsia="en-AU"/>
        </w:rPr>
        <w:t>dequate</w:t>
      </w:r>
      <w:r>
        <w:rPr>
          <w:lang w:eastAsia="en-AU"/>
        </w:rPr>
        <w:t xml:space="preserve"> allocation</w:t>
      </w:r>
      <w:r w:rsidR="00CC184F">
        <w:rPr>
          <w:lang w:eastAsia="en-AU"/>
        </w:rPr>
        <w:t xml:space="preserve"> to</w:t>
      </w:r>
      <w:r>
        <w:rPr>
          <w:lang w:eastAsia="en-AU"/>
        </w:rPr>
        <w:t xml:space="preserve"> gender equality, including human resources? </w:t>
      </w:r>
    </w:p>
    <w:p w14:paraId="695B6298" w14:textId="77777777" w:rsidR="00B163E3" w:rsidRDefault="00B163E3" w:rsidP="00B163E3">
      <w:pPr>
        <w:pStyle w:val="Box1Bullet"/>
        <w:rPr>
          <w:lang w:eastAsia="en-AU"/>
        </w:rPr>
      </w:pPr>
      <w:r>
        <w:rPr>
          <w:lang w:eastAsia="en-AU"/>
        </w:rPr>
        <w:t>Is the investment committing time and resources to building capacities on gender within the investment team and within implementing partners?</w:t>
      </w:r>
    </w:p>
    <w:p w14:paraId="71E2495E" w14:textId="77777777" w:rsidR="00B163E3" w:rsidRDefault="00B163E3" w:rsidP="00B163E3">
      <w:pPr>
        <w:pStyle w:val="Box1Heading"/>
        <w:rPr>
          <w:lang w:eastAsia="en-AU"/>
        </w:rPr>
      </w:pPr>
      <w:r>
        <w:rPr>
          <w:lang w:eastAsia="en-AU"/>
        </w:rPr>
        <w:t>Accountability</w:t>
      </w:r>
    </w:p>
    <w:p w14:paraId="1125876C" w14:textId="0F914D2C" w:rsidR="00B163E3" w:rsidRDefault="00B163E3" w:rsidP="00FC7EED">
      <w:pPr>
        <w:pStyle w:val="Box1Bullet"/>
        <w:spacing w:line="240" w:lineRule="auto"/>
        <w:rPr>
          <w:lang w:eastAsia="en-AU"/>
        </w:rPr>
      </w:pPr>
      <w:r>
        <w:rPr>
          <w:lang w:eastAsia="en-AU"/>
        </w:rPr>
        <w:t>Is collection and analysis of sex</w:t>
      </w:r>
      <w:r w:rsidR="003D6C9E">
        <w:rPr>
          <w:lang w:eastAsia="en-AU"/>
        </w:rPr>
        <w:t>, age and disability-</w:t>
      </w:r>
      <w:r>
        <w:rPr>
          <w:lang w:eastAsia="en-AU"/>
        </w:rPr>
        <w:t xml:space="preserve">disaggregated data planned for, and are there gender sensitive indicators in place for monitoring and evaluation? </w:t>
      </w:r>
    </w:p>
    <w:p w14:paraId="68C40AC4" w14:textId="77777777" w:rsidR="00F16891" w:rsidRDefault="00B163E3" w:rsidP="00B163E3">
      <w:pPr>
        <w:pStyle w:val="Box1Bullet"/>
        <w:rPr>
          <w:lang w:eastAsia="en-AU"/>
        </w:rPr>
      </w:pPr>
      <w:r>
        <w:rPr>
          <w:lang w:eastAsia="en-AU"/>
        </w:rPr>
        <w:t>Is gender equality addressed in the risk matrix?</w:t>
      </w:r>
    </w:p>
    <w:p w14:paraId="67C8FFD7" w14:textId="544A3AB8" w:rsidR="00B163E3" w:rsidRDefault="00B163E3" w:rsidP="00B163E3">
      <w:pPr>
        <w:pStyle w:val="Box1Bullet"/>
        <w:rPr>
          <w:lang w:eastAsia="en-AU"/>
        </w:rPr>
      </w:pPr>
      <w:r>
        <w:rPr>
          <w:lang w:eastAsia="en-AU"/>
        </w:rPr>
        <w:t xml:space="preserve"> Is</w:t>
      </w:r>
      <w:r w:rsidR="00B65E5F">
        <w:rPr>
          <w:lang w:eastAsia="en-AU"/>
        </w:rPr>
        <w:t xml:space="preserve"> the</w:t>
      </w:r>
      <w:r>
        <w:rPr>
          <w:lang w:eastAsia="en-AU"/>
        </w:rPr>
        <w:t xml:space="preserve"> </w:t>
      </w:r>
      <w:r w:rsidR="00B65E5F">
        <w:rPr>
          <w:lang w:eastAsia="en-AU"/>
        </w:rPr>
        <w:t xml:space="preserve">Prevention of </w:t>
      </w:r>
      <w:r>
        <w:rPr>
          <w:lang w:eastAsia="en-AU"/>
        </w:rPr>
        <w:t>Sexual Exploitation, Abuse and Harassment (PSEAH)</w:t>
      </w:r>
      <w:r w:rsidR="0013694F">
        <w:rPr>
          <w:rStyle w:val="FootnoteReference"/>
          <w:lang w:eastAsia="en-AU"/>
        </w:rPr>
        <w:footnoteReference w:id="1"/>
      </w:r>
      <w:r w:rsidR="003D6C9E">
        <w:rPr>
          <w:lang w:eastAsia="en-AU"/>
        </w:rPr>
        <w:t xml:space="preserve"> addressed</w:t>
      </w:r>
      <w:r>
        <w:rPr>
          <w:lang w:eastAsia="en-AU"/>
        </w:rPr>
        <w:t>?</w:t>
      </w:r>
    </w:p>
    <w:p w14:paraId="250BD17E" w14:textId="4E944F10" w:rsidR="00B163E3" w:rsidRDefault="00B163E3" w:rsidP="00B163E3">
      <w:pPr>
        <w:pStyle w:val="Box1Bullet"/>
        <w:rPr>
          <w:lang w:eastAsia="en-AU"/>
        </w:rPr>
      </w:pPr>
      <w:r>
        <w:rPr>
          <w:lang w:eastAsia="en-AU"/>
        </w:rPr>
        <w:t xml:space="preserve">Do the position descriptions include responsibility for addressing gender </w:t>
      </w:r>
      <w:r w:rsidR="00B65E5F">
        <w:rPr>
          <w:lang w:eastAsia="en-AU"/>
        </w:rPr>
        <w:t xml:space="preserve">equality </w:t>
      </w:r>
      <w:r>
        <w:rPr>
          <w:lang w:eastAsia="en-AU"/>
        </w:rPr>
        <w:t>(</w:t>
      </w:r>
      <w:r w:rsidR="00B65E5F">
        <w:rPr>
          <w:lang w:eastAsia="en-AU"/>
        </w:rPr>
        <w:t xml:space="preserve">including dedicated gender personnel, </w:t>
      </w:r>
      <w:r>
        <w:rPr>
          <w:lang w:eastAsia="en-AU"/>
        </w:rPr>
        <w:t>Team Leader</w:t>
      </w:r>
      <w:r w:rsidR="00B65E5F">
        <w:rPr>
          <w:lang w:eastAsia="en-AU"/>
        </w:rPr>
        <w:t>,</w:t>
      </w:r>
      <w:r>
        <w:rPr>
          <w:lang w:eastAsia="en-AU"/>
        </w:rPr>
        <w:t xml:space="preserve"> Specified Personnel, </w:t>
      </w:r>
      <w:r w:rsidR="00B65E5F">
        <w:rPr>
          <w:lang w:eastAsia="en-AU"/>
        </w:rPr>
        <w:t xml:space="preserve">and </w:t>
      </w:r>
      <w:r>
        <w:rPr>
          <w:lang w:eastAsia="en-AU"/>
        </w:rPr>
        <w:t xml:space="preserve">monitoring and evaluation advisers)? </w:t>
      </w:r>
    </w:p>
    <w:p w14:paraId="3230C3E0" w14:textId="6B509B6E" w:rsidR="00B163E3" w:rsidRPr="005F0E90" w:rsidRDefault="00B163E3" w:rsidP="00B163E3">
      <w:pPr>
        <w:pStyle w:val="Box1Bullet"/>
        <w:rPr>
          <w:lang w:eastAsia="en-AU"/>
        </w:rPr>
      </w:pPr>
      <w:r>
        <w:rPr>
          <w:lang w:eastAsia="en-AU"/>
        </w:rPr>
        <w:t>Is the implementing partner’s performance on addressing gender equality being monitored as part of the monitoring and evaluation framework?</w:t>
      </w:r>
    </w:p>
    <w:p w14:paraId="25050F38" w14:textId="77777777" w:rsidR="00B163E3" w:rsidRPr="00B163E3" w:rsidRDefault="00B163E3" w:rsidP="00B163E3">
      <w:pPr>
        <w:rPr>
          <w:lang w:val="en-AU"/>
        </w:rPr>
      </w:pPr>
    </w:p>
    <w:p w14:paraId="4CB39FAA" w14:textId="2757C4D1" w:rsidR="00853B76" w:rsidRDefault="00853B76" w:rsidP="00303779">
      <w:pPr>
        <w:pStyle w:val="Heading1Numbered"/>
        <w:jc w:val="both"/>
      </w:pPr>
      <w:r>
        <w:lastRenderedPageBreak/>
        <w:t>risk and safeguard assessment</w:t>
      </w:r>
    </w:p>
    <w:p w14:paraId="79813A4A" w14:textId="577803B0" w:rsidR="00853B76" w:rsidRDefault="00853B76" w:rsidP="00303779">
      <w:pPr>
        <w:jc w:val="both"/>
      </w:pPr>
      <w:r>
        <w:rPr>
          <w:lang w:val="en-AU"/>
        </w:rPr>
        <w:t>A</w:t>
      </w:r>
      <w:r w:rsidRPr="00D44758">
        <w:rPr>
          <w:lang w:val="en-AU"/>
        </w:rPr>
        <w:t>ll proposed investments</w:t>
      </w:r>
      <w:r w:rsidR="00ED0F14">
        <w:rPr>
          <w:lang w:val="en-AU"/>
        </w:rPr>
        <w:t xml:space="preserve"> (including those seeking exe</w:t>
      </w:r>
      <w:r w:rsidR="00960532">
        <w:rPr>
          <w:lang w:val="en-AU"/>
        </w:rPr>
        <w:t>mption from having a gender equality outcome)</w:t>
      </w:r>
      <w:r>
        <w:rPr>
          <w:lang w:val="en-AU"/>
        </w:rPr>
        <w:t xml:space="preserve"> must be screened for risks and safeguards</w:t>
      </w:r>
      <w:r w:rsidR="00436D4E">
        <w:rPr>
          <w:lang w:val="en-AU"/>
        </w:rPr>
        <w:t xml:space="preserve"> before the design can commence</w:t>
      </w:r>
      <w:r>
        <w:rPr>
          <w:lang w:val="en-AU"/>
        </w:rPr>
        <w:t>.</w:t>
      </w:r>
      <w:r w:rsidRPr="008A2505">
        <w:t xml:space="preserve">  </w:t>
      </w:r>
      <w:r w:rsidR="003D6C9E">
        <w:t xml:space="preserve">This includes assessing and outlining gender equality risks and risk mitigation associated with implementation of the investment and how the investment will </w:t>
      </w:r>
      <w:r w:rsidR="008C2C02">
        <w:t>apply</w:t>
      </w:r>
      <w:r w:rsidR="003D6C9E">
        <w:t xml:space="preserve"> Do No Harm principles and the gender dimensions of relevant safeguards issues.</w:t>
      </w:r>
    </w:p>
    <w:p w14:paraId="7D8F7E5A" w14:textId="77777777" w:rsidR="006D1A66" w:rsidRPr="00FC7EED" w:rsidRDefault="006D1A66" w:rsidP="00303779">
      <w:pPr>
        <w:jc w:val="both"/>
      </w:pPr>
    </w:p>
    <w:p w14:paraId="0898CBCE" w14:textId="451408EB" w:rsidR="00B163E3" w:rsidRPr="005F0E90" w:rsidRDefault="00B163E3" w:rsidP="00303779">
      <w:pPr>
        <w:pStyle w:val="Heading1Numbered"/>
        <w:jc w:val="both"/>
      </w:pPr>
      <w:r w:rsidRPr="005F0E90">
        <w:t xml:space="preserve">Investment Concept </w:t>
      </w:r>
    </w:p>
    <w:p w14:paraId="68CF5069" w14:textId="2865EA4F" w:rsidR="00B163E3" w:rsidRPr="008A2505" w:rsidRDefault="00B163E3" w:rsidP="00303779">
      <w:pPr>
        <w:jc w:val="both"/>
      </w:pPr>
      <w:r w:rsidRPr="008A2505">
        <w:t xml:space="preserve">Addressing gender equality issues in the investment concept will </w:t>
      </w:r>
      <w:r>
        <w:t xml:space="preserve">maximise the ability of the investment to promote gender equality </w:t>
      </w:r>
      <w:r w:rsidR="006947DD">
        <w:t>effectively and</w:t>
      </w:r>
      <w:r>
        <w:t xml:space="preserve"> </w:t>
      </w:r>
      <w:r w:rsidRPr="008A2505">
        <w:t>minimise the risk that the proposed investment may directly or indirectly exacerbate gender inequalities. It is difficult</w:t>
      </w:r>
      <w:r>
        <w:t xml:space="preserve"> and inefficient</w:t>
      </w:r>
      <w:r w:rsidRPr="008A2505">
        <w:t xml:space="preserve"> to “add on” gender equality issues </w:t>
      </w:r>
      <w:r>
        <w:t xml:space="preserve">to an investment </w:t>
      </w:r>
      <w:r w:rsidRPr="008A2505">
        <w:t xml:space="preserve">if they were not considered at the concept development stage. </w:t>
      </w:r>
      <w:r w:rsidR="00015E18">
        <w:t>D</w:t>
      </w:r>
      <w:r>
        <w:t xml:space="preserve">uring the </w:t>
      </w:r>
      <w:r w:rsidR="00C96425">
        <w:t xml:space="preserve">concept </w:t>
      </w:r>
      <w:r>
        <w:t>design stage</w:t>
      </w:r>
      <w:r w:rsidRPr="008A2505">
        <w:t xml:space="preserve">: </w:t>
      </w:r>
    </w:p>
    <w:p w14:paraId="3F067E00" w14:textId="06122E71" w:rsidR="00B163E3" w:rsidRPr="00B163E3" w:rsidRDefault="00B163E3" w:rsidP="00303779">
      <w:pPr>
        <w:pStyle w:val="Bullet1"/>
        <w:jc w:val="both"/>
      </w:pPr>
      <w:r>
        <w:rPr>
          <w:b/>
        </w:rPr>
        <w:t xml:space="preserve">Include </w:t>
      </w:r>
      <w:r w:rsidR="00DB7677">
        <w:rPr>
          <w:b/>
        </w:rPr>
        <w:t xml:space="preserve">the need to </w:t>
      </w:r>
      <w:r>
        <w:rPr>
          <w:b/>
        </w:rPr>
        <w:t>identify key gender equality gaps in</w:t>
      </w:r>
      <w:r w:rsidRPr="008A2505">
        <w:rPr>
          <w:b/>
        </w:rPr>
        <w:t xml:space="preserve"> the Terms of Reference (TOR)</w:t>
      </w:r>
      <w:r w:rsidRPr="008A2505">
        <w:t xml:space="preserve"> </w:t>
      </w:r>
      <w:r>
        <w:t>for the team working on the concept note.  Complex or large concepts should include gender expertise in design team.</w:t>
      </w:r>
    </w:p>
    <w:p w14:paraId="771C8FCD" w14:textId="5E986CF9" w:rsidR="00B163E3" w:rsidRPr="008A2505" w:rsidRDefault="00B163E3" w:rsidP="00303779">
      <w:pPr>
        <w:pStyle w:val="Bullet1"/>
        <w:jc w:val="both"/>
      </w:pPr>
      <w:r>
        <w:rPr>
          <w:b/>
        </w:rPr>
        <w:t>Consult with</w:t>
      </w:r>
      <w:r w:rsidRPr="008A2505">
        <w:rPr>
          <w:b/>
        </w:rPr>
        <w:t xml:space="preserve"> </w:t>
      </w:r>
      <w:r w:rsidR="00882CD2">
        <w:rPr>
          <w:b/>
        </w:rPr>
        <w:t xml:space="preserve">a </w:t>
      </w:r>
      <w:proofErr w:type="gramStart"/>
      <w:r w:rsidR="00820079">
        <w:rPr>
          <w:b/>
        </w:rPr>
        <w:t>g</w:t>
      </w:r>
      <w:r w:rsidR="00820079" w:rsidRPr="00D75746">
        <w:rPr>
          <w:b/>
        </w:rPr>
        <w:t xml:space="preserve">ender </w:t>
      </w:r>
      <w:r w:rsidR="00820079">
        <w:rPr>
          <w:b/>
        </w:rPr>
        <w:t>e</w:t>
      </w:r>
      <w:r w:rsidR="00820079" w:rsidRPr="00D75746">
        <w:rPr>
          <w:b/>
        </w:rPr>
        <w:t xml:space="preserve">quality </w:t>
      </w:r>
      <w:r w:rsidR="00820079">
        <w:rPr>
          <w:b/>
        </w:rPr>
        <w:t>s</w:t>
      </w:r>
      <w:r w:rsidR="00820079" w:rsidRPr="00D75746">
        <w:rPr>
          <w:b/>
        </w:rPr>
        <w:t>pecialists</w:t>
      </w:r>
      <w:proofErr w:type="gramEnd"/>
      <w:r w:rsidR="00CC184F">
        <w:rPr>
          <w:bCs/>
        </w:rPr>
        <w:t>;</w:t>
      </w:r>
      <w:r w:rsidR="00820079">
        <w:t xml:space="preserve"> </w:t>
      </w:r>
      <w:r w:rsidR="00882CD2">
        <w:t xml:space="preserve">ask them to </w:t>
      </w:r>
      <w:r w:rsidRPr="008A2505">
        <w:t>brief the concept team</w:t>
      </w:r>
      <w:r w:rsidR="00882CD2">
        <w:t>, and request that they review the draft Investment Concept Note.</w:t>
      </w:r>
    </w:p>
    <w:p w14:paraId="1DC5A875" w14:textId="1AEE1294" w:rsidR="00B163E3" w:rsidRDefault="00B163E3" w:rsidP="00303779">
      <w:pPr>
        <w:pStyle w:val="Bullet1"/>
        <w:jc w:val="both"/>
      </w:pPr>
      <w:r w:rsidRPr="009016A4">
        <w:t xml:space="preserve">In the </w:t>
      </w:r>
      <w:r w:rsidR="00DB7677">
        <w:t>Investment Concept Note</w:t>
      </w:r>
      <w:r w:rsidR="00351D2F">
        <w:t>,</w:t>
      </w:r>
      <w:r w:rsidR="00DB7677" w:rsidRPr="009016A4" w:rsidDel="00DB7677">
        <w:t xml:space="preserve"> </w:t>
      </w:r>
      <w:r w:rsidRPr="009016A4">
        <w:rPr>
          <w:b/>
        </w:rPr>
        <w:t xml:space="preserve">identify the key gender equality issues </w:t>
      </w:r>
      <w:r w:rsidRPr="00CC184F">
        <w:rPr>
          <w:bCs/>
        </w:rPr>
        <w:t>that need further exploration</w:t>
      </w:r>
      <w:r w:rsidRPr="008A2505">
        <w:t xml:space="preserve"> during the design phase. </w:t>
      </w:r>
    </w:p>
    <w:p w14:paraId="42DC4315" w14:textId="34BE534C" w:rsidR="00B163E3" w:rsidRDefault="00B163E3" w:rsidP="00303779">
      <w:pPr>
        <w:pStyle w:val="Bullet1"/>
        <w:jc w:val="both"/>
      </w:pPr>
      <w:r>
        <w:rPr>
          <w:b/>
        </w:rPr>
        <w:t>I</w:t>
      </w:r>
      <w:r w:rsidR="00346C06">
        <w:rPr>
          <w:b/>
        </w:rPr>
        <w:t xml:space="preserve">nvolve gender equality </w:t>
      </w:r>
      <w:r w:rsidR="00346C06" w:rsidRPr="00B008E4">
        <w:rPr>
          <w:b/>
        </w:rPr>
        <w:t xml:space="preserve">specialists </w:t>
      </w:r>
      <w:r w:rsidRPr="006947DD">
        <w:rPr>
          <w:b/>
        </w:rPr>
        <w:t>in the reference group</w:t>
      </w:r>
      <w:r w:rsidR="00444B32" w:rsidRPr="006947DD">
        <w:rPr>
          <w:b/>
        </w:rPr>
        <w:t>, peer review, and appraisal</w:t>
      </w:r>
      <w:r w:rsidR="00B008E4">
        <w:t>.</w:t>
      </w:r>
      <w:r>
        <w:t xml:space="preserve"> </w:t>
      </w:r>
      <w:r w:rsidR="00B008E4">
        <w:t xml:space="preserve"> Explicitly </w:t>
      </w:r>
      <w:r>
        <w:t>put assessment of gender equality integration on the agenda of the peer review</w:t>
      </w:r>
      <w:bookmarkStart w:id="21" w:name="OLE_LINK5"/>
      <w:bookmarkStart w:id="22" w:name="OLE_LINK6"/>
      <w:r>
        <w:t>.</w:t>
      </w:r>
    </w:p>
    <w:p w14:paraId="6ACC38F4" w14:textId="77777777" w:rsidR="006D1A66" w:rsidRPr="008A2505" w:rsidRDefault="006D1A66" w:rsidP="00303779">
      <w:pPr>
        <w:pStyle w:val="Bullet1"/>
        <w:numPr>
          <w:ilvl w:val="0"/>
          <w:numId w:val="0"/>
        </w:numPr>
        <w:ind w:left="284" w:hanging="284"/>
        <w:jc w:val="both"/>
      </w:pPr>
    </w:p>
    <w:bookmarkEnd w:id="21"/>
    <w:bookmarkEnd w:id="22"/>
    <w:p w14:paraId="7A833CEF" w14:textId="04D799FA" w:rsidR="0013694F" w:rsidRPr="0013694F" w:rsidRDefault="0013694F" w:rsidP="00303779">
      <w:pPr>
        <w:pStyle w:val="Heading1Numbered"/>
        <w:jc w:val="both"/>
        <w:rPr>
          <w:lang w:val="en-AU"/>
        </w:rPr>
      </w:pPr>
      <w:r w:rsidRPr="0013694F">
        <w:rPr>
          <w:lang w:val="en-AU"/>
        </w:rPr>
        <w:t>Investment Design Document or Investment Design Summary</w:t>
      </w:r>
    </w:p>
    <w:p w14:paraId="02237DD1" w14:textId="52DBE1EA" w:rsidR="00BC35D6" w:rsidRDefault="00E53AD1" w:rsidP="00303779">
      <w:pPr>
        <w:jc w:val="both"/>
        <w:rPr>
          <w:lang w:val="en-AU"/>
        </w:rPr>
      </w:pPr>
      <w:r>
        <w:rPr>
          <w:lang w:val="en-AU"/>
        </w:rPr>
        <w:t>G</w:t>
      </w:r>
      <w:r w:rsidR="0013694F" w:rsidRPr="0013694F">
        <w:rPr>
          <w:lang w:val="en-AU"/>
        </w:rPr>
        <w:t xml:space="preserve">ender equality </w:t>
      </w:r>
      <w:r>
        <w:rPr>
          <w:lang w:val="en-AU"/>
        </w:rPr>
        <w:t xml:space="preserve">must be a feature of </w:t>
      </w:r>
      <w:r w:rsidR="0013694F" w:rsidRPr="0013694F">
        <w:rPr>
          <w:lang w:val="en-AU"/>
        </w:rPr>
        <w:t>design</w:t>
      </w:r>
      <w:r>
        <w:rPr>
          <w:lang w:val="en-AU"/>
        </w:rPr>
        <w:t xml:space="preserve"> process</w:t>
      </w:r>
      <w:r w:rsidR="00993567">
        <w:rPr>
          <w:lang w:val="en-AU"/>
        </w:rPr>
        <w:t>es</w:t>
      </w:r>
      <w:r>
        <w:rPr>
          <w:lang w:val="en-AU"/>
        </w:rPr>
        <w:t xml:space="preserve"> and</w:t>
      </w:r>
      <w:r w:rsidR="0013694F" w:rsidRPr="0013694F">
        <w:rPr>
          <w:lang w:val="en-AU"/>
        </w:rPr>
        <w:t xml:space="preserve"> documentation</w:t>
      </w:r>
      <w:r w:rsidR="00C96425">
        <w:rPr>
          <w:lang w:val="en-AU"/>
        </w:rPr>
        <w:t>.</w:t>
      </w:r>
      <w:r>
        <w:rPr>
          <w:lang w:val="en-AU"/>
        </w:rPr>
        <w:t xml:space="preserve"> </w:t>
      </w:r>
      <w:r w:rsidR="00C96425">
        <w:rPr>
          <w:lang w:val="en-AU"/>
        </w:rPr>
        <w:t xml:space="preserve"> </w:t>
      </w:r>
      <w:r w:rsidR="0013694F" w:rsidRPr="0013694F">
        <w:rPr>
          <w:lang w:val="en-AU"/>
        </w:rPr>
        <w:t>Consult gender specialists early in the design process, for context-specific advice and referrals to external gender consultants</w:t>
      </w:r>
      <w:r>
        <w:rPr>
          <w:lang w:val="en-AU"/>
        </w:rPr>
        <w:t xml:space="preserve"> (as </w:t>
      </w:r>
      <w:r>
        <w:rPr>
          <w:lang w:val="en-AU"/>
        </w:rPr>
        <w:lastRenderedPageBreak/>
        <w:t>needed)</w:t>
      </w:r>
      <w:r w:rsidR="0013694F" w:rsidRPr="0013694F">
        <w:rPr>
          <w:lang w:val="en-AU"/>
        </w:rPr>
        <w:t xml:space="preserve">. </w:t>
      </w:r>
      <w:r>
        <w:rPr>
          <w:lang w:val="en-AU"/>
        </w:rPr>
        <w:t>I</w:t>
      </w:r>
      <w:r w:rsidR="0013694F" w:rsidRPr="0013694F">
        <w:rPr>
          <w:lang w:val="en-AU"/>
        </w:rPr>
        <w:t xml:space="preserve">nvolving </w:t>
      </w:r>
      <w:r>
        <w:rPr>
          <w:lang w:val="en-AU"/>
        </w:rPr>
        <w:t xml:space="preserve">gender specialists throughout the design process; don’t wait until the </w:t>
      </w:r>
      <w:r w:rsidR="0013694F" w:rsidRPr="0013694F">
        <w:rPr>
          <w:lang w:val="en-AU"/>
        </w:rPr>
        <w:t>peer review</w:t>
      </w:r>
      <w:r>
        <w:rPr>
          <w:lang w:val="en-AU"/>
        </w:rPr>
        <w:t xml:space="preserve"> or technical </w:t>
      </w:r>
      <w:r w:rsidR="0013694F" w:rsidRPr="0013694F">
        <w:rPr>
          <w:lang w:val="en-AU"/>
        </w:rPr>
        <w:t>appraisal of the investment design document.</w:t>
      </w:r>
    </w:p>
    <w:p w14:paraId="5876B256" w14:textId="5CA46F66" w:rsidR="00CC184F" w:rsidRDefault="00CC184F" w:rsidP="00AB5C6C">
      <w:pPr>
        <w:rPr>
          <w:lang w:val="en-AU"/>
        </w:rPr>
      </w:pPr>
    </w:p>
    <w:p w14:paraId="2B5273F2" w14:textId="77777777" w:rsidR="00CC184F" w:rsidRPr="0013694F" w:rsidRDefault="00CC184F" w:rsidP="00AB5C6C">
      <w:pPr>
        <w:rPr>
          <w:lang w:val="en-AU"/>
        </w:rPr>
      </w:pPr>
    </w:p>
    <w:p w14:paraId="0F5A5301" w14:textId="08E3510F" w:rsidR="0013694F" w:rsidRPr="0013694F" w:rsidRDefault="0013694F" w:rsidP="00303779">
      <w:pPr>
        <w:pStyle w:val="Heading2Numbered"/>
        <w:jc w:val="both"/>
        <w:rPr>
          <w:lang w:val="en-AU"/>
        </w:rPr>
      </w:pPr>
      <w:r w:rsidRPr="0013694F">
        <w:rPr>
          <w:lang w:val="en-AU"/>
        </w:rPr>
        <w:t>Gender Analysis</w:t>
      </w:r>
    </w:p>
    <w:p w14:paraId="172F1333" w14:textId="1FBBE8B5" w:rsidR="0013694F" w:rsidRPr="0013694F" w:rsidRDefault="0013694F" w:rsidP="00303779">
      <w:pPr>
        <w:jc w:val="both"/>
        <w:rPr>
          <w:lang w:val="en-AU"/>
        </w:rPr>
      </w:pPr>
      <w:r w:rsidRPr="0013694F">
        <w:rPr>
          <w:lang w:val="en-AU"/>
        </w:rPr>
        <w:t xml:space="preserve">Gender analysis </w:t>
      </w:r>
      <w:r w:rsidR="00CC184F">
        <w:rPr>
          <w:lang w:val="en-AU"/>
        </w:rPr>
        <w:t>assesses</w:t>
      </w:r>
      <w:r w:rsidRPr="0013694F">
        <w:rPr>
          <w:lang w:val="en-AU"/>
        </w:rPr>
        <w:t xml:space="preserve">: </w:t>
      </w:r>
    </w:p>
    <w:p w14:paraId="04004A19" w14:textId="4D6B852F" w:rsidR="0013694F" w:rsidRPr="0013694F" w:rsidRDefault="00CC184F" w:rsidP="00303779">
      <w:pPr>
        <w:pStyle w:val="Bullet1"/>
        <w:jc w:val="both"/>
        <w:rPr>
          <w:lang w:val="en-AU"/>
        </w:rPr>
      </w:pPr>
      <w:bookmarkStart w:id="23" w:name="OLE_LINK1"/>
      <w:bookmarkStart w:id="24" w:name="OLE_LINK2"/>
      <w:r>
        <w:rPr>
          <w:lang w:val="en-AU"/>
        </w:rPr>
        <w:t>K</w:t>
      </w:r>
      <w:r w:rsidR="0013694F" w:rsidRPr="0013694F">
        <w:rPr>
          <w:lang w:val="en-AU"/>
        </w:rPr>
        <w:t xml:space="preserve">ey gender equality issues </w:t>
      </w:r>
      <w:r>
        <w:rPr>
          <w:lang w:val="en-AU"/>
        </w:rPr>
        <w:t>and</w:t>
      </w:r>
      <w:r w:rsidR="0013694F" w:rsidRPr="0013694F">
        <w:rPr>
          <w:lang w:val="en-AU"/>
        </w:rPr>
        <w:t xml:space="preserve"> barriers which might prevent </w:t>
      </w:r>
      <w:r>
        <w:rPr>
          <w:lang w:val="en-AU"/>
        </w:rPr>
        <w:t>some groups (such as women,</w:t>
      </w:r>
      <w:r w:rsidR="0028609E">
        <w:t xml:space="preserve"> women with disabilities,</w:t>
      </w:r>
      <w:r>
        <w:t xml:space="preserve"> adolescent girls,</w:t>
      </w:r>
      <w:r w:rsidR="0028609E">
        <w:t xml:space="preserve"> or people with diverse sexual orientation and gender identity</w:t>
      </w:r>
      <w:r>
        <w:t>)</w:t>
      </w:r>
      <w:r w:rsidR="0013694F" w:rsidRPr="0013694F">
        <w:rPr>
          <w:lang w:val="en-AU"/>
        </w:rPr>
        <w:t xml:space="preserve"> from participating in and benefiting equally from the </w:t>
      </w:r>
      <w:bookmarkEnd w:id="23"/>
      <w:bookmarkEnd w:id="24"/>
      <w:r w:rsidR="0013694F" w:rsidRPr="0013694F">
        <w:rPr>
          <w:lang w:val="en-AU"/>
        </w:rPr>
        <w:t>investment</w:t>
      </w:r>
    </w:p>
    <w:p w14:paraId="1A2747E6" w14:textId="77777777" w:rsidR="0013694F" w:rsidRPr="0013694F" w:rsidRDefault="0013694F" w:rsidP="00303779">
      <w:pPr>
        <w:pStyle w:val="Bullet1"/>
        <w:jc w:val="both"/>
        <w:rPr>
          <w:lang w:val="en-AU"/>
        </w:rPr>
      </w:pPr>
      <w:r w:rsidRPr="0013694F">
        <w:rPr>
          <w:lang w:val="en-AU"/>
        </w:rPr>
        <w:t>How the above might constrain progress against investment objectives</w:t>
      </w:r>
    </w:p>
    <w:p w14:paraId="6FFDF979" w14:textId="77777777" w:rsidR="0013694F" w:rsidRPr="0013694F" w:rsidRDefault="0013694F" w:rsidP="00303779">
      <w:pPr>
        <w:pStyle w:val="Bullet1"/>
        <w:jc w:val="both"/>
        <w:rPr>
          <w:lang w:val="en-AU"/>
        </w:rPr>
      </w:pPr>
      <w:r w:rsidRPr="0013694F">
        <w:rPr>
          <w:lang w:val="en-AU"/>
        </w:rPr>
        <w:t>Whether the approach outlined in the design could directly or indirectly exacerbate gender inequality</w:t>
      </w:r>
    </w:p>
    <w:p w14:paraId="7D589CA0" w14:textId="3A6072A4" w:rsidR="0013694F" w:rsidRDefault="0013694F" w:rsidP="00303779">
      <w:pPr>
        <w:pStyle w:val="Bullet1"/>
        <w:jc w:val="both"/>
        <w:rPr>
          <w:lang w:val="en-AU"/>
        </w:rPr>
      </w:pPr>
      <w:r w:rsidRPr="0013694F">
        <w:rPr>
          <w:lang w:val="en-AU"/>
        </w:rPr>
        <w:t xml:space="preserve">Where DFAT assistance should be targeted and </w:t>
      </w:r>
      <w:r w:rsidR="00CC184F">
        <w:rPr>
          <w:lang w:val="en-AU"/>
        </w:rPr>
        <w:t>gender equality activities to</w:t>
      </w:r>
      <w:r w:rsidRPr="0013694F">
        <w:rPr>
          <w:lang w:val="en-AU"/>
        </w:rPr>
        <w:t xml:space="preserve"> be included in the design</w:t>
      </w:r>
    </w:p>
    <w:p w14:paraId="46DC184F" w14:textId="56C43BFB" w:rsidR="006D6CC4" w:rsidRPr="0013694F" w:rsidRDefault="006D6CC4" w:rsidP="00303779">
      <w:pPr>
        <w:pStyle w:val="Bullet1"/>
        <w:jc w:val="both"/>
        <w:rPr>
          <w:lang w:val="en-AU"/>
        </w:rPr>
      </w:pPr>
      <w:r>
        <w:rPr>
          <w:lang w:val="en-AU"/>
        </w:rPr>
        <w:t>Options for</w:t>
      </w:r>
      <w:r w:rsidR="00160821">
        <w:rPr>
          <w:lang w:val="en-AU"/>
        </w:rPr>
        <w:t xml:space="preserve"> the investment to</w:t>
      </w:r>
      <w:r>
        <w:rPr>
          <w:lang w:val="en-AU"/>
        </w:rPr>
        <w:t xml:space="preserve"> </w:t>
      </w:r>
      <w:r w:rsidR="00160821">
        <w:rPr>
          <w:lang w:val="en-AU"/>
        </w:rPr>
        <w:t>support progress towards gender equality.</w:t>
      </w:r>
    </w:p>
    <w:p w14:paraId="4B7DA820" w14:textId="77777777" w:rsidR="0013694F" w:rsidRPr="0013694F" w:rsidRDefault="0013694F" w:rsidP="00303779">
      <w:pPr>
        <w:jc w:val="both"/>
        <w:rPr>
          <w:lang w:val="en-AU"/>
        </w:rPr>
      </w:pPr>
      <w:r w:rsidRPr="00AB5C6C">
        <w:rPr>
          <w:b/>
          <w:lang w:val="en-AU"/>
        </w:rPr>
        <w:t>All investments should be able to demonstrate how the design was based on findings from gender analysis in the relevant sector or area.</w:t>
      </w:r>
      <w:r w:rsidRPr="0013694F">
        <w:rPr>
          <w:lang w:val="en-AU"/>
        </w:rPr>
        <w:t xml:space="preserve">  There are different ways to go about this.</w:t>
      </w:r>
    </w:p>
    <w:p w14:paraId="2EA7B329" w14:textId="38DEBF06" w:rsidR="0013694F" w:rsidRPr="0013694F" w:rsidRDefault="00726DBA" w:rsidP="00303779">
      <w:pPr>
        <w:jc w:val="both"/>
        <w:rPr>
          <w:lang w:val="en-AU"/>
        </w:rPr>
      </w:pPr>
      <w:r>
        <w:rPr>
          <w:lang w:val="en-AU"/>
        </w:rPr>
        <w:t xml:space="preserve">For larger investments and those targeting sectors where limited </w:t>
      </w:r>
      <w:r w:rsidR="002D4EE6">
        <w:rPr>
          <w:lang w:val="en-AU"/>
        </w:rPr>
        <w:t>gender analysis exists, a</w:t>
      </w:r>
      <w:r w:rsidR="0013694F" w:rsidRPr="0013694F">
        <w:rPr>
          <w:lang w:val="en-AU"/>
        </w:rPr>
        <w:t xml:space="preserve"> </w:t>
      </w:r>
      <w:r w:rsidR="0013694F" w:rsidRPr="006947DD">
        <w:rPr>
          <w:b/>
          <w:bCs/>
          <w:lang w:val="en-AU"/>
        </w:rPr>
        <w:t xml:space="preserve">stand-alone gender analysis </w:t>
      </w:r>
      <w:r w:rsidR="002D4EE6" w:rsidRPr="006947DD">
        <w:rPr>
          <w:b/>
          <w:bCs/>
          <w:lang w:val="en-AU"/>
        </w:rPr>
        <w:t>is</w:t>
      </w:r>
      <w:r w:rsidR="0013694F" w:rsidRPr="006947DD">
        <w:rPr>
          <w:b/>
          <w:bCs/>
          <w:lang w:val="en-AU"/>
        </w:rPr>
        <w:t xml:space="preserve"> needed</w:t>
      </w:r>
      <w:r w:rsidR="00020E65">
        <w:rPr>
          <w:lang w:val="en-AU"/>
        </w:rPr>
        <w:t xml:space="preserve"> and should be attached to the design document as an annex</w:t>
      </w:r>
      <w:r w:rsidR="0013694F" w:rsidRPr="0013694F">
        <w:rPr>
          <w:lang w:val="en-AU"/>
        </w:rPr>
        <w:t>.</w:t>
      </w:r>
      <w:r w:rsidR="0013694F" w:rsidRPr="0013694F">
        <w:rPr>
          <w:b/>
          <w:lang w:val="en-AU"/>
        </w:rPr>
        <w:t xml:space="preserve"> </w:t>
      </w:r>
      <w:r w:rsidR="002D4EE6" w:rsidRPr="006947DD">
        <w:rPr>
          <w:bCs/>
          <w:lang w:val="en-AU"/>
        </w:rPr>
        <w:t xml:space="preserve">This analysis </w:t>
      </w:r>
      <w:r w:rsidR="00E51381" w:rsidRPr="006947DD">
        <w:rPr>
          <w:bCs/>
          <w:lang w:val="en-AU"/>
        </w:rPr>
        <w:t xml:space="preserve">should draw on </w:t>
      </w:r>
      <w:r w:rsidR="00E51381" w:rsidRPr="000856D3">
        <w:rPr>
          <w:bCs/>
          <w:lang w:val="en-AU"/>
        </w:rPr>
        <w:t>secondary sources (</w:t>
      </w:r>
      <w:r w:rsidR="00DA6CCD" w:rsidRPr="000856D3">
        <w:rPr>
          <w:bCs/>
          <w:lang w:val="en-AU"/>
        </w:rPr>
        <w:t xml:space="preserve">existing </w:t>
      </w:r>
      <w:r w:rsidR="0013694F" w:rsidRPr="000856D3">
        <w:rPr>
          <w:bCs/>
          <w:lang w:val="en-AU"/>
        </w:rPr>
        <w:t>gender analyses</w:t>
      </w:r>
      <w:r w:rsidR="00E51381" w:rsidRPr="000856D3">
        <w:rPr>
          <w:bCs/>
          <w:lang w:val="en-AU"/>
        </w:rPr>
        <w:t>, research,</w:t>
      </w:r>
      <w:r w:rsidR="0013694F" w:rsidRPr="000856D3">
        <w:rPr>
          <w:bCs/>
          <w:lang w:val="en-AU"/>
        </w:rPr>
        <w:t xml:space="preserve"> and data</w:t>
      </w:r>
      <w:r w:rsidR="00DA6CCD" w:rsidRPr="000856D3">
        <w:rPr>
          <w:bCs/>
          <w:lang w:val="en-AU"/>
        </w:rPr>
        <w:t xml:space="preserve">), as well as primary sources where needed (for example, in-country </w:t>
      </w:r>
      <w:r w:rsidR="00012FA1" w:rsidRPr="000856D3">
        <w:rPr>
          <w:bCs/>
          <w:lang w:val="en-AU"/>
        </w:rPr>
        <w:t>consultation with key stakeholders and participant groups).</w:t>
      </w:r>
      <w:r w:rsidR="00012FA1" w:rsidRPr="006947DD">
        <w:rPr>
          <w:bCs/>
          <w:lang w:val="en-AU"/>
        </w:rPr>
        <w:t xml:space="preserve"> </w:t>
      </w:r>
      <w:r w:rsidR="0013694F" w:rsidRPr="006947DD">
        <w:rPr>
          <w:bCs/>
          <w:lang w:val="en-AU"/>
        </w:rPr>
        <w:t xml:space="preserve"> </w:t>
      </w:r>
      <w:r w:rsidR="000856D3">
        <w:rPr>
          <w:lang w:val="en-AU"/>
        </w:rPr>
        <w:t xml:space="preserve">Gender analyses should be intersectional, considering </w:t>
      </w:r>
      <w:r w:rsidR="000856D3" w:rsidRPr="0028609E">
        <w:rPr>
          <w:lang w:val="en-AU"/>
        </w:rPr>
        <w:t>multiple and intersecting forms of discrimination</w:t>
      </w:r>
      <w:r w:rsidR="000856D3">
        <w:rPr>
          <w:lang w:val="en-AU"/>
        </w:rPr>
        <w:t xml:space="preserve"> experienced by some people, and whether and how the equality gaps are different for women and girls of diverse backgrounds (see 5.2)</w:t>
      </w:r>
      <w:r w:rsidR="000856D3" w:rsidRPr="0013694F">
        <w:rPr>
          <w:lang w:val="en-AU"/>
        </w:rPr>
        <w:t>.</w:t>
      </w:r>
      <w:r w:rsidR="000856D3">
        <w:rPr>
          <w:lang w:val="en-AU"/>
        </w:rPr>
        <w:t xml:space="preserve">  </w:t>
      </w:r>
      <w:r w:rsidR="000856D3" w:rsidRPr="0028609E">
        <w:rPr>
          <w:lang w:val="en-AU"/>
        </w:rPr>
        <w:t>An intersectional gender analysis helps to identify hidden structural barriers and supports an understanding of how individual experiences differ.</w:t>
      </w:r>
      <w:r w:rsidR="0013694F" w:rsidRPr="006947DD">
        <w:rPr>
          <w:bCs/>
          <w:lang w:val="en-AU"/>
        </w:rPr>
        <w:t xml:space="preserve"> </w:t>
      </w:r>
    </w:p>
    <w:p w14:paraId="7290F612" w14:textId="7E4572B8" w:rsidR="0013694F" w:rsidRDefault="0013694F" w:rsidP="00303779">
      <w:pPr>
        <w:suppressAutoHyphens w:val="0"/>
        <w:autoSpaceDE w:val="0"/>
        <w:autoSpaceDN w:val="0"/>
        <w:adjustRightInd w:val="0"/>
        <w:spacing w:before="0"/>
        <w:jc w:val="both"/>
        <w:rPr>
          <w:lang w:val="en-AU"/>
        </w:rPr>
      </w:pPr>
      <w:r w:rsidRPr="0013694F">
        <w:rPr>
          <w:b/>
          <w:lang w:val="en-AU"/>
        </w:rPr>
        <w:t>Gender analysis can be incorporated into other design analyses.</w:t>
      </w:r>
      <w:r w:rsidRPr="0013694F">
        <w:rPr>
          <w:lang w:val="en-AU"/>
        </w:rPr>
        <w:t xml:space="preserve"> In many cases, it is important to change the way sectoral or political economy analysis is conducted to ensure the needs and perspectives of men</w:t>
      </w:r>
      <w:r w:rsidR="0028609E">
        <w:rPr>
          <w:lang w:val="en-AU"/>
        </w:rPr>
        <w:t>,</w:t>
      </w:r>
      <w:r w:rsidRPr="0013694F">
        <w:rPr>
          <w:lang w:val="en-AU"/>
        </w:rPr>
        <w:t xml:space="preserve"> women</w:t>
      </w:r>
      <w:r w:rsidR="0028609E">
        <w:rPr>
          <w:lang w:val="en-AU"/>
        </w:rPr>
        <w:t xml:space="preserve"> </w:t>
      </w:r>
      <w:r w:rsidR="0028609E">
        <w:t>and people with diverse sexual orientation and gender identity</w:t>
      </w:r>
      <w:r w:rsidRPr="0013694F">
        <w:rPr>
          <w:lang w:val="en-AU"/>
        </w:rPr>
        <w:t xml:space="preserve"> are considered. </w:t>
      </w:r>
    </w:p>
    <w:p w14:paraId="45D70FD8" w14:textId="7538863E" w:rsidR="0028609E" w:rsidRPr="0028609E" w:rsidRDefault="001A4290" w:rsidP="00303779">
      <w:pPr>
        <w:suppressAutoHyphens w:val="0"/>
        <w:autoSpaceDE w:val="0"/>
        <w:autoSpaceDN w:val="0"/>
        <w:adjustRightInd w:val="0"/>
        <w:spacing w:before="0"/>
        <w:jc w:val="both"/>
        <w:rPr>
          <w:lang w:val="en-AU"/>
        </w:rPr>
      </w:pPr>
      <w:r>
        <w:rPr>
          <w:lang w:val="en-AU"/>
        </w:rPr>
        <w:t>During the gender analysis:</w:t>
      </w:r>
    </w:p>
    <w:p w14:paraId="728E6E0C" w14:textId="16E4190E" w:rsidR="0036657C" w:rsidRPr="0013694F" w:rsidRDefault="0036657C" w:rsidP="00303779">
      <w:pPr>
        <w:pStyle w:val="Bullet1"/>
        <w:jc w:val="both"/>
        <w:rPr>
          <w:lang w:val="en-AU"/>
        </w:rPr>
      </w:pPr>
      <w:r w:rsidRPr="0013694F">
        <w:rPr>
          <w:b/>
          <w:lang w:val="en-AU"/>
        </w:rPr>
        <w:t>Use gender expertise</w:t>
      </w:r>
      <w:r w:rsidRPr="0013694F">
        <w:rPr>
          <w:lang w:val="en-AU"/>
        </w:rPr>
        <w:t xml:space="preserve">: </w:t>
      </w:r>
      <w:r>
        <w:rPr>
          <w:lang w:val="en-AU"/>
        </w:rPr>
        <w:t xml:space="preserve">A quality gender analysis requires gender equality specialist skills. </w:t>
      </w:r>
    </w:p>
    <w:p w14:paraId="46B56669" w14:textId="15A9BA86" w:rsidR="0013694F" w:rsidRPr="0013694F" w:rsidRDefault="0013694F" w:rsidP="00303779">
      <w:pPr>
        <w:pStyle w:val="Bullet1"/>
        <w:jc w:val="both"/>
        <w:rPr>
          <w:lang w:val="en-AU"/>
        </w:rPr>
      </w:pPr>
      <w:r w:rsidRPr="0013694F">
        <w:rPr>
          <w:b/>
          <w:lang w:val="en-AU"/>
        </w:rPr>
        <w:t>Disaggregate all data by sex</w:t>
      </w:r>
      <w:r w:rsidRPr="0013694F">
        <w:rPr>
          <w:lang w:val="en-AU"/>
        </w:rPr>
        <w:t xml:space="preserve"> (</w:t>
      </w:r>
      <w:r w:rsidR="00F57F53">
        <w:rPr>
          <w:lang w:val="en-AU"/>
        </w:rPr>
        <w:t xml:space="preserve">and where possible by </w:t>
      </w:r>
      <w:r w:rsidR="00DB6F45">
        <w:rPr>
          <w:lang w:val="en-AU"/>
        </w:rPr>
        <w:t xml:space="preserve">gender, </w:t>
      </w:r>
      <w:r w:rsidR="00F57F53">
        <w:rPr>
          <w:lang w:val="en-AU"/>
        </w:rPr>
        <w:t>age</w:t>
      </w:r>
      <w:r w:rsidR="000856D3">
        <w:rPr>
          <w:lang w:val="en-AU"/>
        </w:rPr>
        <w:t>,</w:t>
      </w:r>
      <w:r w:rsidR="00F57F53">
        <w:rPr>
          <w:lang w:val="en-AU"/>
        </w:rPr>
        <w:t xml:space="preserve"> and disability</w:t>
      </w:r>
      <w:r w:rsidRPr="0013694F">
        <w:rPr>
          <w:lang w:val="en-AU"/>
        </w:rPr>
        <w:t xml:space="preserve">) to identify where special efforts for </w:t>
      </w:r>
      <w:r w:rsidR="0028609E">
        <w:rPr>
          <w:lang w:val="en-AU"/>
        </w:rPr>
        <w:t>people’s</w:t>
      </w:r>
      <w:r w:rsidRPr="0013694F">
        <w:rPr>
          <w:lang w:val="en-AU"/>
        </w:rPr>
        <w:t xml:space="preserve"> equal participation and benefit are needed and to measure the impact and outcomes of investments on women and men.</w:t>
      </w:r>
    </w:p>
    <w:p w14:paraId="38269DC4" w14:textId="16353ED1" w:rsidR="0013694F" w:rsidRPr="0013694F" w:rsidRDefault="0013694F" w:rsidP="00303779">
      <w:pPr>
        <w:pStyle w:val="Bullet1"/>
        <w:jc w:val="both"/>
        <w:rPr>
          <w:lang w:val="en-AU"/>
        </w:rPr>
      </w:pPr>
      <w:r w:rsidRPr="0013694F">
        <w:rPr>
          <w:b/>
          <w:lang w:val="en-AU"/>
        </w:rPr>
        <w:t>Involve partner</w:t>
      </w:r>
      <w:r w:rsidR="00611356">
        <w:rPr>
          <w:b/>
          <w:lang w:val="en-AU"/>
        </w:rPr>
        <w:t>s</w:t>
      </w:r>
      <w:r w:rsidRPr="0013694F">
        <w:rPr>
          <w:b/>
          <w:lang w:val="en-AU"/>
        </w:rPr>
        <w:t>,</w:t>
      </w:r>
      <w:r w:rsidRPr="0013694F">
        <w:rPr>
          <w:lang w:val="en-AU"/>
        </w:rPr>
        <w:t xml:space="preserve"> to increase their </w:t>
      </w:r>
      <w:r w:rsidR="000856D3">
        <w:rPr>
          <w:lang w:val="en-AU"/>
        </w:rPr>
        <w:t xml:space="preserve">commitment to </w:t>
      </w:r>
      <w:r w:rsidRPr="0013694F">
        <w:rPr>
          <w:lang w:val="en-AU"/>
        </w:rPr>
        <w:t>gender equality and sustainability of results. Partner</w:t>
      </w:r>
      <w:r w:rsidR="000856D3">
        <w:rPr>
          <w:lang w:val="en-AU"/>
        </w:rPr>
        <w:t xml:space="preserve"> involvement can lead to more relevant and useful </w:t>
      </w:r>
      <w:r w:rsidRPr="0013694F">
        <w:rPr>
          <w:lang w:val="en-AU"/>
        </w:rPr>
        <w:t>gender analysis.</w:t>
      </w:r>
    </w:p>
    <w:p w14:paraId="30E7DF0A" w14:textId="4475F075" w:rsidR="0013694F" w:rsidRPr="00CF26BB" w:rsidRDefault="0013694F" w:rsidP="00303779">
      <w:pPr>
        <w:pStyle w:val="Heading2Numbered"/>
        <w:jc w:val="both"/>
      </w:pPr>
      <w:bookmarkStart w:id="25" w:name="_Toc334540554"/>
      <w:r w:rsidRPr="00CF26BB">
        <w:t>In the design terms of reference</w:t>
      </w:r>
      <w:bookmarkEnd w:id="25"/>
    </w:p>
    <w:p w14:paraId="4A6462EA" w14:textId="1164B1E5" w:rsidR="0013694F" w:rsidRDefault="0013694F" w:rsidP="00303779">
      <w:pPr>
        <w:pStyle w:val="Bullet1"/>
        <w:numPr>
          <w:ilvl w:val="0"/>
          <w:numId w:val="0"/>
        </w:numPr>
        <w:jc w:val="both"/>
      </w:pPr>
      <w:r>
        <w:t>The TOR for the design team should include</w:t>
      </w:r>
      <w:r w:rsidR="00761D41">
        <w:t xml:space="preserve"> gender expertise</w:t>
      </w:r>
      <w:r w:rsidR="000856D3">
        <w:t xml:space="preserve">, provided by </w:t>
      </w:r>
      <w:r w:rsidR="00761D41">
        <w:rPr>
          <w:lang w:val="en-AU"/>
        </w:rPr>
        <w:t>a dedicated gender advisor</w:t>
      </w:r>
      <w:r w:rsidR="000856D3">
        <w:rPr>
          <w:lang w:val="en-AU"/>
        </w:rPr>
        <w:t xml:space="preserve"> (</w:t>
      </w:r>
      <w:r w:rsidR="00761D41">
        <w:rPr>
          <w:lang w:val="en-AU"/>
        </w:rPr>
        <w:t>rather than relying on a non-gender specialist to provide gender equality inputs</w:t>
      </w:r>
      <w:r w:rsidR="000856D3">
        <w:rPr>
          <w:lang w:val="en-AU"/>
        </w:rPr>
        <w:t>)</w:t>
      </w:r>
      <w:r w:rsidR="00761D41">
        <w:rPr>
          <w:lang w:val="en-AU"/>
        </w:rPr>
        <w:t xml:space="preserve">. </w:t>
      </w:r>
      <w:r w:rsidR="00761D41" w:rsidRPr="0013694F">
        <w:rPr>
          <w:lang w:val="en-AU"/>
        </w:rPr>
        <w:t xml:space="preserve">A gender expert may provide periodic or long-term </w:t>
      </w:r>
      <w:r w:rsidR="006947DD" w:rsidRPr="0013694F">
        <w:rPr>
          <w:lang w:val="en-AU"/>
        </w:rPr>
        <w:t>inputs</w:t>
      </w:r>
      <w:r w:rsidR="006947DD">
        <w:rPr>
          <w:lang w:val="en-AU"/>
        </w:rPr>
        <w:t xml:space="preserve"> and</w:t>
      </w:r>
      <w:r w:rsidR="007C10FA">
        <w:rPr>
          <w:lang w:val="en-AU"/>
        </w:rPr>
        <w:t xml:space="preserve"> have</w:t>
      </w:r>
      <w:r>
        <w:t xml:space="preserve"> responsibility </w:t>
      </w:r>
      <w:r w:rsidRPr="008A2505">
        <w:t xml:space="preserve">for identifying key gender equality issues </w:t>
      </w:r>
      <w:r>
        <w:t xml:space="preserve">and </w:t>
      </w:r>
      <w:r w:rsidR="007C10FA">
        <w:t>recommendat</w:t>
      </w:r>
      <w:r w:rsidR="00C27F1A">
        <w:t xml:space="preserve">ions to inform the </w:t>
      </w:r>
      <w:r>
        <w:t xml:space="preserve">design. </w:t>
      </w:r>
    </w:p>
    <w:p w14:paraId="1A4DADB2" w14:textId="07F1A02B" w:rsidR="001A4290" w:rsidRPr="008A2505" w:rsidRDefault="0013694F" w:rsidP="00303779">
      <w:pPr>
        <w:jc w:val="both"/>
      </w:pPr>
      <w:r>
        <w:t xml:space="preserve">Recognizing that men and women are not homogenous groups, the design team </w:t>
      </w:r>
      <w:r w:rsidR="000856D3">
        <w:t>must</w:t>
      </w:r>
      <w:r>
        <w:t xml:space="preserve"> consult with f</w:t>
      </w:r>
      <w:r w:rsidRPr="008A2505">
        <w:t xml:space="preserve">emale and male </w:t>
      </w:r>
      <w:r>
        <w:t xml:space="preserve">stakeholders </w:t>
      </w:r>
      <w:r w:rsidRPr="008A2505">
        <w:t>of different ages, from different socio-economic, rural/</w:t>
      </w:r>
      <w:proofErr w:type="gramStart"/>
      <w:r w:rsidRPr="008A2505">
        <w:t>urban</w:t>
      </w:r>
      <w:proofErr w:type="gramEnd"/>
      <w:r w:rsidRPr="008A2505">
        <w:t xml:space="preserve"> and ethnic groups</w:t>
      </w:r>
      <w:r>
        <w:t>; women and men</w:t>
      </w:r>
      <w:r w:rsidRPr="008A2505">
        <w:t xml:space="preserve"> with disability</w:t>
      </w:r>
      <w:r>
        <w:t>; LGBT</w:t>
      </w:r>
      <w:r w:rsidR="000856D3">
        <w:t>I</w:t>
      </w:r>
      <w:r>
        <w:t>Q</w:t>
      </w:r>
      <w:r w:rsidR="00DB6F45">
        <w:t>+</w:t>
      </w:r>
      <w:r>
        <w:t xml:space="preserve"> persons; f</w:t>
      </w:r>
      <w:r w:rsidRPr="008A2505">
        <w:t xml:space="preserve">emale and male </w:t>
      </w:r>
      <w:r>
        <w:t xml:space="preserve">officials working in </w:t>
      </w:r>
      <w:r w:rsidRPr="008A2505">
        <w:t>partner gov</w:t>
      </w:r>
      <w:r>
        <w:t xml:space="preserve">ernment organisations; </w:t>
      </w:r>
      <w:r w:rsidRPr="008A2505">
        <w:t>women’s networks, civil society organisations</w:t>
      </w:r>
      <w:r w:rsidR="00724CC4">
        <w:t>, media,</w:t>
      </w:r>
      <w:r w:rsidRPr="008A2505">
        <w:t xml:space="preserve"> and local researchers. When doing consultations,</w:t>
      </w:r>
      <w:r>
        <w:t xml:space="preserve"> consider</w:t>
      </w:r>
      <w:r w:rsidRPr="008A2505">
        <w:t xml:space="preserve"> form</w:t>
      </w:r>
      <w:r>
        <w:t>ing</w:t>
      </w:r>
      <w:r w:rsidRPr="008A2505">
        <w:t xml:space="preserve"> separate groups for consulting with women</w:t>
      </w:r>
      <w:r>
        <w:t xml:space="preserve"> and LGBTIQ</w:t>
      </w:r>
      <w:r w:rsidR="00724CC4">
        <w:t>+</w:t>
      </w:r>
      <w:r>
        <w:t xml:space="preserve"> persons</w:t>
      </w:r>
      <w:r w:rsidRPr="008A2505">
        <w:t>.</w:t>
      </w:r>
    </w:p>
    <w:p w14:paraId="3F7692C7" w14:textId="2706DD54" w:rsidR="0013694F" w:rsidRPr="0013694F" w:rsidRDefault="0013694F" w:rsidP="00303779">
      <w:pPr>
        <w:pStyle w:val="Heading2Numbered"/>
        <w:jc w:val="both"/>
        <w:rPr>
          <w:lang w:val="en-AU"/>
        </w:rPr>
      </w:pPr>
      <w:bookmarkStart w:id="26" w:name="_Toc334540555"/>
      <w:r w:rsidRPr="0013694F">
        <w:rPr>
          <w:lang w:val="en-AU"/>
        </w:rPr>
        <w:t>In the design document</w:t>
      </w:r>
      <w:bookmarkEnd w:id="26"/>
      <w:r w:rsidRPr="0013694F">
        <w:rPr>
          <w:lang w:val="en-AU"/>
        </w:rPr>
        <w:t xml:space="preserve"> or design summary </w:t>
      </w:r>
    </w:p>
    <w:p w14:paraId="67525B48" w14:textId="65FB2646" w:rsidR="008530B8" w:rsidRPr="0013694F" w:rsidRDefault="008530B8" w:rsidP="00303779">
      <w:pPr>
        <w:jc w:val="both"/>
        <w:rPr>
          <w:lang w:val="en-AU"/>
        </w:rPr>
      </w:pPr>
      <w:r w:rsidRPr="0013694F">
        <w:rPr>
          <w:lang w:val="en-AU"/>
        </w:rPr>
        <w:t xml:space="preserve">Gender equality needs to be incorporated throughout the </w:t>
      </w:r>
      <w:r w:rsidR="00EA0F2E">
        <w:rPr>
          <w:lang w:val="en-AU"/>
        </w:rPr>
        <w:t xml:space="preserve">design narrative, </w:t>
      </w:r>
      <w:r w:rsidR="00EA0F2E" w:rsidRPr="0013694F">
        <w:rPr>
          <w:lang w:val="en-AU"/>
        </w:rPr>
        <w:t xml:space="preserve">not be relegated to a few stand-alone paragraphs. </w:t>
      </w:r>
      <w:r w:rsidR="008E6D19">
        <w:rPr>
          <w:lang w:val="en-AU"/>
        </w:rPr>
        <w:t xml:space="preserve"> </w:t>
      </w:r>
      <w:r w:rsidR="003F7ED8">
        <w:rPr>
          <w:lang w:val="en-AU"/>
        </w:rPr>
        <w:t>Throughout, the design should consider:</w:t>
      </w:r>
    </w:p>
    <w:p w14:paraId="5D84D370" w14:textId="42B1A31B" w:rsidR="008530B8" w:rsidRPr="0013694F" w:rsidRDefault="008530B8" w:rsidP="00303779">
      <w:pPr>
        <w:pStyle w:val="Bullet1"/>
        <w:jc w:val="both"/>
        <w:rPr>
          <w:lang w:val="en-AU"/>
        </w:rPr>
      </w:pPr>
      <w:r w:rsidRPr="0013694F">
        <w:rPr>
          <w:lang w:val="en-AU"/>
        </w:rPr>
        <w:t xml:space="preserve">How </w:t>
      </w:r>
      <w:r w:rsidR="00884984">
        <w:rPr>
          <w:lang w:val="en-AU"/>
        </w:rPr>
        <w:t>it can</w:t>
      </w:r>
      <w:r w:rsidRPr="0013694F">
        <w:rPr>
          <w:lang w:val="en-AU"/>
        </w:rPr>
        <w:t>:</w:t>
      </w:r>
    </w:p>
    <w:p w14:paraId="4BB05A4F" w14:textId="4767482B" w:rsidR="008530B8" w:rsidRPr="0013694F" w:rsidRDefault="008530B8" w:rsidP="00303779">
      <w:pPr>
        <w:pStyle w:val="Bullet2"/>
        <w:jc w:val="both"/>
        <w:rPr>
          <w:lang w:val="en-US"/>
        </w:rPr>
      </w:pPr>
      <w:r w:rsidRPr="0013694F">
        <w:rPr>
          <w:lang w:val="en-US"/>
        </w:rPr>
        <w:t>increase access to and control over resources</w:t>
      </w:r>
      <w:r w:rsidR="00F57F53">
        <w:rPr>
          <w:lang w:val="en-US"/>
        </w:rPr>
        <w:t xml:space="preserve"> for women and men of diverse backgrounds</w:t>
      </w:r>
    </w:p>
    <w:p w14:paraId="478574BF" w14:textId="77777777" w:rsidR="008530B8" w:rsidRPr="0013694F" w:rsidRDefault="008530B8" w:rsidP="00303779">
      <w:pPr>
        <w:pStyle w:val="Bullet2"/>
        <w:jc w:val="both"/>
        <w:rPr>
          <w:lang w:val="en-US"/>
        </w:rPr>
      </w:pPr>
      <w:r w:rsidRPr="0013694F">
        <w:rPr>
          <w:lang w:val="en-US"/>
        </w:rPr>
        <w:t>increase women’s decision-making power and leadership</w:t>
      </w:r>
    </w:p>
    <w:p w14:paraId="65DC9A60" w14:textId="33CB23FE" w:rsidR="008530B8" w:rsidRPr="0013694F" w:rsidRDefault="008530B8" w:rsidP="00303779">
      <w:pPr>
        <w:pStyle w:val="Bullet2"/>
        <w:jc w:val="both"/>
        <w:rPr>
          <w:lang w:val="en-US"/>
        </w:rPr>
      </w:pPr>
      <w:r w:rsidRPr="0013694F">
        <w:rPr>
          <w:lang w:val="en-US"/>
        </w:rPr>
        <w:t xml:space="preserve">promote and protect women’s, girls’, </w:t>
      </w:r>
      <w:proofErr w:type="gramStart"/>
      <w:r w:rsidRPr="0013694F">
        <w:rPr>
          <w:lang w:val="en-US"/>
        </w:rPr>
        <w:t>men’s</w:t>
      </w:r>
      <w:proofErr w:type="gramEnd"/>
      <w:r w:rsidRPr="0013694F">
        <w:rPr>
          <w:lang w:val="en-US"/>
        </w:rPr>
        <w:t xml:space="preserve"> and boys’ rights</w:t>
      </w:r>
      <w:r w:rsidR="00F57F53">
        <w:rPr>
          <w:lang w:val="en-US"/>
        </w:rPr>
        <w:t xml:space="preserve">, in particular those who are marginalized and excluded, including </w:t>
      </w:r>
      <w:r w:rsidR="009C5B27">
        <w:rPr>
          <w:lang w:val="en-US"/>
        </w:rPr>
        <w:t>people of diverse sexual orientation and gen</w:t>
      </w:r>
      <w:r w:rsidR="000B63BB">
        <w:rPr>
          <w:lang w:val="en-US"/>
        </w:rPr>
        <w:t>der identities</w:t>
      </w:r>
    </w:p>
    <w:p w14:paraId="5B1B50A8" w14:textId="13B78556" w:rsidR="008530B8" w:rsidRPr="0013694F" w:rsidRDefault="008530B8" w:rsidP="00303779">
      <w:pPr>
        <w:pStyle w:val="Bullet2"/>
        <w:jc w:val="both"/>
        <w:rPr>
          <w:lang w:val="en-US"/>
        </w:rPr>
      </w:pPr>
      <w:r w:rsidRPr="0013694F">
        <w:rPr>
          <w:lang w:val="en-US"/>
        </w:rPr>
        <w:t>support partners to achieve gender equality objectives</w:t>
      </w:r>
    </w:p>
    <w:p w14:paraId="41F21991" w14:textId="4943227F" w:rsidR="008530B8" w:rsidRPr="0013694F" w:rsidRDefault="008530B8" w:rsidP="00303779">
      <w:pPr>
        <w:pStyle w:val="Bullet2"/>
        <w:jc w:val="both"/>
        <w:rPr>
          <w:lang w:val="en-US"/>
        </w:rPr>
      </w:pPr>
      <w:r w:rsidRPr="0013694F">
        <w:rPr>
          <w:lang w:val="en-US"/>
        </w:rPr>
        <w:t>strengthen local capacity to advance gender equality.</w:t>
      </w:r>
    </w:p>
    <w:p w14:paraId="7FCBB606" w14:textId="2F8F2EB7" w:rsidR="008530B8" w:rsidRPr="0013694F" w:rsidRDefault="008530B8" w:rsidP="00303779">
      <w:pPr>
        <w:pStyle w:val="Bullet1"/>
        <w:jc w:val="both"/>
        <w:rPr>
          <w:lang w:val="en-AU"/>
        </w:rPr>
      </w:pPr>
      <w:r w:rsidRPr="0013694F">
        <w:rPr>
          <w:lang w:val="en-AU"/>
        </w:rPr>
        <w:t>How barriers preventing women and men from participating in and benefiting equally from the investment will be addressed.</w:t>
      </w:r>
    </w:p>
    <w:p w14:paraId="45130907" w14:textId="4F68FF84" w:rsidR="008530B8" w:rsidRPr="0013694F" w:rsidRDefault="008530B8" w:rsidP="00303779">
      <w:pPr>
        <w:pStyle w:val="Bullet1"/>
        <w:jc w:val="both"/>
        <w:rPr>
          <w:lang w:val="en-AU"/>
        </w:rPr>
      </w:pPr>
      <w:r w:rsidRPr="0013694F">
        <w:rPr>
          <w:lang w:val="en-AU"/>
        </w:rPr>
        <w:t xml:space="preserve">How </w:t>
      </w:r>
      <w:r w:rsidR="00742B13">
        <w:rPr>
          <w:lang w:val="en-AU"/>
        </w:rPr>
        <w:t>it</w:t>
      </w:r>
      <w:r w:rsidRPr="0013694F">
        <w:rPr>
          <w:lang w:val="en-AU"/>
        </w:rPr>
        <w:t xml:space="preserve"> will work with men to secure their support for gender equality.</w:t>
      </w:r>
    </w:p>
    <w:p w14:paraId="11D62123" w14:textId="5F7C1219" w:rsidR="00D71BE3" w:rsidRPr="00CC184F" w:rsidRDefault="00DF61E4" w:rsidP="00303779">
      <w:pPr>
        <w:pStyle w:val="Bullet1"/>
        <w:jc w:val="both"/>
        <w:rPr>
          <w:lang w:val="en-AU"/>
        </w:rPr>
      </w:pPr>
      <w:r>
        <w:rPr>
          <w:lang w:val="en-AU"/>
        </w:rPr>
        <w:t xml:space="preserve">How gender equality </w:t>
      </w:r>
      <w:r w:rsidR="00E26742">
        <w:rPr>
          <w:lang w:val="en-AU"/>
        </w:rPr>
        <w:t xml:space="preserve">initiatives will be </w:t>
      </w:r>
      <w:r w:rsidR="008530B8" w:rsidRPr="0013694F">
        <w:rPr>
          <w:lang w:val="en-AU"/>
        </w:rPr>
        <w:t>integrat</w:t>
      </w:r>
      <w:r w:rsidR="00E26742">
        <w:rPr>
          <w:lang w:val="en-AU"/>
        </w:rPr>
        <w:t>ed in</w:t>
      </w:r>
      <w:r w:rsidR="008530B8" w:rsidRPr="0013694F">
        <w:rPr>
          <w:lang w:val="en-AU"/>
        </w:rPr>
        <w:t xml:space="preserve"> annual planning (important for sector wide approaches and facility designs).</w:t>
      </w:r>
    </w:p>
    <w:p w14:paraId="51BC29C1" w14:textId="77777777" w:rsidR="006D1A66" w:rsidRDefault="00AB4ABE" w:rsidP="00303779">
      <w:pPr>
        <w:pStyle w:val="Heading3Numbered"/>
        <w:jc w:val="both"/>
        <w:rPr>
          <w:lang w:val="en-AU"/>
        </w:rPr>
      </w:pPr>
      <w:r>
        <w:rPr>
          <w:lang w:val="en-AU"/>
        </w:rPr>
        <w:t>Development context and situational analysis (what problem are we addressing?)</w:t>
      </w:r>
    </w:p>
    <w:p w14:paraId="0FA816C8" w14:textId="62C4C8E7" w:rsidR="003137A6" w:rsidRPr="003137A6" w:rsidRDefault="00B7704E" w:rsidP="00303779">
      <w:pPr>
        <w:jc w:val="both"/>
        <w:rPr>
          <w:lang w:val="en-AU"/>
        </w:rPr>
      </w:pPr>
      <w:r w:rsidRPr="0013694F">
        <w:rPr>
          <w:lang w:val="en-AU"/>
        </w:rPr>
        <w:t xml:space="preserve">This section should reflect the findings of gender analysis. </w:t>
      </w:r>
      <w:r w:rsidR="003137A6" w:rsidRPr="003137A6">
        <w:rPr>
          <w:lang w:val="en-AU"/>
        </w:rPr>
        <w:t>This section should concisely articulate:</w:t>
      </w:r>
    </w:p>
    <w:p w14:paraId="3E7EA231" w14:textId="5B76FE55" w:rsidR="003137A6" w:rsidRPr="003137A6" w:rsidRDefault="003137A6" w:rsidP="00303779">
      <w:pPr>
        <w:pStyle w:val="Bullet1"/>
        <w:jc w:val="both"/>
        <w:rPr>
          <w:lang w:val="en-AU"/>
        </w:rPr>
      </w:pPr>
      <w:r w:rsidRPr="003137A6">
        <w:rPr>
          <w:lang w:val="en-AU"/>
        </w:rPr>
        <w:t>the main</w:t>
      </w:r>
      <w:r w:rsidR="00611356">
        <w:rPr>
          <w:lang w:val="en-AU"/>
        </w:rPr>
        <w:t xml:space="preserve"> gender-related</w:t>
      </w:r>
      <w:r w:rsidRPr="003137A6">
        <w:rPr>
          <w:lang w:val="en-AU"/>
        </w:rPr>
        <w:t xml:space="preserve"> problem</w:t>
      </w:r>
      <w:r>
        <w:rPr>
          <w:lang w:val="en-AU"/>
        </w:rPr>
        <w:t>s</w:t>
      </w:r>
      <w:r w:rsidR="00611356">
        <w:rPr>
          <w:lang w:val="en-AU"/>
        </w:rPr>
        <w:t xml:space="preserve"> to be addressed by the investment</w:t>
      </w:r>
    </w:p>
    <w:p w14:paraId="1B20F9BC" w14:textId="5701F884" w:rsidR="003137A6" w:rsidRPr="003137A6" w:rsidRDefault="003137A6" w:rsidP="00303779">
      <w:pPr>
        <w:pStyle w:val="Bullet1"/>
        <w:jc w:val="both"/>
        <w:rPr>
          <w:lang w:val="en-AU"/>
        </w:rPr>
      </w:pPr>
      <w:r w:rsidRPr="003137A6">
        <w:rPr>
          <w:lang w:val="en-AU"/>
        </w:rPr>
        <w:t>issues/gaps (and their root causes) that are a priority for women and girls</w:t>
      </w:r>
      <w:r>
        <w:rPr>
          <w:lang w:val="en-AU"/>
        </w:rPr>
        <w:t xml:space="preserve"> </w:t>
      </w:r>
      <w:r w:rsidRPr="003137A6">
        <w:rPr>
          <w:lang w:val="en-AU"/>
        </w:rPr>
        <w:t xml:space="preserve">especially those </w:t>
      </w:r>
      <w:r>
        <w:rPr>
          <w:lang w:val="en-AU"/>
        </w:rPr>
        <w:t xml:space="preserve">who may be </w:t>
      </w:r>
      <w:r w:rsidRPr="003137A6">
        <w:rPr>
          <w:lang w:val="en-AU"/>
        </w:rPr>
        <w:t xml:space="preserve">marginalised </w:t>
      </w:r>
      <w:proofErr w:type="gramStart"/>
      <w:r w:rsidR="00B258B8">
        <w:rPr>
          <w:lang w:val="en-AU"/>
        </w:rPr>
        <w:t>as a result of</w:t>
      </w:r>
      <w:proofErr w:type="gramEnd"/>
      <w:r w:rsidR="00B258B8">
        <w:rPr>
          <w:lang w:val="en-AU"/>
        </w:rPr>
        <w:t xml:space="preserve"> </w:t>
      </w:r>
      <w:r w:rsidR="00B258B8" w:rsidRPr="00B258B8">
        <w:rPr>
          <w:lang w:val="en-AU"/>
        </w:rPr>
        <w:t xml:space="preserve">multiple aspects of </w:t>
      </w:r>
      <w:r w:rsidR="00B258B8">
        <w:rPr>
          <w:lang w:val="en-AU"/>
        </w:rPr>
        <w:t>their</w:t>
      </w:r>
      <w:r w:rsidR="00B258B8" w:rsidRPr="00B258B8">
        <w:rPr>
          <w:lang w:val="en-AU"/>
        </w:rPr>
        <w:t xml:space="preserve"> identity interact</w:t>
      </w:r>
      <w:r w:rsidR="00B258B8">
        <w:rPr>
          <w:lang w:val="en-AU"/>
        </w:rPr>
        <w:t>ing</w:t>
      </w:r>
      <w:r w:rsidR="00B258B8" w:rsidRPr="00B258B8">
        <w:rPr>
          <w:lang w:val="en-AU"/>
        </w:rPr>
        <w:t xml:space="preserve"> to compound</w:t>
      </w:r>
      <w:r w:rsidR="0027027F">
        <w:rPr>
          <w:lang w:val="en-AU"/>
        </w:rPr>
        <w:t xml:space="preserve"> </w:t>
      </w:r>
      <w:r w:rsidR="00B258B8" w:rsidRPr="00B258B8">
        <w:rPr>
          <w:lang w:val="en-AU"/>
        </w:rPr>
        <w:t>disadvantage/opportunity</w:t>
      </w:r>
      <w:r w:rsidR="00B258B8">
        <w:rPr>
          <w:lang w:val="en-AU"/>
        </w:rPr>
        <w:t xml:space="preserve"> (for example women with disabilities)</w:t>
      </w:r>
    </w:p>
    <w:p w14:paraId="5B196328" w14:textId="77777777" w:rsidR="003137A6" w:rsidRPr="003137A6" w:rsidRDefault="003137A6" w:rsidP="00303779">
      <w:pPr>
        <w:pStyle w:val="Bullet1"/>
        <w:jc w:val="both"/>
        <w:rPr>
          <w:lang w:val="en-AU"/>
        </w:rPr>
      </w:pPr>
      <w:r w:rsidRPr="003137A6">
        <w:rPr>
          <w:lang w:val="en-AU"/>
        </w:rPr>
        <w:t xml:space="preserve">data </w:t>
      </w:r>
      <w:r>
        <w:rPr>
          <w:lang w:val="en-AU"/>
        </w:rPr>
        <w:t xml:space="preserve">disaggregated </w:t>
      </w:r>
      <w:r w:rsidRPr="003137A6">
        <w:rPr>
          <w:lang w:val="en-AU"/>
        </w:rPr>
        <w:t>by sex, disability, and age</w:t>
      </w:r>
    </w:p>
    <w:p w14:paraId="5DADAA9C" w14:textId="65C964CF" w:rsidR="004E57E3" w:rsidRPr="0027027F" w:rsidRDefault="003137A6" w:rsidP="00303779">
      <w:pPr>
        <w:pStyle w:val="Bullet1"/>
        <w:jc w:val="both"/>
        <w:rPr>
          <w:lang w:val="en-AU"/>
        </w:rPr>
      </w:pPr>
      <w:r w:rsidRPr="003137A6">
        <w:rPr>
          <w:lang w:val="en-AU"/>
        </w:rPr>
        <w:t>evidence and lessons learned about previous efforts on gender equality</w:t>
      </w:r>
    </w:p>
    <w:p w14:paraId="16556B25" w14:textId="59284D57" w:rsidR="00AB4ABE" w:rsidRDefault="00AB4ABE" w:rsidP="00303779">
      <w:pPr>
        <w:pStyle w:val="Heading3Numbered"/>
        <w:jc w:val="both"/>
        <w:rPr>
          <w:lang w:val="en-AU"/>
        </w:rPr>
      </w:pPr>
      <w:r>
        <w:rPr>
          <w:lang w:val="en-AU"/>
        </w:rPr>
        <w:t>Strategic intent and rationale (why?)</w:t>
      </w:r>
    </w:p>
    <w:p w14:paraId="578DDC51" w14:textId="7F07FA63" w:rsidR="004E57E3" w:rsidRPr="00B258B8" w:rsidRDefault="00974F23" w:rsidP="00303779">
      <w:pPr>
        <w:jc w:val="both"/>
        <w:rPr>
          <w:lang w:val="en-AU"/>
        </w:rPr>
      </w:pPr>
      <w:r>
        <w:rPr>
          <w:lang w:val="en-AU"/>
        </w:rPr>
        <w:t>Think about how addressing gender equality aligns with</w:t>
      </w:r>
      <w:r w:rsidR="009761A2">
        <w:rPr>
          <w:lang w:val="en-AU"/>
        </w:rPr>
        <w:t xml:space="preserve"> and supports</w:t>
      </w:r>
      <w:r>
        <w:rPr>
          <w:lang w:val="en-AU"/>
        </w:rPr>
        <w:t xml:space="preserve"> Australia’s and partner government/organisation policy priorities. How </w:t>
      </w:r>
      <w:r w:rsidR="00D03837">
        <w:rPr>
          <w:lang w:val="en-AU"/>
        </w:rPr>
        <w:t xml:space="preserve">and </w:t>
      </w:r>
      <w:r>
        <w:rPr>
          <w:lang w:val="en-AU"/>
        </w:rPr>
        <w:t>where can Australia add strategic value by working on gender equality?</w:t>
      </w:r>
      <w:r w:rsidR="00B258B8">
        <w:rPr>
          <w:lang w:val="en-AU"/>
        </w:rPr>
        <w:t xml:space="preserve"> This section should</w:t>
      </w:r>
      <w:r w:rsidR="00DC70D1">
        <w:rPr>
          <w:lang w:val="en-AU"/>
        </w:rPr>
        <w:t xml:space="preserve"> also</w:t>
      </w:r>
      <w:r w:rsidR="00B258B8">
        <w:rPr>
          <w:lang w:val="en-AU"/>
        </w:rPr>
        <w:t xml:space="preserve"> articulate</w:t>
      </w:r>
      <w:r w:rsidR="00DC70D1">
        <w:rPr>
          <w:lang w:val="en-AU"/>
        </w:rPr>
        <w:t xml:space="preserve"> </w:t>
      </w:r>
      <w:r w:rsidR="00B258B8" w:rsidRPr="00B258B8">
        <w:rPr>
          <w:lang w:val="en-AU"/>
        </w:rPr>
        <w:t>relevant areas where gender equality will be integrated and addressed</w:t>
      </w:r>
      <w:r w:rsidR="00DC70D1">
        <w:rPr>
          <w:lang w:val="en-AU"/>
        </w:rPr>
        <w:t>.</w:t>
      </w:r>
    </w:p>
    <w:p w14:paraId="67C490B6" w14:textId="687D5E5F" w:rsidR="008530B8" w:rsidRDefault="0028609E" w:rsidP="00303779">
      <w:pPr>
        <w:pStyle w:val="Heading3Numbered"/>
        <w:jc w:val="both"/>
        <w:rPr>
          <w:lang w:val="en-AU"/>
        </w:rPr>
      </w:pPr>
      <w:r>
        <w:rPr>
          <w:lang w:val="en-AU"/>
        </w:rPr>
        <w:t xml:space="preserve">Define the gender equality </w:t>
      </w:r>
      <w:r w:rsidR="00AB4ABE">
        <w:rPr>
          <w:lang w:val="en-AU"/>
        </w:rPr>
        <w:t>outcome</w:t>
      </w:r>
      <w:r>
        <w:rPr>
          <w:lang w:val="en-AU"/>
        </w:rPr>
        <w:t>s</w:t>
      </w:r>
      <w:r w:rsidR="00AB4ABE">
        <w:rPr>
          <w:lang w:val="en-AU"/>
        </w:rPr>
        <w:t xml:space="preserve"> and </w:t>
      </w:r>
      <w:r>
        <w:rPr>
          <w:lang w:val="en-AU"/>
        </w:rPr>
        <w:t xml:space="preserve">discuss </w:t>
      </w:r>
      <w:r w:rsidR="00AB4ABE">
        <w:rPr>
          <w:lang w:val="en-AU"/>
        </w:rPr>
        <w:t>investment options (what?)</w:t>
      </w:r>
    </w:p>
    <w:p w14:paraId="6D42DDAD" w14:textId="01B015EB" w:rsidR="00A1605B" w:rsidRDefault="00A1605B" w:rsidP="00303779">
      <w:pPr>
        <w:jc w:val="both"/>
      </w:pPr>
      <w:r>
        <w:t xml:space="preserve">DFAT development and humanitarian investments valued at $3 million are required to include a gender equality outcome (either End of Program Outcome or Intermediate Outcome). They must also </w:t>
      </w:r>
      <w:r>
        <w:rPr>
          <w:rFonts w:eastAsia="Times New Roman"/>
        </w:rPr>
        <w:t>meet the OECD DAC minimum criteria for gender equality to be classified as a Principal or Significant objective</w:t>
      </w:r>
      <w:r>
        <w:rPr>
          <w:rStyle w:val="FootnoteReference"/>
          <w:lang w:val="en-AU"/>
        </w:rPr>
        <w:footnoteReference w:id="2"/>
      </w:r>
      <w:r w:rsidR="00611356">
        <w:rPr>
          <w:rFonts w:eastAsia="Times New Roman"/>
        </w:rPr>
        <w:t>:</w:t>
      </w:r>
    </w:p>
    <w:p w14:paraId="393F21E5" w14:textId="77777777" w:rsidR="00A1605B" w:rsidRDefault="00A1605B" w:rsidP="00303779">
      <w:pPr>
        <w:pStyle w:val="ListParagraph"/>
        <w:numPr>
          <w:ilvl w:val="0"/>
          <w:numId w:val="56"/>
        </w:numPr>
        <w:suppressAutoHyphens w:val="0"/>
        <w:spacing w:after="120" w:line="240" w:lineRule="auto"/>
        <w:contextualSpacing w:val="0"/>
        <w:jc w:val="both"/>
        <w:rPr>
          <w:rFonts w:eastAsia="Times New Roman"/>
        </w:rPr>
      </w:pPr>
      <w:r>
        <w:rPr>
          <w:rFonts w:eastAsia="Times New Roman"/>
        </w:rPr>
        <w:t xml:space="preserve">A gender analysis was undertaken and used to </w:t>
      </w:r>
      <w:r w:rsidRPr="00904B56">
        <w:rPr>
          <w:rFonts w:eastAsia="Times New Roman"/>
        </w:rPr>
        <w:t>inform the design</w:t>
      </w:r>
      <w:r>
        <w:rPr>
          <w:rFonts w:eastAsia="Times New Roman"/>
        </w:rPr>
        <w:t>.</w:t>
      </w:r>
    </w:p>
    <w:p w14:paraId="46042555" w14:textId="77777777" w:rsidR="00A1605B" w:rsidRPr="00904B56" w:rsidRDefault="00A1605B" w:rsidP="00303779">
      <w:pPr>
        <w:pStyle w:val="ListParagraph"/>
        <w:numPr>
          <w:ilvl w:val="0"/>
          <w:numId w:val="56"/>
        </w:numPr>
        <w:suppressAutoHyphens w:val="0"/>
        <w:spacing w:after="120" w:line="240" w:lineRule="auto"/>
        <w:contextualSpacing w:val="0"/>
        <w:jc w:val="both"/>
        <w:rPr>
          <w:rFonts w:eastAsia="Times New Roman"/>
        </w:rPr>
      </w:pPr>
      <w:r>
        <w:rPr>
          <w:rFonts w:eastAsia="Times New Roman"/>
        </w:rPr>
        <w:t>T</w:t>
      </w:r>
      <w:r w:rsidRPr="00904B56">
        <w:rPr>
          <w:rFonts w:eastAsia="Times New Roman"/>
        </w:rPr>
        <w:t>he program takes a ‘do no harm’ approach.</w:t>
      </w:r>
    </w:p>
    <w:p w14:paraId="2819113C" w14:textId="1CA6D083" w:rsidR="00A1605B" w:rsidRDefault="00A1605B" w:rsidP="00303779">
      <w:pPr>
        <w:pStyle w:val="ListParagraph"/>
        <w:numPr>
          <w:ilvl w:val="0"/>
          <w:numId w:val="56"/>
        </w:numPr>
        <w:suppressAutoHyphens w:val="0"/>
        <w:spacing w:after="120" w:line="240" w:lineRule="auto"/>
        <w:contextualSpacing w:val="0"/>
        <w:jc w:val="both"/>
        <w:rPr>
          <w:rFonts w:eastAsia="Times New Roman"/>
        </w:rPr>
      </w:pPr>
      <w:r>
        <w:rPr>
          <w:rFonts w:eastAsia="Times New Roman"/>
        </w:rPr>
        <w:t xml:space="preserve">The M&amp;E Framework includes indicators that track gender outcomes. </w:t>
      </w:r>
    </w:p>
    <w:p w14:paraId="64B6FF17" w14:textId="77777777" w:rsidR="00A1605B" w:rsidRDefault="00A1605B" w:rsidP="00303779">
      <w:pPr>
        <w:pStyle w:val="ListParagraph"/>
        <w:numPr>
          <w:ilvl w:val="0"/>
          <w:numId w:val="56"/>
        </w:numPr>
        <w:suppressAutoHyphens w:val="0"/>
        <w:spacing w:after="120" w:line="240" w:lineRule="auto"/>
        <w:contextualSpacing w:val="0"/>
        <w:jc w:val="both"/>
        <w:rPr>
          <w:rFonts w:eastAsia="Times New Roman"/>
        </w:rPr>
      </w:pPr>
      <w:r>
        <w:rPr>
          <w:rFonts w:eastAsia="Times New Roman"/>
        </w:rPr>
        <w:t>Data and indicators are sex-disaggregated where applicable.</w:t>
      </w:r>
    </w:p>
    <w:p w14:paraId="5B64FC75" w14:textId="77777777" w:rsidR="00A1605B" w:rsidRDefault="00A1605B" w:rsidP="00303779">
      <w:pPr>
        <w:pStyle w:val="ListParagraph"/>
        <w:numPr>
          <w:ilvl w:val="0"/>
          <w:numId w:val="56"/>
        </w:numPr>
        <w:suppressAutoHyphens w:val="0"/>
        <w:spacing w:after="120" w:line="240" w:lineRule="auto"/>
        <w:contextualSpacing w:val="0"/>
        <w:jc w:val="both"/>
        <w:rPr>
          <w:rFonts w:eastAsia="Times New Roman"/>
        </w:rPr>
      </w:pPr>
      <w:r w:rsidRPr="00216698">
        <w:rPr>
          <w:rFonts w:eastAsia="Times New Roman"/>
        </w:rPr>
        <w:t>Gender equality results are monitored and reported.</w:t>
      </w:r>
    </w:p>
    <w:p w14:paraId="4C35EBF2" w14:textId="77777777" w:rsidR="00A1605B" w:rsidRPr="006947DD" w:rsidRDefault="00A1605B" w:rsidP="00303779">
      <w:pPr>
        <w:pStyle w:val="ListParagraph"/>
        <w:numPr>
          <w:ilvl w:val="0"/>
          <w:numId w:val="56"/>
        </w:numPr>
        <w:suppressAutoHyphens w:val="0"/>
        <w:spacing w:after="120" w:line="240" w:lineRule="auto"/>
        <w:contextualSpacing w:val="0"/>
        <w:jc w:val="both"/>
        <w:rPr>
          <w:rFonts w:eastAsia="Times New Roman"/>
        </w:rPr>
      </w:pPr>
      <w:r w:rsidRPr="006947DD">
        <w:rPr>
          <w:rFonts w:eastAsia="Times New Roman"/>
        </w:rPr>
        <w:t>Risks to gender equality are identified and managed.</w:t>
      </w:r>
    </w:p>
    <w:p w14:paraId="47EAE8FE" w14:textId="030097BB" w:rsidR="006947DD" w:rsidRPr="0028609E" w:rsidRDefault="006947DD" w:rsidP="00303779">
      <w:pPr>
        <w:jc w:val="both"/>
        <w:rPr>
          <w:lang w:val="en-AU"/>
        </w:rPr>
      </w:pPr>
      <w:r w:rsidRPr="0013694F">
        <w:rPr>
          <w:lang w:val="en-AU"/>
        </w:rPr>
        <w:t xml:space="preserve">The gender analysis should inform the </w:t>
      </w:r>
      <w:r>
        <w:rPr>
          <w:lang w:val="en-AU"/>
        </w:rPr>
        <w:t>development of the gender outcomes.</w:t>
      </w:r>
      <w:r w:rsidR="00A1605B">
        <w:rPr>
          <w:lang w:val="en-AU"/>
        </w:rPr>
        <w:t xml:space="preserve"> The design narrative must articulate a clear intent to actively work to advance gender equality</w:t>
      </w:r>
      <w:r w:rsidR="00611356">
        <w:rPr>
          <w:lang w:val="en-AU"/>
        </w:rPr>
        <w:t xml:space="preserve"> in line with the outcomes,</w:t>
      </w:r>
      <w:r w:rsidR="00A1605B">
        <w:rPr>
          <w:lang w:val="en-AU"/>
        </w:rPr>
        <w:t xml:space="preserve"> and articulate </w:t>
      </w:r>
      <w:r w:rsidR="00A1605B" w:rsidRPr="0013694F">
        <w:rPr>
          <w:lang w:val="en-AU"/>
        </w:rPr>
        <w:t>what success looks like for women</w:t>
      </w:r>
      <w:r w:rsidR="00A1605B">
        <w:rPr>
          <w:lang w:val="en-AU"/>
        </w:rPr>
        <w:t xml:space="preserve">, </w:t>
      </w:r>
      <w:r w:rsidR="00A1605B">
        <w:t>women with disabilities, or people with diverse sexual orientation and gender identity</w:t>
      </w:r>
      <w:r w:rsidR="00A1605B" w:rsidRPr="0013694F">
        <w:rPr>
          <w:lang w:val="en-AU"/>
        </w:rPr>
        <w:t>.</w:t>
      </w:r>
    </w:p>
    <w:p w14:paraId="658A1179" w14:textId="75F9B77A" w:rsidR="006947DD" w:rsidRPr="006947DD" w:rsidRDefault="006947DD" w:rsidP="00303779">
      <w:pPr>
        <w:jc w:val="both"/>
        <w:rPr>
          <w:rFonts w:eastAsia="Times New Roman"/>
          <w:b/>
          <w:bCs/>
        </w:rPr>
      </w:pPr>
      <w:r w:rsidRPr="006947DD">
        <w:rPr>
          <w:rFonts w:eastAsia="Times New Roman"/>
          <w:b/>
          <w:bCs/>
        </w:rPr>
        <w:t xml:space="preserve">Table 1: </w:t>
      </w:r>
      <w:r>
        <w:rPr>
          <w:rFonts w:eastAsia="Times New Roman"/>
          <w:b/>
          <w:bCs/>
        </w:rPr>
        <w:t>Examples of Effective Gender Equality Outcome</w:t>
      </w:r>
      <w:r w:rsidR="00A1605B">
        <w:rPr>
          <w:rFonts w:eastAsia="Times New Roman"/>
          <w:b/>
          <w:bCs/>
        </w:rPr>
        <w:t>s</w:t>
      </w:r>
      <w:r>
        <w:rPr>
          <w:rFonts w:eastAsia="Times New Roman"/>
          <w:b/>
          <w:bCs/>
        </w:rPr>
        <w:t xml:space="preserve"> </w:t>
      </w:r>
    </w:p>
    <w:p w14:paraId="41BE5E2D" w14:textId="48C98F9D" w:rsidR="0028609E" w:rsidRDefault="0028609E" w:rsidP="00303779">
      <w:pPr>
        <w:jc w:val="both"/>
        <w:rPr>
          <w:rFonts w:eastAsia="Times New Roman"/>
        </w:rPr>
      </w:pPr>
      <w:r>
        <w:rPr>
          <w:rFonts w:eastAsia="Times New Roman"/>
        </w:rPr>
        <w:t>The following examples</w:t>
      </w:r>
      <w:r w:rsidR="00A1605B">
        <w:rPr>
          <w:rFonts w:eastAsia="Times New Roman"/>
        </w:rPr>
        <w:t xml:space="preserve"> demonstrate characteristics of gender equality outcomes</w:t>
      </w:r>
      <w:r>
        <w:rPr>
          <w:rFonts w:eastAsia="Times New Roman"/>
        </w:rPr>
        <w:t>:</w:t>
      </w:r>
    </w:p>
    <w:tbl>
      <w:tblPr>
        <w:tblStyle w:val="TableGrid"/>
        <w:tblW w:w="0" w:type="auto"/>
        <w:tblLook w:val="04A0" w:firstRow="1" w:lastRow="0" w:firstColumn="1" w:lastColumn="0" w:noHBand="0" w:noVBand="1"/>
      </w:tblPr>
      <w:tblGrid>
        <w:gridCol w:w="5240"/>
        <w:gridCol w:w="4388"/>
      </w:tblGrid>
      <w:tr w:rsidR="006947DD" w14:paraId="2C3E48E6" w14:textId="77777777" w:rsidTr="008C695D">
        <w:tc>
          <w:tcPr>
            <w:tcW w:w="5240" w:type="dxa"/>
          </w:tcPr>
          <w:p w14:paraId="5B6C043B" w14:textId="2AFF065F" w:rsidR="006947DD" w:rsidRPr="006947DD" w:rsidRDefault="006947DD" w:rsidP="00611356">
            <w:pPr>
              <w:rPr>
                <w:rFonts w:eastAsia="Times New Roman"/>
                <w:b/>
                <w:bCs/>
              </w:rPr>
            </w:pPr>
            <w:r w:rsidRPr="006947DD">
              <w:rPr>
                <w:rFonts w:eastAsia="Times New Roman"/>
                <w:b/>
                <w:bCs/>
              </w:rPr>
              <w:t xml:space="preserve">Gender </w:t>
            </w:r>
            <w:r w:rsidR="008C695D">
              <w:rPr>
                <w:rFonts w:eastAsia="Times New Roman"/>
                <w:b/>
                <w:bCs/>
              </w:rPr>
              <w:t>e</w:t>
            </w:r>
            <w:r w:rsidRPr="006947DD">
              <w:rPr>
                <w:rFonts w:eastAsia="Times New Roman"/>
                <w:b/>
                <w:bCs/>
              </w:rPr>
              <w:t xml:space="preserve">quality </w:t>
            </w:r>
            <w:r w:rsidR="008C695D">
              <w:rPr>
                <w:rFonts w:eastAsia="Times New Roman"/>
                <w:b/>
                <w:bCs/>
              </w:rPr>
              <w:t>o</w:t>
            </w:r>
            <w:r w:rsidRPr="006947DD">
              <w:rPr>
                <w:rFonts w:eastAsia="Times New Roman"/>
                <w:b/>
                <w:bCs/>
              </w:rPr>
              <w:t>utcome</w:t>
            </w:r>
            <w:r>
              <w:rPr>
                <w:rFonts w:eastAsia="Times New Roman"/>
                <w:b/>
                <w:bCs/>
              </w:rPr>
              <w:t xml:space="preserve"> </w:t>
            </w:r>
            <w:r w:rsidR="008C695D">
              <w:rPr>
                <w:rFonts w:eastAsia="Times New Roman"/>
                <w:b/>
                <w:bCs/>
              </w:rPr>
              <w:t>e</w:t>
            </w:r>
            <w:r>
              <w:rPr>
                <w:rFonts w:eastAsia="Times New Roman"/>
                <w:b/>
                <w:bCs/>
              </w:rPr>
              <w:t>xamples</w:t>
            </w:r>
          </w:p>
        </w:tc>
        <w:tc>
          <w:tcPr>
            <w:tcW w:w="4388" w:type="dxa"/>
          </w:tcPr>
          <w:p w14:paraId="59EB202D" w14:textId="5CF86428" w:rsidR="006947DD" w:rsidRPr="006947DD" w:rsidRDefault="008C695D" w:rsidP="00611356">
            <w:pPr>
              <w:rPr>
                <w:rFonts w:eastAsia="Times New Roman"/>
                <w:b/>
                <w:bCs/>
              </w:rPr>
            </w:pPr>
            <w:r>
              <w:rPr>
                <w:rFonts w:eastAsia="Times New Roman"/>
                <w:b/>
                <w:bCs/>
              </w:rPr>
              <w:t>Rationale</w:t>
            </w:r>
          </w:p>
        </w:tc>
      </w:tr>
      <w:tr w:rsidR="006947DD" w14:paraId="3E53B1C1" w14:textId="77777777" w:rsidTr="008C695D">
        <w:tc>
          <w:tcPr>
            <w:tcW w:w="5240" w:type="dxa"/>
          </w:tcPr>
          <w:p w14:paraId="550F614F" w14:textId="626F0E29" w:rsidR="006947DD" w:rsidRDefault="006947DD" w:rsidP="00611356">
            <w:pPr>
              <w:pStyle w:val="ListParagraph"/>
              <w:numPr>
                <w:ilvl w:val="0"/>
                <w:numId w:val="57"/>
              </w:numPr>
              <w:rPr>
                <w:rFonts w:eastAsia="Times New Roman"/>
              </w:rPr>
            </w:pPr>
            <w:r w:rsidRPr="006947DD">
              <w:rPr>
                <w:rFonts w:eastAsia="Times New Roman"/>
              </w:rPr>
              <w:t>Increased number of women have dignified work</w:t>
            </w:r>
          </w:p>
          <w:p w14:paraId="597F2D62" w14:textId="7EFCF76B" w:rsidR="006947DD" w:rsidRDefault="006947DD" w:rsidP="00611356">
            <w:pPr>
              <w:pStyle w:val="ListParagraph"/>
              <w:numPr>
                <w:ilvl w:val="0"/>
                <w:numId w:val="57"/>
              </w:numPr>
              <w:rPr>
                <w:rFonts w:eastAsia="Times New Roman"/>
              </w:rPr>
            </w:pPr>
            <w:r w:rsidRPr="006947DD">
              <w:rPr>
                <w:rFonts w:eastAsia="Times New Roman"/>
              </w:rPr>
              <w:t>Increased access to support services for survivors of gender-based violence</w:t>
            </w:r>
          </w:p>
          <w:p w14:paraId="1B7A91BC" w14:textId="77777777" w:rsidR="006947DD" w:rsidRDefault="006947DD" w:rsidP="00611356">
            <w:pPr>
              <w:pStyle w:val="ListParagraph"/>
              <w:numPr>
                <w:ilvl w:val="0"/>
                <w:numId w:val="57"/>
              </w:numPr>
              <w:rPr>
                <w:rFonts w:eastAsia="Times New Roman"/>
              </w:rPr>
            </w:pPr>
            <w:r>
              <w:rPr>
                <w:rFonts w:eastAsia="Times New Roman"/>
              </w:rPr>
              <w:t>C</w:t>
            </w:r>
            <w:r w:rsidRPr="006947DD">
              <w:rPr>
                <w:rFonts w:eastAsia="Times New Roman"/>
              </w:rPr>
              <w:t xml:space="preserve">hurch decision-makers actively </w:t>
            </w:r>
            <w:r>
              <w:rPr>
                <w:rFonts w:eastAsia="Times New Roman"/>
              </w:rPr>
              <w:t xml:space="preserve">implement policies and programs that </w:t>
            </w:r>
            <w:r w:rsidRPr="006947DD">
              <w:rPr>
                <w:rFonts w:eastAsia="Times New Roman"/>
              </w:rPr>
              <w:t xml:space="preserve">promote gender equality, </w:t>
            </w:r>
            <w:proofErr w:type="gramStart"/>
            <w:r w:rsidRPr="006947DD">
              <w:rPr>
                <w:rFonts w:eastAsia="Times New Roman"/>
              </w:rPr>
              <w:t>disability</w:t>
            </w:r>
            <w:proofErr w:type="gramEnd"/>
            <w:r w:rsidRPr="006947DD">
              <w:rPr>
                <w:rFonts w:eastAsia="Times New Roman"/>
              </w:rPr>
              <w:t xml:space="preserve"> and social inclusion </w:t>
            </w:r>
          </w:p>
          <w:p w14:paraId="2F096D24" w14:textId="10F30B02" w:rsidR="006947DD" w:rsidRDefault="006947DD" w:rsidP="00611356">
            <w:pPr>
              <w:pStyle w:val="ListParagraph"/>
              <w:numPr>
                <w:ilvl w:val="0"/>
                <w:numId w:val="57"/>
              </w:numPr>
              <w:rPr>
                <w:rFonts w:eastAsia="Times New Roman"/>
              </w:rPr>
            </w:pPr>
            <w:r w:rsidRPr="006947DD">
              <w:rPr>
                <w:rFonts w:eastAsia="Times New Roman"/>
              </w:rPr>
              <w:t xml:space="preserve">Targeted men </w:t>
            </w:r>
            <w:r>
              <w:rPr>
                <w:rFonts w:eastAsia="Times New Roman"/>
              </w:rPr>
              <w:t xml:space="preserve">in the public service </w:t>
            </w:r>
            <w:r w:rsidRPr="006947DD">
              <w:rPr>
                <w:rFonts w:eastAsia="Times New Roman"/>
              </w:rPr>
              <w:t xml:space="preserve">demonstrate gender equitable </w:t>
            </w:r>
            <w:r>
              <w:rPr>
                <w:rFonts w:eastAsia="Times New Roman"/>
              </w:rPr>
              <w:t>leadership</w:t>
            </w:r>
          </w:p>
          <w:p w14:paraId="6C7F5E44" w14:textId="668828E7" w:rsidR="006947DD" w:rsidRPr="006947DD" w:rsidRDefault="006947DD" w:rsidP="00611356">
            <w:pPr>
              <w:pStyle w:val="ListParagraph"/>
              <w:numPr>
                <w:ilvl w:val="0"/>
                <w:numId w:val="57"/>
              </w:numPr>
              <w:rPr>
                <w:rFonts w:eastAsia="Times New Roman"/>
              </w:rPr>
            </w:pPr>
            <w:r w:rsidRPr="006947DD">
              <w:rPr>
                <w:rFonts w:eastAsia="Times New Roman"/>
              </w:rPr>
              <w:t xml:space="preserve">Relevant government decision-makers make policy decisions that </w:t>
            </w:r>
            <w:r>
              <w:rPr>
                <w:rFonts w:eastAsia="Times New Roman"/>
              </w:rPr>
              <w:t xml:space="preserve">explicitly </w:t>
            </w:r>
            <w:r w:rsidRPr="006947DD">
              <w:rPr>
                <w:rFonts w:eastAsia="Times New Roman"/>
              </w:rPr>
              <w:t>promote the rights of people with diverse sexual orientation and gender identit</w:t>
            </w:r>
            <w:r>
              <w:rPr>
                <w:rFonts w:eastAsia="Times New Roman"/>
              </w:rPr>
              <w:t>y</w:t>
            </w:r>
          </w:p>
        </w:tc>
        <w:tc>
          <w:tcPr>
            <w:tcW w:w="4388" w:type="dxa"/>
          </w:tcPr>
          <w:p w14:paraId="2A838170" w14:textId="74E28FC2" w:rsidR="006947DD" w:rsidRPr="006947DD" w:rsidRDefault="006947DD" w:rsidP="00611356">
            <w:pPr>
              <w:pStyle w:val="ListParagraph"/>
              <w:numPr>
                <w:ilvl w:val="0"/>
                <w:numId w:val="57"/>
              </w:numPr>
              <w:rPr>
                <w:rFonts w:eastAsia="Times New Roman"/>
              </w:rPr>
            </w:pPr>
            <w:r>
              <w:rPr>
                <w:rFonts w:eastAsia="Times New Roman"/>
              </w:rPr>
              <w:t>Actively works to advance gender equality by specifically p</w:t>
            </w:r>
            <w:r w:rsidRPr="006947DD">
              <w:rPr>
                <w:rFonts w:eastAsia="Times New Roman"/>
              </w:rPr>
              <w:t>romot</w:t>
            </w:r>
            <w:r>
              <w:rPr>
                <w:rFonts w:eastAsia="Times New Roman"/>
              </w:rPr>
              <w:t>ing</w:t>
            </w:r>
            <w:r w:rsidRPr="006947DD">
              <w:rPr>
                <w:rFonts w:eastAsia="Times New Roman"/>
              </w:rPr>
              <w:t xml:space="preserve"> women’s access to resources</w:t>
            </w:r>
            <w:r>
              <w:rPr>
                <w:rFonts w:eastAsia="Times New Roman"/>
              </w:rPr>
              <w:t xml:space="preserve">, </w:t>
            </w:r>
            <w:proofErr w:type="gramStart"/>
            <w:r>
              <w:rPr>
                <w:rFonts w:eastAsia="Times New Roman"/>
              </w:rPr>
              <w:t>services</w:t>
            </w:r>
            <w:proofErr w:type="gramEnd"/>
            <w:r w:rsidRPr="006947DD">
              <w:rPr>
                <w:rFonts w:eastAsia="Times New Roman"/>
              </w:rPr>
              <w:t xml:space="preserve"> and opportunities</w:t>
            </w:r>
            <w:r>
              <w:rPr>
                <w:rFonts w:eastAsia="Times New Roman"/>
              </w:rPr>
              <w:t xml:space="preserve"> </w:t>
            </w:r>
          </w:p>
          <w:p w14:paraId="72E41221" w14:textId="67BB6F53" w:rsidR="008C695D" w:rsidRDefault="006947DD" w:rsidP="00611356">
            <w:pPr>
              <w:pStyle w:val="ListParagraph"/>
              <w:numPr>
                <w:ilvl w:val="0"/>
                <w:numId w:val="57"/>
              </w:numPr>
              <w:rPr>
                <w:rFonts w:eastAsia="Times New Roman"/>
              </w:rPr>
            </w:pPr>
            <w:r>
              <w:rPr>
                <w:rFonts w:eastAsia="Times New Roman"/>
              </w:rPr>
              <w:t>C</w:t>
            </w:r>
            <w:r w:rsidRPr="006947DD">
              <w:rPr>
                <w:rFonts w:eastAsia="Times New Roman"/>
              </w:rPr>
              <w:t>ontribute</w:t>
            </w:r>
            <w:r>
              <w:rPr>
                <w:rFonts w:eastAsia="Times New Roman"/>
              </w:rPr>
              <w:t>s</w:t>
            </w:r>
            <w:r w:rsidRPr="006947DD">
              <w:rPr>
                <w:rFonts w:eastAsia="Times New Roman"/>
              </w:rPr>
              <w:t xml:space="preserve"> to changing relations between women and men</w:t>
            </w:r>
            <w:r w:rsidR="00611356">
              <w:rPr>
                <w:rFonts w:eastAsia="Times New Roman"/>
              </w:rPr>
              <w:t>, and people of diverse sexual orientation and gender identity</w:t>
            </w:r>
          </w:p>
          <w:p w14:paraId="41E551DC" w14:textId="6E6FC05B" w:rsidR="006947DD" w:rsidRPr="006947DD" w:rsidRDefault="008C695D" w:rsidP="00611356">
            <w:pPr>
              <w:pStyle w:val="ListParagraph"/>
              <w:numPr>
                <w:ilvl w:val="0"/>
                <w:numId w:val="57"/>
              </w:numPr>
              <w:rPr>
                <w:rFonts w:eastAsia="Times New Roman"/>
              </w:rPr>
            </w:pPr>
            <w:r>
              <w:rPr>
                <w:rFonts w:eastAsia="Times New Roman"/>
              </w:rPr>
              <w:t>Contributes to shifting harmful</w:t>
            </w:r>
            <w:r w:rsidR="006947DD" w:rsidRPr="006947DD">
              <w:rPr>
                <w:rFonts w:eastAsia="Times New Roman"/>
              </w:rPr>
              <w:t xml:space="preserve"> norms around gender roles (gender relations) </w:t>
            </w:r>
          </w:p>
          <w:p w14:paraId="5E119133" w14:textId="0C731944" w:rsidR="006947DD" w:rsidRDefault="006947DD" w:rsidP="00611356">
            <w:pPr>
              <w:pStyle w:val="ListParagraph"/>
              <w:numPr>
                <w:ilvl w:val="0"/>
                <w:numId w:val="57"/>
              </w:numPr>
              <w:rPr>
                <w:rFonts w:eastAsia="Times New Roman"/>
              </w:rPr>
            </w:pPr>
            <w:r>
              <w:rPr>
                <w:rFonts w:eastAsia="Times New Roman"/>
              </w:rPr>
              <w:t>Specific about who and what is being targeted, realistic and m</w:t>
            </w:r>
            <w:r w:rsidRPr="006947DD">
              <w:rPr>
                <w:rFonts w:eastAsia="Times New Roman"/>
              </w:rPr>
              <w:t xml:space="preserve">easurable </w:t>
            </w:r>
          </w:p>
          <w:p w14:paraId="6D50582D" w14:textId="78CEC335" w:rsidR="006947DD" w:rsidRPr="006947DD" w:rsidRDefault="006947DD" w:rsidP="00611356">
            <w:pPr>
              <w:pStyle w:val="ListParagraph"/>
              <w:numPr>
                <w:ilvl w:val="0"/>
                <w:numId w:val="57"/>
              </w:numPr>
              <w:rPr>
                <w:rFonts w:eastAsia="Times New Roman"/>
              </w:rPr>
            </w:pPr>
            <w:r>
              <w:rPr>
                <w:rFonts w:eastAsia="Times New Roman"/>
              </w:rPr>
              <w:t>P</w:t>
            </w:r>
            <w:r w:rsidRPr="006947DD">
              <w:rPr>
                <w:rFonts w:eastAsia="Times New Roman"/>
              </w:rPr>
              <w:t>rovide</w:t>
            </w:r>
            <w:r>
              <w:rPr>
                <w:rFonts w:eastAsia="Times New Roman"/>
              </w:rPr>
              <w:t>s</w:t>
            </w:r>
            <w:r w:rsidRPr="006947DD">
              <w:rPr>
                <w:rFonts w:eastAsia="Times New Roman"/>
              </w:rPr>
              <w:t xml:space="preserve"> adequate guidance about what is expected in implementation</w:t>
            </w:r>
          </w:p>
        </w:tc>
      </w:tr>
    </w:tbl>
    <w:p w14:paraId="19488C33" w14:textId="2BF041FF" w:rsidR="006947DD" w:rsidRDefault="006947DD" w:rsidP="0028609E">
      <w:pPr>
        <w:jc w:val="both"/>
        <w:rPr>
          <w:rFonts w:eastAsia="Times New Roman"/>
        </w:rPr>
      </w:pPr>
    </w:p>
    <w:p w14:paraId="3B20A10A" w14:textId="1CAAA8E9" w:rsidR="006947DD" w:rsidRPr="006947DD" w:rsidRDefault="006947DD" w:rsidP="0028609E">
      <w:pPr>
        <w:jc w:val="both"/>
        <w:rPr>
          <w:rFonts w:eastAsia="Times New Roman"/>
          <w:b/>
          <w:bCs/>
        </w:rPr>
      </w:pPr>
      <w:r w:rsidRPr="006947DD">
        <w:rPr>
          <w:rFonts w:eastAsia="Times New Roman"/>
          <w:b/>
          <w:bCs/>
        </w:rPr>
        <w:t>Table 2:</w:t>
      </w:r>
      <w:r>
        <w:rPr>
          <w:rFonts w:eastAsia="Times New Roman"/>
          <w:b/>
          <w:bCs/>
        </w:rPr>
        <w:t xml:space="preserve"> Examples of Insufficient Gender Outcomes </w:t>
      </w:r>
    </w:p>
    <w:p w14:paraId="224301A3" w14:textId="05595BD6" w:rsidR="006947DD" w:rsidRDefault="006947DD" w:rsidP="0028609E">
      <w:pPr>
        <w:jc w:val="both"/>
        <w:rPr>
          <w:rFonts w:eastAsia="Times New Roman"/>
        </w:rPr>
      </w:pPr>
      <w:r>
        <w:rPr>
          <w:rFonts w:eastAsia="Times New Roman"/>
        </w:rPr>
        <w:t xml:space="preserve">The following </w:t>
      </w:r>
      <w:r w:rsidR="008C695D">
        <w:rPr>
          <w:rFonts w:eastAsia="Times New Roman"/>
        </w:rPr>
        <w:t>outcome</w:t>
      </w:r>
      <w:r>
        <w:rPr>
          <w:rFonts w:eastAsia="Times New Roman"/>
        </w:rPr>
        <w:t xml:space="preserve"> examples </w:t>
      </w:r>
      <w:r w:rsidR="008C695D">
        <w:rPr>
          <w:rFonts w:eastAsia="Times New Roman"/>
        </w:rPr>
        <w:t xml:space="preserve">refer to gender, but are not gender </w:t>
      </w:r>
      <w:r w:rsidR="008C695D" w:rsidRPr="008C695D">
        <w:rPr>
          <w:rFonts w:eastAsia="Times New Roman"/>
          <w:i/>
          <w:iCs/>
        </w:rPr>
        <w:t>equality</w:t>
      </w:r>
      <w:r w:rsidR="008C695D">
        <w:rPr>
          <w:rFonts w:eastAsia="Times New Roman"/>
        </w:rPr>
        <w:t xml:space="preserve"> outcomes:</w:t>
      </w:r>
    </w:p>
    <w:tbl>
      <w:tblPr>
        <w:tblStyle w:val="TableGrid"/>
        <w:tblW w:w="0" w:type="auto"/>
        <w:tblLook w:val="04A0" w:firstRow="1" w:lastRow="0" w:firstColumn="1" w:lastColumn="0" w:noHBand="0" w:noVBand="1"/>
      </w:tblPr>
      <w:tblGrid>
        <w:gridCol w:w="5240"/>
        <w:gridCol w:w="4388"/>
      </w:tblGrid>
      <w:tr w:rsidR="006947DD" w14:paraId="2F28BA2B" w14:textId="77777777" w:rsidTr="008C695D">
        <w:tc>
          <w:tcPr>
            <w:tcW w:w="5240" w:type="dxa"/>
          </w:tcPr>
          <w:p w14:paraId="3F2388E2" w14:textId="7F0B53AF" w:rsidR="006947DD" w:rsidRPr="006947DD" w:rsidRDefault="006947DD" w:rsidP="00611356">
            <w:pPr>
              <w:rPr>
                <w:rFonts w:eastAsia="Times New Roman"/>
                <w:b/>
                <w:bCs/>
              </w:rPr>
            </w:pPr>
            <w:r w:rsidRPr="006947DD">
              <w:rPr>
                <w:rFonts w:eastAsia="Times New Roman"/>
                <w:b/>
                <w:bCs/>
              </w:rPr>
              <w:t>Outcome</w:t>
            </w:r>
            <w:r w:rsidR="008C695D">
              <w:rPr>
                <w:rFonts w:eastAsia="Times New Roman"/>
                <w:b/>
                <w:bCs/>
              </w:rPr>
              <w:t xml:space="preserve"> examples not advancing gender equality</w:t>
            </w:r>
          </w:p>
        </w:tc>
        <w:tc>
          <w:tcPr>
            <w:tcW w:w="4388" w:type="dxa"/>
          </w:tcPr>
          <w:p w14:paraId="51471620" w14:textId="6D88E8F2" w:rsidR="006947DD" w:rsidRPr="006947DD" w:rsidRDefault="008C695D" w:rsidP="00611356">
            <w:pPr>
              <w:rPr>
                <w:rFonts w:eastAsia="Times New Roman"/>
                <w:b/>
                <w:bCs/>
              </w:rPr>
            </w:pPr>
            <w:r>
              <w:rPr>
                <w:rFonts w:eastAsia="Times New Roman"/>
                <w:b/>
                <w:bCs/>
              </w:rPr>
              <w:t>Rationale</w:t>
            </w:r>
          </w:p>
        </w:tc>
      </w:tr>
      <w:tr w:rsidR="006947DD" w14:paraId="3815525D" w14:textId="77777777" w:rsidTr="008C695D">
        <w:tc>
          <w:tcPr>
            <w:tcW w:w="5240" w:type="dxa"/>
          </w:tcPr>
          <w:p w14:paraId="795CD4D4" w14:textId="3ACB1293" w:rsidR="006947DD" w:rsidRDefault="006947DD" w:rsidP="00611356">
            <w:pPr>
              <w:pStyle w:val="ListParagraph"/>
              <w:numPr>
                <w:ilvl w:val="0"/>
                <w:numId w:val="57"/>
              </w:numPr>
              <w:rPr>
                <w:rFonts w:eastAsia="Times New Roman"/>
              </w:rPr>
            </w:pPr>
            <w:r w:rsidRPr="006947DD">
              <w:rPr>
                <w:rFonts w:eastAsia="Times New Roman"/>
              </w:rPr>
              <w:t xml:space="preserve">Partners more effectively </w:t>
            </w:r>
            <w:r>
              <w:rPr>
                <w:rFonts w:eastAsia="Times New Roman"/>
              </w:rPr>
              <w:t>mainstream</w:t>
            </w:r>
            <w:r w:rsidRPr="006947DD">
              <w:rPr>
                <w:rFonts w:eastAsia="Times New Roman"/>
              </w:rPr>
              <w:t xml:space="preserve"> cross-cutting issues including GEDSI </w:t>
            </w:r>
          </w:p>
          <w:p w14:paraId="7F99E2F8" w14:textId="77777777" w:rsidR="006947DD" w:rsidRDefault="006947DD" w:rsidP="00611356">
            <w:pPr>
              <w:pStyle w:val="ListParagraph"/>
              <w:numPr>
                <w:ilvl w:val="0"/>
                <w:numId w:val="57"/>
              </w:numPr>
              <w:rPr>
                <w:rFonts w:eastAsia="Times New Roman"/>
              </w:rPr>
            </w:pPr>
            <w:r w:rsidRPr="006947DD">
              <w:rPr>
                <w:rFonts w:eastAsia="Times New Roman"/>
              </w:rPr>
              <w:t xml:space="preserve">Diverse groups have the skills and knowledge to contribute to development that is aligned to our shared goals </w:t>
            </w:r>
          </w:p>
          <w:p w14:paraId="3E3E1D28" w14:textId="2E64B697" w:rsidR="006947DD" w:rsidRDefault="006947DD" w:rsidP="00611356">
            <w:pPr>
              <w:pStyle w:val="ListParagraph"/>
              <w:numPr>
                <w:ilvl w:val="0"/>
                <w:numId w:val="57"/>
              </w:numPr>
              <w:rPr>
                <w:rFonts w:eastAsia="Times New Roman"/>
              </w:rPr>
            </w:pPr>
            <w:r w:rsidRPr="006947DD">
              <w:rPr>
                <w:rFonts w:eastAsia="Times New Roman"/>
              </w:rPr>
              <w:t>Farming women, men and youth have more resilient agriculture-based livelihoods</w:t>
            </w:r>
          </w:p>
          <w:p w14:paraId="79B1CD65" w14:textId="68BD9BEB" w:rsidR="006947DD" w:rsidRPr="006947DD" w:rsidRDefault="006947DD" w:rsidP="00611356">
            <w:pPr>
              <w:pStyle w:val="ListParagraph"/>
              <w:numPr>
                <w:ilvl w:val="0"/>
                <w:numId w:val="57"/>
              </w:numPr>
              <w:rPr>
                <w:rFonts w:eastAsia="Times New Roman"/>
              </w:rPr>
            </w:pPr>
            <w:r>
              <w:t>A business enabling environment that is conducive to inclusive growth</w:t>
            </w:r>
          </w:p>
          <w:p w14:paraId="43D86073" w14:textId="77777777" w:rsidR="006947DD" w:rsidRPr="006947DD" w:rsidRDefault="006947DD" w:rsidP="00611356">
            <w:pPr>
              <w:pStyle w:val="ListParagraph"/>
              <w:numPr>
                <w:ilvl w:val="0"/>
                <w:numId w:val="57"/>
              </w:numPr>
              <w:rPr>
                <w:rFonts w:eastAsia="Times New Roman"/>
              </w:rPr>
            </w:pPr>
            <w:r>
              <w:t>Increased economic participation and opportunities for marginalised groups, and rural populations.</w:t>
            </w:r>
          </w:p>
          <w:p w14:paraId="487AD6B7" w14:textId="4D7B1ADE" w:rsidR="006947DD" w:rsidRPr="006947DD" w:rsidRDefault="006947DD" w:rsidP="00611356">
            <w:pPr>
              <w:pStyle w:val="ListParagraph"/>
              <w:numPr>
                <w:ilvl w:val="0"/>
                <w:numId w:val="57"/>
              </w:numPr>
              <w:rPr>
                <w:rFonts w:eastAsia="Times New Roman"/>
              </w:rPr>
            </w:pPr>
            <w:r>
              <w:t>More inclusive governance systems and processes that benefit women, youth</w:t>
            </w:r>
            <w:r w:rsidR="00303779">
              <w:t>,</w:t>
            </w:r>
            <w:r>
              <w:t xml:space="preserve"> and other marginalised groups</w:t>
            </w:r>
          </w:p>
        </w:tc>
        <w:tc>
          <w:tcPr>
            <w:tcW w:w="4388" w:type="dxa"/>
          </w:tcPr>
          <w:p w14:paraId="4B1981FB" w14:textId="3E7C8C4B" w:rsidR="008C695D" w:rsidRDefault="006947DD" w:rsidP="00611356">
            <w:pPr>
              <w:pStyle w:val="ListParagraph"/>
              <w:numPr>
                <w:ilvl w:val="0"/>
                <w:numId w:val="57"/>
              </w:numPr>
              <w:rPr>
                <w:rFonts w:eastAsia="Times New Roman"/>
              </w:rPr>
            </w:pPr>
            <w:r w:rsidRPr="006947DD">
              <w:rPr>
                <w:rFonts w:eastAsia="Times New Roman"/>
              </w:rPr>
              <w:t>Mainstreaming is</w:t>
            </w:r>
            <w:r w:rsidR="00303779">
              <w:rPr>
                <w:rFonts w:eastAsia="Times New Roman"/>
              </w:rPr>
              <w:t xml:space="preserve"> a process, </w:t>
            </w:r>
            <w:r w:rsidRPr="006947DD">
              <w:rPr>
                <w:rFonts w:eastAsia="Times New Roman"/>
              </w:rPr>
              <w:t>not a</w:t>
            </w:r>
            <w:r w:rsidR="008C695D">
              <w:rPr>
                <w:rFonts w:eastAsia="Times New Roman"/>
              </w:rPr>
              <w:t>n</w:t>
            </w:r>
            <w:r w:rsidRPr="006947DD">
              <w:rPr>
                <w:rFonts w:eastAsia="Times New Roman"/>
              </w:rPr>
              <w:t xml:space="preserve"> outcome</w:t>
            </w:r>
          </w:p>
          <w:p w14:paraId="301C2076" w14:textId="4B1EFEC6" w:rsidR="006947DD" w:rsidRPr="006947DD" w:rsidRDefault="008C695D" w:rsidP="00611356">
            <w:pPr>
              <w:pStyle w:val="ListParagraph"/>
              <w:numPr>
                <w:ilvl w:val="0"/>
                <w:numId w:val="57"/>
              </w:numPr>
              <w:rPr>
                <w:rFonts w:eastAsia="Times New Roman"/>
              </w:rPr>
            </w:pPr>
            <w:r>
              <w:rPr>
                <w:rFonts w:eastAsia="Times New Roman"/>
              </w:rPr>
              <w:t>D</w:t>
            </w:r>
            <w:r w:rsidR="006947DD" w:rsidRPr="006947DD">
              <w:rPr>
                <w:rFonts w:eastAsia="Times New Roman"/>
              </w:rPr>
              <w:t xml:space="preserve">oes not </w:t>
            </w:r>
            <w:r>
              <w:rPr>
                <w:rFonts w:eastAsia="Times New Roman"/>
              </w:rPr>
              <w:t xml:space="preserve">describe desired changes in terms of </w:t>
            </w:r>
            <w:r w:rsidR="006947DD" w:rsidRPr="006947DD">
              <w:rPr>
                <w:rFonts w:eastAsia="Times New Roman"/>
              </w:rPr>
              <w:t>gender relations</w:t>
            </w:r>
          </w:p>
          <w:p w14:paraId="1D678113" w14:textId="7F20D07C" w:rsidR="008F110B" w:rsidRDefault="006947DD" w:rsidP="00611356">
            <w:pPr>
              <w:pStyle w:val="ListParagraph"/>
              <w:numPr>
                <w:ilvl w:val="0"/>
                <w:numId w:val="57"/>
              </w:numPr>
              <w:rPr>
                <w:rFonts w:eastAsia="Times New Roman"/>
              </w:rPr>
            </w:pPr>
            <w:r w:rsidRPr="006947DD">
              <w:rPr>
                <w:rFonts w:eastAsia="Times New Roman"/>
              </w:rPr>
              <w:t xml:space="preserve">Not specific </w:t>
            </w:r>
            <w:r>
              <w:rPr>
                <w:rFonts w:eastAsia="Times New Roman"/>
              </w:rPr>
              <w:t>about who or what is targeted</w:t>
            </w:r>
          </w:p>
          <w:p w14:paraId="3651C09D" w14:textId="3461E555" w:rsidR="006947DD" w:rsidRPr="006947DD" w:rsidRDefault="006947DD" w:rsidP="00611356">
            <w:pPr>
              <w:pStyle w:val="ListParagraph"/>
              <w:numPr>
                <w:ilvl w:val="0"/>
                <w:numId w:val="57"/>
              </w:numPr>
              <w:rPr>
                <w:lang w:val="en-AU"/>
              </w:rPr>
            </w:pPr>
            <w:r w:rsidRPr="006947DD">
              <w:rPr>
                <w:rFonts w:eastAsia="Times New Roman"/>
              </w:rPr>
              <w:t xml:space="preserve">Does not clearly articulate a specific </w:t>
            </w:r>
            <w:r w:rsidRPr="006947DD">
              <w:rPr>
                <w:lang w:val="en-AU"/>
              </w:rPr>
              <w:t>outcome for women</w:t>
            </w:r>
            <w:r w:rsidR="00303779">
              <w:rPr>
                <w:lang w:val="en-AU"/>
              </w:rPr>
              <w:t xml:space="preserve">, </w:t>
            </w:r>
            <w:r w:rsidRPr="006947DD">
              <w:rPr>
                <w:lang w:val="en-AU"/>
              </w:rPr>
              <w:t xml:space="preserve">girls </w:t>
            </w:r>
            <w:r w:rsidR="00303779">
              <w:rPr>
                <w:lang w:val="en-AU"/>
              </w:rPr>
              <w:t xml:space="preserve">and other marginalised groups </w:t>
            </w:r>
            <w:r w:rsidRPr="006947DD">
              <w:rPr>
                <w:lang w:val="en-AU"/>
              </w:rPr>
              <w:t>compared with those achieved for men and boys</w:t>
            </w:r>
            <w:r w:rsidR="00303779">
              <w:rPr>
                <w:lang w:val="en-AU"/>
              </w:rPr>
              <w:t xml:space="preserve"> </w:t>
            </w:r>
          </w:p>
          <w:p w14:paraId="2B8C152E" w14:textId="2AA7BEBA" w:rsidR="006947DD" w:rsidRPr="006947DD" w:rsidRDefault="006947DD" w:rsidP="00611356">
            <w:pPr>
              <w:pStyle w:val="ListParagraph"/>
              <w:numPr>
                <w:ilvl w:val="0"/>
                <w:numId w:val="57"/>
              </w:numPr>
              <w:rPr>
                <w:rFonts w:eastAsia="Times New Roman"/>
              </w:rPr>
            </w:pPr>
            <w:r w:rsidRPr="006947DD">
              <w:rPr>
                <w:rFonts w:eastAsia="Times New Roman"/>
              </w:rPr>
              <w:t xml:space="preserve">Does not actively work to advance gender equality by specifically promoting women’s access to resources, </w:t>
            </w:r>
            <w:proofErr w:type="gramStart"/>
            <w:r w:rsidRPr="006947DD">
              <w:rPr>
                <w:rFonts w:eastAsia="Times New Roman"/>
              </w:rPr>
              <w:t>services</w:t>
            </w:r>
            <w:proofErr w:type="gramEnd"/>
            <w:r w:rsidRPr="006947DD">
              <w:rPr>
                <w:rFonts w:eastAsia="Times New Roman"/>
              </w:rPr>
              <w:t xml:space="preserve"> and opportunities</w:t>
            </w:r>
          </w:p>
        </w:tc>
      </w:tr>
    </w:tbl>
    <w:p w14:paraId="5BB7704B" w14:textId="480E4234" w:rsidR="0028609E" w:rsidRPr="00A1605B" w:rsidRDefault="00A1605B" w:rsidP="00303779">
      <w:pPr>
        <w:jc w:val="both"/>
        <w:rPr>
          <w:rFonts w:eastAsia="Times New Roman"/>
        </w:rPr>
      </w:pPr>
      <w:bookmarkStart w:id="27" w:name="_Hlk116383201"/>
      <w:r>
        <w:rPr>
          <w:rFonts w:eastAsia="Times New Roman"/>
        </w:rPr>
        <w:t xml:space="preserve">In line with OECD DAC and DFAT design exemptions, a limited number of categories of support are exempt from the gender equality outcome mandate. Outside of these categories, </w:t>
      </w:r>
      <w:bookmarkEnd w:id="27"/>
      <w:r>
        <w:rPr>
          <w:rFonts w:eastAsia="Times New Roman"/>
        </w:rPr>
        <w:t xml:space="preserve">DFAT </w:t>
      </w:r>
      <w:bookmarkStart w:id="28" w:name="_Hlk116383307"/>
      <w:r>
        <w:rPr>
          <w:rFonts w:eastAsia="Times New Roman"/>
        </w:rPr>
        <w:t xml:space="preserve">investment managers seeking exemption from the gender equality outcome mandate are required to apply in writing. For a list of exempt categories and exemption application details, see the </w:t>
      </w:r>
      <w:hyperlink r:id="rId14" w:history="1">
        <w:r w:rsidRPr="003D4D19">
          <w:rPr>
            <w:rStyle w:val="Hyperlink"/>
            <w:rFonts w:eastAsia="Times New Roman" w:cstheme="minorBidi"/>
          </w:rPr>
          <w:t>Aid Programming Guide</w:t>
        </w:r>
      </w:hyperlink>
      <w:r>
        <w:rPr>
          <w:rFonts w:eastAsia="Times New Roman"/>
        </w:rPr>
        <w:t xml:space="preserve">. </w:t>
      </w:r>
      <w:bookmarkEnd w:id="28"/>
    </w:p>
    <w:p w14:paraId="6BC829AF" w14:textId="1C449D96" w:rsidR="00AB4ABE" w:rsidRDefault="00AB4ABE" w:rsidP="00303779">
      <w:pPr>
        <w:pStyle w:val="Heading3Numbered"/>
        <w:jc w:val="both"/>
        <w:rPr>
          <w:lang w:val="en-AU"/>
        </w:rPr>
      </w:pPr>
      <w:r>
        <w:rPr>
          <w:lang w:val="en-AU"/>
        </w:rPr>
        <w:t>Implementation a</w:t>
      </w:r>
      <w:r w:rsidR="008530B8">
        <w:rPr>
          <w:lang w:val="en-AU"/>
        </w:rPr>
        <w:t>pproach (how will DFAT engage?)</w:t>
      </w:r>
    </w:p>
    <w:p w14:paraId="3314913E" w14:textId="3A08833A" w:rsidR="00FA520A" w:rsidRDefault="00703FF4" w:rsidP="00303779">
      <w:pPr>
        <w:pStyle w:val="Bullet1"/>
        <w:numPr>
          <w:ilvl w:val="0"/>
          <w:numId w:val="0"/>
        </w:numPr>
        <w:jc w:val="both"/>
        <w:rPr>
          <w:lang w:val="en-AU"/>
        </w:rPr>
      </w:pPr>
      <w:r>
        <w:rPr>
          <w:lang w:val="en-AU"/>
        </w:rPr>
        <w:t xml:space="preserve">As part of the implementation </w:t>
      </w:r>
      <w:r w:rsidR="004D5402">
        <w:rPr>
          <w:lang w:val="en-AU"/>
        </w:rPr>
        <w:t>approach,</w:t>
      </w:r>
      <w:r>
        <w:rPr>
          <w:lang w:val="en-AU"/>
        </w:rPr>
        <w:t xml:space="preserve"> gender </w:t>
      </w:r>
      <w:r w:rsidR="0027027F">
        <w:rPr>
          <w:lang w:val="en-AU"/>
        </w:rPr>
        <w:t xml:space="preserve">equality </w:t>
      </w:r>
      <w:r w:rsidR="000D1403">
        <w:rPr>
          <w:lang w:val="en-AU"/>
        </w:rPr>
        <w:t xml:space="preserve">should be </w:t>
      </w:r>
      <w:r>
        <w:rPr>
          <w:lang w:val="en-AU"/>
        </w:rPr>
        <w:t xml:space="preserve">addressed in </w:t>
      </w:r>
      <w:r w:rsidR="00D15A68">
        <w:rPr>
          <w:lang w:val="en-AU"/>
        </w:rPr>
        <w:t>investment</w:t>
      </w:r>
      <w:r>
        <w:rPr>
          <w:lang w:val="en-AU"/>
        </w:rPr>
        <w:t xml:space="preserve"> governance arrangements, accountability, sustainability</w:t>
      </w:r>
      <w:r w:rsidR="00E44A08">
        <w:rPr>
          <w:lang w:val="en-AU"/>
        </w:rPr>
        <w:t xml:space="preserve">, risk, </w:t>
      </w:r>
      <w:r w:rsidR="006947DD">
        <w:rPr>
          <w:lang w:val="en-AU"/>
        </w:rPr>
        <w:t>resourcing,</w:t>
      </w:r>
      <w:r w:rsidR="00E44A08">
        <w:rPr>
          <w:lang w:val="en-AU"/>
        </w:rPr>
        <w:t xml:space="preserve"> and </w:t>
      </w:r>
      <w:r w:rsidR="006947DD">
        <w:rPr>
          <w:lang w:val="en-AU"/>
        </w:rPr>
        <w:t>M</w:t>
      </w:r>
      <w:r w:rsidR="008F110B">
        <w:rPr>
          <w:lang w:val="en-AU"/>
        </w:rPr>
        <w:t>&amp;E</w:t>
      </w:r>
      <w:r w:rsidR="006947DD">
        <w:rPr>
          <w:lang w:val="en-AU"/>
        </w:rPr>
        <w:t>.</w:t>
      </w:r>
      <w:r>
        <w:rPr>
          <w:lang w:val="en-AU"/>
        </w:rPr>
        <w:t xml:space="preserve"> </w:t>
      </w:r>
      <w:r w:rsidR="00E44A08">
        <w:rPr>
          <w:lang w:val="en-AU"/>
        </w:rPr>
        <w:t xml:space="preserve">For example, </w:t>
      </w:r>
      <w:r w:rsidRPr="00703FF4">
        <w:rPr>
          <w:lang w:val="en-AU"/>
        </w:rPr>
        <w:t xml:space="preserve">the governance arrangements </w:t>
      </w:r>
      <w:r w:rsidR="00E44A08">
        <w:rPr>
          <w:lang w:val="en-AU"/>
        </w:rPr>
        <w:t xml:space="preserve">should </w:t>
      </w:r>
      <w:r w:rsidRPr="00703FF4">
        <w:rPr>
          <w:lang w:val="en-AU"/>
        </w:rPr>
        <w:t xml:space="preserve">promote equitable representation of women and </w:t>
      </w:r>
      <w:r w:rsidR="00F52CB7">
        <w:rPr>
          <w:lang w:val="en-AU"/>
        </w:rPr>
        <w:t xml:space="preserve">involve </w:t>
      </w:r>
      <w:r w:rsidRPr="00703FF4">
        <w:rPr>
          <w:lang w:val="en-AU"/>
        </w:rPr>
        <w:t>regular</w:t>
      </w:r>
      <w:r w:rsidR="00F52CB7">
        <w:rPr>
          <w:lang w:val="en-AU"/>
        </w:rPr>
        <w:t xml:space="preserve"> senior-level</w:t>
      </w:r>
      <w:r w:rsidRPr="00703FF4">
        <w:rPr>
          <w:lang w:val="en-AU"/>
        </w:rPr>
        <w:t xml:space="preserve"> discussion</w:t>
      </w:r>
      <w:r w:rsidR="00F52CB7">
        <w:rPr>
          <w:lang w:val="en-AU"/>
        </w:rPr>
        <w:t>s about</w:t>
      </w:r>
      <w:r w:rsidRPr="00703FF4">
        <w:rPr>
          <w:lang w:val="en-AU"/>
        </w:rPr>
        <w:t xml:space="preserve"> progress on gender equality</w:t>
      </w:r>
      <w:r w:rsidR="00E44A08">
        <w:rPr>
          <w:lang w:val="en-AU"/>
        </w:rPr>
        <w:t xml:space="preserve">. </w:t>
      </w:r>
      <w:r w:rsidR="00FB7512">
        <w:rPr>
          <w:lang w:val="en-AU"/>
        </w:rPr>
        <w:t>C</w:t>
      </w:r>
      <w:r w:rsidR="00E44A08" w:rsidRPr="00FA520A">
        <w:rPr>
          <w:lang w:val="en-AU"/>
        </w:rPr>
        <w:t>onsider whether gender inequality could undermine sustainability of the investment</w:t>
      </w:r>
      <w:r w:rsidR="00E44A08">
        <w:rPr>
          <w:lang w:val="en-AU"/>
        </w:rPr>
        <w:t>, or whether not focusing on gender equality sufficiently could risk</w:t>
      </w:r>
      <w:r w:rsidR="00FB7512">
        <w:rPr>
          <w:lang w:val="en-AU"/>
        </w:rPr>
        <w:t xml:space="preserve"> overall investment</w:t>
      </w:r>
      <w:r w:rsidR="00E44A08">
        <w:rPr>
          <w:lang w:val="en-AU"/>
        </w:rPr>
        <w:t xml:space="preserve"> performance. Ensure that the </w:t>
      </w:r>
      <w:r w:rsidRPr="00703FF4">
        <w:rPr>
          <w:lang w:val="en-AU"/>
        </w:rPr>
        <w:t>Policy Dialogue Matrix outline</w:t>
      </w:r>
      <w:r w:rsidR="00FB7512">
        <w:rPr>
          <w:lang w:val="en-AU"/>
        </w:rPr>
        <w:t>s</w:t>
      </w:r>
      <w:r w:rsidRPr="00703FF4">
        <w:rPr>
          <w:lang w:val="en-AU"/>
        </w:rPr>
        <w:t xml:space="preserve"> policy reform priorities around gender equality</w:t>
      </w:r>
      <w:r w:rsidR="0027027F">
        <w:rPr>
          <w:lang w:val="en-AU"/>
        </w:rPr>
        <w:t xml:space="preserve">. </w:t>
      </w:r>
    </w:p>
    <w:p w14:paraId="703EA5A0" w14:textId="591F11ED" w:rsidR="00AB4ABE" w:rsidRDefault="00AB4ABE" w:rsidP="00303779">
      <w:pPr>
        <w:pStyle w:val="Heading3Numbered"/>
        <w:jc w:val="both"/>
        <w:rPr>
          <w:lang w:val="en-AU"/>
        </w:rPr>
      </w:pPr>
      <w:r>
        <w:rPr>
          <w:lang w:val="en-AU"/>
        </w:rPr>
        <w:t>Monitoring and evaluation (how will DFAT measure performance?)</w:t>
      </w:r>
    </w:p>
    <w:p w14:paraId="41AFE8CA" w14:textId="376101CC" w:rsidR="0006395B" w:rsidRPr="0013694F" w:rsidRDefault="0006395B" w:rsidP="00303779">
      <w:pPr>
        <w:jc w:val="both"/>
        <w:rPr>
          <w:lang w:val="en-AU"/>
        </w:rPr>
      </w:pPr>
      <w:r w:rsidRPr="0013694F">
        <w:rPr>
          <w:lang w:val="en-AU"/>
        </w:rPr>
        <w:t xml:space="preserve">The </w:t>
      </w:r>
      <w:r w:rsidR="008F110B">
        <w:rPr>
          <w:lang w:val="en-AU"/>
        </w:rPr>
        <w:t>M&amp;E</w:t>
      </w:r>
      <w:r w:rsidRPr="0013694F">
        <w:rPr>
          <w:lang w:val="en-AU"/>
        </w:rPr>
        <w:t xml:space="preserve"> section should articulate how gender equality results will be measured and reported. It is important to measure gender equality results because:</w:t>
      </w:r>
    </w:p>
    <w:p w14:paraId="14827191" w14:textId="77777777" w:rsidR="0006395B" w:rsidRPr="0013694F" w:rsidRDefault="0006395B" w:rsidP="00303779">
      <w:pPr>
        <w:pStyle w:val="Bullet1"/>
        <w:jc w:val="both"/>
        <w:rPr>
          <w:lang w:val="en-AU"/>
        </w:rPr>
      </w:pPr>
      <w:r w:rsidRPr="0013694F">
        <w:rPr>
          <w:lang w:val="en-AU"/>
        </w:rPr>
        <w:t>We need to know whether women and men have benefited equally from the investment or whether the investment has exacerbated existing gender inequalities</w:t>
      </w:r>
    </w:p>
    <w:p w14:paraId="6B4B7588" w14:textId="77777777" w:rsidR="0006395B" w:rsidRPr="0013694F" w:rsidRDefault="0006395B" w:rsidP="00303779">
      <w:pPr>
        <w:pStyle w:val="Bullet1"/>
        <w:jc w:val="both"/>
        <w:rPr>
          <w:lang w:val="en-AU"/>
        </w:rPr>
      </w:pPr>
      <w:r w:rsidRPr="0013694F">
        <w:rPr>
          <w:lang w:val="en-AU"/>
        </w:rPr>
        <w:t>It helps us to improve the effectiveness of strategies to advance gender equality in different contexts</w:t>
      </w:r>
    </w:p>
    <w:p w14:paraId="48E8C28A" w14:textId="77777777" w:rsidR="0006395B" w:rsidRPr="0013694F" w:rsidRDefault="0006395B" w:rsidP="00303779">
      <w:pPr>
        <w:pStyle w:val="Bullet1"/>
        <w:jc w:val="both"/>
        <w:rPr>
          <w:lang w:val="en-AU"/>
        </w:rPr>
      </w:pPr>
      <w:r w:rsidRPr="0013694F">
        <w:rPr>
          <w:lang w:val="en-AU"/>
        </w:rPr>
        <w:t>It is important to gather evidence on the contribution that gender equality makes to overall program performance and to poverty reduction and sustainable development</w:t>
      </w:r>
    </w:p>
    <w:p w14:paraId="247C03C6" w14:textId="004CBF0A" w:rsidR="0006395B" w:rsidRPr="0013694F" w:rsidRDefault="0006395B" w:rsidP="00303779">
      <w:pPr>
        <w:pStyle w:val="Bullet1"/>
        <w:jc w:val="both"/>
        <w:rPr>
          <w:lang w:val="en-AU"/>
        </w:rPr>
      </w:pPr>
      <w:r w:rsidRPr="0013694F">
        <w:rPr>
          <w:lang w:val="en-AU"/>
        </w:rPr>
        <w:t xml:space="preserve">It is important to strengthen accountability and to identify areas where capacity building is needed among all stakeholders </w:t>
      </w:r>
    </w:p>
    <w:p w14:paraId="44A97C06" w14:textId="4186BD8E" w:rsidR="0006395B" w:rsidRPr="0073133E" w:rsidRDefault="0006395B" w:rsidP="00303779">
      <w:pPr>
        <w:jc w:val="both"/>
      </w:pPr>
      <w:r>
        <w:t xml:space="preserve">At a minimum, the </w:t>
      </w:r>
      <w:r w:rsidR="008F110B">
        <w:t>M&amp;E</w:t>
      </w:r>
      <w:r>
        <w:t xml:space="preserve"> system needs to </w:t>
      </w:r>
      <w:r w:rsidRPr="0073133E">
        <w:t xml:space="preserve">collect </w:t>
      </w:r>
      <w:r w:rsidRPr="0073133E">
        <w:rPr>
          <w:b/>
        </w:rPr>
        <w:t>sex-disaggregated data</w:t>
      </w:r>
      <w:r>
        <w:t xml:space="preserve"> for all results relating to people</w:t>
      </w:r>
      <w:r w:rsidRPr="0073133E">
        <w:t>.  Sex-disaggregated data helps assess and report on:</w:t>
      </w:r>
    </w:p>
    <w:p w14:paraId="3507DBC1" w14:textId="77777777" w:rsidR="0006395B" w:rsidRPr="0073133E" w:rsidRDefault="0006395B" w:rsidP="00303779">
      <w:pPr>
        <w:pStyle w:val="Bullet1"/>
        <w:jc w:val="both"/>
      </w:pPr>
      <w:r w:rsidRPr="0073133E">
        <w:t xml:space="preserve">Whether an investment is successful at targeting and benefiting women, men, </w:t>
      </w:r>
      <w:proofErr w:type="gramStart"/>
      <w:r w:rsidRPr="0073133E">
        <w:t>girls</w:t>
      </w:r>
      <w:proofErr w:type="gramEnd"/>
      <w:r w:rsidRPr="0073133E">
        <w:t xml:space="preserve"> and boys</w:t>
      </w:r>
    </w:p>
    <w:p w14:paraId="09865255" w14:textId="77777777" w:rsidR="0006395B" w:rsidRDefault="0006395B" w:rsidP="00303779">
      <w:pPr>
        <w:pStyle w:val="Bullet1"/>
        <w:jc w:val="both"/>
      </w:pPr>
      <w:r w:rsidRPr="0073133E">
        <w:t xml:space="preserve">Differences in participation, benefits and impacts for women, men, </w:t>
      </w:r>
      <w:proofErr w:type="gramStart"/>
      <w:r w:rsidRPr="0073133E">
        <w:t>girls</w:t>
      </w:r>
      <w:proofErr w:type="gramEnd"/>
      <w:r w:rsidRPr="0073133E">
        <w:t xml:space="preserve"> and boys</w:t>
      </w:r>
    </w:p>
    <w:p w14:paraId="01114AD8" w14:textId="3CADF5E3" w:rsidR="0006395B" w:rsidRPr="0073133E" w:rsidRDefault="0006395B" w:rsidP="00303779">
      <w:pPr>
        <w:pStyle w:val="Bullet1"/>
        <w:numPr>
          <w:ilvl w:val="0"/>
          <w:numId w:val="0"/>
        </w:numPr>
        <w:jc w:val="both"/>
      </w:pPr>
      <w:r>
        <w:t xml:space="preserve">Where possible, </w:t>
      </w:r>
      <w:r w:rsidR="00416B87">
        <w:t xml:space="preserve">data should also be </w:t>
      </w:r>
      <w:r>
        <w:t>disaggregat</w:t>
      </w:r>
      <w:r w:rsidR="00416B87">
        <w:t>ed</w:t>
      </w:r>
      <w:r>
        <w:t xml:space="preserve"> by age, disability status, </w:t>
      </w:r>
      <w:r w:rsidR="00416B87">
        <w:t xml:space="preserve">and other important identities. </w:t>
      </w:r>
    </w:p>
    <w:p w14:paraId="03B06F7E" w14:textId="1B499177" w:rsidR="0006395B" w:rsidRPr="0073133E" w:rsidRDefault="008C318D" w:rsidP="00303779">
      <w:pPr>
        <w:jc w:val="both"/>
      </w:pPr>
      <w:r>
        <w:rPr>
          <w:b/>
        </w:rPr>
        <w:t>Within</w:t>
      </w:r>
      <w:r w:rsidR="0006395B">
        <w:rPr>
          <w:b/>
        </w:rPr>
        <w:t xml:space="preserve"> the</w:t>
      </w:r>
      <w:r w:rsidR="0006395B" w:rsidRPr="0073133E">
        <w:rPr>
          <w:b/>
        </w:rPr>
        <w:t xml:space="preserve"> </w:t>
      </w:r>
      <w:r w:rsidR="0006395B">
        <w:rPr>
          <w:b/>
        </w:rPr>
        <w:t>Program Logic</w:t>
      </w:r>
      <w:r w:rsidR="0006395B">
        <w:t>, choose</w:t>
      </w:r>
      <w:r w:rsidR="0006395B" w:rsidRPr="0073133E">
        <w:t xml:space="preserve"> gender-sensitive </w:t>
      </w:r>
      <w:r w:rsidR="0006395B">
        <w:t>(</w:t>
      </w:r>
      <w:r w:rsidR="0006395B" w:rsidRPr="0073133E">
        <w:t>quantitative and qualitative</w:t>
      </w:r>
      <w:r w:rsidR="0006395B">
        <w:t>)</w:t>
      </w:r>
      <w:r w:rsidR="0006395B" w:rsidRPr="0073133E">
        <w:t xml:space="preserve"> indicators against which to track progress towards </w:t>
      </w:r>
      <w:r w:rsidR="0028609E">
        <w:t>outcomes</w:t>
      </w:r>
      <w:r w:rsidR="0006395B" w:rsidRPr="0073133E">
        <w:t xml:space="preserve">. </w:t>
      </w:r>
      <w:r w:rsidR="004D5402">
        <w:t xml:space="preserve">Qualitative indicators will help to assess changes in social norms and attitudes, and how and why change is happening. </w:t>
      </w:r>
      <w:r w:rsidR="00CA13BC">
        <w:t xml:space="preserve">The </w:t>
      </w:r>
      <w:hyperlink r:id="rId15" w:history="1">
        <w:r w:rsidR="00CA13BC" w:rsidRPr="00F627A8">
          <w:rPr>
            <w:rStyle w:val="Hyperlink"/>
            <w:rFonts w:cstheme="minorBidi"/>
          </w:rPr>
          <w:t xml:space="preserve">Gender Equality in Monitoring and Evaluation and Reporting </w:t>
        </w:r>
        <w:r w:rsidR="00CA13BC">
          <w:rPr>
            <w:rStyle w:val="Hyperlink"/>
            <w:rFonts w:cstheme="minorBidi"/>
          </w:rPr>
          <w:t>G</w:t>
        </w:r>
        <w:r w:rsidR="00CA13BC" w:rsidRPr="00F627A8">
          <w:rPr>
            <w:rStyle w:val="Hyperlink"/>
            <w:rFonts w:cstheme="minorBidi"/>
          </w:rPr>
          <w:t xml:space="preserve">ood </w:t>
        </w:r>
        <w:r w:rsidR="00CA13BC">
          <w:rPr>
            <w:rStyle w:val="Hyperlink"/>
            <w:rFonts w:cstheme="minorBidi"/>
          </w:rPr>
          <w:t>P</w:t>
        </w:r>
        <w:r w:rsidR="00CA13BC" w:rsidRPr="00F627A8">
          <w:rPr>
            <w:rStyle w:val="Hyperlink"/>
            <w:rFonts w:cstheme="minorBidi"/>
          </w:rPr>
          <w:t xml:space="preserve">ractice </w:t>
        </w:r>
        <w:r w:rsidR="00CA13BC">
          <w:rPr>
            <w:rStyle w:val="Hyperlink"/>
            <w:rFonts w:cstheme="minorBidi"/>
          </w:rPr>
          <w:t>N</w:t>
        </w:r>
        <w:r w:rsidR="00CA13BC" w:rsidRPr="00F627A8">
          <w:rPr>
            <w:rStyle w:val="Hyperlink"/>
            <w:rFonts w:cstheme="minorBidi"/>
          </w:rPr>
          <w:t>ote</w:t>
        </w:r>
      </w:hyperlink>
      <w:r w:rsidR="00CA13BC">
        <w:t xml:space="preserve"> includes additional information on how to develop a gender-responsive </w:t>
      </w:r>
      <w:r w:rsidR="008F110B">
        <w:t>M&amp;E</w:t>
      </w:r>
      <w:r w:rsidR="00CA13BC">
        <w:t xml:space="preserve"> framework. </w:t>
      </w:r>
    </w:p>
    <w:p w14:paraId="2ED2BE88" w14:textId="3930B292" w:rsidR="004E57E3" w:rsidRPr="0006395B" w:rsidRDefault="004D5402" w:rsidP="00303779">
      <w:pPr>
        <w:pStyle w:val="Bullet1"/>
        <w:numPr>
          <w:ilvl w:val="0"/>
          <w:numId w:val="0"/>
        </w:numPr>
        <w:jc w:val="both"/>
        <w:rPr>
          <w:lang w:val="en-AU"/>
        </w:rPr>
      </w:pPr>
      <w:r>
        <w:rPr>
          <w:lang w:val="en-AU"/>
        </w:rPr>
        <w:t xml:space="preserve">It is important that </w:t>
      </w:r>
      <w:r w:rsidRPr="00FA79D4">
        <w:rPr>
          <w:lang w:val="en-AU"/>
        </w:rPr>
        <w:t xml:space="preserve">women </w:t>
      </w:r>
      <w:r>
        <w:rPr>
          <w:lang w:val="en-AU"/>
        </w:rPr>
        <w:t>are</w:t>
      </w:r>
      <w:r w:rsidRPr="00FA79D4">
        <w:rPr>
          <w:lang w:val="en-AU"/>
        </w:rPr>
        <w:t xml:space="preserve"> involved in </w:t>
      </w:r>
      <w:r w:rsidR="008F110B">
        <w:rPr>
          <w:lang w:val="en-AU"/>
        </w:rPr>
        <w:t>M&amp;E</w:t>
      </w:r>
      <w:r>
        <w:rPr>
          <w:lang w:val="en-AU"/>
        </w:rPr>
        <w:t xml:space="preserve"> and that </w:t>
      </w:r>
      <w:r w:rsidR="00CA13BC">
        <w:rPr>
          <w:lang w:val="en-AU"/>
        </w:rPr>
        <w:t>d</w:t>
      </w:r>
      <w:r w:rsidR="0027027F">
        <w:rPr>
          <w:lang w:val="en-AU"/>
        </w:rPr>
        <w:t xml:space="preserve">ata </w:t>
      </w:r>
      <w:r w:rsidR="00CA13BC">
        <w:rPr>
          <w:lang w:val="en-AU"/>
        </w:rPr>
        <w:t>is</w:t>
      </w:r>
      <w:r w:rsidR="0027027F">
        <w:rPr>
          <w:lang w:val="en-AU"/>
        </w:rPr>
        <w:t xml:space="preserve"> used to regularly </w:t>
      </w:r>
      <w:r w:rsidR="00E44A08" w:rsidRPr="00E44A08">
        <w:rPr>
          <w:lang w:val="en-AU"/>
        </w:rPr>
        <w:t xml:space="preserve">assess progress and improve the performance of </w:t>
      </w:r>
      <w:r w:rsidR="00E44A08">
        <w:rPr>
          <w:lang w:val="en-AU"/>
        </w:rPr>
        <w:t xml:space="preserve">the </w:t>
      </w:r>
      <w:r w:rsidR="00E44A08" w:rsidRPr="00E44A08">
        <w:rPr>
          <w:lang w:val="en-AU"/>
        </w:rPr>
        <w:t xml:space="preserve">investment. </w:t>
      </w:r>
    </w:p>
    <w:p w14:paraId="24BB46C1" w14:textId="0E2B41A3" w:rsidR="00AB4ABE" w:rsidRDefault="00AB4ABE" w:rsidP="00303779">
      <w:pPr>
        <w:pStyle w:val="Heading3Numbered"/>
        <w:jc w:val="both"/>
        <w:rPr>
          <w:lang w:val="en-AU"/>
        </w:rPr>
      </w:pPr>
      <w:r>
        <w:rPr>
          <w:lang w:val="en-AU"/>
        </w:rPr>
        <w:t>Gender, disability</w:t>
      </w:r>
      <w:r w:rsidR="00303779">
        <w:rPr>
          <w:lang w:val="en-AU"/>
        </w:rPr>
        <w:t>,</w:t>
      </w:r>
      <w:r>
        <w:rPr>
          <w:lang w:val="en-AU"/>
        </w:rPr>
        <w:t xml:space="preserve"> and other cross-cutting issues</w:t>
      </w:r>
    </w:p>
    <w:p w14:paraId="084D6835" w14:textId="09E71758" w:rsidR="004E57E3" w:rsidRPr="0006395B" w:rsidRDefault="001876A5" w:rsidP="00303779">
      <w:pPr>
        <w:jc w:val="both"/>
        <w:rPr>
          <w:lang w:val="en-AU"/>
        </w:rPr>
      </w:pPr>
      <w:r>
        <w:rPr>
          <w:lang w:val="en-AU"/>
        </w:rPr>
        <w:t>G</w:t>
      </w:r>
      <w:r w:rsidR="0006395B" w:rsidRPr="0006395B">
        <w:rPr>
          <w:lang w:val="en-AU"/>
        </w:rPr>
        <w:t>ender e</w:t>
      </w:r>
      <w:r w:rsidR="0006395B">
        <w:rPr>
          <w:lang w:val="en-AU"/>
        </w:rPr>
        <w:t>quality</w:t>
      </w:r>
      <w:r>
        <w:rPr>
          <w:lang w:val="en-AU"/>
        </w:rPr>
        <w:t xml:space="preserve"> should be integrated</w:t>
      </w:r>
      <w:r w:rsidR="0006395B">
        <w:rPr>
          <w:lang w:val="en-AU"/>
        </w:rPr>
        <w:t xml:space="preserve"> throughout the </w:t>
      </w:r>
      <w:r w:rsidR="006947DD">
        <w:rPr>
          <w:lang w:val="en-AU"/>
        </w:rPr>
        <w:t>design and</w:t>
      </w:r>
      <w:r>
        <w:rPr>
          <w:lang w:val="en-AU"/>
        </w:rPr>
        <w:t xml:space="preserve"> addressed in the</w:t>
      </w:r>
      <w:r w:rsidR="0006395B">
        <w:rPr>
          <w:lang w:val="en-AU"/>
        </w:rPr>
        <w:t xml:space="preserve"> separate section on gender equality</w:t>
      </w:r>
      <w:r>
        <w:rPr>
          <w:lang w:val="en-AU"/>
        </w:rPr>
        <w:t>. The gender equality section should</w:t>
      </w:r>
      <w:r w:rsidR="0006395B" w:rsidRPr="0006395B">
        <w:rPr>
          <w:lang w:val="en-AU"/>
        </w:rPr>
        <w:t xml:space="preserve"> articulate the overall strategy to address gender equality</w:t>
      </w:r>
      <w:r w:rsidR="00FA520A" w:rsidRPr="00FA520A">
        <w:rPr>
          <w:rFonts w:eastAsia="Times New Roman" w:cs="Times New Roman"/>
          <w:sz w:val="21"/>
          <w:szCs w:val="21"/>
          <w:lang w:val="en-AU"/>
        </w:rPr>
        <w:t xml:space="preserve">. </w:t>
      </w:r>
      <w:r w:rsidR="00FA520A">
        <w:rPr>
          <w:rFonts w:eastAsia="Times New Roman" w:cs="Times New Roman"/>
          <w:sz w:val="21"/>
          <w:szCs w:val="21"/>
          <w:lang w:val="en-AU"/>
        </w:rPr>
        <w:t>It should also p</w:t>
      </w:r>
      <w:r w:rsidR="00FA520A" w:rsidRPr="00FA520A">
        <w:rPr>
          <w:rFonts w:eastAsia="Times New Roman" w:cs="Times New Roman"/>
          <w:sz w:val="21"/>
          <w:szCs w:val="21"/>
          <w:lang w:val="en-AU"/>
        </w:rPr>
        <w:t>rovide a rationale for the</w:t>
      </w:r>
      <w:r w:rsidR="00770A58">
        <w:rPr>
          <w:rFonts w:eastAsia="Times New Roman" w:cs="Times New Roman"/>
          <w:sz w:val="21"/>
          <w:szCs w:val="21"/>
          <w:lang w:val="en-AU"/>
        </w:rPr>
        <w:t xml:space="preserve"> </w:t>
      </w:r>
      <w:hyperlink r:id="rId16" w:history="1">
        <w:r w:rsidR="00770A58" w:rsidRPr="00303779">
          <w:rPr>
            <w:rStyle w:val="Hyperlink"/>
            <w:rFonts w:eastAsia="Times New Roman" w:cs="Times New Roman"/>
            <w:sz w:val="21"/>
            <w:szCs w:val="21"/>
            <w:lang w:val="en-AU"/>
          </w:rPr>
          <w:t>OECD DAC</w:t>
        </w:r>
        <w:r w:rsidR="00FA520A" w:rsidRPr="00303779">
          <w:rPr>
            <w:rStyle w:val="Hyperlink"/>
            <w:rFonts w:eastAsia="Times New Roman" w:cs="Times New Roman"/>
            <w:sz w:val="21"/>
            <w:szCs w:val="21"/>
            <w:lang w:val="en-AU"/>
          </w:rPr>
          <w:t xml:space="preserve"> </w:t>
        </w:r>
        <w:r w:rsidR="00770A58" w:rsidRPr="00303779">
          <w:rPr>
            <w:rStyle w:val="Hyperlink"/>
            <w:rFonts w:eastAsia="Times New Roman" w:cs="Times New Roman"/>
            <w:sz w:val="21"/>
            <w:szCs w:val="21"/>
            <w:lang w:val="en-AU"/>
          </w:rPr>
          <w:t>Gender Equality Policy Marker</w:t>
        </w:r>
      </w:hyperlink>
      <w:r w:rsidR="00770A58" w:rsidRPr="00FA520A">
        <w:rPr>
          <w:rFonts w:eastAsia="Times New Roman" w:cs="Times New Roman"/>
          <w:sz w:val="21"/>
          <w:szCs w:val="21"/>
          <w:lang w:val="en-AU"/>
        </w:rPr>
        <w:t xml:space="preserve"> </w:t>
      </w:r>
      <w:r w:rsidR="00FA520A" w:rsidRPr="00FA520A">
        <w:rPr>
          <w:rFonts w:eastAsia="Times New Roman" w:cs="Times New Roman"/>
          <w:sz w:val="21"/>
          <w:szCs w:val="21"/>
          <w:lang w:val="en-AU"/>
        </w:rPr>
        <w:t>that has been selected</w:t>
      </w:r>
      <w:r w:rsidR="00FA520A">
        <w:rPr>
          <w:rFonts w:eastAsia="Times New Roman" w:cs="Times New Roman"/>
          <w:sz w:val="21"/>
          <w:szCs w:val="21"/>
          <w:lang w:val="en-AU"/>
        </w:rPr>
        <w:t xml:space="preserve"> and o</w:t>
      </w:r>
      <w:r w:rsidR="00FA520A" w:rsidRPr="00FA520A">
        <w:rPr>
          <w:rFonts w:eastAsia="Times New Roman" w:cs="Times New Roman"/>
          <w:sz w:val="21"/>
          <w:szCs w:val="21"/>
          <w:lang w:val="en-AU"/>
        </w:rPr>
        <w:t xml:space="preserve">utline how the investment </w:t>
      </w:r>
      <w:r w:rsidR="0040145A">
        <w:rPr>
          <w:rFonts w:eastAsia="Times New Roman" w:cs="Times New Roman"/>
          <w:sz w:val="21"/>
          <w:szCs w:val="21"/>
          <w:lang w:val="en-AU"/>
        </w:rPr>
        <w:t>aligns with</w:t>
      </w:r>
      <w:r w:rsidR="00FA520A" w:rsidRPr="00FA520A">
        <w:rPr>
          <w:rFonts w:eastAsia="Times New Roman" w:cs="Times New Roman"/>
          <w:sz w:val="21"/>
          <w:szCs w:val="21"/>
          <w:lang w:val="en-AU"/>
        </w:rPr>
        <w:t xml:space="preserve"> priority pillars of </w:t>
      </w:r>
      <w:hyperlink r:id="rId17" w:history="1">
        <w:r w:rsidR="00FA520A" w:rsidRPr="00303779">
          <w:rPr>
            <w:rStyle w:val="Hyperlink"/>
            <w:rFonts w:eastAsia="Times New Roman" w:cs="Times New Roman"/>
            <w:sz w:val="21"/>
            <w:szCs w:val="21"/>
            <w:lang w:val="en-AU"/>
          </w:rPr>
          <w:t>DFAT’s Gender</w:t>
        </w:r>
        <w:r w:rsidR="0040145A" w:rsidRPr="00303779">
          <w:rPr>
            <w:rStyle w:val="Hyperlink"/>
            <w:rFonts w:eastAsia="Times New Roman" w:cs="Times New Roman"/>
            <w:sz w:val="21"/>
            <w:szCs w:val="21"/>
            <w:lang w:val="en-AU"/>
          </w:rPr>
          <w:t xml:space="preserve"> Equality and Women’s Empowerment</w:t>
        </w:r>
        <w:r w:rsidR="00FA520A" w:rsidRPr="00303779">
          <w:rPr>
            <w:rStyle w:val="Hyperlink"/>
            <w:rFonts w:eastAsia="Times New Roman" w:cs="Times New Roman"/>
            <w:sz w:val="21"/>
            <w:szCs w:val="21"/>
            <w:lang w:val="en-AU"/>
          </w:rPr>
          <w:t xml:space="preserve"> Strategy</w:t>
        </w:r>
      </w:hyperlink>
      <w:r w:rsidR="00FA520A" w:rsidRPr="00FA520A">
        <w:rPr>
          <w:rFonts w:eastAsia="Times New Roman" w:cs="Times New Roman"/>
          <w:sz w:val="21"/>
          <w:szCs w:val="21"/>
          <w:lang w:val="en-AU"/>
        </w:rPr>
        <w:t xml:space="preserve">. </w:t>
      </w:r>
      <w:r w:rsidR="007B43D5">
        <w:rPr>
          <w:rFonts w:eastAsia="Times New Roman" w:cs="Times New Roman"/>
          <w:sz w:val="21"/>
          <w:szCs w:val="21"/>
          <w:lang w:val="en-AU"/>
        </w:rPr>
        <w:t xml:space="preserve">This section should also </w:t>
      </w:r>
      <w:r w:rsidR="00FA520A" w:rsidRPr="00FA520A">
        <w:rPr>
          <w:rFonts w:eastAsia="Times New Roman" w:cs="Times New Roman"/>
          <w:sz w:val="21"/>
          <w:szCs w:val="21"/>
          <w:lang w:val="en-AU"/>
        </w:rPr>
        <w:t>describe how intersecting disadvantages will be addressed and how sustainable and transformati</w:t>
      </w:r>
      <w:r w:rsidR="0040145A">
        <w:rPr>
          <w:rFonts w:eastAsia="Times New Roman" w:cs="Times New Roman"/>
          <w:sz w:val="21"/>
          <w:szCs w:val="21"/>
          <w:lang w:val="en-AU"/>
        </w:rPr>
        <w:t>ve</w:t>
      </w:r>
      <w:r w:rsidR="00FA520A" w:rsidRPr="00FA520A">
        <w:rPr>
          <w:rFonts w:eastAsia="Times New Roman" w:cs="Times New Roman"/>
          <w:sz w:val="21"/>
          <w:szCs w:val="21"/>
          <w:lang w:val="en-AU"/>
        </w:rPr>
        <w:t xml:space="preserve"> results for women and girls will be achieved</w:t>
      </w:r>
      <w:r w:rsidR="007B43D5">
        <w:rPr>
          <w:rFonts w:eastAsia="Times New Roman" w:cs="Times New Roman"/>
          <w:sz w:val="21"/>
          <w:szCs w:val="21"/>
          <w:lang w:val="en-AU"/>
        </w:rPr>
        <w:t xml:space="preserve">. </w:t>
      </w:r>
      <w:r w:rsidR="006947DD">
        <w:rPr>
          <w:rFonts w:eastAsia="Times New Roman" w:cs="Times New Roman"/>
          <w:sz w:val="21"/>
          <w:szCs w:val="21"/>
          <w:lang w:val="en-AU"/>
        </w:rPr>
        <w:t xml:space="preserve">Where possible a draft gender equality strategy should be included as an Annex. </w:t>
      </w:r>
      <w:r w:rsidR="007B43D5">
        <w:rPr>
          <w:rFonts w:eastAsia="Times New Roman" w:cs="Times New Roman"/>
          <w:sz w:val="21"/>
          <w:szCs w:val="21"/>
          <w:lang w:val="en-AU"/>
        </w:rPr>
        <w:t xml:space="preserve">The arrangements for </w:t>
      </w:r>
      <w:r w:rsidR="006947DD">
        <w:rPr>
          <w:rFonts w:eastAsia="Times New Roman" w:cs="Times New Roman"/>
          <w:sz w:val="21"/>
          <w:szCs w:val="21"/>
          <w:lang w:val="en-AU"/>
        </w:rPr>
        <w:t xml:space="preserve">further refining and socialising the </w:t>
      </w:r>
      <w:r w:rsidR="00FA520A" w:rsidRPr="00FA520A">
        <w:rPr>
          <w:rFonts w:eastAsia="Times New Roman" w:cs="Times New Roman"/>
          <w:sz w:val="21"/>
          <w:szCs w:val="24"/>
          <w:lang w:val="en-AU"/>
        </w:rPr>
        <w:t>gender action plan/gender strategy early in implementation</w:t>
      </w:r>
      <w:r w:rsidR="007B43D5">
        <w:rPr>
          <w:rFonts w:eastAsia="Times New Roman" w:cs="Times New Roman"/>
          <w:sz w:val="21"/>
          <w:szCs w:val="24"/>
          <w:lang w:val="en-AU"/>
        </w:rPr>
        <w:t xml:space="preserve"> should be spelled out.</w:t>
      </w:r>
    </w:p>
    <w:p w14:paraId="3A29DD3A" w14:textId="77777777" w:rsidR="008530B8" w:rsidRDefault="008530B8" w:rsidP="00303779">
      <w:pPr>
        <w:pStyle w:val="Heading3Numbered"/>
        <w:jc w:val="both"/>
        <w:rPr>
          <w:lang w:val="en-AU"/>
        </w:rPr>
      </w:pPr>
      <w:r>
        <w:rPr>
          <w:lang w:val="en-AU"/>
        </w:rPr>
        <w:t>Budget and resources</w:t>
      </w:r>
    </w:p>
    <w:p w14:paraId="18A0D2ED" w14:textId="45505175" w:rsidR="00ED1D0E" w:rsidRDefault="008530B8" w:rsidP="00303779">
      <w:pPr>
        <w:jc w:val="both"/>
        <w:rPr>
          <w:b/>
          <w:lang w:val="en-AU"/>
        </w:rPr>
      </w:pPr>
      <w:r>
        <w:t>A</w:t>
      </w:r>
      <w:r w:rsidRPr="0073133E">
        <w:t xml:space="preserve">dequate financial and human resources </w:t>
      </w:r>
      <w:r>
        <w:t xml:space="preserve">should be </w:t>
      </w:r>
      <w:r w:rsidR="000415A0">
        <w:t xml:space="preserve">included in the budget. </w:t>
      </w:r>
      <w:r>
        <w:t>Programs that</w:t>
      </w:r>
      <w:r w:rsidR="000415A0">
        <w:t xml:space="preserve"> budget for gender</w:t>
      </w:r>
      <w:r>
        <w:t xml:space="preserve"> technical expertise are more likely to achieve better gender equality results. </w:t>
      </w:r>
      <w:r w:rsidRPr="0073133E">
        <w:t>Funding should be allocated for a gender adviser and to implement</w:t>
      </w:r>
      <w:r w:rsidR="00EE5766">
        <w:t xml:space="preserve"> </w:t>
      </w:r>
      <w:r w:rsidR="008F110B">
        <w:t>M&amp;E</w:t>
      </w:r>
      <w:r w:rsidR="000415A0">
        <w:t xml:space="preserve"> </w:t>
      </w:r>
      <w:r w:rsidRPr="0073133E">
        <w:t>gender equality actions and strategies where relevant.</w:t>
      </w:r>
    </w:p>
    <w:p w14:paraId="28BB7714" w14:textId="26C4A090" w:rsidR="00ED1D0E" w:rsidRDefault="00ED1D0E" w:rsidP="00303779">
      <w:pPr>
        <w:pStyle w:val="Heading3Numbered"/>
        <w:jc w:val="both"/>
        <w:rPr>
          <w:lang w:val="en-AU"/>
        </w:rPr>
      </w:pPr>
      <w:r>
        <w:rPr>
          <w:lang w:val="en-AU"/>
        </w:rPr>
        <w:t>Procurement</w:t>
      </w:r>
      <w:r w:rsidR="0027027F">
        <w:rPr>
          <w:lang w:val="en-AU"/>
        </w:rPr>
        <w:t xml:space="preserve"> </w:t>
      </w:r>
      <w:r>
        <w:rPr>
          <w:lang w:val="en-AU"/>
        </w:rPr>
        <w:t>and partnering</w:t>
      </w:r>
      <w:r w:rsidR="0027027F">
        <w:rPr>
          <w:lang w:val="en-AU"/>
        </w:rPr>
        <w:t xml:space="preserve"> </w:t>
      </w:r>
    </w:p>
    <w:p w14:paraId="24E39148" w14:textId="3A777E98" w:rsidR="00FC7EED" w:rsidRPr="0013694F" w:rsidRDefault="00FC7EED" w:rsidP="00303779">
      <w:pPr>
        <w:jc w:val="both"/>
        <w:rPr>
          <w:lang w:val="en-AU"/>
        </w:rPr>
      </w:pPr>
      <w:r w:rsidRPr="0013694F">
        <w:rPr>
          <w:lang w:val="en-AU"/>
        </w:rPr>
        <w:t xml:space="preserve">Consider the accountability mechanisms built into the design to ensure gender equality is addressed in implementation.  Some types of accountability mechanisms that can be considered in the </w:t>
      </w:r>
      <w:r w:rsidRPr="0013694F">
        <w:rPr>
          <w:b/>
          <w:lang w:val="en-AU"/>
        </w:rPr>
        <w:t>Scope of Services</w:t>
      </w:r>
      <w:r w:rsidRPr="0013694F">
        <w:rPr>
          <w:lang w:val="en-AU"/>
        </w:rPr>
        <w:t xml:space="preserve"> are:</w:t>
      </w:r>
    </w:p>
    <w:p w14:paraId="494940BC" w14:textId="3C757E79" w:rsidR="00FC7EED" w:rsidRDefault="00FC7EED" w:rsidP="00303779">
      <w:pPr>
        <w:pStyle w:val="Bullet1"/>
        <w:jc w:val="both"/>
      </w:pPr>
      <w:r w:rsidRPr="00AB5C6C">
        <w:t>Ensuring adequate financial and human resources for work on gender equality are specified in the investment design.</w:t>
      </w:r>
    </w:p>
    <w:p w14:paraId="0281B942" w14:textId="54753029" w:rsidR="006947DD" w:rsidRDefault="006947DD" w:rsidP="00303779">
      <w:pPr>
        <w:pStyle w:val="Bullet1"/>
        <w:jc w:val="both"/>
      </w:pPr>
      <w:r>
        <w:t>Linking milestone payments to gender equality deliverables such as the GEDSI strategy.</w:t>
      </w:r>
    </w:p>
    <w:p w14:paraId="1A455460" w14:textId="77777777" w:rsidR="00FC7EED" w:rsidRPr="00AB5C6C" w:rsidRDefault="00FC7EED" w:rsidP="00303779">
      <w:pPr>
        <w:pStyle w:val="Bullet1"/>
        <w:jc w:val="both"/>
      </w:pPr>
      <w:r w:rsidRPr="00AB5C6C">
        <w:t xml:space="preserve">Including gender equality related skills and knowledge as part of the selection process for Specified Personnel and adviser positions.  </w:t>
      </w:r>
    </w:p>
    <w:p w14:paraId="70C2A5D0" w14:textId="718540E5" w:rsidR="00FC7EED" w:rsidRPr="00AB5C6C" w:rsidRDefault="00FC7EED" w:rsidP="00303779">
      <w:pPr>
        <w:pStyle w:val="Bullet1"/>
        <w:jc w:val="both"/>
      </w:pPr>
      <w:r w:rsidRPr="00AB5C6C">
        <w:t xml:space="preserve">Including specific responsibilities for integrating gender equality in job descriptions of the Team Leader and other key </w:t>
      </w:r>
      <w:proofErr w:type="gramStart"/>
      <w:r w:rsidR="006947DD" w:rsidRPr="00AB5C6C">
        <w:t>positions</w:t>
      </w:r>
      <w:r w:rsidR="00303779">
        <w:t>,</w:t>
      </w:r>
      <w:r w:rsidR="006947DD" w:rsidRPr="00AB5C6C">
        <w:t xml:space="preserve"> and</w:t>
      </w:r>
      <w:proofErr w:type="gramEnd"/>
      <w:r w:rsidRPr="00AB5C6C">
        <w:t xml:space="preserve"> requiring team members to report on how they have dealt with gender equality issues in their work in their performance reviews.</w:t>
      </w:r>
    </w:p>
    <w:p w14:paraId="76600C94" w14:textId="77777777" w:rsidR="00FC7EED" w:rsidRPr="0013694F" w:rsidRDefault="00FC7EED" w:rsidP="00303779">
      <w:pPr>
        <w:pStyle w:val="Bullet1"/>
        <w:jc w:val="both"/>
        <w:rPr>
          <w:lang w:val="en-AU"/>
        </w:rPr>
      </w:pPr>
      <w:r w:rsidRPr="0013694F">
        <w:rPr>
          <w:lang w:val="en-AU"/>
        </w:rPr>
        <w:t>Earmarking support to ensure that the implementing team receives good quality gender equality training, followed by ongoing mentoring and support.</w:t>
      </w:r>
    </w:p>
    <w:p w14:paraId="5DCF78E2" w14:textId="21AB4700" w:rsidR="00FC7EED" w:rsidRPr="0013694F" w:rsidRDefault="00FC7EED" w:rsidP="00303779">
      <w:pPr>
        <w:pStyle w:val="Bullet1"/>
        <w:jc w:val="both"/>
        <w:rPr>
          <w:lang w:val="en-AU"/>
        </w:rPr>
      </w:pPr>
      <w:r w:rsidRPr="0013694F">
        <w:rPr>
          <w:lang w:val="en-AU"/>
        </w:rPr>
        <w:t xml:space="preserve">Ensuring that implementing partners have clear standards, codes of conduct and protocols for all staff working on the investment to ensure </w:t>
      </w:r>
      <w:r w:rsidR="00303779">
        <w:rPr>
          <w:lang w:val="en-AU"/>
        </w:rPr>
        <w:t>that</w:t>
      </w:r>
      <w:r w:rsidRPr="0013694F">
        <w:rPr>
          <w:lang w:val="en-AU"/>
        </w:rPr>
        <w:t xml:space="preserve"> the investment</w:t>
      </w:r>
      <w:r w:rsidR="00303779">
        <w:rPr>
          <w:lang w:val="en-AU"/>
        </w:rPr>
        <w:t xml:space="preserve"> Does No Harm</w:t>
      </w:r>
      <w:r w:rsidRPr="0013694F">
        <w:rPr>
          <w:lang w:val="en-AU"/>
        </w:rPr>
        <w:t>. This should include implementation of national labour laws for women employed through the investment, with focus on prevention of sexual harassment and gender-based violence.</w:t>
      </w:r>
    </w:p>
    <w:p w14:paraId="7B5D5E53" w14:textId="36E5A9D1" w:rsidR="00FC7EED" w:rsidRDefault="00FC7EED" w:rsidP="00303779">
      <w:pPr>
        <w:pStyle w:val="Bullet1"/>
        <w:jc w:val="both"/>
        <w:rPr>
          <w:lang w:val="en-AU"/>
        </w:rPr>
      </w:pPr>
      <w:r w:rsidRPr="0013694F">
        <w:rPr>
          <w:lang w:val="en-AU"/>
        </w:rPr>
        <w:t>Modelling good practice by requesting contractors appoint both women and men to program teams, especially at senior levels and ensuring gender balance on management committees.</w:t>
      </w:r>
    </w:p>
    <w:p w14:paraId="23B08B13" w14:textId="539E7398" w:rsidR="0027027F" w:rsidRPr="0013694F" w:rsidRDefault="0027027F" w:rsidP="00303779">
      <w:pPr>
        <w:pStyle w:val="Bullet1"/>
        <w:jc w:val="both"/>
        <w:rPr>
          <w:lang w:val="en-AU"/>
        </w:rPr>
      </w:pPr>
      <w:r>
        <w:rPr>
          <w:lang w:val="en-AU"/>
        </w:rPr>
        <w:t>Ensure that gender equality standards are reflected in any performance-based funding arrangements.</w:t>
      </w:r>
    </w:p>
    <w:p w14:paraId="0260736A" w14:textId="538EC5E2" w:rsidR="00ED1D0E" w:rsidRDefault="00ED1D0E" w:rsidP="00303779">
      <w:pPr>
        <w:pStyle w:val="Heading3Numbered"/>
        <w:jc w:val="both"/>
        <w:rPr>
          <w:lang w:val="en-AU"/>
        </w:rPr>
      </w:pPr>
      <w:r>
        <w:rPr>
          <w:lang w:val="en-AU"/>
        </w:rPr>
        <w:t>Risk management and safeguards (what might go wrong?)</w:t>
      </w:r>
    </w:p>
    <w:p w14:paraId="274A518F" w14:textId="7B64A401" w:rsidR="00474D58" w:rsidRPr="00474D58" w:rsidRDefault="00474D58" w:rsidP="00303779">
      <w:pPr>
        <w:jc w:val="both"/>
        <w:rPr>
          <w:lang w:val="en-AU"/>
        </w:rPr>
      </w:pPr>
      <w:r w:rsidRPr="00474D58">
        <w:rPr>
          <w:lang w:val="en-AU"/>
        </w:rPr>
        <w:t xml:space="preserve">In the risk management matrix for the investment, consider whether gender inequality could constrain progress towards the investment’s objectives and whether the approach outlined in the design could inadvertently exacerbate gender inequality. </w:t>
      </w:r>
      <w:r w:rsidR="006947DD">
        <w:rPr>
          <w:lang w:val="en-AU"/>
        </w:rPr>
        <w:t xml:space="preserve">The risk management section should also identify risks in relation to PSEAH. </w:t>
      </w:r>
      <w:r w:rsidRPr="00474D58">
        <w:rPr>
          <w:lang w:val="en-AU"/>
        </w:rPr>
        <w:t>Once identified, the design should explain how gender related risks will be mitigated throughout the investment.</w:t>
      </w:r>
    </w:p>
    <w:p w14:paraId="6BF006FA" w14:textId="77777777" w:rsidR="0013694F" w:rsidRPr="0013694F" w:rsidRDefault="0013694F" w:rsidP="00303779">
      <w:pPr>
        <w:jc w:val="both"/>
        <w:rPr>
          <w:lang w:val="en-AU"/>
        </w:rPr>
      </w:pPr>
    </w:p>
    <w:p w14:paraId="17B7024D" w14:textId="77777777" w:rsidR="0013694F" w:rsidRPr="0013694F" w:rsidRDefault="0013694F" w:rsidP="00303779">
      <w:pPr>
        <w:pStyle w:val="Heading1Numbered"/>
        <w:jc w:val="both"/>
        <w:rPr>
          <w:lang w:val="en-AU"/>
        </w:rPr>
      </w:pPr>
      <w:bookmarkStart w:id="29" w:name="_Hlk120529337"/>
      <w:r w:rsidRPr="0013694F">
        <w:rPr>
          <w:lang w:val="en-AU"/>
        </w:rPr>
        <w:t>Further information and advice</w:t>
      </w:r>
    </w:p>
    <w:p w14:paraId="62DFF9B2" w14:textId="32CBCFA4" w:rsidR="0013694F" w:rsidRPr="0013694F" w:rsidRDefault="006947DD" w:rsidP="00303779">
      <w:pPr>
        <w:jc w:val="both"/>
        <w:rPr>
          <w:lang w:val="en-AU"/>
        </w:rPr>
      </w:pPr>
      <w:bookmarkStart w:id="30" w:name="_Hlk120529377"/>
      <w:r>
        <w:rPr>
          <w:lang w:val="en-AU"/>
        </w:rPr>
        <w:t>The Support Unit for Gender Equality (SURGE) includes a panel of gender advisers</w:t>
      </w:r>
      <w:r w:rsidR="001C4F76">
        <w:rPr>
          <w:lang w:val="en-AU"/>
        </w:rPr>
        <w:t xml:space="preserve"> in different sectors</w:t>
      </w:r>
      <w:r>
        <w:rPr>
          <w:lang w:val="en-AU"/>
        </w:rPr>
        <w:t xml:space="preserve"> who can </w:t>
      </w:r>
      <w:r w:rsidR="001C4F76">
        <w:rPr>
          <w:lang w:val="en-AU"/>
        </w:rPr>
        <w:t>provide technical assistance on gender</w:t>
      </w:r>
      <w:r w:rsidR="00741E0A">
        <w:rPr>
          <w:lang w:val="en-AU"/>
        </w:rPr>
        <w:t xml:space="preserve"> </w:t>
      </w:r>
      <w:r w:rsidR="00303779">
        <w:rPr>
          <w:lang w:val="en-AU"/>
        </w:rPr>
        <w:t>equality across the program cycle</w:t>
      </w:r>
      <w:r>
        <w:rPr>
          <w:lang w:val="en-AU"/>
        </w:rPr>
        <w:t>. To access the panel and f</w:t>
      </w:r>
      <w:r w:rsidR="0013694F" w:rsidRPr="0013694F">
        <w:rPr>
          <w:lang w:val="en-AU"/>
        </w:rPr>
        <w:t>or further assistance on gender equality integration please contact the Gender Equality</w:t>
      </w:r>
      <w:r w:rsidR="00321369">
        <w:rPr>
          <w:lang w:val="en-AU"/>
        </w:rPr>
        <w:t>, Disability</w:t>
      </w:r>
      <w:r w:rsidR="001C4F76">
        <w:rPr>
          <w:lang w:val="en-AU"/>
        </w:rPr>
        <w:t xml:space="preserve"> and Social Inclusion </w:t>
      </w:r>
      <w:r w:rsidR="006D1A66">
        <w:rPr>
          <w:lang w:val="en-AU"/>
        </w:rPr>
        <w:t>Branch</w:t>
      </w:r>
      <w:r w:rsidR="006D1A66" w:rsidRPr="0013694F">
        <w:rPr>
          <w:lang w:val="en-AU"/>
        </w:rPr>
        <w:t xml:space="preserve"> </w:t>
      </w:r>
      <w:r w:rsidR="0013694F" w:rsidRPr="0013694F">
        <w:rPr>
          <w:lang w:val="en-AU"/>
        </w:rPr>
        <w:t xml:space="preserve">at </w:t>
      </w:r>
      <w:hyperlink r:id="rId18" w:history="1">
        <w:r w:rsidR="006D1A66" w:rsidRPr="00925C33">
          <w:rPr>
            <w:rStyle w:val="Hyperlink"/>
            <w:rFonts w:cstheme="minorBidi"/>
            <w:lang w:val="en-AU"/>
          </w:rPr>
          <w:t>gender.equality@dfat.gov.au</w:t>
        </w:r>
      </w:hyperlink>
      <w:r w:rsidR="0013694F" w:rsidRPr="0013694F">
        <w:rPr>
          <w:lang w:val="en-AU"/>
        </w:rPr>
        <w:t>.</w:t>
      </w:r>
    </w:p>
    <w:bookmarkEnd w:id="29"/>
    <w:bookmarkEnd w:id="30"/>
    <w:p w14:paraId="29D0C44B" w14:textId="77777777" w:rsidR="00774EE4" w:rsidRDefault="00774EE4" w:rsidP="004C6342"/>
    <w:sectPr w:rsidR="00774EE4" w:rsidSect="00FC322F">
      <w:headerReference w:type="default" r:id="rId19"/>
      <w:footerReference w:type="default" r:id="rId20"/>
      <w:headerReference w:type="first" r:id="rId21"/>
      <w:footerReference w:type="first" r:id="rId22"/>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48ED2" w14:textId="77777777" w:rsidR="0096179E" w:rsidRDefault="0096179E" w:rsidP="00D37B04">
      <w:r>
        <w:separator/>
      </w:r>
    </w:p>
  </w:endnote>
  <w:endnote w:type="continuationSeparator" w:id="0">
    <w:p w14:paraId="76CF2AB2" w14:textId="77777777" w:rsidR="0096179E" w:rsidRDefault="0096179E"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Sans-500">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C453" w14:textId="77777777" w:rsidR="00FC322F" w:rsidRPr="00FC322F" w:rsidRDefault="00FC322F" w:rsidP="00FC322F">
    <w:pPr>
      <w:pStyle w:val="Footer"/>
      <w:rPr>
        <w:b/>
      </w:rPr>
    </w:pPr>
    <w:r w:rsidRPr="00FC322F">
      <w:rPr>
        <w:b/>
        <w:noProof/>
        <w:lang w:val="en-AU" w:eastAsia="en-AU"/>
      </w:rPr>
      <w:drawing>
        <wp:inline distT="0" distB="0" distL="0" distR="0" wp14:anchorId="29D0C458" wp14:editId="29D0C459">
          <wp:extent cx="108000" cy="87480"/>
          <wp:effectExtent l="0" t="0" r="6350" b="8255"/>
          <wp:docPr id="2" name="Picture 2"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C455" w14:textId="77777777" w:rsidR="00FC322F" w:rsidRPr="00FC322F" w:rsidRDefault="00FC322F" w:rsidP="00FC322F">
    <w:pPr>
      <w:pStyle w:val="Footer"/>
      <w:rPr>
        <w:b/>
      </w:rPr>
    </w:pPr>
    <w:r w:rsidRPr="00FC322F">
      <w:rPr>
        <w:b/>
        <w:noProof/>
        <w:lang w:val="en-AU" w:eastAsia="en-AU"/>
      </w:rPr>
      <w:drawing>
        <wp:inline distT="0" distB="0" distL="0" distR="0" wp14:anchorId="29D0C460" wp14:editId="29D0C461">
          <wp:extent cx="108000" cy="87480"/>
          <wp:effectExtent l="0" t="0" r="6350" b="8255"/>
          <wp:docPr id="6" name="Picture 6"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w:t>
    </w:r>
    <w:proofErr w:type="gramStart"/>
    <w:r w:rsidRPr="00FC322F">
      <w:rPr>
        <w:b/>
      </w:rPr>
      <w:t xml:space="preserve">DFAT  </w:t>
    </w:r>
    <w:r w:rsidRPr="00FC322F">
      <w:rPr>
        <w:rStyle w:val="Green"/>
        <w:b/>
      </w:rPr>
      <w:t>DFAT.GOV.AU</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3665" w14:textId="77777777" w:rsidR="0096179E" w:rsidRPr="008C5A0E" w:rsidRDefault="0096179E" w:rsidP="00D37B04">
      <w:pPr>
        <w:pStyle w:val="Footer"/>
      </w:pPr>
    </w:p>
  </w:footnote>
  <w:footnote w:type="continuationSeparator" w:id="0">
    <w:p w14:paraId="35FAF033" w14:textId="77777777" w:rsidR="0096179E" w:rsidRDefault="0096179E" w:rsidP="00D37B04">
      <w:r>
        <w:continuationSeparator/>
      </w:r>
    </w:p>
  </w:footnote>
  <w:footnote w:id="1">
    <w:p w14:paraId="44F680CD" w14:textId="79F681E8" w:rsidR="0013694F" w:rsidRPr="0013694F" w:rsidRDefault="0013694F" w:rsidP="0013694F">
      <w:pPr>
        <w:pStyle w:val="FootnoteSeparator"/>
      </w:pPr>
      <w:r>
        <w:rPr>
          <w:rStyle w:val="FootnoteReference"/>
        </w:rPr>
        <w:footnoteRef/>
      </w:r>
      <w:r>
        <w:t xml:space="preserve"> </w:t>
      </w:r>
      <w:r w:rsidRPr="0013694F">
        <w:t xml:space="preserve">For further information, including DFAT’s policy, see </w:t>
      </w:r>
      <w:hyperlink r:id="rId1" w:history="1">
        <w:r w:rsidRPr="00A05766">
          <w:rPr>
            <w:rStyle w:val="Hyperlink"/>
            <w:rFonts w:cstheme="minorBidi"/>
          </w:rPr>
          <w:t>https://dfat.gov.au/international-relations/themes/preventing-sexual-exploitation-abuse-and-harassment/Pages/default.aspx</w:t>
        </w:r>
      </w:hyperlink>
      <w:r>
        <w:t xml:space="preserve"> </w:t>
      </w:r>
    </w:p>
    <w:p w14:paraId="6BA2D5BD" w14:textId="3E57AF8D" w:rsidR="0013694F" w:rsidRPr="0013694F" w:rsidRDefault="0013694F">
      <w:pPr>
        <w:pStyle w:val="FootnoteText"/>
        <w:rPr>
          <w:lang w:val="en-AU"/>
        </w:rPr>
      </w:pPr>
    </w:p>
  </w:footnote>
  <w:footnote w:id="2">
    <w:p w14:paraId="3FFE6B77" w14:textId="77777777" w:rsidR="00A1605B" w:rsidRPr="00F956BE" w:rsidRDefault="00A1605B" w:rsidP="00A1605B">
      <w:pPr>
        <w:pStyle w:val="FootnoteText"/>
        <w:ind w:left="0" w:firstLine="0"/>
        <w:rPr>
          <w:lang w:val="en-AU"/>
        </w:rPr>
      </w:pPr>
      <w:r>
        <w:rPr>
          <w:rStyle w:val="FootnoteReference"/>
        </w:rPr>
        <w:footnoteRef/>
      </w:r>
      <w:r>
        <w:t xml:space="preserve"> The minimum criteria for an investment to have gender equality as the principal or a significant objective are set by the OECD DAC. Gender equality is considered a significant objective where it is an important and deliberate objective, but not the principal reason for undertaking the investment. The investment, in addition to other objectives is designed to have a positive impact on advancing gender equality and/or the empowerment of women and girls, reducing gender discrimination or inequalities, or meeting gender-specific needs. Gender equality is considered the principal objective where gender equality is the main objective of the investment </w:t>
      </w:r>
      <w:r w:rsidRPr="00F956BE">
        <w:t xml:space="preserve">and is fundamental to its design and expected results. The investment would not have been undertaken without this gender equality objective. The minimum criteria are set out in the AidWorks </w:t>
      </w:r>
      <w:hyperlink r:id="rId2" w:history="1">
        <w:r w:rsidRPr="00F956BE">
          <w:rPr>
            <w:rStyle w:val="Hyperlink"/>
            <w:rFonts w:cstheme="minorBidi"/>
          </w:rPr>
          <w:t>DAC Sector Gender Theme Quick Reference Guide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C452"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29D0C456" wp14:editId="1EB3DAC8">
          <wp:simplePos x="0" y="0"/>
          <wp:positionH relativeFrom="page">
            <wp:posOffset>12700</wp:posOffset>
          </wp:positionH>
          <wp:positionV relativeFrom="page">
            <wp:posOffset>0</wp:posOffset>
          </wp:positionV>
          <wp:extent cx="7559040" cy="10692765"/>
          <wp:effectExtent l="0" t="0" r="381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E1264" w14:textId="70798EF5" w:rsidR="00F84377" w:rsidRDefault="002D5B25" w:rsidP="00301EE1">
    <w:pPr>
      <w:pStyle w:val="Header"/>
      <w:ind w:left="0"/>
    </w:pPr>
    <w:r w:rsidRPr="00943730">
      <w:rPr>
        <w:noProof/>
        <w:lang w:val="en-AU" w:eastAsia="en-AU"/>
      </w:rPr>
      <w:drawing>
        <wp:anchor distT="0" distB="0" distL="114300" distR="114300" simplePos="0" relativeHeight="251656192" behindDoc="1" locked="1" layoutInCell="1" allowOverlap="1" wp14:anchorId="29D0C45E" wp14:editId="40BD1F25">
          <wp:simplePos x="0" y="0"/>
          <wp:positionH relativeFrom="page">
            <wp:posOffset>-28575</wp:posOffset>
          </wp:positionH>
          <wp:positionV relativeFrom="page">
            <wp:align>top</wp:align>
          </wp:positionV>
          <wp:extent cx="7559040" cy="10911205"/>
          <wp:effectExtent l="0" t="0" r="3810" b="444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911205"/>
                  </a:xfrm>
                  <a:prstGeom prst="rect">
                    <a:avLst/>
                  </a:prstGeom>
                </pic:spPr>
              </pic:pic>
            </a:graphicData>
          </a:graphic>
          <wp14:sizeRelH relativeFrom="margin">
            <wp14:pctWidth>0</wp14:pctWidth>
          </wp14:sizeRelH>
          <wp14:sizeRelV relativeFrom="margin">
            <wp14:pctHeight>0</wp14:pctHeight>
          </wp14:sizeRelV>
        </wp:anchor>
      </w:drawing>
    </w:r>
    <w:r w:rsidR="003452CE">
      <w:t>November 2022</w:t>
    </w:r>
  </w:p>
  <w:p w14:paraId="29D0C454" w14:textId="3B05D44B" w:rsidR="00D37B04" w:rsidRPr="00943730" w:rsidRDefault="00BB5524" w:rsidP="0048623B">
    <w:pPr>
      <w:pStyle w:val="Header"/>
      <w:spacing w:before="360"/>
      <w:ind w:left="0"/>
    </w:pPr>
    <w:r w:rsidRPr="00943730">
      <w:rPr>
        <w:noProof/>
        <w:lang w:val="en-AU" w:eastAsia="en-AU"/>
      </w:rPr>
      <w:drawing>
        <wp:inline distT="0" distB="0" distL="0" distR="0" wp14:anchorId="4F7AB238" wp14:editId="3113EF9A">
          <wp:extent cx="3166920" cy="554400"/>
          <wp:effectExtent l="0" t="0" r="0" b="0"/>
          <wp:docPr id="4" name="Picture 4"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sidR="0070642C">
      <w:tab/>
    </w:r>
    <w:r w:rsidR="0070642C" w:rsidRPr="00252C04">
      <w:rPr>
        <w:noProof/>
        <w:lang w:val="en-AU" w:eastAsia="en-AU"/>
      </w:rPr>
      <w:drawing>
        <wp:inline distT="0" distB="0" distL="0" distR="0" wp14:anchorId="5B5012B7" wp14:editId="29EADE2F">
          <wp:extent cx="1115640" cy="512640"/>
          <wp:effectExtent l="0" t="0" r="8890" b="1905"/>
          <wp:docPr id="5" name="Picture 5"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3">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8255D"/>
    <w:multiLevelType w:val="hybridMultilevel"/>
    <w:tmpl w:val="476EC344"/>
    <w:lvl w:ilvl="0" w:tplc="3ED8451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34CBF"/>
    <w:multiLevelType w:val="hybridMultilevel"/>
    <w:tmpl w:val="14F2F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C50A12"/>
    <w:multiLevelType w:val="hybridMultilevel"/>
    <w:tmpl w:val="FD02E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0D454BE9"/>
    <w:multiLevelType w:val="hybridMultilevel"/>
    <w:tmpl w:val="E28CDAE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4A4B1B"/>
    <w:multiLevelType w:val="multilevel"/>
    <w:tmpl w:val="1098E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8" w15:restartNumberingAfterBreak="0">
    <w:nsid w:val="194F283D"/>
    <w:multiLevelType w:val="hybridMultilevel"/>
    <w:tmpl w:val="99CCCFE2"/>
    <w:lvl w:ilvl="0" w:tplc="CD3E52F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1E2EC4"/>
    <w:multiLevelType w:val="hybridMultilevel"/>
    <w:tmpl w:val="56067546"/>
    <w:lvl w:ilvl="0" w:tplc="1AFA62AE">
      <w:start w:val="1"/>
      <w:numFmt w:val="bullet"/>
      <w:lvlText w:val=""/>
      <w:lvlJc w:val="left"/>
      <w:pPr>
        <w:tabs>
          <w:tab w:val="num" w:pos="717"/>
        </w:tabs>
        <w:ind w:left="717"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243313"/>
    <w:multiLevelType w:val="multilevel"/>
    <w:tmpl w:val="19DEE3A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27D60347"/>
    <w:multiLevelType w:val="hybridMultilevel"/>
    <w:tmpl w:val="D2DE23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2FBD11B4"/>
    <w:multiLevelType w:val="multilevel"/>
    <w:tmpl w:val="4830C0B6"/>
    <w:lvl w:ilvl="0">
      <w:start w:val="1"/>
      <w:numFmt w:val="lowerLetter"/>
      <w:pStyle w:val="List-number-2"/>
      <w:lvlText w:val="%1."/>
      <w:lvlJc w:val="left"/>
      <w:pPr>
        <w:tabs>
          <w:tab w:val="num" w:pos="380"/>
        </w:tabs>
        <w:ind w:left="380" w:hanging="380"/>
      </w:pPr>
      <w:rPr>
        <w:rFonts w:hint="default"/>
        <w:b/>
        <w:i w:val="0"/>
      </w:rPr>
    </w:lvl>
    <w:lvl w:ilvl="1">
      <w:start w:val="1"/>
      <w:numFmt w:val="lowerLetter"/>
      <w:lvlText w:val="%2."/>
      <w:lvlJc w:val="left"/>
      <w:pPr>
        <w:tabs>
          <w:tab w:val="num" w:pos="720"/>
        </w:tabs>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A272E46"/>
    <w:multiLevelType w:val="hybridMultilevel"/>
    <w:tmpl w:val="ED0216AC"/>
    <w:lvl w:ilvl="0" w:tplc="3ED8451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1C4097"/>
    <w:multiLevelType w:val="hybridMultilevel"/>
    <w:tmpl w:val="3A0A0A1E"/>
    <w:lvl w:ilvl="0" w:tplc="1AFA62AE">
      <w:start w:val="1"/>
      <w:numFmt w:val="bullet"/>
      <w:lvlText w:val=""/>
      <w:lvlJc w:val="left"/>
      <w:pPr>
        <w:tabs>
          <w:tab w:val="num" w:pos="717"/>
        </w:tabs>
        <w:ind w:left="717"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BF4595"/>
    <w:multiLevelType w:val="hybridMultilevel"/>
    <w:tmpl w:val="2D08F83A"/>
    <w:lvl w:ilvl="0" w:tplc="3ED8451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E508B"/>
    <w:multiLevelType w:val="hybridMultilevel"/>
    <w:tmpl w:val="1B60B75A"/>
    <w:lvl w:ilvl="0" w:tplc="0C090001">
      <w:start w:val="1"/>
      <w:numFmt w:val="bullet"/>
      <w:lvlText w:val=""/>
      <w:lvlJc w:val="left"/>
      <w:pPr>
        <w:ind w:left="360" w:hanging="360"/>
      </w:pPr>
      <w:rPr>
        <w:rFonts w:ascii="Symbol" w:hAnsi="Symbol" w:hint="default"/>
      </w:rPr>
    </w:lvl>
    <w:lvl w:ilvl="1" w:tplc="8FFEAFA0">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942A87"/>
    <w:multiLevelType w:val="hybridMultilevel"/>
    <w:tmpl w:val="7E7CB96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553D9F"/>
    <w:multiLevelType w:val="multilevel"/>
    <w:tmpl w:val="A6FA45D0"/>
    <w:numStyleLink w:val="BulletsList"/>
  </w:abstractNum>
  <w:abstractNum w:abstractNumId="32" w15:restartNumberingAfterBreak="0">
    <w:nsid w:val="550A208C"/>
    <w:multiLevelType w:val="hybridMultilevel"/>
    <w:tmpl w:val="30F21E28"/>
    <w:lvl w:ilvl="0" w:tplc="1AFA62AE">
      <w:start w:val="1"/>
      <w:numFmt w:val="bullet"/>
      <w:lvlText w:val=""/>
      <w:lvlJc w:val="left"/>
      <w:pPr>
        <w:tabs>
          <w:tab w:val="num" w:pos="717"/>
        </w:tabs>
        <w:ind w:left="717"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4" w15:restartNumberingAfterBreak="0">
    <w:nsid w:val="5D3C1EA7"/>
    <w:multiLevelType w:val="multilevel"/>
    <w:tmpl w:val="A6FA45D0"/>
    <w:numStyleLink w:val="BulletsList"/>
  </w:abstractNum>
  <w:abstractNum w:abstractNumId="3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6" w15:restartNumberingAfterBreak="0">
    <w:nsid w:val="60F7326F"/>
    <w:multiLevelType w:val="hybridMultilevel"/>
    <w:tmpl w:val="38B4B8D6"/>
    <w:lvl w:ilvl="0" w:tplc="3ED8451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31E6D"/>
    <w:multiLevelType w:val="hybridMultilevel"/>
    <w:tmpl w:val="D66C9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FCA559E"/>
    <w:multiLevelType w:val="hybridMultilevel"/>
    <w:tmpl w:val="AADA1280"/>
    <w:lvl w:ilvl="0" w:tplc="17768A98">
      <w:start w:val="1"/>
      <w:numFmt w:val="bullet"/>
      <w:lvlText w:val="›"/>
      <w:lvlJc w:val="left"/>
      <w:pPr>
        <w:ind w:left="862" w:hanging="360"/>
      </w:pPr>
      <w:rPr>
        <w:rFonts w:ascii="Times New Roman" w:hAnsi="Times New Roman" w:cs="Times New Roman"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9"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3"/>
  </w:num>
  <w:num w:numId="10">
    <w:abstractNumId w:val="3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4"/>
  </w:num>
  <w:num w:numId="22">
    <w:abstractNumId w:val="23"/>
  </w:num>
  <w:num w:numId="23">
    <w:abstractNumId w:val="23"/>
  </w:num>
  <w:num w:numId="24">
    <w:abstractNumId w:val="34"/>
  </w:num>
  <w:num w:numId="25">
    <w:abstractNumId w:val="34"/>
  </w:num>
  <w:num w:numId="26">
    <w:abstractNumId w:val="34"/>
  </w:num>
  <w:num w:numId="27">
    <w:abstractNumId w:val="33"/>
  </w:num>
  <w:num w:numId="28">
    <w:abstractNumId w:val="13"/>
  </w:num>
  <w:num w:numId="29">
    <w:abstractNumId w:val="13"/>
  </w:num>
  <w:num w:numId="30">
    <w:abstractNumId w:val="13"/>
  </w:num>
  <w:num w:numId="31">
    <w:abstractNumId w:val="17"/>
  </w:num>
  <w:num w:numId="32">
    <w:abstractNumId w:val="40"/>
  </w:num>
  <w:num w:numId="33">
    <w:abstractNumId w:val="31"/>
  </w:num>
  <w:num w:numId="34">
    <w:abstractNumId w:val="14"/>
  </w:num>
  <w:num w:numId="35">
    <w:abstractNumId w:val="25"/>
  </w:num>
  <w:num w:numId="36">
    <w:abstractNumId w:val="21"/>
  </w:num>
  <w:num w:numId="37">
    <w:abstractNumId w:val="32"/>
  </w:num>
  <w:num w:numId="38">
    <w:abstractNumId w:val="19"/>
  </w:num>
  <w:num w:numId="39">
    <w:abstractNumId w:val="27"/>
  </w:num>
  <w:num w:numId="40">
    <w:abstractNumId w:val="20"/>
  </w:num>
  <w:num w:numId="41">
    <w:abstractNumId w:val="24"/>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0"/>
  </w:num>
  <w:num w:numId="45">
    <w:abstractNumId w:val="31"/>
  </w:num>
  <w:num w:numId="46">
    <w:abstractNumId w:val="31"/>
  </w:num>
  <w:num w:numId="47">
    <w:abstractNumId w:val="36"/>
  </w:num>
  <w:num w:numId="48">
    <w:abstractNumId w:val="31"/>
  </w:num>
  <w:num w:numId="49">
    <w:abstractNumId w:val="28"/>
  </w:num>
  <w:num w:numId="50">
    <w:abstractNumId w:val="26"/>
  </w:num>
  <w:num w:numId="51">
    <w:abstractNumId w:val="31"/>
  </w:num>
  <w:num w:numId="52">
    <w:abstractNumId w:val="18"/>
  </w:num>
  <w:num w:numId="53">
    <w:abstractNumId w:val="22"/>
  </w:num>
  <w:num w:numId="54">
    <w:abstractNumId w:val="37"/>
  </w:num>
  <w:num w:numId="55">
    <w:abstractNumId w:val="29"/>
  </w:num>
  <w:num w:numId="56">
    <w:abstractNumId w:val="30"/>
  </w:num>
  <w:num w:numId="57">
    <w:abstractNumId w:val="12"/>
  </w:num>
  <w:num w:numId="58">
    <w:abstractNumId w:val="16"/>
  </w:num>
  <w:num w:numId="59">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2FA1"/>
    <w:rsid w:val="00015E18"/>
    <w:rsid w:val="0002080A"/>
    <w:rsid w:val="00020E65"/>
    <w:rsid w:val="00025336"/>
    <w:rsid w:val="0002782F"/>
    <w:rsid w:val="00035BBF"/>
    <w:rsid w:val="000415A0"/>
    <w:rsid w:val="00047AF3"/>
    <w:rsid w:val="00050806"/>
    <w:rsid w:val="000546D9"/>
    <w:rsid w:val="00054E4D"/>
    <w:rsid w:val="00060073"/>
    <w:rsid w:val="000616C6"/>
    <w:rsid w:val="0006395B"/>
    <w:rsid w:val="000854FD"/>
    <w:rsid w:val="000856D3"/>
    <w:rsid w:val="00092DD6"/>
    <w:rsid w:val="000963BD"/>
    <w:rsid w:val="000B0297"/>
    <w:rsid w:val="000B37F5"/>
    <w:rsid w:val="000B63BB"/>
    <w:rsid w:val="000C11AA"/>
    <w:rsid w:val="000D1403"/>
    <w:rsid w:val="000D66D6"/>
    <w:rsid w:val="00102643"/>
    <w:rsid w:val="00113288"/>
    <w:rsid w:val="001214BE"/>
    <w:rsid w:val="0013101C"/>
    <w:rsid w:val="001335B8"/>
    <w:rsid w:val="0013694F"/>
    <w:rsid w:val="001461D6"/>
    <w:rsid w:val="001541EA"/>
    <w:rsid w:val="00160821"/>
    <w:rsid w:val="00160A7B"/>
    <w:rsid w:val="001703C3"/>
    <w:rsid w:val="001876A5"/>
    <w:rsid w:val="001A4290"/>
    <w:rsid w:val="001C4F76"/>
    <w:rsid w:val="001D663E"/>
    <w:rsid w:val="001E1DC0"/>
    <w:rsid w:val="001E43CE"/>
    <w:rsid w:val="00203277"/>
    <w:rsid w:val="00205B2E"/>
    <w:rsid w:val="00224014"/>
    <w:rsid w:val="00232CF6"/>
    <w:rsid w:val="00252C04"/>
    <w:rsid w:val="002551C2"/>
    <w:rsid w:val="0027027F"/>
    <w:rsid w:val="002765CA"/>
    <w:rsid w:val="0028602A"/>
    <w:rsid w:val="0028609E"/>
    <w:rsid w:val="00292574"/>
    <w:rsid w:val="002A3591"/>
    <w:rsid w:val="002A5C40"/>
    <w:rsid w:val="002B5E10"/>
    <w:rsid w:val="002C0079"/>
    <w:rsid w:val="002C793D"/>
    <w:rsid w:val="002D4EE6"/>
    <w:rsid w:val="002D5B25"/>
    <w:rsid w:val="002E5A99"/>
    <w:rsid w:val="002F17BA"/>
    <w:rsid w:val="002F4F2B"/>
    <w:rsid w:val="003002C0"/>
    <w:rsid w:val="00301144"/>
    <w:rsid w:val="00301EE1"/>
    <w:rsid w:val="003031C6"/>
    <w:rsid w:val="00303779"/>
    <w:rsid w:val="003041A3"/>
    <w:rsid w:val="00304433"/>
    <w:rsid w:val="00304984"/>
    <w:rsid w:val="00311F6C"/>
    <w:rsid w:val="00312BF8"/>
    <w:rsid w:val="003137A6"/>
    <w:rsid w:val="003148B7"/>
    <w:rsid w:val="003158C3"/>
    <w:rsid w:val="00321369"/>
    <w:rsid w:val="003274CD"/>
    <w:rsid w:val="003301D1"/>
    <w:rsid w:val="00333501"/>
    <w:rsid w:val="00341E03"/>
    <w:rsid w:val="003452CE"/>
    <w:rsid w:val="003457C4"/>
    <w:rsid w:val="00346C06"/>
    <w:rsid w:val="003508E5"/>
    <w:rsid w:val="0035119D"/>
    <w:rsid w:val="00351D2F"/>
    <w:rsid w:val="0036657C"/>
    <w:rsid w:val="00366C33"/>
    <w:rsid w:val="00384D40"/>
    <w:rsid w:val="0039344A"/>
    <w:rsid w:val="0039492D"/>
    <w:rsid w:val="00395163"/>
    <w:rsid w:val="003B4F12"/>
    <w:rsid w:val="003C5E28"/>
    <w:rsid w:val="003D4D19"/>
    <w:rsid w:val="003D6C9E"/>
    <w:rsid w:val="003D762E"/>
    <w:rsid w:val="003D77C8"/>
    <w:rsid w:val="003E184F"/>
    <w:rsid w:val="003E4704"/>
    <w:rsid w:val="003F2041"/>
    <w:rsid w:val="003F7ED8"/>
    <w:rsid w:val="0040145A"/>
    <w:rsid w:val="00402ACC"/>
    <w:rsid w:val="00406902"/>
    <w:rsid w:val="004120EC"/>
    <w:rsid w:val="00416B87"/>
    <w:rsid w:val="00423F31"/>
    <w:rsid w:val="00426685"/>
    <w:rsid w:val="004316C8"/>
    <w:rsid w:val="00431899"/>
    <w:rsid w:val="004333CA"/>
    <w:rsid w:val="00436D4E"/>
    <w:rsid w:val="00442055"/>
    <w:rsid w:val="00444B32"/>
    <w:rsid w:val="00474D58"/>
    <w:rsid w:val="004816C8"/>
    <w:rsid w:val="00482AE8"/>
    <w:rsid w:val="0048492D"/>
    <w:rsid w:val="0048623B"/>
    <w:rsid w:val="00486804"/>
    <w:rsid w:val="004939C4"/>
    <w:rsid w:val="004A5E7D"/>
    <w:rsid w:val="004B3775"/>
    <w:rsid w:val="004C6342"/>
    <w:rsid w:val="004D0BA0"/>
    <w:rsid w:val="004D5402"/>
    <w:rsid w:val="004E058F"/>
    <w:rsid w:val="004E3B87"/>
    <w:rsid w:val="004E57E3"/>
    <w:rsid w:val="00503706"/>
    <w:rsid w:val="00510921"/>
    <w:rsid w:val="00510AD3"/>
    <w:rsid w:val="00511741"/>
    <w:rsid w:val="00513348"/>
    <w:rsid w:val="00513AD8"/>
    <w:rsid w:val="005204D2"/>
    <w:rsid w:val="00521696"/>
    <w:rsid w:val="00522396"/>
    <w:rsid w:val="00533B5D"/>
    <w:rsid w:val="005379BE"/>
    <w:rsid w:val="005404E3"/>
    <w:rsid w:val="0054497C"/>
    <w:rsid w:val="005505ED"/>
    <w:rsid w:val="00562C0F"/>
    <w:rsid w:val="0059305E"/>
    <w:rsid w:val="005A20F6"/>
    <w:rsid w:val="005A62B7"/>
    <w:rsid w:val="005B3E86"/>
    <w:rsid w:val="005B55E8"/>
    <w:rsid w:val="005D3655"/>
    <w:rsid w:val="005E09AF"/>
    <w:rsid w:val="005E1F46"/>
    <w:rsid w:val="005E2BA2"/>
    <w:rsid w:val="005E4830"/>
    <w:rsid w:val="005F67C5"/>
    <w:rsid w:val="006073C8"/>
    <w:rsid w:val="00611356"/>
    <w:rsid w:val="0061667D"/>
    <w:rsid w:val="00622B86"/>
    <w:rsid w:val="00623BA1"/>
    <w:rsid w:val="006346BC"/>
    <w:rsid w:val="0066390C"/>
    <w:rsid w:val="0066609E"/>
    <w:rsid w:val="0066652A"/>
    <w:rsid w:val="006719C3"/>
    <w:rsid w:val="00680522"/>
    <w:rsid w:val="00682167"/>
    <w:rsid w:val="00684EF9"/>
    <w:rsid w:val="006947DD"/>
    <w:rsid w:val="0069570E"/>
    <w:rsid w:val="006B377D"/>
    <w:rsid w:val="006B4308"/>
    <w:rsid w:val="006C42AF"/>
    <w:rsid w:val="006D1A66"/>
    <w:rsid w:val="006D6CC4"/>
    <w:rsid w:val="00703FF4"/>
    <w:rsid w:val="0070642C"/>
    <w:rsid w:val="00711D8E"/>
    <w:rsid w:val="00712672"/>
    <w:rsid w:val="00724CC4"/>
    <w:rsid w:val="00726DBA"/>
    <w:rsid w:val="00734E3F"/>
    <w:rsid w:val="00735061"/>
    <w:rsid w:val="00736985"/>
    <w:rsid w:val="00741E0A"/>
    <w:rsid w:val="00742B13"/>
    <w:rsid w:val="00745DF5"/>
    <w:rsid w:val="00761D41"/>
    <w:rsid w:val="0076250F"/>
    <w:rsid w:val="007706B8"/>
    <w:rsid w:val="00770A58"/>
    <w:rsid w:val="00774EE4"/>
    <w:rsid w:val="00780FA5"/>
    <w:rsid w:val="007B1CE7"/>
    <w:rsid w:val="007B32FA"/>
    <w:rsid w:val="007B43D5"/>
    <w:rsid w:val="007B6200"/>
    <w:rsid w:val="007C10FA"/>
    <w:rsid w:val="007F3395"/>
    <w:rsid w:val="00801B9F"/>
    <w:rsid w:val="0080204D"/>
    <w:rsid w:val="00805B9C"/>
    <w:rsid w:val="00806957"/>
    <w:rsid w:val="00820079"/>
    <w:rsid w:val="0083052F"/>
    <w:rsid w:val="008475F0"/>
    <w:rsid w:val="008530B8"/>
    <w:rsid w:val="00853B76"/>
    <w:rsid w:val="008557A7"/>
    <w:rsid w:val="008570BB"/>
    <w:rsid w:val="00870928"/>
    <w:rsid w:val="0087096F"/>
    <w:rsid w:val="00875D19"/>
    <w:rsid w:val="00882CD2"/>
    <w:rsid w:val="00884984"/>
    <w:rsid w:val="00885A62"/>
    <w:rsid w:val="00892E1C"/>
    <w:rsid w:val="0089405C"/>
    <w:rsid w:val="00897FA2"/>
    <w:rsid w:val="008A1623"/>
    <w:rsid w:val="008A5AFE"/>
    <w:rsid w:val="008C2C02"/>
    <w:rsid w:val="008C318D"/>
    <w:rsid w:val="008C5A0E"/>
    <w:rsid w:val="008C695D"/>
    <w:rsid w:val="008E6D19"/>
    <w:rsid w:val="008F110B"/>
    <w:rsid w:val="009144EA"/>
    <w:rsid w:val="009265C7"/>
    <w:rsid w:val="00927716"/>
    <w:rsid w:val="00930F80"/>
    <w:rsid w:val="00936003"/>
    <w:rsid w:val="00937BFB"/>
    <w:rsid w:val="00943730"/>
    <w:rsid w:val="00960532"/>
    <w:rsid w:val="0096179E"/>
    <w:rsid w:val="00961E72"/>
    <w:rsid w:val="009670F0"/>
    <w:rsid w:val="00974F23"/>
    <w:rsid w:val="00975CA5"/>
    <w:rsid w:val="009761A2"/>
    <w:rsid w:val="00983AED"/>
    <w:rsid w:val="00986590"/>
    <w:rsid w:val="00991769"/>
    <w:rsid w:val="00992C76"/>
    <w:rsid w:val="00993567"/>
    <w:rsid w:val="009969D6"/>
    <w:rsid w:val="009A3DD2"/>
    <w:rsid w:val="009B306F"/>
    <w:rsid w:val="009B4D3B"/>
    <w:rsid w:val="009B7942"/>
    <w:rsid w:val="009C3466"/>
    <w:rsid w:val="009C5B27"/>
    <w:rsid w:val="009D6ADE"/>
    <w:rsid w:val="009D7407"/>
    <w:rsid w:val="009E06E2"/>
    <w:rsid w:val="009E0866"/>
    <w:rsid w:val="009E273C"/>
    <w:rsid w:val="009F1350"/>
    <w:rsid w:val="009F6423"/>
    <w:rsid w:val="00A04790"/>
    <w:rsid w:val="00A15F6B"/>
    <w:rsid w:val="00A1605B"/>
    <w:rsid w:val="00A175B3"/>
    <w:rsid w:val="00A24A62"/>
    <w:rsid w:val="00A31C9F"/>
    <w:rsid w:val="00A4144F"/>
    <w:rsid w:val="00A61B4D"/>
    <w:rsid w:val="00A80F95"/>
    <w:rsid w:val="00A91795"/>
    <w:rsid w:val="00A97BF1"/>
    <w:rsid w:val="00AA298A"/>
    <w:rsid w:val="00AA315B"/>
    <w:rsid w:val="00AB4ABE"/>
    <w:rsid w:val="00AB5C6C"/>
    <w:rsid w:val="00AC164A"/>
    <w:rsid w:val="00AD2177"/>
    <w:rsid w:val="00AE2908"/>
    <w:rsid w:val="00AE448A"/>
    <w:rsid w:val="00AF2050"/>
    <w:rsid w:val="00AF3C55"/>
    <w:rsid w:val="00AF7866"/>
    <w:rsid w:val="00B008E4"/>
    <w:rsid w:val="00B03CA8"/>
    <w:rsid w:val="00B04F9B"/>
    <w:rsid w:val="00B163E3"/>
    <w:rsid w:val="00B17604"/>
    <w:rsid w:val="00B258B8"/>
    <w:rsid w:val="00B33C0A"/>
    <w:rsid w:val="00B36199"/>
    <w:rsid w:val="00B55E19"/>
    <w:rsid w:val="00B637B3"/>
    <w:rsid w:val="00B65E5F"/>
    <w:rsid w:val="00B7704E"/>
    <w:rsid w:val="00B87193"/>
    <w:rsid w:val="00B94746"/>
    <w:rsid w:val="00B94758"/>
    <w:rsid w:val="00BA4B6D"/>
    <w:rsid w:val="00BB26C5"/>
    <w:rsid w:val="00BB5524"/>
    <w:rsid w:val="00BC31BD"/>
    <w:rsid w:val="00BC35D6"/>
    <w:rsid w:val="00BF0502"/>
    <w:rsid w:val="00BF06F2"/>
    <w:rsid w:val="00BF4DE6"/>
    <w:rsid w:val="00C01B67"/>
    <w:rsid w:val="00C06B13"/>
    <w:rsid w:val="00C072D2"/>
    <w:rsid w:val="00C14BF0"/>
    <w:rsid w:val="00C25666"/>
    <w:rsid w:val="00C27D25"/>
    <w:rsid w:val="00C27F1A"/>
    <w:rsid w:val="00C42541"/>
    <w:rsid w:val="00C42CDE"/>
    <w:rsid w:val="00C5182A"/>
    <w:rsid w:val="00C54D64"/>
    <w:rsid w:val="00C63EE9"/>
    <w:rsid w:val="00C706FE"/>
    <w:rsid w:val="00C86689"/>
    <w:rsid w:val="00C96425"/>
    <w:rsid w:val="00CA13BC"/>
    <w:rsid w:val="00CA16F3"/>
    <w:rsid w:val="00CA37B1"/>
    <w:rsid w:val="00CB1959"/>
    <w:rsid w:val="00CC05FA"/>
    <w:rsid w:val="00CC184F"/>
    <w:rsid w:val="00CC741B"/>
    <w:rsid w:val="00CD0E4B"/>
    <w:rsid w:val="00CE16C1"/>
    <w:rsid w:val="00CE3EF2"/>
    <w:rsid w:val="00CE4C89"/>
    <w:rsid w:val="00CF07BA"/>
    <w:rsid w:val="00D0296C"/>
    <w:rsid w:val="00D03837"/>
    <w:rsid w:val="00D15A68"/>
    <w:rsid w:val="00D23578"/>
    <w:rsid w:val="00D2412E"/>
    <w:rsid w:val="00D26FFC"/>
    <w:rsid w:val="00D32D6F"/>
    <w:rsid w:val="00D33DC8"/>
    <w:rsid w:val="00D37B04"/>
    <w:rsid w:val="00D51E1C"/>
    <w:rsid w:val="00D540C6"/>
    <w:rsid w:val="00D63F06"/>
    <w:rsid w:val="00D6497F"/>
    <w:rsid w:val="00D64BD1"/>
    <w:rsid w:val="00D66C0A"/>
    <w:rsid w:val="00D71BE3"/>
    <w:rsid w:val="00D92254"/>
    <w:rsid w:val="00DA5A21"/>
    <w:rsid w:val="00DA6CCD"/>
    <w:rsid w:val="00DB6F45"/>
    <w:rsid w:val="00DB7677"/>
    <w:rsid w:val="00DC70D1"/>
    <w:rsid w:val="00DD1617"/>
    <w:rsid w:val="00DE084C"/>
    <w:rsid w:val="00DE7610"/>
    <w:rsid w:val="00DF01B0"/>
    <w:rsid w:val="00DF61E4"/>
    <w:rsid w:val="00E14F51"/>
    <w:rsid w:val="00E26742"/>
    <w:rsid w:val="00E27EF2"/>
    <w:rsid w:val="00E32B6D"/>
    <w:rsid w:val="00E34CE8"/>
    <w:rsid w:val="00E357B7"/>
    <w:rsid w:val="00E44A08"/>
    <w:rsid w:val="00E46FC7"/>
    <w:rsid w:val="00E51381"/>
    <w:rsid w:val="00E53800"/>
    <w:rsid w:val="00E53AD1"/>
    <w:rsid w:val="00E53ECD"/>
    <w:rsid w:val="00E6081F"/>
    <w:rsid w:val="00E8296D"/>
    <w:rsid w:val="00E8457B"/>
    <w:rsid w:val="00E879BE"/>
    <w:rsid w:val="00EA04B2"/>
    <w:rsid w:val="00EA0F2E"/>
    <w:rsid w:val="00EA20F3"/>
    <w:rsid w:val="00EB4F59"/>
    <w:rsid w:val="00EC40EA"/>
    <w:rsid w:val="00ED0F14"/>
    <w:rsid w:val="00ED1D0E"/>
    <w:rsid w:val="00ED2831"/>
    <w:rsid w:val="00ED43D1"/>
    <w:rsid w:val="00EE25F4"/>
    <w:rsid w:val="00EE4C9A"/>
    <w:rsid w:val="00EE4EE1"/>
    <w:rsid w:val="00EE5766"/>
    <w:rsid w:val="00EE6AD7"/>
    <w:rsid w:val="00EF4574"/>
    <w:rsid w:val="00EF5FB3"/>
    <w:rsid w:val="00F16891"/>
    <w:rsid w:val="00F20911"/>
    <w:rsid w:val="00F25A93"/>
    <w:rsid w:val="00F2684E"/>
    <w:rsid w:val="00F52CB7"/>
    <w:rsid w:val="00F5404C"/>
    <w:rsid w:val="00F57F53"/>
    <w:rsid w:val="00F627A8"/>
    <w:rsid w:val="00F729EF"/>
    <w:rsid w:val="00F740D4"/>
    <w:rsid w:val="00F744A2"/>
    <w:rsid w:val="00F77CAE"/>
    <w:rsid w:val="00F82249"/>
    <w:rsid w:val="00F82271"/>
    <w:rsid w:val="00F83428"/>
    <w:rsid w:val="00F84377"/>
    <w:rsid w:val="00F956BE"/>
    <w:rsid w:val="00F96BB9"/>
    <w:rsid w:val="00FA0E48"/>
    <w:rsid w:val="00FA520A"/>
    <w:rsid w:val="00FA79D4"/>
    <w:rsid w:val="00FB7512"/>
    <w:rsid w:val="00FC322F"/>
    <w:rsid w:val="00FC7B3F"/>
    <w:rsid w:val="00FC7EED"/>
    <w:rsid w:val="00FE6D51"/>
    <w:rsid w:val="00FE6F2A"/>
    <w:rsid w:val="00FF0950"/>
    <w:rsid w:val="00FF5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D0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customStyle="1" w:styleId="List-bullet-1">
    <w:name w:val="List-bullet-1"/>
    <w:basedOn w:val="Normal"/>
    <w:link w:val="List-bullet-1Char"/>
    <w:qFormat/>
    <w:rsid w:val="00B163E3"/>
    <w:pPr>
      <w:numPr>
        <w:numId w:val="36"/>
      </w:numPr>
      <w:suppressAutoHyphens w:val="0"/>
      <w:spacing w:after="0" w:line="240" w:lineRule="auto"/>
    </w:pPr>
    <w:rPr>
      <w:rFonts w:ascii="Arial" w:eastAsia="Times New Roman" w:hAnsi="Arial" w:cs="Arial"/>
      <w:color w:val="auto"/>
      <w:sz w:val="20"/>
      <w:lang w:val="en-AU"/>
    </w:rPr>
  </w:style>
  <w:style w:type="character" w:customStyle="1" w:styleId="List-bullet-1Char">
    <w:name w:val="List-bullet-1 Char"/>
    <w:link w:val="List-bullet-1"/>
    <w:rsid w:val="00B163E3"/>
    <w:rPr>
      <w:rFonts w:ascii="Arial" w:eastAsia="Times New Roman" w:hAnsi="Arial" w:cs="Arial"/>
      <w:sz w:val="20"/>
    </w:rPr>
  </w:style>
  <w:style w:type="paragraph" w:customStyle="1" w:styleId="Heading3numbered0">
    <w:name w:val="Heading 3 numbered"/>
    <w:basedOn w:val="Heading3"/>
    <w:next w:val="Normal"/>
    <w:rsid w:val="0013694F"/>
    <w:pPr>
      <w:keepLines w:val="0"/>
      <w:tabs>
        <w:tab w:val="num" w:pos="454"/>
      </w:tabs>
      <w:suppressAutoHyphens w:val="0"/>
      <w:spacing w:before="240" w:after="60" w:line="240" w:lineRule="auto"/>
      <w:ind w:left="454" w:hanging="454"/>
      <w:contextualSpacing w:val="0"/>
    </w:pPr>
    <w:rPr>
      <w:rFonts w:ascii="Arial" w:eastAsia="Times New Roman" w:hAnsi="Arial" w:cs="Times New Roman"/>
      <w:b/>
      <w:i/>
      <w:iCs/>
      <w:color w:val="auto"/>
      <w:sz w:val="22"/>
      <w:lang w:val="en-AU"/>
    </w:rPr>
  </w:style>
  <w:style w:type="paragraph" w:customStyle="1" w:styleId="List-number-2">
    <w:name w:val="List-number-2"/>
    <w:basedOn w:val="Normal"/>
    <w:rsid w:val="0013694F"/>
    <w:pPr>
      <w:numPr>
        <w:numId w:val="41"/>
      </w:numPr>
      <w:suppressAutoHyphens w:val="0"/>
      <w:spacing w:after="0" w:line="240" w:lineRule="auto"/>
    </w:pPr>
    <w:rPr>
      <w:rFonts w:ascii="Arial" w:eastAsia="Times New Roman" w:hAnsi="Arial" w:cs="Times New Roman"/>
      <w:b/>
      <w:color w:val="auto"/>
      <w:sz w:val="20"/>
      <w:szCs w:val="24"/>
      <w:lang w:val="en-AU"/>
    </w:rPr>
  </w:style>
  <w:style w:type="paragraph" w:styleId="ListParagraph">
    <w:name w:val="List Paragraph"/>
    <w:aliases w:val="Bullet1,List Paragraph1,Recommendation,List Paragraph11,Rec para,L,CV text,Table text,F5 List Paragraph,Dot pt,Colorful List - Accent 11,No Spacing1,List Paragraph Char Char Char,Indicator Text,Numbered Para 1,Bullet Points,Bullet point,列"/>
    <w:basedOn w:val="Normal"/>
    <w:link w:val="ListParagraphChar"/>
    <w:uiPriority w:val="34"/>
    <w:qFormat/>
    <w:locked/>
    <w:rsid w:val="004E57E3"/>
    <w:pPr>
      <w:ind w:left="720"/>
      <w:contextualSpacing/>
    </w:pPr>
  </w:style>
  <w:style w:type="character" w:styleId="FollowedHyperlink">
    <w:name w:val="FollowedHyperlink"/>
    <w:basedOn w:val="DefaultParagraphFont"/>
    <w:uiPriority w:val="99"/>
    <w:semiHidden/>
    <w:unhideWhenUsed/>
    <w:rsid w:val="00FA79D4"/>
    <w:rPr>
      <w:color w:val="800080" w:themeColor="followedHyperlink"/>
      <w:u w:val="single"/>
    </w:rPr>
  </w:style>
  <w:style w:type="paragraph" w:styleId="Revision">
    <w:name w:val="Revision"/>
    <w:hidden/>
    <w:uiPriority w:val="99"/>
    <w:semiHidden/>
    <w:rsid w:val="0028609E"/>
    <w:pPr>
      <w:spacing w:after="0" w:line="240" w:lineRule="auto"/>
    </w:pPr>
    <w:rPr>
      <w:color w:val="495965" w:themeColor="text2"/>
      <w:lang w:val="en-GB"/>
    </w:rPr>
  </w:style>
  <w:style w:type="character" w:customStyle="1" w:styleId="ListParagraphChar">
    <w:name w:val="List Paragraph Char"/>
    <w:aliases w:val="Bullet1 Char,List Paragraph1 Char,Recommendation Char,List Paragraph11 Char,Rec para Char,L Char,CV text Char,Table text Char,F5 List Paragraph Char,Dot pt Char,Colorful List - Accent 11 Char,No Spacing1 Char,Indicator Text Char"/>
    <w:basedOn w:val="DefaultParagraphFont"/>
    <w:link w:val="ListParagraph"/>
    <w:uiPriority w:val="34"/>
    <w:qFormat/>
    <w:locked/>
    <w:rsid w:val="0028609E"/>
    <w:rPr>
      <w:color w:val="495965" w:themeColor="text2"/>
      <w:lang w:val="en-GB"/>
    </w:rPr>
  </w:style>
  <w:style w:type="paragraph" w:styleId="NormalWeb">
    <w:name w:val="Normal (Web)"/>
    <w:basedOn w:val="Normal"/>
    <w:uiPriority w:val="99"/>
    <w:unhideWhenUsed/>
    <w:rsid w:val="006947DD"/>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FC7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06890">
      <w:bodyDiv w:val="1"/>
      <w:marLeft w:val="0"/>
      <w:marRight w:val="0"/>
      <w:marTop w:val="0"/>
      <w:marBottom w:val="0"/>
      <w:divBdr>
        <w:top w:val="none" w:sz="0" w:space="0" w:color="auto"/>
        <w:left w:val="none" w:sz="0" w:space="0" w:color="auto"/>
        <w:bottom w:val="none" w:sz="0" w:space="0" w:color="auto"/>
        <w:right w:val="none" w:sz="0" w:space="0" w:color="auto"/>
      </w:divBdr>
      <w:divsChild>
        <w:div w:id="1103569536">
          <w:marLeft w:val="0"/>
          <w:marRight w:val="0"/>
          <w:marTop w:val="0"/>
          <w:marBottom w:val="0"/>
          <w:divBdr>
            <w:top w:val="none" w:sz="0" w:space="0" w:color="auto"/>
            <w:left w:val="none" w:sz="0" w:space="0" w:color="auto"/>
            <w:bottom w:val="none" w:sz="0" w:space="0" w:color="auto"/>
            <w:right w:val="none" w:sz="0" w:space="0" w:color="auto"/>
          </w:divBdr>
          <w:divsChild>
            <w:div w:id="1724520521">
              <w:marLeft w:val="0"/>
              <w:marRight w:val="0"/>
              <w:marTop w:val="0"/>
              <w:marBottom w:val="0"/>
              <w:divBdr>
                <w:top w:val="none" w:sz="0" w:space="0" w:color="auto"/>
                <w:left w:val="none" w:sz="0" w:space="0" w:color="auto"/>
                <w:bottom w:val="none" w:sz="0" w:space="0" w:color="auto"/>
                <w:right w:val="none" w:sz="0" w:space="0" w:color="auto"/>
              </w:divBdr>
              <w:divsChild>
                <w:div w:id="237979228">
                  <w:marLeft w:val="0"/>
                  <w:marRight w:val="0"/>
                  <w:marTop w:val="0"/>
                  <w:marBottom w:val="0"/>
                  <w:divBdr>
                    <w:top w:val="none" w:sz="0" w:space="0" w:color="auto"/>
                    <w:left w:val="none" w:sz="0" w:space="0" w:color="auto"/>
                    <w:bottom w:val="none" w:sz="0" w:space="0" w:color="auto"/>
                    <w:right w:val="none" w:sz="0" w:space="0" w:color="auto"/>
                  </w:divBdr>
                  <w:divsChild>
                    <w:div w:id="14300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9268">
      <w:bodyDiv w:val="1"/>
      <w:marLeft w:val="0"/>
      <w:marRight w:val="0"/>
      <w:marTop w:val="0"/>
      <w:marBottom w:val="0"/>
      <w:divBdr>
        <w:top w:val="none" w:sz="0" w:space="0" w:color="auto"/>
        <w:left w:val="none" w:sz="0" w:space="0" w:color="auto"/>
        <w:bottom w:val="none" w:sz="0" w:space="0" w:color="auto"/>
        <w:right w:val="none" w:sz="0" w:space="0" w:color="auto"/>
      </w:divBdr>
      <w:divsChild>
        <w:div w:id="626590818">
          <w:marLeft w:val="0"/>
          <w:marRight w:val="0"/>
          <w:marTop w:val="0"/>
          <w:marBottom w:val="0"/>
          <w:divBdr>
            <w:top w:val="none" w:sz="0" w:space="0" w:color="auto"/>
            <w:left w:val="none" w:sz="0" w:space="0" w:color="auto"/>
            <w:bottom w:val="none" w:sz="0" w:space="0" w:color="auto"/>
            <w:right w:val="none" w:sz="0" w:space="0" w:color="auto"/>
          </w:divBdr>
          <w:divsChild>
            <w:div w:id="468549618">
              <w:marLeft w:val="0"/>
              <w:marRight w:val="0"/>
              <w:marTop w:val="0"/>
              <w:marBottom w:val="0"/>
              <w:divBdr>
                <w:top w:val="none" w:sz="0" w:space="0" w:color="auto"/>
                <w:left w:val="none" w:sz="0" w:space="0" w:color="auto"/>
                <w:bottom w:val="none" w:sz="0" w:space="0" w:color="auto"/>
                <w:right w:val="none" w:sz="0" w:space="0" w:color="auto"/>
              </w:divBdr>
              <w:divsChild>
                <w:div w:id="8791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05315">
      <w:bodyDiv w:val="1"/>
      <w:marLeft w:val="0"/>
      <w:marRight w:val="0"/>
      <w:marTop w:val="0"/>
      <w:marBottom w:val="0"/>
      <w:divBdr>
        <w:top w:val="none" w:sz="0" w:space="0" w:color="auto"/>
        <w:left w:val="none" w:sz="0" w:space="0" w:color="auto"/>
        <w:bottom w:val="none" w:sz="0" w:space="0" w:color="auto"/>
        <w:right w:val="none" w:sz="0" w:space="0" w:color="auto"/>
      </w:divBdr>
    </w:div>
    <w:div w:id="1433623550">
      <w:bodyDiv w:val="1"/>
      <w:marLeft w:val="0"/>
      <w:marRight w:val="0"/>
      <w:marTop w:val="0"/>
      <w:marBottom w:val="0"/>
      <w:divBdr>
        <w:top w:val="none" w:sz="0" w:space="0" w:color="auto"/>
        <w:left w:val="none" w:sz="0" w:space="0" w:color="auto"/>
        <w:bottom w:val="none" w:sz="0" w:space="0" w:color="auto"/>
        <w:right w:val="none" w:sz="0" w:space="0" w:color="auto"/>
      </w:divBdr>
      <w:divsChild>
        <w:div w:id="810833047">
          <w:marLeft w:val="0"/>
          <w:marRight w:val="0"/>
          <w:marTop w:val="0"/>
          <w:marBottom w:val="0"/>
          <w:divBdr>
            <w:top w:val="none" w:sz="0" w:space="0" w:color="auto"/>
            <w:left w:val="none" w:sz="0" w:space="0" w:color="auto"/>
            <w:bottom w:val="none" w:sz="0" w:space="0" w:color="auto"/>
            <w:right w:val="none" w:sz="0" w:space="0" w:color="auto"/>
          </w:divBdr>
          <w:divsChild>
            <w:div w:id="1263490095">
              <w:marLeft w:val="0"/>
              <w:marRight w:val="0"/>
              <w:marTop w:val="0"/>
              <w:marBottom w:val="0"/>
              <w:divBdr>
                <w:top w:val="none" w:sz="0" w:space="0" w:color="auto"/>
                <w:left w:val="none" w:sz="0" w:space="0" w:color="auto"/>
                <w:bottom w:val="none" w:sz="0" w:space="0" w:color="auto"/>
                <w:right w:val="none" w:sz="0" w:space="0" w:color="auto"/>
              </w:divBdr>
              <w:divsChild>
                <w:div w:id="69438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6207">
      <w:bodyDiv w:val="1"/>
      <w:marLeft w:val="0"/>
      <w:marRight w:val="0"/>
      <w:marTop w:val="0"/>
      <w:marBottom w:val="0"/>
      <w:divBdr>
        <w:top w:val="none" w:sz="0" w:space="0" w:color="auto"/>
        <w:left w:val="none" w:sz="0" w:space="0" w:color="auto"/>
        <w:bottom w:val="none" w:sz="0" w:space="0" w:color="auto"/>
        <w:right w:val="none" w:sz="0" w:space="0" w:color="auto"/>
      </w:divBdr>
      <w:divsChild>
        <w:div w:id="1399136704">
          <w:marLeft w:val="0"/>
          <w:marRight w:val="0"/>
          <w:marTop w:val="0"/>
          <w:marBottom w:val="0"/>
          <w:divBdr>
            <w:top w:val="none" w:sz="0" w:space="0" w:color="auto"/>
            <w:left w:val="none" w:sz="0" w:space="0" w:color="auto"/>
            <w:bottom w:val="none" w:sz="0" w:space="0" w:color="auto"/>
            <w:right w:val="none" w:sz="0" w:space="0" w:color="auto"/>
          </w:divBdr>
          <w:divsChild>
            <w:div w:id="1817453009">
              <w:marLeft w:val="0"/>
              <w:marRight w:val="0"/>
              <w:marTop w:val="0"/>
              <w:marBottom w:val="0"/>
              <w:divBdr>
                <w:top w:val="none" w:sz="0" w:space="0" w:color="auto"/>
                <w:left w:val="none" w:sz="0" w:space="0" w:color="auto"/>
                <w:bottom w:val="none" w:sz="0" w:space="0" w:color="auto"/>
                <w:right w:val="none" w:sz="0" w:space="0" w:color="auto"/>
              </w:divBdr>
              <w:divsChild>
                <w:div w:id="5306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fatintranet.titan.satin.lo/managing-aid/aid-programming-guide/Documents/Aid-Programming-Guide.pdf" TargetMode="External"/><Relationship Id="rId18" Type="http://schemas.openxmlformats.org/officeDocument/2006/relationships/hyperlink" Target="mailto:gender.equality@dfat.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dfat.gov.au/aid/performance-assessment" TargetMode="External"/><Relationship Id="rId17" Type="http://schemas.openxmlformats.org/officeDocument/2006/relationships/hyperlink" Target="http://dfat.gov.au/about-us/publications/Pages/gender-equality-and-womens-empowerment-strategy.aspx" TargetMode="External"/><Relationship Id="rId2" Type="http://schemas.openxmlformats.org/officeDocument/2006/relationships/customXml" Target="../customXml/item2.xml"/><Relationship Id="rId16" Type="http://schemas.openxmlformats.org/officeDocument/2006/relationships/hyperlink" Target="https://www.oecd.org/dac/gender-development/dac-gender-equality-marker.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fat.gov.au/publications/aid/partnerships-recovery-australias-covid-19-development-respons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fat.gov.au/about-us/publications/Pages/gender-equality-in-monitoring-and-evaluation-good-practice-not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fatintranet.titan.satin.lo/managing-aid/aid-programming-guide/Pages/aid-programming-guide.aspx"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dfatintranet.titan.satin.lo/managing-aid/aidworks-learning-hub/Quick%20Reference%20Guides/Development%20Assistance%20Committee%20Gender%20themes%20overview.pdf" TargetMode="External"/><Relationship Id="rId1" Type="http://schemas.openxmlformats.org/officeDocument/2006/relationships/hyperlink" Target="https://dfat.gov.au/international-relations/themes/preventing-sexual-exploitation-abuse-and-harassment/Pages/defaul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7" ma:contentTypeDescription="Create a new document." ma:contentTypeScope="" ma:versionID="81ac74173f6f9929a551feb884d0aca3">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6cb654d547301dd5dbb2d30b58127469"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DB539-6928-4DA8-B3CF-184DD01C60EF}">
  <ds:schemaRefs>
    <ds:schemaRef ds:uri="http://schemas.microsoft.com/sharepoint/v3/contenttype/forms"/>
  </ds:schemaRefs>
</ds:datastoreItem>
</file>

<file path=customXml/itemProps2.xml><?xml version="1.0" encoding="utf-8"?>
<ds:datastoreItem xmlns:ds="http://schemas.openxmlformats.org/officeDocument/2006/customXml" ds:itemID="{091D6221-AB5D-4BA9-ABF2-0F87F77B11B6}">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905de4b5-ad8c-41bf-b5aa-35e58ae5ca1b"/>
    <ds:schemaRef ds:uri="http://schemas.microsoft.com/office/2006/metadata/properties"/>
    <ds:schemaRef ds:uri="http://schemas.microsoft.com/office/infopath/2007/PartnerControls"/>
    <ds:schemaRef ds:uri="483130e5-07f6-470c-8a9c-eb0e720b6157"/>
    <ds:schemaRef ds:uri="http://www.w3.org/XML/1998/namespace"/>
  </ds:schemaRefs>
</ds:datastoreItem>
</file>

<file path=customXml/itemProps3.xml><?xml version="1.0" encoding="utf-8"?>
<ds:datastoreItem xmlns:ds="http://schemas.openxmlformats.org/officeDocument/2006/customXml" ds:itemID="{62100CD8-DEA9-46F2-940D-045B9043ABF7}">
  <ds:schemaRefs>
    <ds:schemaRef ds:uri="http://schemas.openxmlformats.org/officeDocument/2006/bibliography"/>
  </ds:schemaRefs>
</ds:datastoreItem>
</file>

<file path=customXml/itemProps4.xml><?xml version="1.0" encoding="utf-8"?>
<ds:datastoreItem xmlns:ds="http://schemas.openxmlformats.org/officeDocument/2006/customXml" ds:itemID="{F6E6EE59-0735-4B80-B6BB-37C69A78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3198</Words>
  <Characters>19315</Characters>
  <Application>Microsoft Office Word</Application>
  <DocSecurity>0</DocSecurity>
  <Lines>320</Lines>
  <Paragraphs>149</Paragraphs>
  <ScaleCrop>false</ScaleCrop>
  <HeadingPairs>
    <vt:vector size="2" baseType="variant">
      <vt:variant>
        <vt:lpstr>Title</vt:lpstr>
      </vt:variant>
      <vt:variant>
        <vt:i4>1</vt:i4>
      </vt:variant>
    </vt:vector>
  </HeadingPairs>
  <TitlesOfParts>
    <vt:vector size="1" baseType="lpstr">
      <vt:lpstr>Gender Equality in Investment Design – Good Practice Note</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Equality in Investment Design – Good Practice Note</dc:title>
  <dc:creator/>
  <cp:keywords>[SEC=OFFICIAL]</cp:keywords>
  <cp:lastModifiedBy/>
  <cp:revision>1</cp:revision>
  <dcterms:created xsi:type="dcterms:W3CDTF">2022-11-28T01:03:00Z</dcterms:created>
  <dcterms:modified xsi:type="dcterms:W3CDTF">2022-12-05T23:54:00Z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DB066821D5CC42239EF901C86DA76BBD</vt:lpwstr>
  </property>
  <property fmtid="{D5CDD505-2E9C-101B-9397-08002B2CF9AE}" pid="9" name="PM_ProtectiveMarkingValue_Footer">
    <vt:lpwstr>OFFICIAL</vt:lpwstr>
  </property>
  <property fmtid="{D5CDD505-2E9C-101B-9397-08002B2CF9AE}" pid="10" name="PM_Originator_Hash_SHA1">
    <vt:lpwstr>899E4EA469A04FB023F4432B63374BB33589BF8A</vt:lpwstr>
  </property>
  <property fmtid="{D5CDD505-2E9C-101B-9397-08002B2CF9AE}" pid="11" name="PM_OriginationTimeStamp">
    <vt:lpwstr>2022-12-05T23:54:23Z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20247A4C2B2049167DB609E2D39A2C7B</vt:lpwstr>
  </property>
  <property fmtid="{D5CDD505-2E9C-101B-9397-08002B2CF9AE}" pid="23" name="PM_Hash_Salt">
    <vt:lpwstr>EE1DD8558933947623C0D8BFD13A689C</vt:lpwstr>
  </property>
  <property fmtid="{D5CDD505-2E9C-101B-9397-08002B2CF9AE}" pid="24" name="PM_Hash_SHA1">
    <vt:lpwstr>1321FA79D0120A182EDD2B4B04E01B0501C43B27</vt:lpwstr>
  </property>
  <property fmtid="{D5CDD505-2E9C-101B-9397-08002B2CF9AE}" pid="25" name="PM_OriginatorUserAccountName_SHA256">
    <vt:lpwstr>290C9CFCFE70E139C4500567FB5830ACF9049F26A1998DDACA65669D45D5D2AD</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ContentTypeId">
    <vt:lpwstr>0x010100044F11698F851D4286149BAD04EB95E2</vt:lpwstr>
  </property>
  <property fmtid="{D5CDD505-2E9C-101B-9397-08002B2CF9AE}" pid="31" name="MediaServiceImageTags">
    <vt:lpwstr/>
  </property>
</Properties>
</file>