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D8C845" w14:textId="77777777" w:rsidR="00FE6F2A" w:rsidRDefault="00FE6F2A" w:rsidP="00F25A93">
      <w:pPr>
        <w:pStyle w:val="SpacebeforeTitle"/>
      </w:pPr>
      <w:bookmarkStart w:id="0" w:name="_GoBack"/>
      <w:bookmarkEnd w:id="0"/>
    </w:p>
    <w:p w14:paraId="250CA530" w14:textId="6753D1E8" w:rsidR="00C63769" w:rsidRDefault="00C63769" w:rsidP="00F04956">
      <w:pPr>
        <w:pStyle w:val="Title"/>
      </w:pPr>
      <w:r w:rsidRPr="00C63769">
        <w:rPr>
          <w:lang w:val="en-US"/>
        </w:rPr>
        <w:t xml:space="preserve">Gender Equality </w:t>
      </w:r>
      <w:r w:rsidR="00F04956">
        <w:rPr>
          <w:lang w:val="en-US"/>
        </w:rPr>
        <w:t xml:space="preserve">investment-level </w:t>
      </w:r>
      <w:r w:rsidRPr="00C63769">
        <w:rPr>
          <w:lang w:val="en-US"/>
        </w:rPr>
        <w:t>Strategy Development</w:t>
      </w:r>
    </w:p>
    <w:p w14:paraId="72D8C847" w14:textId="1ECFCD88" w:rsidR="00CD0E4B" w:rsidRDefault="00C63769" w:rsidP="00D37B04">
      <w:pPr>
        <w:pStyle w:val="Subtitle"/>
      </w:pPr>
      <w:r>
        <w:t>GOOD PRACTICE NOTE</w:t>
      </w:r>
    </w:p>
    <w:p w14:paraId="25882117" w14:textId="77777777" w:rsidR="00C63769" w:rsidRPr="00CA0F62" w:rsidRDefault="00C63769" w:rsidP="00C63769">
      <w:pPr>
        <w:pStyle w:val="Heading1Numbered"/>
        <w:numPr>
          <w:ilvl w:val="0"/>
          <w:numId w:val="5"/>
        </w:numPr>
        <w:rPr>
          <w:lang w:val="en-AU"/>
        </w:rPr>
      </w:pPr>
      <w:r w:rsidRPr="00CA0F62">
        <w:rPr>
          <w:lang w:val="en-AU"/>
        </w:rPr>
        <w:t>Overview</w:t>
      </w:r>
    </w:p>
    <w:p w14:paraId="290BC99A" w14:textId="33D9878C" w:rsidR="00C63769" w:rsidRDefault="00C63769" w:rsidP="00C63769">
      <w:pPr>
        <w:pStyle w:val="IntroPara"/>
        <w:rPr>
          <w:lang w:val="en-US"/>
        </w:rPr>
      </w:pPr>
      <w:r w:rsidRPr="00C63769">
        <w:rPr>
          <w:lang w:val="en-US"/>
        </w:rPr>
        <w:t xml:space="preserve">This note outlines the key features of a good practice Gender Strategy. </w:t>
      </w:r>
      <w:r w:rsidR="00454A78">
        <w:rPr>
          <w:lang w:val="en-US"/>
        </w:rPr>
        <w:t xml:space="preserve">It supports </w:t>
      </w:r>
      <w:r w:rsidR="00454A78">
        <w:rPr>
          <w:lang w:val="en-AU"/>
        </w:rPr>
        <w:t xml:space="preserve">staff </w:t>
      </w:r>
      <w:r w:rsidR="00454A78">
        <w:t>to</w:t>
      </w:r>
      <w:r w:rsidR="00454A78" w:rsidRPr="006253B9">
        <w:rPr>
          <w:szCs w:val="21"/>
        </w:rPr>
        <w:t xml:space="preserve"> implement </w:t>
      </w:r>
      <w:r w:rsidR="00454A78">
        <w:rPr>
          <w:szCs w:val="21"/>
        </w:rPr>
        <w:t xml:space="preserve">Australia’s development strategy </w:t>
      </w:r>
      <w:hyperlink r:id="rId8" w:history="1">
        <w:r w:rsidR="00454A78" w:rsidRPr="00D70482">
          <w:rPr>
            <w:rStyle w:val="Hyperlink"/>
            <w:rFonts w:cstheme="minorBidi"/>
            <w:i/>
            <w:color w:val="7FB64D" w:themeColor="accent2" w:themeShade="BF"/>
            <w:szCs w:val="21"/>
          </w:rPr>
          <w:t>Partnerships for Recovery: Australia’s COVID-19 Development Response</w:t>
        </w:r>
      </w:hyperlink>
      <w:r w:rsidR="00454A78">
        <w:rPr>
          <w:szCs w:val="21"/>
        </w:rPr>
        <w:t xml:space="preserve">, which commits the Australian Government to maintaining Australia’s strong support and advocacy for initiatives to enhance gender equality and address gender-based violence, and to invest in gender equality and women’s economic empowerment. </w:t>
      </w:r>
      <w:r w:rsidRPr="00C63769">
        <w:rPr>
          <w:lang w:val="en-US"/>
        </w:rPr>
        <w:t xml:space="preserve">It can be used by program teams and implementing partners as a reference guide when developing a Gender Strategy for an aid investment. It can also be used by DFAT staff when reviewing Gender Strategy documents developed by implementing partners. This guidance note can be read in conjunction with DFAT’s </w:t>
      </w:r>
      <w:hyperlink r:id="rId9" w:history="1">
        <w:r w:rsidRPr="00FF68DF">
          <w:rPr>
            <w:rStyle w:val="Hyperlink"/>
            <w:rFonts w:cstheme="minorBidi"/>
            <w:i/>
            <w:color w:val="7FB64D" w:themeColor="accent2" w:themeShade="BF"/>
            <w:lang w:val="en-US"/>
          </w:rPr>
          <w:t>Gender Equality in Investment Design Good Practice Note</w:t>
        </w:r>
      </w:hyperlink>
      <w:r w:rsidRPr="00C63769">
        <w:rPr>
          <w:i/>
          <w:lang w:val="en-US"/>
        </w:rPr>
        <w:t xml:space="preserve"> </w:t>
      </w:r>
      <w:r w:rsidRPr="00C63769">
        <w:rPr>
          <w:lang w:val="en-US"/>
        </w:rPr>
        <w:t xml:space="preserve">and DFAT’s </w:t>
      </w:r>
      <w:hyperlink r:id="rId10" w:history="1">
        <w:r w:rsidRPr="00FF68DF">
          <w:rPr>
            <w:rStyle w:val="Hyperlink"/>
            <w:rFonts w:cstheme="minorBidi"/>
            <w:i/>
            <w:color w:val="7FB64D" w:themeColor="accent2" w:themeShade="BF"/>
            <w:lang w:val="en-US"/>
          </w:rPr>
          <w:t>Gender Equality in Monitoring and Evaluation and Reporting Good Practice Note</w:t>
        </w:r>
      </w:hyperlink>
      <w:r w:rsidRPr="00C63769">
        <w:rPr>
          <w:lang w:val="en-US"/>
        </w:rPr>
        <w:t>.</w:t>
      </w:r>
    </w:p>
    <w:p w14:paraId="5B09179F" w14:textId="77777777" w:rsidR="00C63769" w:rsidRPr="00810E88" w:rsidRDefault="00C63769" w:rsidP="00A93720">
      <w:pPr>
        <w:pStyle w:val="Heading1Numbered"/>
      </w:pPr>
      <w:r w:rsidRPr="00810E88">
        <w:t xml:space="preserve">Purpose of </w:t>
      </w:r>
      <w:r>
        <w:t>a</w:t>
      </w:r>
      <w:r w:rsidRPr="00810E88">
        <w:t xml:space="preserve"> Gender Strategy</w:t>
      </w:r>
    </w:p>
    <w:p w14:paraId="633619C8" w14:textId="16508E7F" w:rsidR="00C63769" w:rsidRPr="00CA0F62" w:rsidRDefault="009F1D31" w:rsidP="00C63769">
      <w:pPr>
        <w:pStyle w:val="Box2Heading"/>
      </w:pPr>
      <w:r>
        <w:t xml:space="preserve">There are specific measures in Tier 2 of the </w:t>
      </w:r>
      <w:hyperlink r:id="rId11" w:history="1">
        <w:r w:rsidRPr="005F0D23">
          <w:rPr>
            <w:rStyle w:val="Hyperlink"/>
            <w:color w:val="CDE2B9" w:themeColor="accent2" w:themeTint="99"/>
          </w:rPr>
          <w:t>performance framework</w:t>
        </w:r>
      </w:hyperlink>
      <w:r w:rsidRPr="005F0D23">
        <w:rPr>
          <w:color w:val="CDE2B9" w:themeColor="accent2" w:themeTint="99"/>
        </w:rPr>
        <w:t xml:space="preserve"> </w:t>
      </w:r>
      <w:r>
        <w:t xml:space="preserve">for </w:t>
      </w:r>
      <w:r>
        <w:rPr>
          <w:i/>
          <w:iCs/>
        </w:rPr>
        <w:t>Partnerships for Recovery</w:t>
      </w:r>
      <w:r>
        <w:t xml:space="preserve"> which allow us to measure progress on key gender equality issues (sexual and reproductive health, violence against women, and economic empowerment) and in Tier 3 which will allow tracking of effective gender mainstreaming (percentage of investments effectively addressing gender issues)</w:t>
      </w:r>
      <w:r w:rsidR="00454A78" w:rsidRPr="00D70482">
        <w:t>.</w:t>
      </w:r>
    </w:p>
    <w:p w14:paraId="4838D073" w14:textId="1CA238C7" w:rsidR="00454A78" w:rsidRDefault="005C7D46" w:rsidP="003D2E75">
      <w:r>
        <w:t>An i</w:t>
      </w:r>
      <w:r w:rsidR="00C63769">
        <w:t>n</w:t>
      </w:r>
      <w:r>
        <w:t>vestment-level Gender Strategy is</w:t>
      </w:r>
      <w:r w:rsidR="00C63769">
        <w:t xml:space="preserve"> an important tool for </w:t>
      </w:r>
      <w:r w:rsidR="00454A78">
        <w:t>achieving progress towards gender equality and women’s empowerment</w:t>
      </w:r>
      <w:r w:rsidR="00C63769">
        <w:t>.</w:t>
      </w:r>
      <w:r w:rsidR="00454A78">
        <w:t xml:space="preserve"> </w:t>
      </w:r>
      <w:r w:rsidR="00C63769" w:rsidRPr="00EA4353">
        <w:t xml:space="preserve">The </w:t>
      </w:r>
      <w:r w:rsidR="00C63769">
        <w:t>investment</w:t>
      </w:r>
      <w:r w:rsidR="00C63769" w:rsidRPr="00EA4353">
        <w:t xml:space="preserve"> </w:t>
      </w:r>
      <w:r w:rsidR="00C63769">
        <w:t>G</w:t>
      </w:r>
      <w:r w:rsidR="00C63769" w:rsidRPr="00EA4353">
        <w:t xml:space="preserve">ender </w:t>
      </w:r>
      <w:r w:rsidR="00C63769">
        <w:t>S</w:t>
      </w:r>
      <w:r w:rsidR="00C63769" w:rsidRPr="00EA4353">
        <w:t>trategy</w:t>
      </w:r>
      <w:r>
        <w:t>:</w:t>
      </w:r>
    </w:p>
    <w:p w14:paraId="45B2660B" w14:textId="517ACFF1" w:rsidR="00C63769" w:rsidRPr="009356DE" w:rsidRDefault="005C7D46" w:rsidP="005C7D46">
      <w:pPr>
        <w:pStyle w:val="Bullet1"/>
      </w:pPr>
      <w:r>
        <w:t xml:space="preserve">It </w:t>
      </w:r>
      <w:r w:rsidR="00C63769" w:rsidRPr="00EA4353">
        <w:t xml:space="preserve">provides </w:t>
      </w:r>
      <w:r w:rsidR="00C63769" w:rsidRPr="009356DE">
        <w:t xml:space="preserve">clear guidance to implementing teams and partners about how strategic gender activities, </w:t>
      </w:r>
      <w:r w:rsidR="00C63769">
        <w:t>policies, programs and practices</w:t>
      </w:r>
      <w:r w:rsidR="00C63769" w:rsidRPr="009356DE">
        <w:t xml:space="preserve"> will be operationalised in investment implementation and reporting</w:t>
      </w:r>
    </w:p>
    <w:p w14:paraId="68019254" w14:textId="5D21295E" w:rsidR="00C63769" w:rsidRPr="00EA4353" w:rsidRDefault="005C7D46" w:rsidP="00C63769">
      <w:pPr>
        <w:pStyle w:val="Bullet1"/>
      </w:pPr>
      <w:r>
        <w:t xml:space="preserve">It </w:t>
      </w:r>
      <w:r w:rsidR="00C63769" w:rsidRPr="00EA4353">
        <w:t xml:space="preserve">helps ensure that gender </w:t>
      </w:r>
      <w:r w:rsidR="00C63769">
        <w:t>policies, programs and practices</w:t>
      </w:r>
      <w:r w:rsidR="00C63769" w:rsidRPr="00EA4353">
        <w:t xml:space="preserve"> are explicit and visible to all stakeholders</w:t>
      </w:r>
      <w:r w:rsidR="00C63769">
        <w:t xml:space="preserve"> and sets out responsibilities and accountability for achievement of gender </w:t>
      </w:r>
      <w:r>
        <w:t xml:space="preserve">equality </w:t>
      </w:r>
      <w:r w:rsidR="00C63769">
        <w:t>results</w:t>
      </w:r>
    </w:p>
    <w:p w14:paraId="1F5794A8" w14:textId="254239E5" w:rsidR="00C63769" w:rsidRDefault="005C7D46" w:rsidP="00C63769">
      <w:pPr>
        <w:pStyle w:val="Bullet1"/>
      </w:pPr>
      <w:r>
        <w:t xml:space="preserve">It </w:t>
      </w:r>
      <w:r w:rsidR="00C63769">
        <w:t xml:space="preserve">outlines </w:t>
      </w:r>
      <w:r w:rsidR="00C63769" w:rsidRPr="00EA4353">
        <w:t xml:space="preserve">how attention to gender </w:t>
      </w:r>
      <w:r>
        <w:t xml:space="preserve">equality </w:t>
      </w:r>
      <w:r w:rsidR="00C63769" w:rsidRPr="00EA4353">
        <w:t xml:space="preserve">will contribute towards the achievement of overarching </w:t>
      </w:r>
      <w:r w:rsidR="00C63769">
        <w:t>investment</w:t>
      </w:r>
      <w:r w:rsidR="00C63769" w:rsidRPr="00EA4353">
        <w:t xml:space="preserve"> goals and objectives</w:t>
      </w:r>
      <w:r w:rsidR="00C63769">
        <w:t>, by addressing relevant gender gaps and unequal gender norms</w:t>
      </w:r>
      <w:r w:rsidR="00C63769" w:rsidRPr="00EA4353">
        <w:t xml:space="preserve"> </w:t>
      </w:r>
    </w:p>
    <w:p w14:paraId="7DEEB955" w14:textId="2367D577" w:rsidR="00C63769" w:rsidRDefault="005C7D46" w:rsidP="00C63769">
      <w:pPr>
        <w:pStyle w:val="Bullet1"/>
      </w:pPr>
      <w:r>
        <w:t xml:space="preserve">It </w:t>
      </w:r>
      <w:r w:rsidR="00C63769">
        <w:t>outlines how the investment will contribute to Australia’s objectives for the advancement of gender equality and women’s empowerment</w:t>
      </w:r>
    </w:p>
    <w:p w14:paraId="4A48FCF2" w14:textId="3B7D68F6" w:rsidR="00C63769" w:rsidRDefault="00C63769" w:rsidP="00C63769">
      <w:r w:rsidRPr="00883A3A">
        <w:lastRenderedPageBreak/>
        <w:t xml:space="preserve">The </w:t>
      </w:r>
      <w:r>
        <w:t>Gender Strategy</w:t>
      </w:r>
      <w:r w:rsidRPr="00883A3A">
        <w:t xml:space="preserve"> </w:t>
      </w:r>
      <w:r>
        <w:t>is often a stand-alone document/deliverable, however key principles, activities and actions outlined in the Gender Strategy should</w:t>
      </w:r>
      <w:r w:rsidRPr="00883A3A">
        <w:t xml:space="preserve"> be fully integrated into </w:t>
      </w:r>
      <w:r>
        <w:t xml:space="preserve">the investment design, </w:t>
      </w:r>
      <w:r w:rsidRPr="00883A3A">
        <w:t xml:space="preserve">annual plans, core </w:t>
      </w:r>
      <w:r>
        <w:t>investment</w:t>
      </w:r>
      <w:r w:rsidRPr="00883A3A">
        <w:t xml:space="preserve"> </w:t>
      </w:r>
      <w:r>
        <w:t xml:space="preserve">policies, </w:t>
      </w:r>
      <w:r w:rsidRPr="00883A3A">
        <w:t xml:space="preserve">practices and processes and </w:t>
      </w:r>
      <w:r>
        <w:t xml:space="preserve">in </w:t>
      </w:r>
      <w:r w:rsidRPr="00883A3A">
        <w:t>the monitoring and evaluation framework</w:t>
      </w:r>
      <w:r>
        <w:t>. This helps</w:t>
      </w:r>
      <w:r w:rsidRPr="00883A3A">
        <w:t xml:space="preserve"> ensure that it is not seen as a stand-alone document but rather a key element of </w:t>
      </w:r>
      <w:r>
        <w:t>investment</w:t>
      </w:r>
      <w:r w:rsidRPr="00883A3A">
        <w:t xml:space="preserve"> effectiveness.</w:t>
      </w:r>
      <w:r>
        <w:t xml:space="preserve"> Responsibility for implementation of the gender strategy should also be included in all Terms of Reference for Program staff and advisers. If other inclusion issues such as disability are addressed in the Gender Strategy, they need to be dealt with individually and not conflated into a generalist social inclusion approach. Gender </w:t>
      </w:r>
      <w:r w:rsidR="005C7D46">
        <w:t xml:space="preserve">equality </w:t>
      </w:r>
      <w:r>
        <w:t>should always be reflected in the title of the Strategy to keep it visible. For example, Gender</w:t>
      </w:r>
      <w:r w:rsidR="005C7D46">
        <w:t xml:space="preserve"> Equality</w:t>
      </w:r>
      <w:r>
        <w:t>, Disability and Social Inclusion Strategy.</w:t>
      </w:r>
    </w:p>
    <w:p w14:paraId="0B9DC2CC" w14:textId="77777777" w:rsidR="00A93720" w:rsidRDefault="00A93720" w:rsidP="00C63769"/>
    <w:p w14:paraId="6AA62FF0" w14:textId="77777777" w:rsidR="00C63769" w:rsidRPr="00FB3470" w:rsidRDefault="00C63769" w:rsidP="00A93720">
      <w:pPr>
        <w:pStyle w:val="Heading1Numbered"/>
      </w:pPr>
      <w:r w:rsidRPr="00FB3470">
        <w:t>Developing the Gender Strategy</w:t>
      </w:r>
    </w:p>
    <w:p w14:paraId="3BCEAEB9" w14:textId="6999A43D" w:rsidR="00A93720" w:rsidRDefault="00C63769" w:rsidP="00C63769">
      <w:pPr>
        <w:rPr>
          <w:lang w:val="en-US"/>
        </w:rPr>
      </w:pPr>
      <w:r w:rsidRPr="00C63769">
        <w:rPr>
          <w:lang w:val="en-US"/>
        </w:rPr>
        <w:t>The process of developing the gender strategy is just as important as the document itself. If done well the strategy development process can begin build understanding and ownership of the relevance of gender equality to the investment. In general, it is a good idea to involve the partner agency/partners and advisers and local gender stakeholders/women’s NGOs in the process to promote ownership and understanding. Partner ownership means that the gender strategy is more likely to be relevant, costed and directly applicable to the activity and partner priorities. It also means that the strategy is more likely to be implemented and monitored and that the results are more likely to be sustainable. Development of the gender strategy should be an iterative process led by an experienced technical gender adviser. It is important that the strategy be flexible in order to identify and capitalize on new opportunities to promote gender equality as they arise. The strategy should be a living document that is reviewed and updated periodically.</w:t>
      </w:r>
    </w:p>
    <w:p w14:paraId="4CF4D888" w14:textId="4D5E77CF" w:rsidR="00C63769" w:rsidRPr="00A93720" w:rsidRDefault="00C63769" w:rsidP="00A93720">
      <w:pPr>
        <w:pStyle w:val="Heading2Numbered"/>
      </w:pPr>
      <w:r w:rsidRPr="00A93720">
        <w:t>Effective Strategies for Promoting Partner Ownership of the Gender Strategy</w:t>
      </w:r>
      <w:r w:rsidR="00F54D8B">
        <w:rPr>
          <w:rStyle w:val="FootnoteReference"/>
        </w:rPr>
        <w:footnoteReference w:id="1"/>
      </w:r>
    </w:p>
    <w:p w14:paraId="27A11A0A" w14:textId="16BA44E9" w:rsidR="00C63769" w:rsidRPr="00C63769" w:rsidRDefault="00C63769" w:rsidP="00A93720">
      <w:pPr>
        <w:pStyle w:val="Bullet1"/>
      </w:pPr>
      <w:r w:rsidRPr="00C63769">
        <w:t xml:space="preserve">Dialogue </w:t>
      </w:r>
      <w:r w:rsidR="001E46FA">
        <w:t xml:space="preserve">with a range of stakeholders including program staff, advisers, program partners and local gender </w:t>
      </w:r>
      <w:r w:rsidR="0087095E">
        <w:t>stakeholders is needed</w:t>
      </w:r>
      <w:r w:rsidR="001E46FA">
        <w:t xml:space="preserve"> </w:t>
      </w:r>
      <w:r w:rsidRPr="00C63769">
        <w:t>to develop partnersh</w:t>
      </w:r>
      <w:r w:rsidR="0087095E">
        <w:t>ips on gender equality</w:t>
      </w:r>
      <w:r w:rsidRPr="00C63769">
        <w:t>. This means that the investment team needs to know the business case and human rights case for gender equality and be able to engage confidently in ongoing talk</w:t>
      </w:r>
      <w:r w:rsidR="0087095E">
        <w:t>s</w:t>
      </w:r>
      <w:r w:rsidRPr="00C63769">
        <w:t xml:space="preserve"> with partners about how gender equality benefits everyone and how it can increase the effectiveness of the </w:t>
      </w:r>
      <w:r w:rsidR="0087095E">
        <w:t>investment</w:t>
      </w:r>
      <w:r w:rsidRPr="00C63769">
        <w:t xml:space="preserve"> and the sustainability of outcomes. In difficult social and/or sectoral contexts, the use of sound data based</w:t>
      </w:r>
      <w:r w:rsidR="005B473D">
        <w:t xml:space="preserve"> on empirical research </w:t>
      </w:r>
      <w:r w:rsidRPr="00C63769">
        <w:t xml:space="preserve">can help to make a case for investing in women, and for strengthening partner capacity. Knowing and understanding the partner is essential for effective dialogue, and for negotiating shared objectives.  </w:t>
      </w:r>
    </w:p>
    <w:p w14:paraId="6A70CB95" w14:textId="61E82C27" w:rsidR="00C63769" w:rsidRPr="00C63769" w:rsidRDefault="00C63769" w:rsidP="00A93720">
      <w:pPr>
        <w:pStyle w:val="Bullet1"/>
      </w:pPr>
      <w:r w:rsidRPr="00C63769">
        <w:t>Use a participatory, strengths-based, appreciative enquiry approach</w:t>
      </w:r>
      <w:r w:rsidR="001E46FA">
        <w:rPr>
          <w:rStyle w:val="FootnoteReference"/>
        </w:rPr>
        <w:footnoteReference w:id="2"/>
      </w:r>
      <w:r w:rsidRPr="00C63769">
        <w:t xml:space="preserve"> in dialogue with partners to identify, replicate and scale up what they are already doing well for gender equality.</w:t>
      </w:r>
    </w:p>
    <w:p w14:paraId="043F0270" w14:textId="77777777" w:rsidR="00C63769" w:rsidRPr="00C63769" w:rsidRDefault="00C63769" w:rsidP="00A93720">
      <w:pPr>
        <w:pStyle w:val="Bullet1"/>
      </w:pPr>
      <w:r w:rsidRPr="00C63769">
        <w:t>Identify existing champions and involve both women and men in dialogue and strategy development</w:t>
      </w:r>
    </w:p>
    <w:p w14:paraId="004D42AE" w14:textId="77777777" w:rsidR="00C63769" w:rsidRPr="00C63769" w:rsidRDefault="00C63769" w:rsidP="00A93720">
      <w:pPr>
        <w:pStyle w:val="Bullet1"/>
      </w:pPr>
      <w:r w:rsidRPr="00C63769">
        <w:t>Ownership of objectives and approaches is more likely to be shared if there is a clear link to policies and commitments that the partner has already made on equality for women.</w:t>
      </w:r>
    </w:p>
    <w:p w14:paraId="2F03C555" w14:textId="77777777" w:rsidR="00C63769" w:rsidRPr="00C63769" w:rsidRDefault="00C63769" w:rsidP="00A93720">
      <w:pPr>
        <w:pStyle w:val="Bullet1"/>
      </w:pPr>
      <w:r w:rsidRPr="00C63769">
        <w:lastRenderedPageBreak/>
        <w:t xml:space="preserve">Involve local gender stakeholders in dialogue. National machineries for women, local NGOs and other local advocates for women’s rights can play a key role in holding institutions accountable for addressing gaps between commitments and practice.   </w:t>
      </w:r>
    </w:p>
    <w:p w14:paraId="1314FFAC" w14:textId="0A8E8267" w:rsidR="00C63769" w:rsidRDefault="00C63769" w:rsidP="00A93720">
      <w:pPr>
        <w:pStyle w:val="Bullet1"/>
      </w:pPr>
      <w:r w:rsidRPr="00C63769">
        <w:t>Assess and strengthen partner capacity for gender responsive planning and implementation. Lack of attention to partner capacity is a major obstacle to ownership and understanding of gender equality issues.</w:t>
      </w:r>
    </w:p>
    <w:p w14:paraId="182D607E" w14:textId="1FDB88A8" w:rsidR="00A93720" w:rsidRDefault="00A93720" w:rsidP="00A93720">
      <w:pPr>
        <w:pStyle w:val="Bullet1"/>
        <w:numPr>
          <w:ilvl w:val="0"/>
          <w:numId w:val="0"/>
        </w:numPr>
        <w:ind w:left="284" w:hanging="284"/>
      </w:pPr>
    </w:p>
    <w:p w14:paraId="6B65AC84" w14:textId="357F4EF5" w:rsidR="00A93720" w:rsidRDefault="00A93720" w:rsidP="00A93720">
      <w:pPr>
        <w:pStyle w:val="Box1Heading"/>
        <w:rPr>
          <w:color w:val="auto"/>
        </w:rPr>
      </w:pPr>
      <w:r>
        <w:t xml:space="preserve">Case study: Australia Pacific Climate Partnership </w:t>
      </w:r>
      <w:r w:rsidR="0087095E">
        <w:t xml:space="preserve">(APCP) </w:t>
      </w:r>
      <w:r>
        <w:t xml:space="preserve">Gender Equality and Social Inclusion </w:t>
      </w:r>
      <w:r w:rsidR="0087095E">
        <w:t xml:space="preserve">(GESI) </w:t>
      </w:r>
      <w:r>
        <w:t>Strategy</w:t>
      </w:r>
    </w:p>
    <w:p w14:paraId="36983206" w14:textId="77777777" w:rsidR="00A93720" w:rsidRDefault="00A93720" w:rsidP="00A93720">
      <w:pPr>
        <w:pStyle w:val="Box1Text"/>
      </w:pPr>
      <w:r>
        <w:t>This Strategy was developed over a six-month period with the GESI adviser undertaking a literature review and developing an outline and then consulting with a range of people, refining and then going back to key stakeholders to build their commitment to implementing the strategy.</w:t>
      </w:r>
    </w:p>
    <w:p w14:paraId="07C3E394" w14:textId="271D3D15" w:rsidR="00A93720" w:rsidRDefault="00A93720" w:rsidP="00A93720">
      <w:pPr>
        <w:pStyle w:val="Box1Text"/>
      </w:pPr>
      <w:r>
        <w:t xml:space="preserve">The initial literature review inquired into the ways in which gender equality and social inclusion issues have been addressed in academic literature as well as in policy and programs addressing climate change </w:t>
      </w:r>
      <w:r w:rsidR="0087095E">
        <w:t xml:space="preserve">(CC) </w:t>
      </w:r>
      <w:r>
        <w:t xml:space="preserve">and disaster </w:t>
      </w:r>
      <w:r w:rsidR="0087095E">
        <w:t>risk reduction (DRR)</w:t>
      </w:r>
      <w:r w:rsidR="005B473D">
        <w:t xml:space="preserve"> and resilience</w:t>
      </w:r>
      <w:r>
        <w:t xml:space="preserve">. This provided insights for framing issues for consultations and discussion, in clear, succinct questions such as: why is GESI important in Pacific climate change action? How can all development actors promote </w:t>
      </w:r>
      <w:r w:rsidR="005B473D">
        <w:t>GESI</w:t>
      </w:r>
      <w:r>
        <w:t xml:space="preserve">?  </w:t>
      </w:r>
    </w:p>
    <w:p w14:paraId="00FE5E9D" w14:textId="5CD47A19" w:rsidR="00A93720" w:rsidRDefault="00A93720" w:rsidP="00A93720">
      <w:pPr>
        <w:pStyle w:val="Box1Text"/>
      </w:pPr>
      <w:r>
        <w:t xml:space="preserve">Discussions were held initially with the program team and GESI/CC/DRR specialists in the Pacific, and then broadened through consultations and workshops with women and men in key Pacific DFAT posts and partners in regional organisations and programs (mostly scientists or engineers). Key women’s NGOs and </w:t>
      </w:r>
      <w:r w:rsidR="005B473D">
        <w:t>disabled people’s organisations</w:t>
      </w:r>
      <w:r>
        <w:t xml:space="preserve"> were also consulted. The consultations presented a light outline of the GESI strategy and then used open-ended inquiry to engage people.  The discussions focused on the two questions above.  Using and explaining the term “social inclusion” helped to bring out nuances and intersectionality as people were encouraged to use their own experience as a starting point to analyse who is being left out of development interventions and why. Discussions were facilitated to encourage participants to identify gender and other social norms and understand the impact of these norms. </w:t>
      </w:r>
    </w:p>
    <w:p w14:paraId="39806934" w14:textId="2D997137" w:rsidR="00A93720" w:rsidRDefault="00A93720" w:rsidP="00A93720">
      <w:pPr>
        <w:pStyle w:val="Box1Text"/>
      </w:pPr>
      <w:r>
        <w:t xml:space="preserve">The APCP GESI Strategy is a live document that allows for social exclusion to be addressed as evidence emerges and needs arises. While the Strategy prioritises gender equality and disability inclusion, there is also room to grow and </w:t>
      </w:r>
      <w:r w:rsidR="005B473D">
        <w:t>the team</w:t>
      </w:r>
      <w:r>
        <w:t xml:space="preserve"> are now exploring engagement with people with diverse sexual orientation and gender identity. Programming addresses both mainstreaming as well as dedicated support for research and advocacy by women and people with disabilities. </w:t>
      </w:r>
    </w:p>
    <w:p w14:paraId="0E50C444" w14:textId="7299226B" w:rsidR="00A93720" w:rsidRDefault="00A93720" w:rsidP="00A93720">
      <w:pPr>
        <w:pStyle w:val="Box1Text"/>
      </w:pPr>
      <w:r>
        <w:t xml:space="preserve">GESI is embedded at each level of the APCP Program logic and MEL system, with qualitative and quantitative data that considers participation and leadership, capacity in institutions and increasing resilience at community level for diverse women and men. </w:t>
      </w:r>
    </w:p>
    <w:p w14:paraId="4B861183" w14:textId="77777777" w:rsidR="00A93720" w:rsidRPr="00C63769" w:rsidRDefault="00A93720" w:rsidP="00A93720">
      <w:pPr>
        <w:rPr>
          <w:lang w:val="en-US"/>
        </w:rPr>
      </w:pPr>
    </w:p>
    <w:p w14:paraId="0AD84072" w14:textId="77777777" w:rsidR="00F54D8B" w:rsidRDefault="00F54D8B">
      <w:pPr>
        <w:suppressAutoHyphens w:val="0"/>
        <w:spacing w:before="0" w:after="120" w:line="440" w:lineRule="atLeast"/>
        <w:rPr>
          <w:rFonts w:asciiTheme="majorHAnsi" w:eastAsiaTheme="majorEastAsia" w:hAnsiTheme="majorHAnsi" w:cstheme="majorBidi"/>
          <w:b/>
          <w:bCs/>
          <w:caps/>
          <w:sz w:val="38"/>
          <w:szCs w:val="28"/>
        </w:rPr>
      </w:pPr>
      <w:r>
        <w:br w:type="page"/>
      </w:r>
    </w:p>
    <w:p w14:paraId="355049EA" w14:textId="1A2B513D" w:rsidR="00C63769" w:rsidRPr="000850C9" w:rsidRDefault="00C63769" w:rsidP="00A93720">
      <w:pPr>
        <w:pStyle w:val="Heading1Numbered"/>
      </w:pPr>
      <w:r>
        <w:lastRenderedPageBreak/>
        <w:t xml:space="preserve">Checklist - </w:t>
      </w:r>
      <w:r w:rsidRPr="00810E88">
        <w:t xml:space="preserve">Key Features of </w:t>
      </w:r>
      <w:r>
        <w:t xml:space="preserve">a Good Practice </w:t>
      </w:r>
      <w:r w:rsidRPr="00810E88">
        <w:t xml:space="preserve">Gender </w:t>
      </w:r>
      <w:r>
        <w:t xml:space="preserve">Equality </w:t>
      </w:r>
      <w:r w:rsidRPr="00810E88">
        <w:t>Strategy</w:t>
      </w:r>
    </w:p>
    <w:p w14:paraId="23825BD1" w14:textId="5B94DC35" w:rsidR="00C63769" w:rsidRDefault="00C12AF2" w:rsidP="00F54D8B">
      <w:pPr>
        <w:pStyle w:val="Box1Heading"/>
        <w:pBdr>
          <w:bottom w:val="single" w:sz="4" w:space="9" w:color="65C5B4" w:themeColor="accent1"/>
        </w:pBdr>
        <w:rPr>
          <w:rFonts w:cstheme="minorHAnsi"/>
        </w:rPr>
      </w:pPr>
      <w:r w:rsidRPr="00810E88">
        <w:rPr>
          <w:rFonts w:cstheme="minorHAnsi"/>
        </w:rPr>
        <w:t xml:space="preserve">Background </w:t>
      </w:r>
      <w:r>
        <w:rPr>
          <w:rFonts w:cstheme="minorHAnsi"/>
        </w:rPr>
        <w:t>and Context</w:t>
      </w:r>
    </w:p>
    <w:p w14:paraId="7F9FA44D" w14:textId="77777777" w:rsidR="00C12AF2" w:rsidRPr="00810E88" w:rsidRDefault="00C12AF2" w:rsidP="00F54D8B">
      <w:pPr>
        <w:pStyle w:val="Box1Bullet"/>
        <w:pBdr>
          <w:bottom w:val="single" w:sz="4" w:space="9" w:color="65C5B4" w:themeColor="accent1"/>
        </w:pBdr>
      </w:pPr>
      <w:r w:rsidRPr="00810E88">
        <w:t xml:space="preserve">Contains </w:t>
      </w:r>
      <w:r w:rsidRPr="009417AB">
        <w:rPr>
          <w:u w:val="single"/>
        </w:rPr>
        <w:t>gender analysis</w:t>
      </w:r>
      <w:r w:rsidRPr="00810E88">
        <w:t xml:space="preserve"> relevant to the country, sector, and </w:t>
      </w:r>
      <w:r>
        <w:t>investment (but is not overly academic in nature)</w:t>
      </w:r>
    </w:p>
    <w:p w14:paraId="78D0D1C4" w14:textId="1DFAD511" w:rsidR="00C12AF2" w:rsidRDefault="00C12AF2" w:rsidP="00F54D8B">
      <w:pPr>
        <w:pStyle w:val="Box1Bullet"/>
        <w:pBdr>
          <w:bottom w:val="single" w:sz="4" w:space="9" w:color="65C5B4" w:themeColor="accent1"/>
        </w:pBdr>
      </w:pPr>
      <w:r w:rsidRPr="00810E88">
        <w:t>Outlines relevant Australian and partner government</w:t>
      </w:r>
      <w:r>
        <w:t xml:space="preserve"> and organizational (e.g. multilateral)</w:t>
      </w:r>
      <w:r w:rsidRPr="00810E88">
        <w:t xml:space="preserve"> </w:t>
      </w:r>
      <w:r w:rsidRPr="009417AB">
        <w:rPr>
          <w:u w:val="single"/>
        </w:rPr>
        <w:t>policies for gender equality</w:t>
      </w:r>
      <w:r w:rsidRPr="00810E88">
        <w:t xml:space="preserve"> and women’s empowerment</w:t>
      </w:r>
    </w:p>
    <w:p w14:paraId="3ACCBD5A" w14:textId="76FF460B" w:rsidR="00C12AF2" w:rsidRDefault="00C12AF2" w:rsidP="00F54D8B">
      <w:pPr>
        <w:pStyle w:val="Box1Heading"/>
        <w:pBdr>
          <w:bottom w:val="single" w:sz="4" w:space="9" w:color="65C5B4" w:themeColor="accent1"/>
        </w:pBdr>
        <w:rPr>
          <w:rFonts w:cstheme="minorHAnsi"/>
        </w:rPr>
      </w:pPr>
      <w:r w:rsidRPr="00810E88">
        <w:rPr>
          <w:rFonts w:cstheme="minorHAnsi"/>
        </w:rPr>
        <w:t>Approach</w:t>
      </w:r>
      <w:r>
        <w:rPr>
          <w:rFonts w:cstheme="minorHAnsi"/>
        </w:rPr>
        <w:t xml:space="preserve"> and conceptual framework</w:t>
      </w:r>
      <w:r>
        <w:rPr>
          <w:rStyle w:val="FootnoteReference"/>
          <w:rFonts w:cstheme="minorHAnsi"/>
        </w:rPr>
        <w:footnoteReference w:id="3"/>
      </w:r>
    </w:p>
    <w:p w14:paraId="3A5AC468" w14:textId="77777777" w:rsidR="00C32894" w:rsidRDefault="00C32894" w:rsidP="00F54D8B">
      <w:pPr>
        <w:pStyle w:val="Box1Bullet"/>
        <w:pBdr>
          <w:bottom w:val="single" w:sz="4" w:space="9" w:color="65C5B4" w:themeColor="accent1"/>
        </w:pBdr>
      </w:pPr>
      <w:r>
        <w:t>Approach and conceptual framework for the gender strategy are clearly linked to the overarching program logic, grounded in relevant literature but not overly academic in nature.</w:t>
      </w:r>
    </w:p>
    <w:p w14:paraId="472DA4D2" w14:textId="77777777" w:rsidR="00C32894" w:rsidRDefault="00C32894" w:rsidP="00F54D8B">
      <w:pPr>
        <w:pStyle w:val="Box1Bullet"/>
        <w:pBdr>
          <w:bottom w:val="single" w:sz="4" w:space="9" w:color="65C5B4" w:themeColor="accent1"/>
        </w:pBdr>
      </w:pPr>
      <w:r w:rsidRPr="00810E88">
        <w:t xml:space="preserve">Takes account of </w:t>
      </w:r>
      <w:r w:rsidRPr="009417AB">
        <w:rPr>
          <w:u w:val="single"/>
        </w:rPr>
        <w:t>intersectionality</w:t>
      </w:r>
      <w:r w:rsidRPr="00810E88">
        <w:t xml:space="preserve"> and acknowledges that not all women </w:t>
      </w:r>
      <w:r>
        <w:t xml:space="preserve">and girls </w:t>
      </w:r>
      <w:r w:rsidRPr="00810E88">
        <w:t>have the same needs and experiences</w:t>
      </w:r>
    </w:p>
    <w:p w14:paraId="3D18DA5D" w14:textId="7F3CB78C" w:rsidR="00C32894" w:rsidRPr="008461A4" w:rsidRDefault="00C32894" w:rsidP="00F54D8B">
      <w:pPr>
        <w:pStyle w:val="Box1Bullet"/>
        <w:pBdr>
          <w:bottom w:val="single" w:sz="4" w:space="9" w:color="65C5B4" w:themeColor="accent1"/>
        </w:pBdr>
        <w:rPr>
          <w:rFonts w:cstheme="minorHAnsi"/>
        </w:rPr>
      </w:pPr>
      <w:r>
        <w:t xml:space="preserve">Recognizes that </w:t>
      </w:r>
      <w:r w:rsidRPr="009417AB">
        <w:rPr>
          <w:u w:val="single"/>
        </w:rPr>
        <w:t>gender is a power relation</w:t>
      </w:r>
      <w:r>
        <w:t xml:space="preserve"> and contains actions to address unequal gender norms that constrain women and men, girls and boys,</w:t>
      </w:r>
      <w:r w:rsidR="0096556E">
        <w:t xml:space="preserve"> as well as transgender, non-</w:t>
      </w:r>
      <w:r>
        <w:t>binary and intersex people</w:t>
      </w:r>
    </w:p>
    <w:p w14:paraId="7D7E05F6" w14:textId="17B4B788" w:rsidR="00C32894" w:rsidRPr="00810E88" w:rsidRDefault="00C32894" w:rsidP="00F54D8B">
      <w:pPr>
        <w:pStyle w:val="Box1Bullet"/>
        <w:pBdr>
          <w:bottom w:val="single" w:sz="4" w:space="9" w:color="65C5B4" w:themeColor="accent1"/>
        </w:pBdr>
        <w:rPr>
          <w:rFonts w:cstheme="minorHAnsi"/>
        </w:rPr>
      </w:pPr>
      <w:r>
        <w:t xml:space="preserve">Ensures that </w:t>
      </w:r>
      <w:r w:rsidRPr="00D20556">
        <w:rPr>
          <w:u w:val="single"/>
        </w:rPr>
        <w:t>gender</w:t>
      </w:r>
      <w:r w:rsidR="005B473D">
        <w:rPr>
          <w:u w:val="single"/>
        </w:rPr>
        <w:t xml:space="preserve"> equality</w:t>
      </w:r>
      <w:r w:rsidRPr="00D20556">
        <w:rPr>
          <w:u w:val="single"/>
        </w:rPr>
        <w:t xml:space="preserve"> is explicit and visible</w:t>
      </w:r>
      <w:r>
        <w:t>.</w:t>
      </w:r>
      <w:r>
        <w:rPr>
          <w:rStyle w:val="FootnoteReference"/>
        </w:rPr>
        <w:footnoteReference w:id="4"/>
      </w:r>
      <w:r>
        <w:t xml:space="preserve">  If other inclusion issues such as disability</w:t>
      </w:r>
      <w:r w:rsidR="005B473D">
        <w:t xml:space="preserve"> inclusion</w:t>
      </w:r>
      <w:r>
        <w:t xml:space="preserve"> are included in the strategy, they should be dealt with individually, recognizing intersecting issues, and not conflated into a generalist social inclusion approach. </w:t>
      </w:r>
    </w:p>
    <w:p w14:paraId="467342B9" w14:textId="4F8B075D" w:rsidR="00C32894" w:rsidRPr="00980E4E" w:rsidRDefault="00C32894" w:rsidP="00F54D8B">
      <w:pPr>
        <w:pStyle w:val="Box1Bullet"/>
        <w:pBdr>
          <w:bottom w:val="single" w:sz="4" w:space="9" w:color="65C5B4" w:themeColor="accent1"/>
        </w:pBdr>
        <w:rPr>
          <w:b/>
        </w:rPr>
      </w:pPr>
      <w:r w:rsidRPr="00810E88">
        <w:t>Reflects DFAT</w:t>
      </w:r>
      <w:r>
        <w:t>’</w:t>
      </w:r>
      <w:r w:rsidRPr="00810E88">
        <w:t xml:space="preserve">s twin track approach. Includes clear direction on how the </w:t>
      </w:r>
      <w:r>
        <w:t>investment</w:t>
      </w:r>
      <w:r w:rsidRPr="00810E88">
        <w:t xml:space="preserve"> will mainstream gender into </w:t>
      </w:r>
      <w:r w:rsidRPr="001D1F99">
        <w:rPr>
          <w:u w:val="single"/>
        </w:rPr>
        <w:t>EACH</w:t>
      </w:r>
      <w:r>
        <w:t xml:space="preserve"> investment</w:t>
      </w:r>
      <w:r w:rsidRPr="00810E88">
        <w:t xml:space="preserve"> component AND identifies </w:t>
      </w:r>
      <w:r w:rsidRPr="002317E5">
        <w:rPr>
          <w:u w:val="single"/>
        </w:rPr>
        <w:t xml:space="preserve">specific </w:t>
      </w:r>
      <w:r>
        <w:rPr>
          <w:u w:val="single"/>
        </w:rPr>
        <w:t xml:space="preserve">relevant </w:t>
      </w:r>
      <w:r w:rsidRPr="002317E5">
        <w:rPr>
          <w:u w:val="single"/>
        </w:rPr>
        <w:t>activities</w:t>
      </w:r>
      <w:r>
        <w:rPr>
          <w:u w:val="single"/>
        </w:rPr>
        <w:t xml:space="preserve">, </w:t>
      </w:r>
      <w:r w:rsidRPr="00883A3A">
        <w:rPr>
          <w:rFonts w:ascii="Calibri" w:hAnsi="Calibri" w:cs="Calibri"/>
        </w:rPr>
        <w:t>actions and efforts with a dedicated primary purpose to tackle persistent challenges and barriers that are holding women</w:t>
      </w:r>
      <w:r>
        <w:rPr>
          <w:rFonts w:ascii="Calibri" w:hAnsi="Calibri" w:cs="Calibri"/>
        </w:rPr>
        <w:t xml:space="preserve"> and other marginalised groups </w:t>
      </w:r>
      <w:r w:rsidRPr="00883A3A">
        <w:rPr>
          <w:rFonts w:ascii="Calibri" w:hAnsi="Calibri" w:cs="Calibri"/>
        </w:rPr>
        <w:t>back from achieving their full potential</w:t>
      </w:r>
      <w:r w:rsidR="005B473D">
        <w:rPr>
          <w:rFonts w:ascii="Calibri" w:hAnsi="Calibri" w:cs="Calibri"/>
        </w:rPr>
        <w:t xml:space="preserve"> in relation to the investment’s focus area.</w:t>
      </w:r>
    </w:p>
    <w:p w14:paraId="4ED39B6F" w14:textId="77777777" w:rsidR="00C32894" w:rsidRDefault="00C32894" w:rsidP="00F54D8B">
      <w:pPr>
        <w:pStyle w:val="Box1Bullet"/>
        <w:pBdr>
          <w:bottom w:val="single" w:sz="4" w:space="9" w:color="65C5B4" w:themeColor="accent1"/>
        </w:pBdr>
      </w:pPr>
      <w:r w:rsidRPr="00980E4E">
        <w:t xml:space="preserve">Outlines how the </w:t>
      </w:r>
      <w:r>
        <w:t>investment</w:t>
      </w:r>
      <w:r w:rsidRPr="00980E4E">
        <w:t xml:space="preserve"> </w:t>
      </w:r>
      <w:r>
        <w:t>will</w:t>
      </w:r>
      <w:r w:rsidRPr="00980E4E">
        <w:t xml:space="preserve"> contribute to DFAT priority areas for gender equality</w:t>
      </w:r>
      <w:r>
        <w:t xml:space="preserve"> – in particular, enhancing women’s leadership and decision-making, women’s economic empowerment and eliminating violence against women</w:t>
      </w:r>
    </w:p>
    <w:p w14:paraId="26FEBE34" w14:textId="10D04D2E" w:rsidR="00C32894" w:rsidRPr="00980E4E" w:rsidRDefault="00C32894" w:rsidP="00F54D8B">
      <w:pPr>
        <w:pStyle w:val="Box1Bullet"/>
        <w:pBdr>
          <w:bottom w:val="single" w:sz="4" w:space="9" w:color="65C5B4" w:themeColor="accent1"/>
        </w:pBdr>
      </w:pPr>
      <w:r>
        <w:t xml:space="preserve">Outlines how the investment will collaborate with local women’s groups or other key gender </w:t>
      </w:r>
      <w:r w:rsidR="005B473D">
        <w:t xml:space="preserve">equality </w:t>
      </w:r>
      <w:r>
        <w:t>stakeholders and programs</w:t>
      </w:r>
    </w:p>
    <w:p w14:paraId="15D3924E" w14:textId="77777777" w:rsidR="00C32894" w:rsidRPr="0046632D" w:rsidRDefault="00C32894" w:rsidP="00F54D8B">
      <w:pPr>
        <w:pStyle w:val="Box1Bullet"/>
        <w:pBdr>
          <w:bottom w:val="single" w:sz="4" w:space="9" w:color="65C5B4" w:themeColor="accent1"/>
        </w:pBdr>
        <w:rPr>
          <w:b/>
        </w:rPr>
      </w:pPr>
      <w:r w:rsidRPr="00810E88">
        <w:t xml:space="preserve">Includes </w:t>
      </w:r>
      <w:r w:rsidRPr="009417AB">
        <w:rPr>
          <w:u w:val="single"/>
        </w:rPr>
        <w:t>internal and external</w:t>
      </w:r>
      <w:r w:rsidRPr="00810E88">
        <w:t xml:space="preserve"> mainstreaming activities,</w:t>
      </w:r>
      <w:r w:rsidRPr="00810E88">
        <w:rPr>
          <w:rStyle w:val="FootnoteReference"/>
          <w:rFonts w:cstheme="minorHAnsi"/>
        </w:rPr>
        <w:footnoteReference w:id="5"/>
      </w:r>
      <w:r w:rsidRPr="00810E88">
        <w:t xml:space="preserve"> including capacity building activities for the implementing team.</w:t>
      </w:r>
    </w:p>
    <w:p w14:paraId="3A2F0C1B" w14:textId="0ABC53C0" w:rsidR="00C12AF2" w:rsidRPr="00C32894" w:rsidRDefault="00C32894" w:rsidP="00F54D8B">
      <w:pPr>
        <w:pStyle w:val="Box1Bullet"/>
        <w:pBdr>
          <w:bottom w:val="single" w:sz="4" w:space="9" w:color="65C5B4" w:themeColor="accent1"/>
        </w:pBdr>
      </w:pPr>
      <w:r>
        <w:rPr>
          <w:rFonts w:ascii="Calibri" w:hAnsi="Calibri" w:cs="Calibri"/>
        </w:rPr>
        <w:t xml:space="preserve">Outlines </w:t>
      </w:r>
      <w:r w:rsidRPr="00D20556">
        <w:rPr>
          <w:rFonts w:ascii="Calibri" w:hAnsi="Calibri" w:cs="Calibri"/>
          <w:u w:val="single"/>
        </w:rPr>
        <w:t>strategic principles</w:t>
      </w:r>
      <w:r>
        <w:rPr>
          <w:rFonts w:ascii="Calibri" w:hAnsi="Calibri" w:cs="Calibri"/>
        </w:rPr>
        <w:t xml:space="preserve"> to guide the implementation of the Strategy.</w:t>
      </w:r>
    </w:p>
    <w:p w14:paraId="75E5B4E7" w14:textId="7F9A5662" w:rsidR="00C32894" w:rsidRDefault="00C32894" w:rsidP="00C32894">
      <w:pPr>
        <w:pStyle w:val="Box1Heading"/>
      </w:pPr>
      <w:r w:rsidRPr="00810E88">
        <w:lastRenderedPageBreak/>
        <w:t>Structure</w:t>
      </w:r>
      <w:r>
        <w:t xml:space="preserve"> and objectives</w:t>
      </w:r>
    </w:p>
    <w:p w14:paraId="4D83CD28" w14:textId="1B52DFFB" w:rsidR="00C32894" w:rsidRDefault="00C32894" w:rsidP="00C32894">
      <w:pPr>
        <w:pStyle w:val="Box1Bullet"/>
      </w:pPr>
      <w:r>
        <w:t xml:space="preserve">Gender Strategy objectives are directly linked with the overarching program objectives and </w:t>
      </w:r>
      <w:r w:rsidR="005B473D">
        <w:t>T</w:t>
      </w:r>
      <w:r>
        <w:t xml:space="preserve">heory of </w:t>
      </w:r>
      <w:r w:rsidR="005B473D">
        <w:t>C</w:t>
      </w:r>
      <w:r>
        <w:t>hange (engendering overarching program objectives)</w:t>
      </w:r>
      <w:r w:rsidR="005B473D">
        <w:t>.</w:t>
      </w:r>
    </w:p>
    <w:p w14:paraId="5EF0E470" w14:textId="556767BD" w:rsidR="00C32894" w:rsidRDefault="00C32894" w:rsidP="00C32894">
      <w:pPr>
        <w:pStyle w:val="Box1Bullet"/>
      </w:pPr>
      <w:r>
        <w:t>Identified gender activities and actions</w:t>
      </w:r>
      <w:r w:rsidRPr="00810E88">
        <w:t xml:space="preserve"> are </w:t>
      </w:r>
      <w:r>
        <w:t>strategic and meaningfully address gender equality gaps an</w:t>
      </w:r>
      <w:r w:rsidR="00F54D8B">
        <w:t xml:space="preserve">d </w:t>
      </w:r>
      <w:r>
        <w:t>unequal gender norms</w:t>
      </w:r>
      <w:r w:rsidR="005B473D">
        <w:t>.</w:t>
      </w:r>
    </w:p>
    <w:p w14:paraId="3198523A" w14:textId="6E89597A" w:rsidR="00C32894" w:rsidRDefault="00C32894" w:rsidP="00C32894">
      <w:pPr>
        <w:pStyle w:val="Box1Heading"/>
        <w:rPr>
          <w:rFonts w:cstheme="minorHAnsi"/>
        </w:rPr>
      </w:pPr>
      <w:r w:rsidRPr="00810E88">
        <w:rPr>
          <w:rFonts w:cstheme="minorHAnsi"/>
        </w:rPr>
        <w:t>Accountability</w:t>
      </w:r>
      <w:r>
        <w:rPr>
          <w:rFonts w:cstheme="minorHAnsi"/>
        </w:rPr>
        <w:t xml:space="preserve"> and Resourcing</w:t>
      </w:r>
    </w:p>
    <w:p w14:paraId="0DCF4389" w14:textId="7B03A967" w:rsidR="00C32894" w:rsidRDefault="00C32894" w:rsidP="00C32894">
      <w:pPr>
        <w:pStyle w:val="Box1Bullet"/>
      </w:pPr>
      <w:r w:rsidRPr="00810E88">
        <w:t>Includes information about who is responsible for implementing each actio</w:t>
      </w:r>
      <w:r>
        <w:t>n</w:t>
      </w:r>
      <w:r w:rsidR="005B473D">
        <w:t>.</w:t>
      </w:r>
    </w:p>
    <w:p w14:paraId="263A83D3" w14:textId="5686DC43" w:rsidR="00C32894" w:rsidRDefault="00C32894" w:rsidP="00C32894">
      <w:pPr>
        <w:pStyle w:val="Box1Bullet"/>
      </w:pPr>
      <w:r w:rsidRPr="00F42EB8">
        <w:t xml:space="preserve">Includes information about </w:t>
      </w:r>
      <w:r>
        <w:t xml:space="preserve">the </w:t>
      </w:r>
      <w:r w:rsidRPr="00F42EB8">
        <w:t xml:space="preserve">financial and human resources </w:t>
      </w:r>
      <w:r>
        <w:t>that will be allocated to implement and monitor the strategy</w:t>
      </w:r>
      <w:r w:rsidR="005B473D">
        <w:t>.</w:t>
      </w:r>
    </w:p>
    <w:p w14:paraId="10E406DC" w14:textId="4BCCA17D" w:rsidR="00C32894" w:rsidRDefault="00C32894" w:rsidP="00C32894">
      <w:pPr>
        <w:pStyle w:val="Box1Heading"/>
        <w:rPr>
          <w:rFonts w:cstheme="minorHAnsi"/>
        </w:rPr>
      </w:pPr>
      <w:r w:rsidRPr="00810E88">
        <w:rPr>
          <w:rFonts w:cstheme="minorHAnsi"/>
        </w:rPr>
        <w:t>Monitoring</w:t>
      </w:r>
      <w:r w:rsidR="00E5494C">
        <w:rPr>
          <w:rFonts w:cstheme="minorHAnsi"/>
        </w:rPr>
        <w:t xml:space="preserve">, </w:t>
      </w:r>
      <w:r>
        <w:rPr>
          <w:rFonts w:cstheme="minorHAnsi"/>
        </w:rPr>
        <w:t>reporting</w:t>
      </w:r>
      <w:r w:rsidR="00E5494C">
        <w:rPr>
          <w:rFonts w:cstheme="minorHAnsi"/>
        </w:rPr>
        <w:t>, learning and risk</w:t>
      </w:r>
    </w:p>
    <w:p w14:paraId="6D259800" w14:textId="2ECF42EE" w:rsidR="00C32894" w:rsidRPr="002B4AEC" w:rsidRDefault="00C32894" w:rsidP="00C32894">
      <w:pPr>
        <w:pStyle w:val="Box1Bullet"/>
        <w:rPr>
          <w:rFonts w:cstheme="minorHAnsi"/>
        </w:rPr>
      </w:pPr>
      <w:r>
        <w:t xml:space="preserve">Meets the standards for monitoring and reporting outlined in the </w:t>
      </w:r>
      <w:hyperlink r:id="rId12" w:history="1">
        <w:r w:rsidRPr="000D5175">
          <w:rPr>
            <w:rStyle w:val="Hyperlink"/>
            <w:rFonts w:cstheme="minorBidi"/>
          </w:rPr>
          <w:t>GEB Monitoring and Evaluation and Reporting Good Practice Note</w:t>
        </w:r>
      </w:hyperlink>
      <w:r w:rsidR="005B473D">
        <w:t>.</w:t>
      </w:r>
    </w:p>
    <w:p w14:paraId="5645289E" w14:textId="174B387A" w:rsidR="00C32894" w:rsidRDefault="00C32894" w:rsidP="00C32894">
      <w:pPr>
        <w:pStyle w:val="Box1Bullet"/>
        <w:rPr>
          <w:rFonts w:cstheme="minorHAnsi"/>
        </w:rPr>
      </w:pPr>
      <w:r>
        <w:t>Outlines r</w:t>
      </w:r>
      <w:r w:rsidRPr="00C36EC6">
        <w:t>isks</w:t>
      </w:r>
      <w:r>
        <w:t xml:space="preserve"> and risk mitigation</w:t>
      </w:r>
      <w:r w:rsidRPr="00C36EC6">
        <w:t xml:space="preserve"> associated with the implementation of th</w:t>
      </w:r>
      <w:r>
        <w:t>e</w:t>
      </w:r>
      <w:r w:rsidRPr="00C36EC6">
        <w:t xml:space="preserve"> </w:t>
      </w:r>
      <w:r>
        <w:t>s</w:t>
      </w:r>
      <w:r w:rsidRPr="00C36EC6">
        <w:t>trategy</w:t>
      </w:r>
      <w:r w:rsidR="00E5494C">
        <w:t xml:space="preserve"> and how the investment will take account of Do No Harm principles</w:t>
      </w:r>
      <w:r>
        <w:rPr>
          <w:rStyle w:val="FootnoteReference"/>
          <w:rFonts w:ascii="Calibri" w:hAnsi="Calibri" w:cs="Calibri"/>
          <w:spacing w:val="-4"/>
        </w:rPr>
        <w:footnoteReference w:id="6"/>
      </w:r>
      <w:r w:rsidR="005B473D">
        <w:t>.</w:t>
      </w:r>
    </w:p>
    <w:p w14:paraId="36340F8A" w14:textId="77777777" w:rsidR="00C32894" w:rsidRDefault="00C32894" w:rsidP="00C32894">
      <w:pPr>
        <w:pStyle w:val="Box1Bullet"/>
      </w:pPr>
      <w:r w:rsidRPr="00810E88">
        <w:t xml:space="preserve">Includes information about how the </w:t>
      </w:r>
      <w:r>
        <w:t>G</w:t>
      </w:r>
      <w:r w:rsidRPr="00810E88">
        <w:t xml:space="preserve">ender </w:t>
      </w:r>
      <w:r>
        <w:t>S</w:t>
      </w:r>
      <w:r w:rsidRPr="00810E88">
        <w:t xml:space="preserve">trategy will be monitored </w:t>
      </w:r>
      <w:r>
        <w:t xml:space="preserve">and evaluated, </w:t>
      </w:r>
      <w:r w:rsidRPr="00810E88">
        <w:t xml:space="preserve">and demonstrates how monitoring of the </w:t>
      </w:r>
      <w:r>
        <w:t>G</w:t>
      </w:r>
      <w:r w:rsidRPr="00810E88">
        <w:t xml:space="preserve">ender </w:t>
      </w:r>
      <w:r>
        <w:t>S</w:t>
      </w:r>
      <w:r w:rsidRPr="00810E88">
        <w:t xml:space="preserve">trategy will be integrated into overarching </w:t>
      </w:r>
      <w:r>
        <w:t>investment</w:t>
      </w:r>
      <w:r w:rsidRPr="00810E88">
        <w:t xml:space="preserve"> monitoring</w:t>
      </w:r>
      <w:r>
        <w:t xml:space="preserve"> and evaluation</w:t>
      </w:r>
      <w:r w:rsidRPr="00810E88">
        <w:t>.</w:t>
      </w:r>
    </w:p>
    <w:p w14:paraId="1065A85B" w14:textId="0644E852" w:rsidR="00C32894" w:rsidRDefault="00C32894" w:rsidP="00C32894">
      <w:pPr>
        <w:pStyle w:val="Box1Bullet"/>
      </w:pPr>
      <w:r>
        <w:t>Includes a clear process for the collection and analysis of sex-disaggregated data, for identifying gender equality results</w:t>
      </w:r>
      <w:r>
        <w:rPr>
          <w:rStyle w:val="FootnoteReference"/>
          <w:rFonts w:cstheme="minorHAnsi"/>
        </w:rPr>
        <w:footnoteReference w:id="7"/>
      </w:r>
      <w:r>
        <w:t>, and for capturing lessons learned and good practice.</w:t>
      </w:r>
    </w:p>
    <w:p w14:paraId="2910AD89" w14:textId="77777777" w:rsidR="00A93720" w:rsidRDefault="00A93720" w:rsidP="003D2E75"/>
    <w:p w14:paraId="04CBA9EF" w14:textId="1BAF244F" w:rsidR="00A93720" w:rsidRPr="00927525" w:rsidRDefault="00A93720" w:rsidP="003D2E75">
      <w:r w:rsidRPr="00927525">
        <w:t>For further information or advice on gender equality please contact the Gender Equality Branch (</w:t>
      </w:r>
      <w:hyperlink r:id="rId13" w:history="1">
        <w:r w:rsidRPr="00927525">
          <w:rPr>
            <w:rStyle w:val="Hyperlink"/>
            <w:rFonts w:cstheme="minorBidi"/>
            <w:lang w:val="en-AU"/>
          </w:rPr>
          <w:t>gender.equality@dfat.gov.au</w:t>
        </w:r>
      </w:hyperlink>
      <w:r w:rsidRPr="00927525">
        <w:t>).</w:t>
      </w:r>
    </w:p>
    <w:p w14:paraId="3A13B9B8" w14:textId="77777777" w:rsidR="00C63769" w:rsidRPr="00C63769" w:rsidRDefault="00C63769" w:rsidP="00C63769">
      <w:pPr>
        <w:pStyle w:val="IntroPara"/>
        <w:rPr>
          <w:lang w:val="en-US"/>
        </w:rPr>
      </w:pPr>
    </w:p>
    <w:p w14:paraId="72D8C84B" w14:textId="77777777" w:rsidR="004C6342" w:rsidRDefault="004C6342" w:rsidP="004C6342"/>
    <w:p w14:paraId="72D8C84C" w14:textId="77777777" w:rsidR="00774EE4" w:rsidRDefault="00774EE4" w:rsidP="0048492D"/>
    <w:p w14:paraId="72D8C84D" w14:textId="77777777" w:rsidR="00774EE4" w:rsidRDefault="00774EE4" w:rsidP="004C6342"/>
    <w:sectPr w:rsidR="00774EE4" w:rsidSect="00FC322F">
      <w:headerReference w:type="default" r:id="rId14"/>
      <w:footerReference w:type="default" r:id="rId15"/>
      <w:headerReference w:type="first" r:id="rId16"/>
      <w:footerReference w:type="first" r:id="rId17"/>
      <w:pgSz w:w="11906" w:h="16838" w:code="9"/>
      <w:pgMar w:top="1701" w:right="1134" w:bottom="1418" w:left="1134" w:header="425" w:footer="493" w:gutter="0"/>
      <w:cols w:space="39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D8C852" w14:textId="77777777" w:rsidR="0083052F" w:rsidRDefault="0083052F" w:rsidP="00D37B04">
      <w:r>
        <w:separator/>
      </w:r>
    </w:p>
  </w:endnote>
  <w:endnote w:type="continuationSeparator" w:id="0">
    <w:p w14:paraId="72D8C853" w14:textId="77777777" w:rsidR="0083052F" w:rsidRDefault="0083052F" w:rsidP="00D37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MuseoSans-500">
    <w:altName w:val="Calibri"/>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D8C855" w14:textId="77777777" w:rsidR="00FC322F" w:rsidRPr="00FC322F" w:rsidRDefault="00FC322F" w:rsidP="00FC322F">
    <w:pPr>
      <w:pStyle w:val="Footer"/>
      <w:rPr>
        <w:b/>
      </w:rPr>
    </w:pPr>
    <w:r w:rsidRPr="00FC322F">
      <w:rPr>
        <w:b/>
        <w:noProof/>
        <w:lang w:val="en-AU" w:eastAsia="en-AU"/>
      </w:rPr>
      <w:drawing>
        <wp:inline distT="0" distB="0" distL="0" distR="0" wp14:anchorId="72D8C85A" wp14:editId="72D8C85B">
          <wp:extent cx="108000" cy="87480"/>
          <wp:effectExtent l="0" t="0" r="6350" b="8255"/>
          <wp:docPr id="35" name="Picture 35" descr="Twitter" title="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con-2-Twitter.png"/>
                  <pic:cNvPicPr/>
                </pic:nvPicPr>
                <pic:blipFill>
                  <a:blip r:embed="rId1">
                    <a:extLst>
                      <a:ext uri="{28A0092B-C50C-407E-A947-70E740481C1C}">
                        <a14:useLocalDpi xmlns:a14="http://schemas.microsoft.com/office/drawing/2010/main" val="0"/>
                      </a:ext>
                    </a:extLst>
                  </a:blip>
                  <a:stretch>
                    <a:fillRect/>
                  </a:stretch>
                </pic:blipFill>
                <pic:spPr>
                  <a:xfrm>
                    <a:off x="0" y="0"/>
                    <a:ext cx="108000" cy="87480"/>
                  </a:xfrm>
                  <a:prstGeom prst="rect">
                    <a:avLst/>
                  </a:prstGeom>
                </pic:spPr>
              </pic:pic>
            </a:graphicData>
          </a:graphic>
        </wp:inline>
      </w:drawing>
    </w:r>
    <w:r w:rsidRPr="00FC322F">
      <w:rPr>
        <w:b/>
      </w:rPr>
      <w:t>@</w:t>
    </w:r>
    <w:proofErr w:type="gramStart"/>
    <w:r w:rsidRPr="00FC322F">
      <w:rPr>
        <w:b/>
      </w:rPr>
      <w:t xml:space="preserve">DFAT  </w:t>
    </w:r>
    <w:r w:rsidRPr="00FC322F">
      <w:rPr>
        <w:rStyle w:val="Green"/>
        <w:b/>
      </w:rPr>
      <w:t>DFAT.GOV.AU</w:t>
    </w:r>
    <w:proofErr w:type="gramEnd"/>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D8C857" w14:textId="77777777" w:rsidR="00FC322F" w:rsidRPr="00FC322F" w:rsidRDefault="00FC322F" w:rsidP="00FC322F">
    <w:pPr>
      <w:pStyle w:val="Footer"/>
      <w:rPr>
        <w:b/>
      </w:rPr>
    </w:pPr>
    <w:r w:rsidRPr="00FC322F">
      <w:rPr>
        <w:b/>
        <w:noProof/>
        <w:lang w:val="en-AU" w:eastAsia="en-AU"/>
      </w:rPr>
      <w:drawing>
        <wp:inline distT="0" distB="0" distL="0" distR="0" wp14:anchorId="72D8C862" wp14:editId="72D8C863">
          <wp:extent cx="108000" cy="87480"/>
          <wp:effectExtent l="0" t="0" r="6350" b="8255"/>
          <wp:docPr id="38" name="Picture 38" descr="Twitter" title="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con-2-Twitter.png"/>
                  <pic:cNvPicPr/>
                </pic:nvPicPr>
                <pic:blipFill>
                  <a:blip r:embed="rId1">
                    <a:extLst>
                      <a:ext uri="{28A0092B-C50C-407E-A947-70E740481C1C}">
                        <a14:useLocalDpi xmlns:a14="http://schemas.microsoft.com/office/drawing/2010/main" val="0"/>
                      </a:ext>
                    </a:extLst>
                  </a:blip>
                  <a:stretch>
                    <a:fillRect/>
                  </a:stretch>
                </pic:blipFill>
                <pic:spPr>
                  <a:xfrm>
                    <a:off x="0" y="0"/>
                    <a:ext cx="108000" cy="87480"/>
                  </a:xfrm>
                  <a:prstGeom prst="rect">
                    <a:avLst/>
                  </a:prstGeom>
                </pic:spPr>
              </pic:pic>
            </a:graphicData>
          </a:graphic>
        </wp:inline>
      </w:drawing>
    </w:r>
    <w:r w:rsidRPr="00FC322F">
      <w:rPr>
        <w:b/>
      </w:rPr>
      <w:t>@</w:t>
    </w:r>
    <w:proofErr w:type="gramStart"/>
    <w:r w:rsidRPr="00FC322F">
      <w:rPr>
        <w:b/>
      </w:rPr>
      <w:t xml:space="preserve">DFAT  </w:t>
    </w:r>
    <w:r w:rsidRPr="00FC322F">
      <w:rPr>
        <w:rStyle w:val="Green"/>
        <w:b/>
      </w:rPr>
      <w:t>DFAT.GOV.AU</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D8C850" w14:textId="77777777" w:rsidR="0083052F" w:rsidRPr="008C5A0E" w:rsidRDefault="0083052F" w:rsidP="00D37B04">
      <w:pPr>
        <w:pStyle w:val="Footer"/>
      </w:pPr>
    </w:p>
  </w:footnote>
  <w:footnote w:type="continuationSeparator" w:id="0">
    <w:p w14:paraId="72D8C851" w14:textId="77777777" w:rsidR="0083052F" w:rsidRDefault="0083052F" w:rsidP="00D37B04">
      <w:r>
        <w:continuationSeparator/>
      </w:r>
    </w:p>
  </w:footnote>
  <w:footnote w:id="1">
    <w:p w14:paraId="3C272940" w14:textId="1C463C9E" w:rsidR="00F54D8B" w:rsidRPr="00F54D8B" w:rsidRDefault="00F54D8B" w:rsidP="00F54D8B">
      <w:pPr>
        <w:pStyle w:val="FootnoteSeparator"/>
        <w:rPr>
          <w:lang w:val="en-AU"/>
        </w:rPr>
      </w:pPr>
      <w:r>
        <w:rPr>
          <w:rStyle w:val="FootnoteReference"/>
        </w:rPr>
        <w:footnoteRef/>
      </w:r>
      <w:r>
        <w:t xml:space="preserve"> </w:t>
      </w:r>
      <w:r w:rsidRPr="00F54D8B">
        <w:t>See for example, Effective Strategies for Promoting Gender Equality, Prepared for the OECD DAC Network on Gender Equality by Juliet Hunt, April 2004 [</w:t>
      </w:r>
      <w:hyperlink r:id="rId1" w:history="1">
        <w:r w:rsidRPr="00F54D8B">
          <w:rPr>
            <w:rStyle w:val="Hyperlink"/>
            <w:rFonts w:cstheme="minorBidi"/>
          </w:rPr>
          <w:t>https://www.researchgate.net/publication/261135380_Effective_Strategies_for_Promoting_Gender_Equality</w:t>
        </w:r>
      </w:hyperlink>
      <w:r w:rsidRPr="00F54D8B">
        <w:t>].</w:t>
      </w:r>
    </w:p>
  </w:footnote>
  <w:footnote w:id="2">
    <w:p w14:paraId="22F2C071" w14:textId="6BAE5622" w:rsidR="001E46FA" w:rsidRPr="00F54D8B" w:rsidRDefault="001E46FA" w:rsidP="00F54D8B">
      <w:pPr>
        <w:pStyle w:val="FootnoteSeparator"/>
      </w:pPr>
      <w:r w:rsidRPr="00F54D8B">
        <w:rPr>
          <w:rStyle w:val="FootnoteReference"/>
          <w:vertAlign w:val="baseline"/>
        </w:rPr>
        <w:footnoteRef/>
      </w:r>
      <w:r w:rsidRPr="00F54D8B">
        <w:t xml:space="preserve"> Appreciative Inquiry (AI) was pioneered in the 1980s by David </w:t>
      </w:r>
      <w:proofErr w:type="spellStart"/>
      <w:r w:rsidRPr="00F54D8B">
        <w:t>Cooperrider</w:t>
      </w:r>
      <w:proofErr w:type="spellEnd"/>
      <w:r w:rsidRPr="00F54D8B">
        <w:t xml:space="preserve"> and Suresh </w:t>
      </w:r>
      <w:proofErr w:type="spellStart"/>
      <w:r w:rsidRPr="00F54D8B">
        <w:t>Srivastva</w:t>
      </w:r>
      <w:proofErr w:type="spellEnd"/>
      <w:r w:rsidRPr="00F54D8B">
        <w:t>, two professors at the Weatherhead School of Management at Case Western Reserve University. The principle underlying appreciative inquiry is that human systems move in the direction of their images of the future. When developing gender strategies we should seek to focus on what is already working and build on that, rather than focus on problems. The more positive and hopeful the image of the future, the more positive the present-day action. Positive questions lead to positive change. Positive images lead to positive actions. See </w:t>
      </w:r>
      <w:r w:rsidR="00E5494C" w:rsidRPr="00F54D8B">
        <w:t>[</w:t>
      </w:r>
      <w:hyperlink r:id="rId2" w:history="1">
        <w:r w:rsidRPr="00F54D8B">
          <w:rPr>
            <w:rStyle w:val="Hyperlink"/>
            <w:rFonts w:cstheme="minorBidi"/>
            <w:color w:val="495965" w:themeColor="text2"/>
            <w:u w:val="none"/>
          </w:rPr>
          <w:t>http://www.davidcooperrider.com/</w:t>
        </w:r>
      </w:hyperlink>
      <w:r w:rsidR="00E5494C" w:rsidRPr="00F54D8B">
        <w:t>] [</w:t>
      </w:r>
      <w:hyperlink r:id="rId3" w:history="1">
        <w:r w:rsidRPr="00F54D8B">
          <w:rPr>
            <w:rStyle w:val="Hyperlink"/>
            <w:rFonts w:cstheme="minorBidi"/>
            <w:color w:val="495965" w:themeColor="text2"/>
            <w:u w:val="none"/>
          </w:rPr>
          <w:t>https://www.centerforappreciativeinquiry.net/more-on-ai/what-is-appreciative-inquiry-ai/</w:t>
        </w:r>
      </w:hyperlink>
      <w:r w:rsidR="00E5494C" w:rsidRPr="00F54D8B">
        <w:t>] [</w:t>
      </w:r>
      <w:hyperlink r:id="rId4" w:history="1">
        <w:r w:rsidRPr="00F54D8B">
          <w:rPr>
            <w:rStyle w:val="Hyperlink"/>
            <w:rFonts w:cstheme="minorBidi"/>
            <w:color w:val="495965" w:themeColor="text2"/>
            <w:u w:val="none"/>
          </w:rPr>
          <w:t>https://appreciativeinquiry.champlain.edu/</w:t>
        </w:r>
      </w:hyperlink>
      <w:r w:rsidR="00E5494C" w:rsidRPr="00F54D8B">
        <w:t>]</w:t>
      </w:r>
    </w:p>
  </w:footnote>
  <w:footnote w:id="3">
    <w:p w14:paraId="6CD65EC9" w14:textId="09589E5A" w:rsidR="00C12AF2" w:rsidRPr="00F54D8B" w:rsidRDefault="00C12AF2" w:rsidP="00F54D8B">
      <w:pPr>
        <w:pStyle w:val="FootnoteSeparator"/>
        <w:rPr>
          <w:rStyle w:val="FootnoteReference"/>
          <w:vertAlign w:val="baseline"/>
        </w:rPr>
      </w:pPr>
      <w:r w:rsidRPr="00F54D8B">
        <w:rPr>
          <w:rStyle w:val="FootnoteReference"/>
          <w:vertAlign w:val="baseline"/>
        </w:rPr>
        <w:footnoteRef/>
      </w:r>
      <w:r w:rsidRPr="00F54D8B">
        <w:rPr>
          <w:rStyle w:val="FootnoteReference"/>
          <w:vertAlign w:val="baseline"/>
        </w:rPr>
        <w:t xml:space="preserve"> There are many well know international frameworks for conceptualizing gender equality such as Moser and Sen</w:t>
      </w:r>
      <w:r w:rsidR="001E46FA" w:rsidRPr="00F54D8B">
        <w:t xml:space="preserve"> [</w:t>
      </w:r>
      <w:hyperlink r:id="rId5" w:history="1">
        <w:r w:rsidR="001E46FA" w:rsidRPr="00F54D8B">
          <w:rPr>
            <w:rStyle w:val="Hyperlink"/>
            <w:rFonts w:cstheme="minorBidi"/>
            <w:color w:val="495965" w:themeColor="text2"/>
            <w:u w:val="none"/>
          </w:rPr>
          <w:t>https://www.ndi.org/sites/default/files/Guide%20to%20Gender%20Analysis%20Frameworks.pdf</w:t>
        </w:r>
      </w:hyperlink>
      <w:r w:rsidR="001E46FA" w:rsidRPr="00F54D8B">
        <w:t>]</w:t>
      </w:r>
      <w:r w:rsidRPr="00F54D8B">
        <w:rPr>
          <w:rStyle w:val="FootnoteReference"/>
          <w:vertAlign w:val="baseline"/>
        </w:rPr>
        <w:t>, frameworks developed by International NGOs such as CARE International’s Gender Equality Framework</w:t>
      </w:r>
      <w:r w:rsidR="001E46FA" w:rsidRPr="00F54D8B">
        <w:t xml:space="preserve"> [</w:t>
      </w:r>
      <w:hyperlink r:id="rId6" w:history="1">
        <w:r w:rsidR="001E46FA" w:rsidRPr="00F54D8B">
          <w:rPr>
            <w:rStyle w:val="Hyperlink"/>
            <w:rFonts w:cstheme="minorBidi"/>
            <w:color w:val="495965" w:themeColor="text2"/>
            <w:u w:val="none"/>
          </w:rPr>
          <w:t>https://insights.careinternational.org.uk/media/k2/attachments/Gender_equality_womens_voice_Guidance_Note_2018.pdf</w:t>
        </w:r>
      </w:hyperlink>
      <w:r w:rsidR="001E46FA" w:rsidRPr="00F54D8B">
        <w:t>]</w:t>
      </w:r>
      <w:r w:rsidRPr="00F54D8B">
        <w:rPr>
          <w:rStyle w:val="FootnoteReference"/>
          <w:vertAlign w:val="baseline"/>
        </w:rPr>
        <w:t>, and frameworks to conceptualize specific areas of empowerment such as the Women’s Empowerment and Market Systems Approach</w:t>
      </w:r>
      <w:r w:rsidR="00E5494C" w:rsidRPr="00F54D8B">
        <w:t xml:space="preserve"> [</w:t>
      </w:r>
      <w:hyperlink r:id="rId7" w:history="1">
        <w:r w:rsidR="00E5494C" w:rsidRPr="00F54D8B">
          <w:rPr>
            <w:rStyle w:val="Hyperlink"/>
            <w:rFonts w:cstheme="minorBidi"/>
            <w:color w:val="495965" w:themeColor="text2"/>
            <w:u w:val="none"/>
          </w:rPr>
          <w:t>https://beamexchange.org/resources/794/</w:t>
        </w:r>
      </w:hyperlink>
      <w:r w:rsidR="00E5494C" w:rsidRPr="00F54D8B">
        <w:t>]</w:t>
      </w:r>
      <w:r w:rsidRPr="00F54D8B">
        <w:rPr>
          <w:rStyle w:val="FootnoteReference"/>
          <w:vertAlign w:val="baseline"/>
        </w:rPr>
        <w:t xml:space="preserve">. A program may choose to draw on one or more such frameworks to shape its strategic direction. </w:t>
      </w:r>
    </w:p>
  </w:footnote>
  <w:footnote w:id="4">
    <w:p w14:paraId="66B7A8F3" w14:textId="41FC1C03" w:rsidR="00C32894" w:rsidRPr="00F54D8B" w:rsidRDefault="00C32894" w:rsidP="00F54D8B">
      <w:pPr>
        <w:pStyle w:val="FootnoteSeparator"/>
      </w:pPr>
      <w:r w:rsidRPr="00F54D8B">
        <w:rPr>
          <w:rStyle w:val="FootnoteReference"/>
          <w:vertAlign w:val="baseline"/>
        </w:rPr>
        <w:footnoteRef/>
      </w:r>
      <w:r w:rsidRPr="00F54D8B">
        <w:t xml:space="preserve"> </w:t>
      </w:r>
      <w:r w:rsidRPr="00F54D8B">
        <w:rPr>
          <w:rStyle w:val="FootnoteReference"/>
          <w:vertAlign w:val="baseline"/>
        </w:rPr>
        <w:t xml:space="preserve">Gender </w:t>
      </w:r>
      <w:r w:rsidR="005B473D">
        <w:t xml:space="preserve">equality </w:t>
      </w:r>
      <w:r w:rsidRPr="00F54D8B">
        <w:rPr>
          <w:rStyle w:val="FootnoteReference"/>
          <w:vertAlign w:val="baseline"/>
        </w:rPr>
        <w:t xml:space="preserve">and disability </w:t>
      </w:r>
      <w:r w:rsidR="005B473D">
        <w:t xml:space="preserve">inclusion </w:t>
      </w:r>
      <w:r w:rsidRPr="00F54D8B">
        <w:rPr>
          <w:rStyle w:val="FootnoteReference"/>
          <w:vertAlign w:val="baseline"/>
        </w:rPr>
        <w:t>are important issues in their own right and should both be reflected as such in the title of the strategy. E.g. Gender</w:t>
      </w:r>
      <w:r w:rsidR="005B473D">
        <w:rPr>
          <w:rStyle w:val="FootnoteReference"/>
          <w:vertAlign w:val="baseline"/>
        </w:rPr>
        <w:t xml:space="preserve"> Equality</w:t>
      </w:r>
      <w:r w:rsidRPr="00F54D8B">
        <w:t>, Disability and Social Inclusion.</w:t>
      </w:r>
    </w:p>
  </w:footnote>
  <w:footnote w:id="5">
    <w:p w14:paraId="70A083C3" w14:textId="36B1A1C3" w:rsidR="00C32894" w:rsidRPr="00F54D8B" w:rsidRDefault="00C32894" w:rsidP="00F54D8B">
      <w:pPr>
        <w:pStyle w:val="FootnoteSeparator"/>
        <w:rPr>
          <w:rStyle w:val="FootnoteReference"/>
          <w:vertAlign w:val="baseline"/>
        </w:rPr>
      </w:pPr>
      <w:r w:rsidRPr="00F54D8B">
        <w:rPr>
          <w:rStyle w:val="FootnoteReference"/>
          <w:vertAlign w:val="baseline"/>
        </w:rPr>
        <w:footnoteRef/>
      </w:r>
      <w:r w:rsidRPr="00F54D8B">
        <w:t xml:space="preserve"> </w:t>
      </w:r>
      <w:r w:rsidRPr="00F54D8B">
        <w:rPr>
          <w:rStyle w:val="FootnoteReference"/>
          <w:vertAlign w:val="baseline"/>
        </w:rPr>
        <w:t xml:space="preserve">Internal strategies are those which the </w:t>
      </w:r>
      <w:r w:rsidR="005B473D">
        <w:rPr>
          <w:rStyle w:val="FootnoteReference"/>
          <w:vertAlign w:val="baseline"/>
        </w:rPr>
        <w:t>i</w:t>
      </w:r>
      <w:r w:rsidR="005B473D">
        <w:t>mplementing partner</w:t>
      </w:r>
      <w:r w:rsidRPr="00F54D8B">
        <w:rPr>
          <w:rStyle w:val="FootnoteReference"/>
          <w:vertAlign w:val="baseline"/>
        </w:rPr>
        <w:t xml:space="preserve"> can have direct control over and include </w:t>
      </w:r>
      <w:r w:rsidR="005B473D">
        <w:rPr>
          <w:rStyle w:val="FootnoteReference"/>
          <w:vertAlign w:val="baseline"/>
        </w:rPr>
        <w:t>s</w:t>
      </w:r>
      <w:r w:rsidR="005B473D">
        <w:t>teps</w:t>
      </w:r>
      <w:r w:rsidRPr="00F54D8B">
        <w:rPr>
          <w:rStyle w:val="FootnoteReference"/>
          <w:vertAlign w:val="baseline"/>
        </w:rPr>
        <w:t xml:space="preserve"> such as capacity building for employed investment staff and advisers, inclusion of responsibility for gender in all TORs for advisers and gender sensitive recruitment. External strategies are those that are going to be implemented by advisers and </w:t>
      </w:r>
      <w:proofErr w:type="spellStart"/>
      <w:r w:rsidRPr="00F54D8B">
        <w:rPr>
          <w:rStyle w:val="FootnoteReference"/>
          <w:vertAlign w:val="baseline"/>
        </w:rPr>
        <w:t>partner</w:t>
      </w:r>
      <w:r w:rsidR="005B473D">
        <w:t>,</w:t>
      </w:r>
      <w:r w:rsidRPr="00F54D8B">
        <w:rPr>
          <w:rStyle w:val="FootnoteReference"/>
          <w:vertAlign w:val="baseline"/>
        </w:rPr>
        <w:t>s</w:t>
      </w:r>
      <w:proofErr w:type="spellEnd"/>
      <w:r w:rsidRPr="00F54D8B">
        <w:rPr>
          <w:rStyle w:val="FootnoteReference"/>
          <w:vertAlign w:val="baseline"/>
        </w:rPr>
        <w:t xml:space="preserve"> and will assist to ensure that both men and women participate in and benefit from investment activities.</w:t>
      </w:r>
      <w:r w:rsidRPr="00F54D8B">
        <w:t xml:space="preserve"> </w:t>
      </w:r>
      <w:r w:rsidRPr="00F54D8B">
        <w:rPr>
          <w:rStyle w:val="FootnoteReference"/>
          <w:vertAlign w:val="baseline"/>
        </w:rPr>
        <w:t>This approach is in alignment with DFAT’s Gender Equality and Women’s Empowerment Strategy and its Women in Leadership Strategy.</w:t>
      </w:r>
    </w:p>
  </w:footnote>
  <w:footnote w:id="6">
    <w:p w14:paraId="0991709B" w14:textId="7683048F" w:rsidR="00C32894" w:rsidRDefault="00C32894" w:rsidP="00C32894">
      <w:pPr>
        <w:pStyle w:val="FootnoteSeparator"/>
      </w:pPr>
      <w:r>
        <w:rPr>
          <w:rStyle w:val="FootnoteReference"/>
        </w:rPr>
        <w:footnoteRef/>
      </w:r>
      <w:r>
        <w:t xml:space="preserve"> </w:t>
      </w:r>
      <w:r w:rsidR="00E5494C" w:rsidRPr="00E5494C">
        <w:t>Risk mitigation should include an analysis of gender norms</w:t>
      </w:r>
      <w:r w:rsidR="005B473D">
        <w:t xml:space="preserve"> and social relations</w:t>
      </w:r>
      <w:r w:rsidR="00E5494C" w:rsidRPr="00E5494C">
        <w:t xml:space="preserve"> in a country, sector or organisation related to the program and how they could potentially impact on the effectiveness of the program and do no harm principles if not adequately addressed. As an ethical principle, 'do no harm' in relation to work on gender </w:t>
      </w:r>
      <w:r w:rsidR="005B473D">
        <w:t xml:space="preserve">equality </w:t>
      </w:r>
      <w:r w:rsidR="00E5494C" w:rsidRPr="00E5494C">
        <w:t>means recognizing that the actions we take in a particular context are not neutral. Our actions will affect the relationships within that context, either for better or for worse. We can ensure that we are actively applying risk mitigation strategies to ensure we don’t make things worse [</w:t>
      </w:r>
      <w:hyperlink r:id="rId8" w:history="1">
        <w:r w:rsidR="00E5494C" w:rsidRPr="00E5494C">
          <w:rPr>
            <w:rStyle w:val="Hyperlink"/>
            <w:rFonts w:cstheme="minorBidi"/>
          </w:rPr>
          <w:t>https://iwda.org.au/resource/do-no-harm-toolkit/</w:t>
        </w:r>
      </w:hyperlink>
      <w:r w:rsidR="00E5494C" w:rsidRPr="00E5494C">
        <w:t>]</w:t>
      </w:r>
      <w:r>
        <w:t xml:space="preserve">. </w:t>
      </w:r>
    </w:p>
  </w:footnote>
  <w:footnote w:id="7">
    <w:p w14:paraId="2B99A7FA" w14:textId="169F2AA7" w:rsidR="00C32894" w:rsidRDefault="00C32894" w:rsidP="00C32894">
      <w:pPr>
        <w:pStyle w:val="FootnoteSeparator"/>
      </w:pPr>
      <w:r>
        <w:rPr>
          <w:rStyle w:val="FootnoteReference"/>
        </w:rPr>
        <w:footnoteRef/>
      </w:r>
      <w:r>
        <w:t xml:space="preserve"> Collecting and analysis sex-disaggregated data helps to measure differences in partic</w:t>
      </w:r>
      <w:r w:rsidR="0096556E">
        <w:t xml:space="preserve">ipation, </w:t>
      </w:r>
      <w:r>
        <w:t>access and benefits between men and women. Reporting on gender results should move beyond simply counting women and include indicators that help to determine what has happened for women or for progress towards gender equality as a result of their participation. For example, improvements in women’s agency, decision-making ability, realisation of their rights, changes in discriminatory social norms etc.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D8C854" w14:textId="77777777" w:rsidR="002D5B25" w:rsidRPr="000854FD" w:rsidRDefault="002D5B25" w:rsidP="002D5B25">
    <w:pPr>
      <w:pStyle w:val="Header"/>
    </w:pPr>
    <w:r w:rsidRPr="00943730">
      <w:rPr>
        <w:noProof/>
        <w:lang w:val="en-AU" w:eastAsia="en-AU"/>
      </w:rPr>
      <w:drawing>
        <wp:anchor distT="0" distB="0" distL="114300" distR="114300" simplePos="0" relativeHeight="251662336" behindDoc="1" locked="1" layoutInCell="1" allowOverlap="1" wp14:anchorId="72D8C858" wp14:editId="72D8C859">
          <wp:simplePos x="0" y="0"/>
          <wp:positionH relativeFrom="page">
            <wp:posOffset>12700</wp:posOffset>
          </wp:positionH>
          <wp:positionV relativeFrom="page">
            <wp:posOffset>0</wp:posOffset>
          </wp:positionV>
          <wp:extent cx="7559040" cy="10692765"/>
          <wp:effectExtent l="0" t="0" r="3810" b="0"/>
          <wp:wrapNone/>
          <wp:docPr id="34" name="Picture 34"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559040" cy="1069276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D8C856" w14:textId="5C088378" w:rsidR="00D37B04" w:rsidRPr="00943730" w:rsidRDefault="002D5B25" w:rsidP="00943730">
    <w:pPr>
      <w:pStyle w:val="Header"/>
    </w:pPr>
    <w:r w:rsidRPr="00943730">
      <w:fldChar w:fldCharType="begin"/>
    </w:r>
    <w:r w:rsidRPr="00943730">
      <w:instrText xml:space="preserve"> DATE  \@ "MMMM yyyy"  \* MERGEFORMAT </w:instrText>
    </w:r>
    <w:r w:rsidRPr="00943730">
      <w:fldChar w:fldCharType="separate"/>
    </w:r>
    <w:r w:rsidR="00E83BF8">
      <w:rPr>
        <w:noProof/>
      </w:rPr>
      <w:t>November 2020</w:t>
    </w:r>
    <w:r w:rsidRPr="00943730">
      <w:fldChar w:fldCharType="end"/>
    </w:r>
    <w:r w:rsidR="00252C04" w:rsidRPr="00252C04">
      <w:rPr>
        <w:noProof/>
        <w:lang w:val="en-AU" w:eastAsia="en-AU"/>
      </w:rPr>
      <w:drawing>
        <wp:anchor distT="0" distB="0" distL="114300" distR="114300" simplePos="0" relativeHeight="251664384" behindDoc="1" locked="1" layoutInCell="1" allowOverlap="1" wp14:anchorId="72D8C85C" wp14:editId="72D8C85D">
          <wp:simplePos x="0" y="0"/>
          <wp:positionH relativeFrom="page">
            <wp:posOffset>5724525</wp:posOffset>
          </wp:positionH>
          <wp:positionV relativeFrom="page">
            <wp:posOffset>918210</wp:posOffset>
          </wp:positionV>
          <wp:extent cx="1115640" cy="512640"/>
          <wp:effectExtent l="0" t="0" r="8890" b="1905"/>
          <wp:wrapNone/>
          <wp:docPr id="60" name="Picture 60" descr="Australian Aid" title="Australian A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FAT-corporate-grey.png"/>
                  <pic:cNvPicPr/>
                </pic:nvPicPr>
                <pic:blipFill>
                  <a:blip r:embed="rId1">
                    <a:extLst>
                      <a:ext uri="{28A0092B-C50C-407E-A947-70E740481C1C}">
                        <a14:useLocalDpi xmlns:a14="http://schemas.microsoft.com/office/drawing/2010/main" val="0"/>
                      </a:ext>
                    </a:extLst>
                  </a:blip>
                  <a:stretch>
                    <a:fillRect/>
                  </a:stretch>
                </pic:blipFill>
                <pic:spPr>
                  <a:xfrm>
                    <a:off x="0" y="0"/>
                    <a:ext cx="1115640" cy="512640"/>
                  </a:xfrm>
                  <a:prstGeom prst="rect">
                    <a:avLst/>
                  </a:prstGeom>
                </pic:spPr>
              </pic:pic>
            </a:graphicData>
          </a:graphic>
          <wp14:sizeRelH relativeFrom="margin">
            <wp14:pctWidth>0</wp14:pctWidth>
          </wp14:sizeRelH>
          <wp14:sizeRelV relativeFrom="margin">
            <wp14:pctHeight>0</wp14:pctHeight>
          </wp14:sizeRelV>
        </wp:anchor>
      </w:drawing>
    </w:r>
    <w:r w:rsidRPr="00943730">
      <w:rPr>
        <w:noProof/>
        <w:lang w:val="en-AU" w:eastAsia="en-AU"/>
      </w:rPr>
      <w:drawing>
        <wp:anchor distT="0" distB="0" distL="114300" distR="114300" simplePos="0" relativeHeight="251657216" behindDoc="1" locked="1" layoutInCell="1" allowOverlap="1" wp14:anchorId="72D8C85E" wp14:editId="72D8C85F">
          <wp:simplePos x="0" y="0"/>
          <wp:positionH relativeFrom="page">
            <wp:posOffset>720090</wp:posOffset>
          </wp:positionH>
          <wp:positionV relativeFrom="page">
            <wp:posOffset>882015</wp:posOffset>
          </wp:positionV>
          <wp:extent cx="3166920" cy="554400"/>
          <wp:effectExtent l="0" t="0" r="0" b="0"/>
          <wp:wrapNone/>
          <wp:docPr id="36" name="Picture 36" descr="Department of Foreign Affairs and Trade" title="Department of Foreign Affairs and Tra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FAT-corporate-grey.png"/>
                  <pic:cNvPicPr/>
                </pic:nvPicPr>
                <pic:blipFill>
                  <a:blip r:embed="rId2">
                    <a:extLst>
                      <a:ext uri="{28A0092B-C50C-407E-A947-70E740481C1C}">
                        <a14:useLocalDpi xmlns:a14="http://schemas.microsoft.com/office/drawing/2010/main" val="0"/>
                      </a:ext>
                    </a:extLst>
                  </a:blip>
                  <a:stretch>
                    <a:fillRect/>
                  </a:stretch>
                </pic:blipFill>
                <pic:spPr>
                  <a:xfrm>
                    <a:off x="0" y="0"/>
                    <a:ext cx="3166920" cy="554400"/>
                  </a:xfrm>
                  <a:prstGeom prst="rect">
                    <a:avLst/>
                  </a:prstGeom>
                </pic:spPr>
              </pic:pic>
            </a:graphicData>
          </a:graphic>
          <wp14:sizeRelH relativeFrom="margin">
            <wp14:pctWidth>0</wp14:pctWidth>
          </wp14:sizeRelH>
          <wp14:sizeRelV relativeFrom="margin">
            <wp14:pctHeight>0</wp14:pctHeight>
          </wp14:sizeRelV>
        </wp:anchor>
      </w:drawing>
    </w:r>
    <w:r w:rsidRPr="00943730">
      <w:rPr>
        <w:noProof/>
        <w:lang w:val="en-AU" w:eastAsia="en-AU"/>
      </w:rPr>
      <w:drawing>
        <wp:anchor distT="0" distB="0" distL="114300" distR="114300" simplePos="0" relativeHeight="251656192" behindDoc="1" locked="1" layoutInCell="1" allowOverlap="1" wp14:anchorId="72D8C860" wp14:editId="72D8C861">
          <wp:simplePos x="0" y="0"/>
          <wp:positionH relativeFrom="page">
            <wp:posOffset>12700</wp:posOffset>
          </wp:positionH>
          <wp:positionV relativeFrom="page">
            <wp:posOffset>0</wp:posOffset>
          </wp:positionV>
          <wp:extent cx="7559040" cy="10692130"/>
          <wp:effectExtent l="0" t="0" r="3810" b="0"/>
          <wp:wrapNone/>
          <wp:docPr id="37" name="Picture 37"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3">
                    <a:extLst>
                      <a:ext uri="{28A0092B-C50C-407E-A947-70E740481C1C}">
                        <a14:useLocalDpi xmlns:a14="http://schemas.microsoft.com/office/drawing/2010/main" val="0"/>
                      </a:ext>
                    </a:extLst>
                  </a:blip>
                  <a:stretch>
                    <a:fillRect/>
                  </a:stretch>
                </pic:blipFill>
                <pic:spPr>
                  <a:xfrm>
                    <a:off x="0" y="0"/>
                    <a:ext cx="7559040" cy="1069213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1F6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A7A24C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7CE239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A4C40E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3A0089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00AF38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967D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B14743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4C077C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C48FE4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2F6B80"/>
    <w:multiLevelType w:val="multilevel"/>
    <w:tmpl w:val="73283DF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1" w15:restartNumberingAfterBreak="0">
    <w:nsid w:val="0E1B58A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6A321EE"/>
    <w:multiLevelType w:val="hybridMultilevel"/>
    <w:tmpl w:val="B9126F96"/>
    <w:lvl w:ilvl="0" w:tplc="89F041FE">
      <w:start w:val="1"/>
      <w:numFmt w:val="bullet"/>
      <w:pStyle w:val="Box1Bullet"/>
      <w:lvlText w:val=""/>
      <w:lvlJc w:val="left"/>
      <w:pPr>
        <w:ind w:left="872" w:hanging="360"/>
      </w:pPr>
      <w:rPr>
        <w:rFonts w:ascii="Symbol" w:hAnsi="Symbol" w:hint="default"/>
      </w:rPr>
    </w:lvl>
    <w:lvl w:ilvl="1" w:tplc="0C090003" w:tentative="1">
      <w:start w:val="1"/>
      <w:numFmt w:val="bullet"/>
      <w:lvlText w:val="o"/>
      <w:lvlJc w:val="left"/>
      <w:pPr>
        <w:ind w:left="1592" w:hanging="360"/>
      </w:pPr>
      <w:rPr>
        <w:rFonts w:ascii="Courier New" w:hAnsi="Courier New" w:cs="Courier New" w:hint="default"/>
      </w:rPr>
    </w:lvl>
    <w:lvl w:ilvl="2" w:tplc="0C090005" w:tentative="1">
      <w:start w:val="1"/>
      <w:numFmt w:val="bullet"/>
      <w:lvlText w:val=""/>
      <w:lvlJc w:val="left"/>
      <w:pPr>
        <w:ind w:left="2312" w:hanging="360"/>
      </w:pPr>
      <w:rPr>
        <w:rFonts w:ascii="Wingdings" w:hAnsi="Wingdings" w:hint="default"/>
      </w:rPr>
    </w:lvl>
    <w:lvl w:ilvl="3" w:tplc="0C090001" w:tentative="1">
      <w:start w:val="1"/>
      <w:numFmt w:val="bullet"/>
      <w:lvlText w:val=""/>
      <w:lvlJc w:val="left"/>
      <w:pPr>
        <w:ind w:left="3032" w:hanging="360"/>
      </w:pPr>
      <w:rPr>
        <w:rFonts w:ascii="Symbol" w:hAnsi="Symbol" w:hint="default"/>
      </w:rPr>
    </w:lvl>
    <w:lvl w:ilvl="4" w:tplc="0C090003" w:tentative="1">
      <w:start w:val="1"/>
      <w:numFmt w:val="bullet"/>
      <w:lvlText w:val="o"/>
      <w:lvlJc w:val="left"/>
      <w:pPr>
        <w:ind w:left="3752" w:hanging="360"/>
      </w:pPr>
      <w:rPr>
        <w:rFonts w:ascii="Courier New" w:hAnsi="Courier New" w:cs="Courier New" w:hint="default"/>
      </w:rPr>
    </w:lvl>
    <w:lvl w:ilvl="5" w:tplc="0C090005" w:tentative="1">
      <w:start w:val="1"/>
      <w:numFmt w:val="bullet"/>
      <w:lvlText w:val=""/>
      <w:lvlJc w:val="left"/>
      <w:pPr>
        <w:ind w:left="4472" w:hanging="360"/>
      </w:pPr>
      <w:rPr>
        <w:rFonts w:ascii="Wingdings" w:hAnsi="Wingdings" w:hint="default"/>
      </w:rPr>
    </w:lvl>
    <w:lvl w:ilvl="6" w:tplc="0C090001" w:tentative="1">
      <w:start w:val="1"/>
      <w:numFmt w:val="bullet"/>
      <w:lvlText w:val=""/>
      <w:lvlJc w:val="left"/>
      <w:pPr>
        <w:ind w:left="5192" w:hanging="360"/>
      </w:pPr>
      <w:rPr>
        <w:rFonts w:ascii="Symbol" w:hAnsi="Symbol" w:hint="default"/>
      </w:rPr>
    </w:lvl>
    <w:lvl w:ilvl="7" w:tplc="0C090003" w:tentative="1">
      <w:start w:val="1"/>
      <w:numFmt w:val="bullet"/>
      <w:lvlText w:val="o"/>
      <w:lvlJc w:val="left"/>
      <w:pPr>
        <w:ind w:left="5912" w:hanging="360"/>
      </w:pPr>
      <w:rPr>
        <w:rFonts w:ascii="Courier New" w:hAnsi="Courier New" w:cs="Courier New" w:hint="default"/>
      </w:rPr>
    </w:lvl>
    <w:lvl w:ilvl="8" w:tplc="0C090005" w:tentative="1">
      <w:start w:val="1"/>
      <w:numFmt w:val="bullet"/>
      <w:lvlText w:val=""/>
      <w:lvlJc w:val="left"/>
      <w:pPr>
        <w:ind w:left="6632" w:hanging="360"/>
      </w:pPr>
      <w:rPr>
        <w:rFonts w:ascii="Wingdings" w:hAnsi="Wingdings" w:hint="default"/>
      </w:rPr>
    </w:lvl>
  </w:abstractNum>
  <w:abstractNum w:abstractNumId="13" w15:restartNumberingAfterBreak="0">
    <w:nsid w:val="1B6954BE"/>
    <w:multiLevelType w:val="hybridMultilevel"/>
    <w:tmpl w:val="A4B672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B9B159F"/>
    <w:multiLevelType w:val="multilevel"/>
    <w:tmpl w:val="1F38FDB4"/>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5" w15:restartNumberingAfterBreak="0">
    <w:nsid w:val="2E8440FB"/>
    <w:multiLevelType w:val="hybridMultilevel"/>
    <w:tmpl w:val="282C917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2553D9F"/>
    <w:multiLevelType w:val="multilevel"/>
    <w:tmpl w:val="A6FA45D0"/>
    <w:numStyleLink w:val="BulletsList"/>
  </w:abstractNum>
  <w:abstractNum w:abstractNumId="17" w15:restartNumberingAfterBreak="0">
    <w:nsid w:val="54853974"/>
    <w:multiLevelType w:val="hybridMultilevel"/>
    <w:tmpl w:val="B64652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9" w15:restartNumberingAfterBreak="0">
    <w:nsid w:val="5D3C1EA7"/>
    <w:multiLevelType w:val="multilevel"/>
    <w:tmpl w:val="A6FA45D0"/>
    <w:numStyleLink w:val="BulletsList"/>
  </w:abstractNum>
  <w:abstractNum w:abstractNumId="20"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1" w15:restartNumberingAfterBreak="0">
    <w:nsid w:val="73107305"/>
    <w:multiLevelType w:val="multilevel"/>
    <w:tmpl w:val="A6FA45D0"/>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2" w15:restartNumberingAfterBreak="0">
    <w:nsid w:val="792E3E94"/>
    <w:multiLevelType w:val="hybridMultilevel"/>
    <w:tmpl w:val="F5FC89DC"/>
    <w:lvl w:ilvl="0" w:tplc="0D469CE2">
      <w:start w:val="1"/>
      <w:numFmt w:val="bullet"/>
      <w:pStyle w:val="Box2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21"/>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8"/>
  </w:num>
  <w:num w:numId="10">
    <w:abstractNumId w:val="2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9"/>
  </w:num>
  <w:num w:numId="22">
    <w:abstractNumId w:val="14"/>
  </w:num>
  <w:num w:numId="23">
    <w:abstractNumId w:val="14"/>
  </w:num>
  <w:num w:numId="24">
    <w:abstractNumId w:val="19"/>
  </w:num>
  <w:num w:numId="25">
    <w:abstractNumId w:val="19"/>
  </w:num>
  <w:num w:numId="26">
    <w:abstractNumId w:val="19"/>
  </w:num>
  <w:num w:numId="27">
    <w:abstractNumId w:val="18"/>
  </w:num>
  <w:num w:numId="28">
    <w:abstractNumId w:val="10"/>
  </w:num>
  <w:num w:numId="29">
    <w:abstractNumId w:val="10"/>
  </w:num>
  <w:num w:numId="30">
    <w:abstractNumId w:val="10"/>
  </w:num>
  <w:num w:numId="31">
    <w:abstractNumId w:val="12"/>
  </w:num>
  <w:num w:numId="32">
    <w:abstractNumId w:val="22"/>
  </w:num>
  <w:num w:numId="33">
    <w:abstractNumId w:val="16"/>
  </w:num>
  <w:num w:numId="34">
    <w:abstractNumId w:val="13"/>
  </w:num>
  <w:num w:numId="35">
    <w:abstractNumId w:val="17"/>
  </w:num>
  <w:num w:numId="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stylePaneSortMethod w:val="0000"/>
  <w:documentProtection w:formatting="1"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96C"/>
    <w:rsid w:val="00001DA8"/>
    <w:rsid w:val="000020C1"/>
    <w:rsid w:val="0002080A"/>
    <w:rsid w:val="0002782F"/>
    <w:rsid w:val="00035BBF"/>
    <w:rsid w:val="00050806"/>
    <w:rsid w:val="000546D9"/>
    <w:rsid w:val="00054E4D"/>
    <w:rsid w:val="00060073"/>
    <w:rsid w:val="000616C6"/>
    <w:rsid w:val="000854FD"/>
    <w:rsid w:val="000B37F5"/>
    <w:rsid w:val="000D5175"/>
    <w:rsid w:val="000D66D6"/>
    <w:rsid w:val="00113288"/>
    <w:rsid w:val="001214BE"/>
    <w:rsid w:val="0013101C"/>
    <w:rsid w:val="001461D6"/>
    <w:rsid w:val="001541EA"/>
    <w:rsid w:val="001D663E"/>
    <w:rsid w:val="001E1DC0"/>
    <w:rsid w:val="001E46FA"/>
    <w:rsid w:val="00203277"/>
    <w:rsid w:val="00205B2E"/>
    <w:rsid w:val="00252C04"/>
    <w:rsid w:val="0028602A"/>
    <w:rsid w:val="002B5E10"/>
    <w:rsid w:val="002C793D"/>
    <w:rsid w:val="002D5B25"/>
    <w:rsid w:val="002F4F2B"/>
    <w:rsid w:val="003002C0"/>
    <w:rsid w:val="00301144"/>
    <w:rsid w:val="003031C6"/>
    <w:rsid w:val="00304984"/>
    <w:rsid w:val="00312BF8"/>
    <w:rsid w:val="003148B7"/>
    <w:rsid w:val="003158C3"/>
    <w:rsid w:val="003274CD"/>
    <w:rsid w:val="00333501"/>
    <w:rsid w:val="003457C4"/>
    <w:rsid w:val="0035119D"/>
    <w:rsid w:val="00384D40"/>
    <w:rsid w:val="0039344A"/>
    <w:rsid w:val="00395163"/>
    <w:rsid w:val="003B4F12"/>
    <w:rsid w:val="003D2E75"/>
    <w:rsid w:val="003F2041"/>
    <w:rsid w:val="00402ACC"/>
    <w:rsid w:val="004120EC"/>
    <w:rsid w:val="00423F31"/>
    <w:rsid w:val="00431899"/>
    <w:rsid w:val="00442055"/>
    <w:rsid w:val="00454A78"/>
    <w:rsid w:val="00482AE8"/>
    <w:rsid w:val="0048492D"/>
    <w:rsid w:val="00486804"/>
    <w:rsid w:val="004939C4"/>
    <w:rsid w:val="004B3775"/>
    <w:rsid w:val="004C6342"/>
    <w:rsid w:val="004D0BA0"/>
    <w:rsid w:val="004E058F"/>
    <w:rsid w:val="004E3B87"/>
    <w:rsid w:val="00510921"/>
    <w:rsid w:val="00510AD3"/>
    <w:rsid w:val="00513348"/>
    <w:rsid w:val="00513AD8"/>
    <w:rsid w:val="005204D2"/>
    <w:rsid w:val="00522396"/>
    <w:rsid w:val="00533B5D"/>
    <w:rsid w:val="005A20F6"/>
    <w:rsid w:val="005B473D"/>
    <w:rsid w:val="005B55E8"/>
    <w:rsid w:val="005C7D46"/>
    <w:rsid w:val="005D3655"/>
    <w:rsid w:val="005E4830"/>
    <w:rsid w:val="005F0D23"/>
    <w:rsid w:val="00622B86"/>
    <w:rsid w:val="00623BA1"/>
    <w:rsid w:val="006346BC"/>
    <w:rsid w:val="0066652A"/>
    <w:rsid w:val="006719C3"/>
    <w:rsid w:val="00680522"/>
    <w:rsid w:val="00682167"/>
    <w:rsid w:val="006C42AF"/>
    <w:rsid w:val="00711D8E"/>
    <w:rsid w:val="00712672"/>
    <w:rsid w:val="00734E3F"/>
    <w:rsid w:val="00736985"/>
    <w:rsid w:val="00745DF5"/>
    <w:rsid w:val="0076250F"/>
    <w:rsid w:val="007706B8"/>
    <w:rsid w:val="00774EE4"/>
    <w:rsid w:val="00780FA5"/>
    <w:rsid w:val="007B6200"/>
    <w:rsid w:val="007F3395"/>
    <w:rsid w:val="00801B9F"/>
    <w:rsid w:val="0080204D"/>
    <w:rsid w:val="00805B9C"/>
    <w:rsid w:val="0083052F"/>
    <w:rsid w:val="008475F0"/>
    <w:rsid w:val="008557A7"/>
    <w:rsid w:val="00870928"/>
    <w:rsid w:val="0087095E"/>
    <w:rsid w:val="0088373E"/>
    <w:rsid w:val="00885A62"/>
    <w:rsid w:val="0089405C"/>
    <w:rsid w:val="00897FA2"/>
    <w:rsid w:val="008A5AFE"/>
    <w:rsid w:val="008C5A0E"/>
    <w:rsid w:val="00943730"/>
    <w:rsid w:val="00961E72"/>
    <w:rsid w:val="0096556E"/>
    <w:rsid w:val="00975CA5"/>
    <w:rsid w:val="00983AED"/>
    <w:rsid w:val="00986590"/>
    <w:rsid w:val="00992C76"/>
    <w:rsid w:val="009969D6"/>
    <w:rsid w:val="009A3DD2"/>
    <w:rsid w:val="009B4D3B"/>
    <w:rsid w:val="009B7942"/>
    <w:rsid w:val="009D7407"/>
    <w:rsid w:val="009E0866"/>
    <w:rsid w:val="009E273C"/>
    <w:rsid w:val="009F1350"/>
    <w:rsid w:val="009F1D31"/>
    <w:rsid w:val="009F6423"/>
    <w:rsid w:val="00A175B3"/>
    <w:rsid w:val="00A24A62"/>
    <w:rsid w:val="00A31C9F"/>
    <w:rsid w:val="00A4144F"/>
    <w:rsid w:val="00A61B4D"/>
    <w:rsid w:val="00A80F95"/>
    <w:rsid w:val="00A91795"/>
    <w:rsid w:val="00A93720"/>
    <w:rsid w:val="00A97BF1"/>
    <w:rsid w:val="00AA298A"/>
    <w:rsid w:val="00AA315B"/>
    <w:rsid w:val="00AC164A"/>
    <w:rsid w:val="00AE448A"/>
    <w:rsid w:val="00AF2050"/>
    <w:rsid w:val="00B03CA8"/>
    <w:rsid w:val="00B33C0A"/>
    <w:rsid w:val="00B55E19"/>
    <w:rsid w:val="00B94758"/>
    <w:rsid w:val="00BA4B6D"/>
    <w:rsid w:val="00BB26C5"/>
    <w:rsid w:val="00BC31BD"/>
    <w:rsid w:val="00BF4DE6"/>
    <w:rsid w:val="00C06B13"/>
    <w:rsid w:val="00C12AF2"/>
    <w:rsid w:val="00C27D25"/>
    <w:rsid w:val="00C32894"/>
    <w:rsid w:val="00C42541"/>
    <w:rsid w:val="00C42CDE"/>
    <w:rsid w:val="00C5182A"/>
    <w:rsid w:val="00C63769"/>
    <w:rsid w:val="00C63EE9"/>
    <w:rsid w:val="00CA16F3"/>
    <w:rsid w:val="00CA37B1"/>
    <w:rsid w:val="00CB1959"/>
    <w:rsid w:val="00CC741B"/>
    <w:rsid w:val="00CD0E4B"/>
    <w:rsid w:val="00CE4C89"/>
    <w:rsid w:val="00CF07BA"/>
    <w:rsid w:val="00D0296C"/>
    <w:rsid w:val="00D32D6F"/>
    <w:rsid w:val="00D37B04"/>
    <w:rsid w:val="00D540C6"/>
    <w:rsid w:val="00D64BD1"/>
    <w:rsid w:val="00D92254"/>
    <w:rsid w:val="00DE084C"/>
    <w:rsid w:val="00E14F51"/>
    <w:rsid w:val="00E22099"/>
    <w:rsid w:val="00E357B7"/>
    <w:rsid w:val="00E53800"/>
    <w:rsid w:val="00E5494C"/>
    <w:rsid w:val="00E6081F"/>
    <w:rsid w:val="00E8296D"/>
    <w:rsid w:val="00E83BF8"/>
    <w:rsid w:val="00E8457B"/>
    <w:rsid w:val="00EA04B2"/>
    <w:rsid w:val="00EA20F3"/>
    <w:rsid w:val="00ED2831"/>
    <w:rsid w:val="00ED43D1"/>
    <w:rsid w:val="00EE25F4"/>
    <w:rsid w:val="00EE4EE1"/>
    <w:rsid w:val="00EF4574"/>
    <w:rsid w:val="00EF5FB3"/>
    <w:rsid w:val="00F04956"/>
    <w:rsid w:val="00F25A93"/>
    <w:rsid w:val="00F2684E"/>
    <w:rsid w:val="00F5404C"/>
    <w:rsid w:val="00F54D8B"/>
    <w:rsid w:val="00F61213"/>
    <w:rsid w:val="00F729EF"/>
    <w:rsid w:val="00F744A2"/>
    <w:rsid w:val="00F77CAE"/>
    <w:rsid w:val="00F82271"/>
    <w:rsid w:val="00F83428"/>
    <w:rsid w:val="00F96BB9"/>
    <w:rsid w:val="00FC322F"/>
    <w:rsid w:val="00FE6D51"/>
    <w:rsid w:val="00FE6F2A"/>
    <w:rsid w:val="00FF68D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2D8C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semiHidden="1" w:unhideWhenUsed="1"/>
    <w:lsdException w:name="toa heading" w:locked="0"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semiHidden="1" w:unhideWhenUsed="1"/>
    <w:lsdException w:name="Body Text Indent 3"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locked="0" w:semiHidden="1" w:unhideWhenUsed="1"/>
    <w:lsdException w:name="Table Grid" w:locked="0" w:uiPriority="59"/>
    <w:lsdException w:name="Table Theme" w:locked="0"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5B55E8"/>
    <w:pPr>
      <w:suppressAutoHyphens/>
      <w:spacing w:before="120" w:after="60" w:line="260" w:lineRule="atLeast"/>
    </w:pPr>
    <w:rPr>
      <w:color w:val="495965" w:themeColor="text2"/>
      <w:lang w:val="en-GB"/>
    </w:rPr>
  </w:style>
  <w:style w:type="paragraph" w:styleId="Heading1">
    <w:name w:val="heading 1"/>
    <w:basedOn w:val="Normal"/>
    <w:next w:val="Normal"/>
    <w:link w:val="Heading1Char"/>
    <w:uiPriority w:val="9"/>
    <w:qFormat/>
    <w:rsid w:val="007706B8"/>
    <w:pPr>
      <w:keepNext/>
      <w:keepLines/>
      <w:spacing w:before="0" w:after="180" w:line="380" w:lineRule="exact"/>
      <w:contextualSpacing/>
      <w:outlineLvl w:val="0"/>
    </w:pPr>
    <w:rPr>
      <w:rFonts w:asciiTheme="majorHAnsi" w:eastAsiaTheme="majorEastAsia" w:hAnsiTheme="majorHAnsi" w:cstheme="majorBidi"/>
      <w:b/>
      <w:bCs/>
      <w:caps/>
      <w:sz w:val="38"/>
      <w:szCs w:val="28"/>
    </w:rPr>
  </w:style>
  <w:style w:type="paragraph" w:styleId="Heading2">
    <w:name w:val="heading 2"/>
    <w:basedOn w:val="Heading1"/>
    <w:next w:val="Normal"/>
    <w:link w:val="Heading2Char"/>
    <w:uiPriority w:val="9"/>
    <w:unhideWhenUsed/>
    <w:qFormat/>
    <w:rsid w:val="00983AED"/>
    <w:pPr>
      <w:spacing w:before="480" w:after="120"/>
      <w:outlineLvl w:val="1"/>
    </w:pPr>
    <w:rPr>
      <w:b w:val="0"/>
      <w:bCs w:val="0"/>
      <w:szCs w:val="26"/>
    </w:rPr>
  </w:style>
  <w:style w:type="paragraph" w:styleId="Heading3">
    <w:name w:val="heading 3"/>
    <w:basedOn w:val="Heading2"/>
    <w:next w:val="Normal"/>
    <w:link w:val="Heading3Char"/>
    <w:uiPriority w:val="9"/>
    <w:unhideWhenUsed/>
    <w:qFormat/>
    <w:rsid w:val="00ED2831"/>
    <w:pPr>
      <w:spacing w:line="360" w:lineRule="atLeast"/>
      <w:outlineLvl w:val="2"/>
    </w:pPr>
    <w:rPr>
      <w:bCs/>
      <w:caps w:val="0"/>
      <w:sz w:val="30"/>
    </w:rPr>
  </w:style>
  <w:style w:type="paragraph" w:styleId="Heading4">
    <w:name w:val="heading 4"/>
    <w:basedOn w:val="Heading3"/>
    <w:next w:val="Normal"/>
    <w:link w:val="Heading4Char"/>
    <w:uiPriority w:val="9"/>
    <w:unhideWhenUsed/>
    <w:qFormat/>
    <w:rsid w:val="00A4144F"/>
    <w:pPr>
      <w:spacing w:before="240" w:line="280" w:lineRule="atLeast"/>
      <w:outlineLvl w:val="3"/>
    </w:pPr>
    <w:rPr>
      <w:iCs/>
      <w:sz w:val="24"/>
    </w:rPr>
  </w:style>
  <w:style w:type="paragraph" w:styleId="Heading5">
    <w:name w:val="heading 5"/>
    <w:basedOn w:val="Heading4"/>
    <w:next w:val="Normal"/>
    <w:link w:val="Heading5Char"/>
    <w:uiPriority w:val="9"/>
    <w:unhideWhenUsed/>
    <w:qFormat/>
    <w:rsid w:val="007706B8"/>
    <w:pPr>
      <w:spacing w:line="200" w:lineRule="atLeast"/>
      <w:outlineLvl w:val="4"/>
    </w:pPr>
    <w:rPr>
      <w:b/>
      <w:sz w:val="22"/>
    </w:rPr>
  </w:style>
  <w:style w:type="paragraph" w:styleId="Heading6">
    <w:name w:val="heading 6"/>
    <w:basedOn w:val="Heading5"/>
    <w:next w:val="Normal"/>
    <w:link w:val="Heading6Char"/>
    <w:uiPriority w:val="9"/>
    <w:semiHidden/>
    <w:unhideWhenUsed/>
    <w:qFormat/>
    <w:rsid w:val="00486804"/>
    <w:pPr>
      <w:spacing w:before="40"/>
      <w:outlineLvl w:val="5"/>
    </w:pPr>
    <w:rPr>
      <w:color w:val="286B5F" w:themeColor="accent1" w:themeShade="7F"/>
    </w:rPr>
  </w:style>
  <w:style w:type="paragraph" w:styleId="Heading7">
    <w:name w:val="heading 7"/>
    <w:basedOn w:val="Heading6"/>
    <w:next w:val="Normal"/>
    <w:link w:val="Heading7Char"/>
    <w:uiPriority w:val="9"/>
    <w:semiHidden/>
    <w:unhideWhenUsed/>
    <w:qFormat/>
    <w:locked/>
    <w:rsid w:val="00486804"/>
    <w:pPr>
      <w:outlineLvl w:val="6"/>
    </w:pPr>
    <w:rPr>
      <w:i/>
      <w:iCs w:val="0"/>
    </w:rPr>
  </w:style>
  <w:style w:type="paragraph" w:styleId="Heading8">
    <w:name w:val="heading 8"/>
    <w:basedOn w:val="Heading7"/>
    <w:next w:val="Normal"/>
    <w:link w:val="Heading8Char"/>
    <w:uiPriority w:val="9"/>
    <w:semiHidden/>
    <w:unhideWhenUsed/>
    <w:qFormat/>
    <w:locked/>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locked/>
    <w:rsid w:val="00486804"/>
    <w:pPr>
      <w:outlineLvl w:val="8"/>
    </w:pPr>
    <w:rPr>
      <w:i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06B8"/>
    <w:rPr>
      <w:rFonts w:asciiTheme="majorHAnsi" w:eastAsiaTheme="majorEastAsia" w:hAnsiTheme="majorHAnsi" w:cstheme="majorBidi"/>
      <w:b/>
      <w:bCs/>
      <w:caps/>
      <w:color w:val="495965" w:themeColor="text2"/>
      <w:sz w:val="38"/>
      <w:szCs w:val="28"/>
      <w:lang w:val="en-GB"/>
    </w:rPr>
  </w:style>
  <w:style w:type="character" w:customStyle="1" w:styleId="Heading2Char">
    <w:name w:val="Heading 2 Char"/>
    <w:basedOn w:val="DefaultParagraphFont"/>
    <w:link w:val="Heading2"/>
    <w:uiPriority w:val="9"/>
    <w:rsid w:val="00983AED"/>
    <w:rPr>
      <w:rFonts w:asciiTheme="majorHAnsi" w:eastAsiaTheme="majorEastAsia" w:hAnsiTheme="majorHAnsi" w:cstheme="majorBidi"/>
      <w:caps/>
      <w:color w:val="495965" w:themeColor="text2"/>
      <w:sz w:val="38"/>
      <w:szCs w:val="26"/>
      <w:lang w:val="en-GB"/>
    </w:rPr>
  </w:style>
  <w:style w:type="character" w:customStyle="1" w:styleId="Heading3Char">
    <w:name w:val="Heading 3 Char"/>
    <w:basedOn w:val="DefaultParagraphFont"/>
    <w:link w:val="Heading3"/>
    <w:uiPriority w:val="9"/>
    <w:rsid w:val="00ED2831"/>
    <w:rPr>
      <w:rFonts w:asciiTheme="majorHAnsi" w:eastAsiaTheme="majorEastAsia" w:hAnsiTheme="majorHAnsi" w:cstheme="majorBidi"/>
      <w:bCs/>
      <w:color w:val="495965" w:themeColor="text2"/>
      <w:sz w:val="30"/>
      <w:szCs w:val="26"/>
      <w:lang w:val="en-GB"/>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D64BD1"/>
    <w:pPr>
      <w:spacing w:after="0"/>
    </w:pPr>
    <w:rPr>
      <w:spacing w:val="-10"/>
      <w:kern w:val="28"/>
      <w:szCs w:val="52"/>
    </w:rPr>
  </w:style>
  <w:style w:type="character" w:customStyle="1" w:styleId="TitleChar">
    <w:name w:val="Title Char"/>
    <w:basedOn w:val="DefaultParagraphFont"/>
    <w:link w:val="Title"/>
    <w:uiPriority w:val="10"/>
    <w:rsid w:val="00D64BD1"/>
    <w:rPr>
      <w:rFonts w:asciiTheme="majorHAnsi" w:eastAsiaTheme="majorEastAsia" w:hAnsiTheme="majorHAnsi" w:cstheme="majorBidi"/>
      <w:b/>
      <w:bCs/>
      <w:caps/>
      <w:color w:val="495965" w:themeColor="text2"/>
      <w:spacing w:val="-10"/>
      <w:kern w:val="28"/>
      <w:sz w:val="38"/>
      <w:szCs w:val="52"/>
    </w:rPr>
  </w:style>
  <w:style w:type="paragraph" w:styleId="Subtitle">
    <w:name w:val="Subtitle"/>
    <w:basedOn w:val="Title"/>
    <w:next w:val="Normal"/>
    <w:link w:val="SubtitleChar"/>
    <w:uiPriority w:val="11"/>
    <w:qFormat/>
    <w:rsid w:val="00D64BD1"/>
    <w:pPr>
      <w:numPr>
        <w:ilvl w:val="1"/>
      </w:numPr>
      <w:spacing w:before="60" w:after="300"/>
    </w:pPr>
    <w:rPr>
      <w:rFonts w:asciiTheme="minorHAnsi" w:hAnsiTheme="minorHAnsi"/>
      <w:b w:val="0"/>
      <w:iCs/>
      <w:szCs w:val="24"/>
    </w:rPr>
  </w:style>
  <w:style w:type="character" w:customStyle="1" w:styleId="SubtitleChar">
    <w:name w:val="Subtitle Char"/>
    <w:basedOn w:val="DefaultParagraphFont"/>
    <w:link w:val="Subtitle"/>
    <w:uiPriority w:val="11"/>
    <w:rsid w:val="00D64BD1"/>
    <w:rPr>
      <w:rFonts w:eastAsiaTheme="majorEastAsia" w:cstheme="majorBidi"/>
      <w:bCs/>
      <w:iCs/>
      <w:caps/>
      <w:color w:val="495965" w:themeColor="text2"/>
      <w:spacing w:val="-10"/>
      <w:kern w:val="28"/>
      <w:sz w:val="38"/>
      <w:szCs w:val="24"/>
    </w:rPr>
  </w:style>
  <w:style w:type="paragraph" w:customStyle="1" w:styleId="Bullet1">
    <w:name w:val="Bullet 1"/>
    <w:basedOn w:val="Normal"/>
    <w:qFormat/>
    <w:rsid w:val="007706B8"/>
    <w:pPr>
      <w:numPr>
        <w:numId w:val="1"/>
      </w:numPr>
      <w:spacing w:before="0"/>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F2684E"/>
    <w:pPr>
      <w:numPr>
        <w:numId w:val="30"/>
      </w:numPr>
      <w:spacing w:before="0"/>
    </w:pPr>
  </w:style>
  <w:style w:type="paragraph" w:customStyle="1" w:styleId="NumberedList2">
    <w:name w:val="Numbered List 2"/>
    <w:basedOn w:val="NumberedList1"/>
    <w:qFormat/>
    <w:rsid w:val="00F2684E"/>
    <w:pPr>
      <w:numPr>
        <w:ilvl w:val="1"/>
      </w:numPr>
    </w:pPr>
  </w:style>
  <w:style w:type="paragraph" w:customStyle="1" w:styleId="NumberedList3">
    <w:name w:val="Numbered List 3"/>
    <w:basedOn w:val="NumberedList2"/>
    <w:qFormat/>
    <w:rsid w:val="00F2684E"/>
    <w:pPr>
      <w:numPr>
        <w:ilvl w:val="2"/>
      </w:numPr>
    </w:pPr>
  </w:style>
  <w:style w:type="paragraph" w:customStyle="1" w:styleId="Heading1Numbered">
    <w:name w:val="Heading 1 Numbered"/>
    <w:basedOn w:val="Heading1"/>
    <w:next w:val="Normal"/>
    <w:qFormat/>
    <w:rsid w:val="001E1DC0"/>
    <w:pPr>
      <w:numPr>
        <w:numId w:val="23"/>
      </w:numPr>
    </w:pPr>
  </w:style>
  <w:style w:type="paragraph" w:customStyle="1" w:styleId="Heading2Numbered">
    <w:name w:val="Heading 2 Numbered"/>
    <w:basedOn w:val="Heading2"/>
    <w:next w:val="Normal"/>
    <w:qFormat/>
    <w:rsid w:val="00ED2831"/>
    <w:pPr>
      <w:numPr>
        <w:ilvl w:val="1"/>
        <w:numId w:val="23"/>
      </w:numPr>
      <w:spacing w:after="60"/>
    </w:pPr>
    <w:rPr>
      <w:bCs/>
    </w:rPr>
  </w:style>
  <w:style w:type="paragraph" w:customStyle="1" w:styleId="Heading3Numbered">
    <w:name w:val="Heading 3 Numbered"/>
    <w:basedOn w:val="Heading3"/>
    <w:next w:val="Normal"/>
    <w:qFormat/>
    <w:rsid w:val="00ED2831"/>
    <w:pPr>
      <w:numPr>
        <w:ilvl w:val="2"/>
        <w:numId w:val="23"/>
      </w:numPr>
      <w:spacing w:before="300" w:after="60"/>
    </w:pPr>
    <w:rPr>
      <w:szCs w:val="22"/>
    </w:rPr>
  </w:style>
  <w:style w:type="numbering" w:customStyle="1" w:styleId="BulletsList">
    <w:name w:val="Bullets List"/>
    <w:uiPriority w:val="99"/>
    <w:rsid w:val="007706B8"/>
    <w:pPr>
      <w:numPr>
        <w:numId w:val="1"/>
      </w:numPr>
    </w:pPr>
  </w:style>
  <w:style w:type="numbering" w:customStyle="1" w:styleId="Numberedlist">
    <w:name w:val="Numbered list"/>
    <w:uiPriority w:val="99"/>
    <w:rsid w:val="00F2684E"/>
    <w:pPr>
      <w:numPr>
        <w:numId w:val="3"/>
      </w:numPr>
    </w:pPr>
  </w:style>
  <w:style w:type="numbering" w:customStyle="1" w:styleId="HeadingsList">
    <w:name w:val="Headings List"/>
    <w:uiPriority w:val="99"/>
    <w:rsid w:val="001E1DC0"/>
    <w:pPr>
      <w:numPr>
        <w:numId w:val="5"/>
      </w:numPr>
    </w:pPr>
  </w:style>
  <w:style w:type="table" w:customStyle="1" w:styleId="PlainTable21">
    <w:name w:val="Plain Table 21"/>
    <w:basedOn w:val="TableNormal"/>
    <w:uiPriority w:val="42"/>
    <w:locked/>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ED2831"/>
    <w:pPr>
      <w:suppressAutoHyphens w:val="0"/>
      <w:spacing w:after="600"/>
      <w:contextualSpacing w:val="0"/>
      <w:outlineLvl w:val="9"/>
    </w:pPr>
    <w:rPr>
      <w:bCs w:val="0"/>
      <w:szCs w:val="32"/>
    </w:rPr>
  </w:style>
  <w:style w:type="character" w:customStyle="1" w:styleId="Heading4Char">
    <w:name w:val="Heading 4 Char"/>
    <w:basedOn w:val="DefaultParagraphFont"/>
    <w:link w:val="Heading4"/>
    <w:uiPriority w:val="9"/>
    <w:rsid w:val="00A4144F"/>
    <w:rPr>
      <w:rFonts w:asciiTheme="majorHAnsi" w:eastAsiaTheme="majorEastAsia" w:hAnsiTheme="majorHAnsi" w:cstheme="majorBidi"/>
      <w:bCs/>
      <w:iCs/>
      <w:color w:val="495965" w:themeColor="text2"/>
      <w:sz w:val="24"/>
      <w:szCs w:val="26"/>
    </w:rPr>
  </w:style>
  <w:style w:type="paragraph" w:styleId="TOC1">
    <w:name w:val="toc 1"/>
    <w:basedOn w:val="Normal"/>
    <w:next w:val="Normal"/>
    <w:autoRedefine/>
    <w:uiPriority w:val="39"/>
    <w:unhideWhenUsed/>
    <w:rsid w:val="00ED2831"/>
    <w:pPr>
      <w:pBdr>
        <w:top w:val="single" w:sz="4" w:space="6" w:color="65C5B4" w:themeColor="accent1"/>
        <w:between w:val="single" w:sz="4" w:space="6" w:color="65C5B4" w:themeColor="accent1"/>
      </w:pBdr>
      <w:tabs>
        <w:tab w:val="right" w:pos="9639"/>
      </w:tabs>
      <w:spacing w:after="100" w:line="320" w:lineRule="atLeast"/>
    </w:pPr>
    <w:rPr>
      <w:b/>
      <w:caps/>
      <w:color w:val="65C5B4" w:themeColor="accent1"/>
      <w:sz w:val="28"/>
    </w:rPr>
  </w:style>
  <w:style w:type="paragraph" w:styleId="TOC2">
    <w:name w:val="toc 2"/>
    <w:basedOn w:val="Normal"/>
    <w:next w:val="Normal"/>
    <w:autoRedefine/>
    <w:uiPriority w:val="39"/>
    <w:unhideWhenUsed/>
    <w:rsid w:val="00ED2831"/>
    <w:pPr>
      <w:spacing w:after="100"/>
      <w:ind w:left="199" w:right="454"/>
    </w:pPr>
  </w:style>
  <w:style w:type="paragraph" w:styleId="TOC3">
    <w:name w:val="toc 3"/>
    <w:basedOn w:val="Normal"/>
    <w:next w:val="Normal"/>
    <w:autoRedefine/>
    <w:uiPriority w:val="39"/>
    <w:unhideWhenUsed/>
    <w:rsid w:val="0035119D"/>
    <w:pPr>
      <w:spacing w:after="100"/>
      <w:ind w:left="400"/>
    </w:pPr>
  </w:style>
  <w:style w:type="paragraph" w:styleId="Header">
    <w:name w:val="header"/>
    <w:basedOn w:val="Normal"/>
    <w:link w:val="HeaderChar"/>
    <w:uiPriority w:val="99"/>
    <w:unhideWhenUsed/>
    <w:rsid w:val="00FC322F"/>
    <w:pPr>
      <w:tabs>
        <w:tab w:val="center" w:pos="4513"/>
        <w:tab w:val="right" w:pos="9026"/>
      </w:tabs>
      <w:spacing w:before="0" w:after="0"/>
      <w:ind w:left="227"/>
    </w:pPr>
    <w:rPr>
      <w:b/>
      <w:caps/>
      <w:color w:val="FFFFFF" w:themeColor="background1"/>
      <w:sz w:val="20"/>
    </w:rPr>
  </w:style>
  <w:style w:type="paragraph" w:styleId="TOC4">
    <w:name w:val="toc 4"/>
    <w:basedOn w:val="Normal"/>
    <w:next w:val="Normal"/>
    <w:autoRedefine/>
    <w:uiPriority w:val="39"/>
    <w:unhideWhenUsed/>
    <w:lock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lock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lock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lock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ED2831"/>
    <w:pPr>
      <w:numPr>
        <w:numId w:val="9"/>
      </w:numPr>
    </w:pPr>
  </w:style>
  <w:style w:type="paragraph" w:styleId="TOC8">
    <w:name w:val="toc 8"/>
    <w:basedOn w:val="Normal"/>
    <w:next w:val="Normal"/>
    <w:autoRedefine/>
    <w:uiPriority w:val="39"/>
    <w:unhideWhenUsed/>
    <w:lock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lock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7706B8"/>
    <w:pPr>
      <w:spacing w:before="400" w:after="400" w:line="280" w:lineRule="exact"/>
    </w:pPr>
    <w:rPr>
      <w:b/>
      <w:color w:val="ACD08C" w:themeColor="accent2"/>
      <w:sz w:val="28"/>
    </w:rPr>
  </w:style>
  <w:style w:type="table" w:styleId="TableGrid">
    <w:name w:val="Table Grid"/>
    <w:basedOn w:val="TableNormal"/>
    <w:uiPriority w:val="59"/>
    <w:locked/>
    <w:rsid w:val="00ED2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FC322F"/>
    <w:rPr>
      <w:b/>
      <w:caps/>
      <w:color w:val="FFFFFF" w:themeColor="background1"/>
      <w:sz w:val="20"/>
      <w:lang w:val="en-GB"/>
    </w:rPr>
  </w:style>
  <w:style w:type="numbering" w:customStyle="1" w:styleId="FigureTitles">
    <w:name w:val="Figure Titles"/>
    <w:uiPriority w:val="99"/>
    <w:rsid w:val="006346BC"/>
    <w:pPr>
      <w:numPr>
        <w:numId w:val="10"/>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D32D6F"/>
    <w:rPr>
      <w:b/>
      <w:i/>
      <w:iCs/>
      <w:color w:val="495965" w:themeColor="text2"/>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rsid w:val="007706B8"/>
    <w:rPr>
      <w:rFonts w:asciiTheme="majorHAnsi" w:eastAsiaTheme="majorEastAsia" w:hAnsiTheme="majorHAnsi" w:cstheme="majorBidi"/>
      <w:b/>
      <w:bCs/>
      <w:iCs/>
      <w:color w:val="495965" w:themeColor="text2"/>
      <w:szCs w:val="26"/>
      <w:lang w:val="en-GB"/>
    </w:rPr>
  </w:style>
  <w:style w:type="paragraph" w:styleId="Caption">
    <w:name w:val="caption"/>
    <w:basedOn w:val="Normal"/>
    <w:next w:val="Normal"/>
    <w:uiPriority w:val="35"/>
    <w:unhideWhenUsed/>
    <w:qFormat/>
    <w:rsid w:val="001214BE"/>
    <w:pPr>
      <w:spacing w:before="240" w:after="180" w:line="240" w:lineRule="atLeast"/>
      <w:contextualSpacing/>
    </w:pPr>
    <w:rPr>
      <w:b/>
      <w:iCs/>
      <w:sz w:val="20"/>
      <w:szCs w:val="18"/>
    </w:rPr>
  </w:style>
  <w:style w:type="paragraph" w:styleId="Footer">
    <w:name w:val="footer"/>
    <w:basedOn w:val="Normal"/>
    <w:link w:val="FooterChar"/>
    <w:uiPriority w:val="99"/>
    <w:unhideWhenUsed/>
    <w:rsid w:val="00FC322F"/>
    <w:pPr>
      <w:spacing w:before="0" w:after="0" w:line="240" w:lineRule="exact"/>
      <w:ind w:left="284" w:right="284"/>
    </w:pPr>
    <w:rPr>
      <w:color w:val="FFFFFF" w:themeColor="background1"/>
    </w:rPr>
  </w:style>
  <w:style w:type="character" w:customStyle="1" w:styleId="FooterChar">
    <w:name w:val="Footer Char"/>
    <w:basedOn w:val="DefaultParagraphFont"/>
    <w:link w:val="Footer"/>
    <w:uiPriority w:val="99"/>
    <w:rsid w:val="00FC322F"/>
    <w:rPr>
      <w:color w:val="FFFFFF" w:themeColor="background1"/>
      <w:lang w:val="en-GB"/>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286B5F"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286B5F" w:themeColor="accent1" w:themeShade="7F"/>
      <w:szCs w:val="26"/>
    </w:rPr>
  </w:style>
  <w:style w:type="character" w:customStyle="1" w:styleId="Heading8Char">
    <w:name w:val="Heading 8 Char"/>
    <w:basedOn w:val="DefaultParagraphFont"/>
    <w:link w:val="Heading8"/>
    <w:uiPriority w:val="9"/>
    <w:semiHidden/>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character" w:customStyle="1" w:styleId="LightGrey">
    <w:name w:val="Light Grey"/>
    <w:basedOn w:val="DefaultParagraphFont"/>
    <w:uiPriority w:val="1"/>
    <w:qFormat/>
    <w:rsid w:val="00ED2831"/>
    <w:rPr>
      <w:color w:val="B0BDC6" w:themeColor="text2" w:themeTint="66"/>
    </w:rPr>
  </w:style>
  <w:style w:type="character" w:styleId="PageNumber">
    <w:name w:val="page number"/>
    <w:basedOn w:val="DefaultParagraphFont"/>
    <w:uiPriority w:val="99"/>
    <w:unhideWhenUsed/>
    <w:rsid w:val="00F5404C"/>
    <w:rPr>
      <w:color w:val="495965" w:themeColor="text2"/>
    </w:rPr>
  </w:style>
  <w:style w:type="paragraph" w:styleId="Quote">
    <w:name w:val="Quote"/>
    <w:basedOn w:val="Normal"/>
    <w:next w:val="Normal"/>
    <w:link w:val="QuoteChar"/>
    <w:uiPriority w:val="29"/>
    <w:qFormat/>
    <w:rsid w:val="00D64BD1"/>
    <w:pPr>
      <w:spacing w:before="0" w:after="180" w:line="320" w:lineRule="atLeast"/>
    </w:pPr>
    <w:rPr>
      <w:iCs/>
      <w:sz w:val="28"/>
    </w:rPr>
  </w:style>
  <w:style w:type="character" w:customStyle="1" w:styleId="QuoteChar">
    <w:name w:val="Quote Char"/>
    <w:basedOn w:val="DefaultParagraphFont"/>
    <w:link w:val="Quote"/>
    <w:uiPriority w:val="29"/>
    <w:rsid w:val="00D64BD1"/>
    <w:rPr>
      <w:iCs/>
      <w:color w:val="495965" w:themeColor="text2"/>
      <w:sz w:val="28"/>
      <w:lang w:val="en-GB"/>
    </w:rPr>
  </w:style>
  <w:style w:type="paragraph" w:customStyle="1" w:styleId="QuoteHeading">
    <w:name w:val="Quote Heading"/>
    <w:basedOn w:val="Quote"/>
    <w:qFormat/>
    <w:locked/>
    <w:rsid w:val="00C5182A"/>
    <w:rPr>
      <w:b/>
      <w:sz w:val="20"/>
    </w:rPr>
  </w:style>
  <w:style w:type="paragraph" w:styleId="FootnoteText">
    <w:name w:val="footnote text"/>
    <w:basedOn w:val="Normal"/>
    <w:link w:val="FootnoteTextChar"/>
    <w:uiPriority w:val="99"/>
    <w:semiHidden/>
    <w:unhideWhenUsed/>
    <w:rsid w:val="008C5A0E"/>
    <w:pPr>
      <w:spacing w:before="60" w:after="0" w:line="140" w:lineRule="atLeast"/>
      <w:ind w:left="170" w:hanging="170"/>
    </w:pPr>
    <w:rPr>
      <w:sz w:val="12"/>
      <w:szCs w:val="20"/>
    </w:rPr>
  </w:style>
  <w:style w:type="character" w:customStyle="1" w:styleId="FootnoteTextChar">
    <w:name w:val="Footnote Text Char"/>
    <w:basedOn w:val="DefaultParagraphFont"/>
    <w:link w:val="FootnoteText"/>
    <w:uiPriority w:val="99"/>
    <w:semiHidden/>
    <w:rsid w:val="008C5A0E"/>
    <w:rPr>
      <w:color w:val="495965" w:themeColor="text2"/>
      <w:sz w:val="12"/>
      <w:szCs w:val="20"/>
    </w:rPr>
  </w:style>
  <w:style w:type="character" w:styleId="FootnoteReference">
    <w:name w:val="footnote reference"/>
    <w:basedOn w:val="DefaultParagraphFont"/>
    <w:uiPriority w:val="99"/>
    <w:semiHidden/>
    <w:unhideWhenUsed/>
    <w:rsid w:val="003002C0"/>
    <w:rPr>
      <w:vertAlign w:val="superscript"/>
    </w:rPr>
  </w:style>
  <w:style w:type="paragraph" w:customStyle="1" w:styleId="GreyRoundBoxText">
    <w:name w:val="Grey Round Box Text"/>
    <w:basedOn w:val="Normal"/>
    <w:qFormat/>
    <w:rsid w:val="000D66D6"/>
    <w:pPr>
      <w:spacing w:before="0"/>
    </w:pPr>
    <w:rPr>
      <w:b/>
      <w:caps/>
      <w:color w:val="FFFFFF" w:themeColor="background1"/>
      <w:sz w:val="18"/>
    </w:rPr>
  </w:style>
  <w:style w:type="character" w:customStyle="1" w:styleId="Green">
    <w:name w:val="Green"/>
    <w:basedOn w:val="DefaultParagraphFont"/>
    <w:uiPriority w:val="1"/>
    <w:qFormat/>
    <w:rsid w:val="00961E72"/>
    <w:rPr>
      <w:color w:val="ACD08C" w:themeColor="accent2"/>
    </w:rPr>
  </w:style>
  <w:style w:type="paragraph" w:customStyle="1" w:styleId="PhotoMargins">
    <w:name w:val="Photo Margins"/>
    <w:basedOn w:val="Normal"/>
    <w:qFormat/>
    <w:rsid w:val="00992C76"/>
  </w:style>
  <w:style w:type="paragraph" w:customStyle="1" w:styleId="PhotoLeft">
    <w:name w:val="Photo Left"/>
    <w:basedOn w:val="PhotoMargins"/>
    <w:qFormat/>
    <w:rsid w:val="00F82271"/>
    <w:pPr>
      <w:ind w:left="-851"/>
    </w:pPr>
  </w:style>
  <w:style w:type="paragraph" w:customStyle="1" w:styleId="PhotoRight">
    <w:name w:val="Photo Right"/>
    <w:basedOn w:val="PhotoMargins"/>
    <w:qFormat/>
    <w:rsid w:val="00F82271"/>
    <w:pPr>
      <w:ind w:right="-851"/>
      <w:jc w:val="right"/>
    </w:pPr>
  </w:style>
  <w:style w:type="paragraph" w:customStyle="1" w:styleId="PhotoCaption">
    <w:name w:val="Photo Caption"/>
    <w:basedOn w:val="Normal"/>
    <w:qFormat/>
    <w:rsid w:val="00897FA2"/>
    <w:pPr>
      <w:spacing w:after="200" w:line="200" w:lineRule="atLeast"/>
      <w:jc w:val="right"/>
    </w:pPr>
    <w:rPr>
      <w:sz w:val="16"/>
    </w:rPr>
  </w:style>
  <w:style w:type="table" w:customStyle="1" w:styleId="DFATTable1">
    <w:name w:val="DFAT Table 1"/>
    <w:basedOn w:val="TableNormal"/>
    <w:uiPriority w:val="99"/>
    <w:rsid w:val="00C06B13"/>
    <w:pPr>
      <w:spacing w:before="60" w:after="60" w:line="260" w:lineRule="atLeast"/>
    </w:pPr>
    <w:rPr>
      <w:rFonts w:ascii="Calibri" w:hAnsi="Calibri"/>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paragraph" w:customStyle="1" w:styleId="FootnoteSeparator">
    <w:name w:val="Footnote Separator"/>
    <w:basedOn w:val="Footer"/>
    <w:qFormat/>
    <w:rsid w:val="00ED2831"/>
    <w:pPr>
      <w:pBdr>
        <w:top w:val="single" w:sz="4" w:space="1" w:color="495965" w:themeColor="text2"/>
      </w:pBdr>
      <w:tabs>
        <w:tab w:val="right" w:pos="9356"/>
        <w:tab w:val="center" w:pos="10036"/>
      </w:tabs>
      <w:spacing w:line="220" w:lineRule="atLeast"/>
      <w:ind w:right="0"/>
    </w:pPr>
    <w:rPr>
      <w:color w:val="495965" w:themeColor="text2"/>
      <w:sz w:val="14"/>
    </w:rPr>
  </w:style>
  <w:style w:type="paragraph" w:customStyle="1" w:styleId="Heading1smallspaceafter">
    <w:name w:val="Heading 1 small space after"/>
    <w:basedOn w:val="Heading1"/>
    <w:qFormat/>
    <w:rsid w:val="00F25A93"/>
    <w:pPr>
      <w:spacing w:after="600"/>
      <w:contextualSpacing w:val="0"/>
    </w:pPr>
  </w:style>
  <w:style w:type="paragraph" w:customStyle="1" w:styleId="TableBullet1">
    <w:name w:val="Table Bullet 1"/>
    <w:basedOn w:val="Bullet1"/>
    <w:qFormat/>
    <w:rsid w:val="00ED2831"/>
    <w:pPr>
      <w:numPr>
        <w:numId w:val="0"/>
      </w:numPr>
      <w:spacing w:before="60" w:line="220" w:lineRule="atLeast"/>
      <w:ind w:left="284" w:hanging="284"/>
    </w:pPr>
    <w:rPr>
      <w:rFonts w:ascii="Calibri" w:hAnsi="Calibri"/>
      <w:sz w:val="18"/>
    </w:rPr>
  </w:style>
  <w:style w:type="paragraph" w:customStyle="1" w:styleId="TableBullet2">
    <w:name w:val="Table Bullet 2"/>
    <w:basedOn w:val="Bullet2"/>
    <w:qFormat/>
    <w:rsid w:val="00ED2831"/>
    <w:pPr>
      <w:numPr>
        <w:ilvl w:val="0"/>
        <w:numId w:val="0"/>
      </w:numPr>
      <w:spacing w:before="60" w:line="220" w:lineRule="atLeast"/>
      <w:ind w:left="568" w:hanging="284"/>
    </w:pPr>
    <w:rPr>
      <w:rFonts w:ascii="Calibri" w:hAnsi="Calibri"/>
      <w:sz w:val="18"/>
    </w:rPr>
  </w:style>
  <w:style w:type="paragraph" w:customStyle="1" w:styleId="TableBullet3">
    <w:name w:val="Table Bullet 3"/>
    <w:basedOn w:val="Bullet3"/>
    <w:qFormat/>
    <w:rsid w:val="00ED2831"/>
    <w:pPr>
      <w:numPr>
        <w:ilvl w:val="0"/>
        <w:numId w:val="0"/>
      </w:numPr>
      <w:spacing w:before="60" w:line="220" w:lineRule="atLeast"/>
      <w:ind w:left="852" w:hanging="284"/>
    </w:pPr>
    <w:rPr>
      <w:rFonts w:ascii="Calibri" w:hAnsi="Calibri"/>
      <w:sz w:val="18"/>
    </w:rPr>
  </w:style>
  <w:style w:type="paragraph" w:customStyle="1" w:styleId="TableHeaderRow">
    <w:name w:val="Table Header Row"/>
    <w:basedOn w:val="Normal"/>
    <w:qFormat/>
    <w:rsid w:val="00C06B13"/>
    <w:pPr>
      <w:framePr w:hSpace="180" w:wrap="around" w:vAnchor="page" w:hAnchor="margin" w:y="5061"/>
      <w:spacing w:before="60"/>
    </w:pPr>
    <w:rPr>
      <w:rFonts w:ascii="Calibri" w:hAnsi="Calibri"/>
      <w:b/>
      <w:szCs w:val="21"/>
    </w:rPr>
  </w:style>
  <w:style w:type="paragraph" w:customStyle="1" w:styleId="TableNumberedList1">
    <w:name w:val="Table Numbered List 1"/>
    <w:basedOn w:val="NumberedList1"/>
    <w:qFormat/>
    <w:rsid w:val="00ED2831"/>
    <w:pPr>
      <w:spacing w:before="60" w:line="220" w:lineRule="atLeast"/>
    </w:pPr>
    <w:rPr>
      <w:rFonts w:ascii="Calibri" w:hAnsi="Calibri"/>
      <w:sz w:val="18"/>
    </w:rPr>
  </w:style>
  <w:style w:type="paragraph" w:customStyle="1" w:styleId="TableNumberedList2">
    <w:name w:val="Table Numbered List 2"/>
    <w:basedOn w:val="NumberedList2"/>
    <w:qFormat/>
    <w:rsid w:val="00ED2831"/>
    <w:pPr>
      <w:spacing w:before="60" w:line="220" w:lineRule="atLeast"/>
    </w:pPr>
    <w:rPr>
      <w:rFonts w:ascii="Calibri" w:hAnsi="Calibri"/>
      <w:sz w:val="18"/>
    </w:rPr>
  </w:style>
  <w:style w:type="paragraph" w:customStyle="1" w:styleId="TableNumberedList3">
    <w:name w:val="Table Numbered List 3"/>
    <w:basedOn w:val="NumberedList3"/>
    <w:qFormat/>
    <w:rsid w:val="00ED2831"/>
    <w:pPr>
      <w:spacing w:before="60" w:line="220" w:lineRule="atLeast"/>
      <w:ind w:left="851"/>
    </w:pPr>
    <w:rPr>
      <w:rFonts w:ascii="Calibri" w:hAnsi="Calibri"/>
      <w:sz w:val="18"/>
    </w:rPr>
  </w:style>
  <w:style w:type="paragraph" w:customStyle="1" w:styleId="TableSourceNotes">
    <w:name w:val="Table Source Notes"/>
    <w:basedOn w:val="Normal"/>
    <w:qFormat/>
    <w:rsid w:val="00ED2831"/>
    <w:pPr>
      <w:tabs>
        <w:tab w:val="left" w:pos="284"/>
      </w:tabs>
      <w:spacing w:line="160" w:lineRule="atLeast"/>
      <w:ind w:left="284" w:hanging="284"/>
      <w:contextualSpacing/>
    </w:pPr>
    <w:rPr>
      <w:sz w:val="12"/>
    </w:rPr>
  </w:style>
  <w:style w:type="paragraph" w:customStyle="1" w:styleId="TableTotalRow">
    <w:name w:val="Table Total Row"/>
    <w:basedOn w:val="Normal"/>
    <w:qFormat/>
    <w:rsid w:val="00CF07BA"/>
    <w:pPr>
      <w:spacing w:before="60"/>
    </w:pPr>
    <w:rPr>
      <w:rFonts w:ascii="Calibri" w:hAnsi="Calibri"/>
      <w:b/>
      <w:color w:val="FFFFFF" w:themeColor="background1"/>
    </w:rPr>
  </w:style>
  <w:style w:type="paragraph" w:customStyle="1" w:styleId="BoxHeading">
    <w:name w:val="Box Heading"/>
    <w:basedOn w:val="Heading3"/>
    <w:qFormat/>
    <w:locked/>
    <w:rsid w:val="00ED2831"/>
    <w:pPr>
      <w:spacing w:before="60"/>
    </w:pPr>
  </w:style>
  <w:style w:type="paragraph" w:customStyle="1" w:styleId="QuoteAuthor">
    <w:name w:val="Quote Author"/>
    <w:basedOn w:val="Quote"/>
    <w:qFormat/>
    <w:rsid w:val="00D64BD1"/>
    <w:pPr>
      <w:spacing w:after="60" w:line="200" w:lineRule="atLeast"/>
    </w:pPr>
    <w:rPr>
      <w:sz w:val="16"/>
    </w:rPr>
  </w:style>
  <w:style w:type="paragraph" w:customStyle="1" w:styleId="TableText">
    <w:name w:val="Table Text"/>
    <w:basedOn w:val="Normal"/>
    <w:qFormat/>
    <w:rsid w:val="0080204D"/>
    <w:pPr>
      <w:framePr w:hSpace="180" w:wrap="around" w:vAnchor="page" w:hAnchor="margin" w:y="5061"/>
      <w:spacing w:before="60"/>
    </w:pPr>
    <w:rPr>
      <w:rFonts w:ascii="Calibri" w:hAnsi="Calibri"/>
      <w:szCs w:val="21"/>
    </w:rPr>
  </w:style>
  <w:style w:type="paragraph" w:customStyle="1" w:styleId="PhotoCredit">
    <w:name w:val="Photo Credit"/>
    <w:basedOn w:val="Normal"/>
    <w:qFormat/>
    <w:rsid w:val="00A80F95"/>
    <w:pPr>
      <w:spacing w:after="200" w:line="160" w:lineRule="atLeast"/>
      <w:jc w:val="right"/>
    </w:pPr>
    <w:rPr>
      <w:sz w:val="12"/>
    </w:rPr>
  </w:style>
  <w:style w:type="paragraph" w:styleId="BalloonText">
    <w:name w:val="Balloon Text"/>
    <w:basedOn w:val="Normal"/>
    <w:link w:val="BalloonTextChar"/>
    <w:uiPriority w:val="99"/>
    <w:semiHidden/>
    <w:unhideWhenUsed/>
    <w:locked/>
    <w:rsid w:val="00A61B4D"/>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1B4D"/>
    <w:rPr>
      <w:rFonts w:ascii="Tahoma" w:hAnsi="Tahoma" w:cs="Tahoma"/>
      <w:color w:val="495965" w:themeColor="text2"/>
      <w:sz w:val="16"/>
      <w:szCs w:val="16"/>
      <w:lang w:val="en-GB"/>
    </w:rPr>
  </w:style>
  <w:style w:type="paragraph" w:customStyle="1" w:styleId="SpacebeforeTitle">
    <w:name w:val="Space before Title"/>
    <w:basedOn w:val="Normal"/>
    <w:qFormat/>
    <w:rsid w:val="00B33C0A"/>
    <w:pPr>
      <w:spacing w:after="900"/>
    </w:pPr>
  </w:style>
  <w:style w:type="paragraph" w:customStyle="1" w:styleId="Box1Text">
    <w:name w:val="Box 1 Text"/>
    <w:basedOn w:val="Normal"/>
    <w:qFormat/>
    <w:rsid w:val="00E8296D"/>
    <w:pPr>
      <w:pBdr>
        <w:top w:val="single" w:sz="4" w:space="14" w:color="65C5B4" w:themeColor="accent1"/>
        <w:left w:val="single" w:sz="4" w:space="14" w:color="65C5B4" w:themeColor="accent1"/>
        <w:bottom w:val="single" w:sz="4" w:space="14" w:color="65C5B4" w:themeColor="accent1"/>
        <w:right w:val="single" w:sz="4" w:space="14" w:color="65C5B4" w:themeColor="accent1"/>
      </w:pBdr>
      <w:shd w:val="clear" w:color="auto" w:fill="FFFFFF" w:themeFill="background1"/>
      <w:spacing w:before="180" w:after="80" w:line="240" w:lineRule="atLeast"/>
      <w:ind w:left="284" w:right="284"/>
    </w:pPr>
    <w:rPr>
      <w:sz w:val="20"/>
      <w:lang w:val="en-AU"/>
    </w:rPr>
  </w:style>
  <w:style w:type="paragraph" w:customStyle="1" w:styleId="Box1Heading">
    <w:name w:val="Box 1 Heading"/>
    <w:basedOn w:val="Box1Text"/>
    <w:qFormat/>
    <w:rsid w:val="00E8296D"/>
    <w:pPr>
      <w:keepNext/>
      <w:spacing w:line="300" w:lineRule="atLeast"/>
    </w:pPr>
    <w:rPr>
      <w:b/>
      <w:sz w:val="26"/>
    </w:rPr>
  </w:style>
  <w:style w:type="paragraph" w:customStyle="1" w:styleId="Box2Text">
    <w:name w:val="Box 2 Text"/>
    <w:basedOn w:val="Box1Text"/>
    <w:qFormat/>
    <w:rsid w:val="00522396"/>
    <w:pPr>
      <w:pBdr>
        <w:top w:val="single" w:sz="4" w:space="14" w:color="495965" w:themeColor="text2"/>
        <w:left w:val="single" w:sz="4" w:space="14" w:color="495965" w:themeColor="text2"/>
        <w:bottom w:val="single" w:sz="4" w:space="14" w:color="495965" w:themeColor="text2"/>
        <w:right w:val="single" w:sz="4" w:space="14" w:color="495965" w:themeColor="text2"/>
      </w:pBdr>
      <w:shd w:val="clear" w:color="auto" w:fill="495965" w:themeFill="text2"/>
    </w:pPr>
    <w:rPr>
      <w:color w:val="FFFFFF" w:themeColor="background1"/>
    </w:rPr>
  </w:style>
  <w:style w:type="paragraph" w:customStyle="1" w:styleId="Box2Heading">
    <w:name w:val="Box 2 Heading"/>
    <w:basedOn w:val="Box2Text"/>
    <w:qFormat/>
    <w:rsid w:val="00E8296D"/>
    <w:pPr>
      <w:keepNext/>
      <w:spacing w:line="300" w:lineRule="atLeast"/>
    </w:pPr>
    <w:rPr>
      <w:b/>
      <w:sz w:val="26"/>
    </w:rPr>
  </w:style>
  <w:style w:type="paragraph" w:customStyle="1" w:styleId="Box1Bullet">
    <w:name w:val="Box 1 Bullet"/>
    <w:basedOn w:val="Box1Text"/>
    <w:qFormat/>
    <w:rsid w:val="00C42541"/>
    <w:pPr>
      <w:numPr>
        <w:numId w:val="31"/>
      </w:numPr>
      <w:ind w:left="454" w:hanging="170"/>
    </w:pPr>
  </w:style>
  <w:style w:type="paragraph" w:customStyle="1" w:styleId="Box2Bullet">
    <w:name w:val="Box 2 Bullet"/>
    <w:basedOn w:val="Box2Text"/>
    <w:qFormat/>
    <w:rsid w:val="00C42541"/>
    <w:pPr>
      <w:numPr>
        <w:numId w:val="32"/>
      </w:numPr>
      <w:ind w:left="454" w:hanging="170"/>
    </w:pPr>
  </w:style>
  <w:style w:type="paragraph" w:styleId="BodyText">
    <w:name w:val="Body Text"/>
    <w:basedOn w:val="Normal"/>
    <w:link w:val="BodyTextChar"/>
    <w:uiPriority w:val="99"/>
    <w:unhideWhenUsed/>
    <w:rsid w:val="000020C1"/>
  </w:style>
  <w:style w:type="character" w:customStyle="1" w:styleId="BodyTextChar">
    <w:name w:val="Body Text Char"/>
    <w:basedOn w:val="DefaultParagraphFont"/>
    <w:link w:val="BodyText"/>
    <w:uiPriority w:val="99"/>
    <w:rsid w:val="000020C1"/>
    <w:rPr>
      <w:color w:val="495965" w:themeColor="text2"/>
      <w:lang w:val="en-GB"/>
    </w:rPr>
  </w:style>
  <w:style w:type="paragraph" w:styleId="BodyText2">
    <w:name w:val="Body Text 2"/>
    <w:basedOn w:val="Normal"/>
    <w:link w:val="BodyText2Char"/>
    <w:uiPriority w:val="99"/>
    <w:semiHidden/>
    <w:unhideWhenUsed/>
    <w:locked/>
    <w:rsid w:val="000020C1"/>
    <w:pPr>
      <w:spacing w:line="480" w:lineRule="auto"/>
    </w:pPr>
  </w:style>
  <w:style w:type="character" w:customStyle="1" w:styleId="BodyText2Char">
    <w:name w:val="Body Text 2 Char"/>
    <w:basedOn w:val="DefaultParagraphFont"/>
    <w:link w:val="BodyText2"/>
    <w:uiPriority w:val="99"/>
    <w:semiHidden/>
    <w:rsid w:val="000020C1"/>
    <w:rPr>
      <w:color w:val="495965" w:themeColor="text2"/>
      <w:lang w:val="en-GB"/>
    </w:rPr>
  </w:style>
  <w:style w:type="paragraph" w:styleId="BodyText3">
    <w:name w:val="Body Text 3"/>
    <w:basedOn w:val="Normal"/>
    <w:link w:val="BodyText3Char"/>
    <w:uiPriority w:val="99"/>
    <w:semiHidden/>
    <w:unhideWhenUsed/>
    <w:locked/>
    <w:rsid w:val="000020C1"/>
    <w:rPr>
      <w:sz w:val="16"/>
      <w:szCs w:val="16"/>
    </w:rPr>
  </w:style>
  <w:style w:type="character" w:customStyle="1" w:styleId="BodyText3Char">
    <w:name w:val="Body Text 3 Char"/>
    <w:basedOn w:val="DefaultParagraphFont"/>
    <w:link w:val="BodyText3"/>
    <w:uiPriority w:val="99"/>
    <w:semiHidden/>
    <w:rsid w:val="000020C1"/>
    <w:rPr>
      <w:color w:val="495965" w:themeColor="text2"/>
      <w:sz w:val="16"/>
      <w:szCs w:val="16"/>
      <w:lang w:val="en-GB"/>
    </w:rPr>
  </w:style>
  <w:style w:type="paragraph" w:styleId="BodyTextFirstIndent">
    <w:name w:val="Body Text First Indent"/>
    <w:basedOn w:val="NormalIndented"/>
    <w:link w:val="BodyTextFirstIndentChar"/>
    <w:uiPriority w:val="99"/>
    <w:unhideWhenUsed/>
    <w:rsid w:val="000020C1"/>
  </w:style>
  <w:style w:type="character" w:customStyle="1" w:styleId="BodyTextFirstIndentChar">
    <w:name w:val="Body Text First Indent Char"/>
    <w:basedOn w:val="BodyTextChar"/>
    <w:link w:val="BodyTextFirstIndent"/>
    <w:uiPriority w:val="99"/>
    <w:rsid w:val="000020C1"/>
    <w:rPr>
      <w:color w:val="495965" w:themeColor="text2"/>
      <w:lang w:val="en-GB"/>
    </w:rPr>
  </w:style>
  <w:style w:type="paragraph" w:styleId="BodyTextIndent">
    <w:name w:val="Body Text Indent"/>
    <w:basedOn w:val="Normal"/>
    <w:link w:val="BodyTextIndentChar"/>
    <w:uiPriority w:val="99"/>
    <w:semiHidden/>
    <w:unhideWhenUsed/>
    <w:locked/>
    <w:rsid w:val="000020C1"/>
    <w:pPr>
      <w:spacing w:after="120"/>
      <w:ind w:left="283"/>
    </w:pPr>
  </w:style>
  <w:style w:type="character" w:customStyle="1" w:styleId="BodyTextIndentChar">
    <w:name w:val="Body Text Indent Char"/>
    <w:basedOn w:val="DefaultParagraphFont"/>
    <w:link w:val="BodyTextIndent"/>
    <w:uiPriority w:val="99"/>
    <w:semiHidden/>
    <w:rsid w:val="000020C1"/>
    <w:rPr>
      <w:color w:val="495965" w:themeColor="text2"/>
      <w:lang w:val="en-GB"/>
    </w:rPr>
  </w:style>
  <w:style w:type="paragraph" w:styleId="BodyTextFirstIndent2">
    <w:name w:val="Body Text First Indent 2"/>
    <w:basedOn w:val="BodyTextIndent"/>
    <w:link w:val="BodyTextFirstIndent2Char"/>
    <w:uiPriority w:val="99"/>
    <w:semiHidden/>
    <w:unhideWhenUsed/>
    <w:locked/>
    <w:rsid w:val="00E8457B"/>
    <w:pPr>
      <w:spacing w:after="60"/>
      <w:ind w:left="567"/>
    </w:pPr>
  </w:style>
  <w:style w:type="character" w:customStyle="1" w:styleId="BodyTextFirstIndent2Char">
    <w:name w:val="Body Text First Indent 2 Char"/>
    <w:basedOn w:val="BodyTextIndentChar"/>
    <w:link w:val="BodyTextFirstIndent2"/>
    <w:uiPriority w:val="99"/>
    <w:semiHidden/>
    <w:rsid w:val="00E8457B"/>
    <w:rPr>
      <w:color w:val="495965" w:themeColor="text2"/>
      <w:lang w:val="en-GB"/>
    </w:rPr>
  </w:style>
  <w:style w:type="paragraph" w:styleId="BlockText">
    <w:name w:val="Block Text"/>
    <w:basedOn w:val="Normal"/>
    <w:uiPriority w:val="99"/>
    <w:unhideWhenUsed/>
    <w:locked/>
    <w:rsid w:val="00E8457B"/>
    <w:pPr>
      <w:pBdr>
        <w:top w:val="single" w:sz="2" w:space="10" w:color="65C5B4" w:themeColor="accent1"/>
        <w:left w:val="single" w:sz="2" w:space="10" w:color="65C5B4" w:themeColor="accent1"/>
        <w:bottom w:val="single" w:sz="2" w:space="10" w:color="65C5B4" w:themeColor="accent1"/>
        <w:right w:val="single" w:sz="2" w:space="10" w:color="65C5B4" w:themeColor="accent1"/>
      </w:pBdr>
      <w:ind w:left="1152" w:right="1152"/>
    </w:pPr>
    <w:rPr>
      <w:rFonts w:eastAsiaTheme="minorEastAsia"/>
      <w:i/>
      <w:iCs/>
      <w:color w:val="65C5B4" w:themeColor="accent1"/>
    </w:rPr>
  </w:style>
  <w:style w:type="table" w:customStyle="1" w:styleId="DFATTable2">
    <w:name w:val="DFAT Table 2"/>
    <w:basedOn w:val="TableNormal"/>
    <w:uiPriority w:val="99"/>
    <w:rsid w:val="00482AE8"/>
    <w:pPr>
      <w:spacing w:after="0" w:line="260" w:lineRule="atLeast"/>
    </w:pPr>
    <w:rPr>
      <w:rFonts w:ascii="Calibri" w:hAnsi="Calibri"/>
      <w:color w:val="495965" w:themeColor="text2"/>
    </w:rPr>
    <w:tblPr>
      <w:tblBorders>
        <w:top w:val="single" w:sz="4" w:space="0" w:color="F6F6F8"/>
        <w:bottom w:val="single" w:sz="4" w:space="0" w:color="F6F6F8"/>
        <w:insideH w:val="single" w:sz="4" w:space="0" w:color="F6F6F8"/>
      </w:tblBorders>
      <w:tblCellMar>
        <w:top w:w="57" w:type="dxa"/>
        <w:left w:w="57" w:type="dxa"/>
        <w:bottom w:w="57" w:type="dxa"/>
        <w:right w:w="57" w:type="dxa"/>
      </w:tblCellMar>
    </w:tblPr>
    <w:tcPr>
      <w:shd w:val="clear" w:color="auto" w:fill="FFFFFF" w:themeFill="background1"/>
    </w:tcPr>
  </w:style>
  <w:style w:type="character" w:styleId="CommentReference">
    <w:name w:val="annotation reference"/>
    <w:basedOn w:val="DefaultParagraphFont"/>
    <w:uiPriority w:val="99"/>
    <w:semiHidden/>
    <w:unhideWhenUsed/>
    <w:rsid w:val="005204D2"/>
    <w:rPr>
      <w:sz w:val="16"/>
      <w:szCs w:val="16"/>
    </w:rPr>
  </w:style>
  <w:style w:type="paragraph" w:styleId="CommentText">
    <w:name w:val="annotation text"/>
    <w:basedOn w:val="Normal"/>
    <w:link w:val="CommentTextChar"/>
    <w:uiPriority w:val="99"/>
    <w:semiHidden/>
    <w:unhideWhenUsed/>
    <w:rsid w:val="005204D2"/>
    <w:pPr>
      <w:spacing w:line="240" w:lineRule="auto"/>
    </w:pPr>
    <w:rPr>
      <w:sz w:val="20"/>
      <w:szCs w:val="20"/>
    </w:rPr>
  </w:style>
  <w:style w:type="character" w:customStyle="1" w:styleId="CommentTextChar">
    <w:name w:val="Comment Text Char"/>
    <w:basedOn w:val="DefaultParagraphFont"/>
    <w:link w:val="CommentText"/>
    <w:uiPriority w:val="99"/>
    <w:semiHidden/>
    <w:rsid w:val="005204D2"/>
    <w:rPr>
      <w:color w:val="495965" w:themeColor="text2"/>
      <w:sz w:val="20"/>
      <w:szCs w:val="20"/>
      <w:lang w:val="en-GB"/>
    </w:rPr>
  </w:style>
  <w:style w:type="paragraph" w:styleId="CommentSubject">
    <w:name w:val="annotation subject"/>
    <w:basedOn w:val="CommentText"/>
    <w:next w:val="CommentText"/>
    <w:link w:val="CommentSubjectChar"/>
    <w:uiPriority w:val="99"/>
    <w:semiHidden/>
    <w:unhideWhenUsed/>
    <w:rsid w:val="005204D2"/>
    <w:rPr>
      <w:b/>
      <w:bCs/>
    </w:rPr>
  </w:style>
  <w:style w:type="character" w:customStyle="1" w:styleId="CommentSubjectChar">
    <w:name w:val="Comment Subject Char"/>
    <w:basedOn w:val="CommentTextChar"/>
    <w:link w:val="CommentSubject"/>
    <w:uiPriority w:val="99"/>
    <w:semiHidden/>
    <w:rsid w:val="005204D2"/>
    <w:rPr>
      <w:b/>
      <w:bCs/>
      <w:color w:val="495965" w:themeColor="text2"/>
      <w:sz w:val="20"/>
      <w:szCs w:val="20"/>
      <w:lang w:val="en-GB"/>
    </w:rPr>
  </w:style>
  <w:style w:type="character" w:customStyle="1" w:styleId="ColourAccent1">
    <w:name w:val="Colour Accent 1"/>
    <w:basedOn w:val="DefaultParagraphFont"/>
    <w:uiPriority w:val="1"/>
    <w:qFormat/>
    <w:locked/>
    <w:rsid w:val="001214BE"/>
    <w:rPr>
      <w:color w:val="65C5B4" w:themeColor="accent1"/>
    </w:rPr>
  </w:style>
  <w:style w:type="paragraph" w:styleId="ListParagraph">
    <w:name w:val="List Paragraph"/>
    <w:aliases w:val="Bullets level 1,Recommendation,List Paragraph1,List Paragraph11,L,CV text,Table text,F5 List Paragraph,Dot pt,List Paragraph111,Medium Grid 1 - Accent 21,Numbered Paragraph,List Paragraph2,Bulleted Para,NFP GP Bulleted List,FooterText"/>
    <w:basedOn w:val="Normal"/>
    <w:link w:val="ListParagraphChar"/>
    <w:uiPriority w:val="34"/>
    <w:qFormat/>
    <w:locked/>
    <w:rsid w:val="00C63769"/>
    <w:pPr>
      <w:suppressAutoHyphens w:val="0"/>
      <w:spacing w:before="0" w:after="160" w:line="259" w:lineRule="auto"/>
      <w:ind w:left="720"/>
      <w:contextualSpacing/>
    </w:pPr>
    <w:rPr>
      <w:color w:val="auto"/>
      <w:lang w:val="en-US"/>
    </w:rPr>
  </w:style>
  <w:style w:type="character" w:customStyle="1" w:styleId="ListParagraphChar">
    <w:name w:val="List Paragraph Char"/>
    <w:aliases w:val="Bullets level 1 Char,Recommendation Char,List Paragraph1 Char,List Paragraph11 Char,L Char,CV text Char,Table text Char,F5 List Paragraph Char,Dot pt Char,List Paragraph111 Char,Medium Grid 1 - Accent 21 Char,Numbered Paragraph Char"/>
    <w:basedOn w:val="DefaultParagraphFont"/>
    <w:link w:val="ListParagraph"/>
    <w:uiPriority w:val="34"/>
    <w:qFormat/>
    <w:rsid w:val="00C63769"/>
    <w:rPr>
      <w:lang w:val="en-US"/>
    </w:rPr>
  </w:style>
  <w:style w:type="paragraph" w:styleId="EndnoteText">
    <w:name w:val="endnote text"/>
    <w:basedOn w:val="Normal"/>
    <w:link w:val="EndnoteTextChar"/>
    <w:uiPriority w:val="99"/>
    <w:semiHidden/>
    <w:unhideWhenUsed/>
    <w:rsid w:val="00F54D8B"/>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F54D8B"/>
    <w:rPr>
      <w:color w:val="495965" w:themeColor="text2"/>
      <w:sz w:val="20"/>
      <w:szCs w:val="20"/>
      <w:lang w:val="en-GB"/>
    </w:rPr>
  </w:style>
  <w:style w:type="character" w:styleId="EndnoteReference">
    <w:name w:val="endnote reference"/>
    <w:basedOn w:val="DefaultParagraphFont"/>
    <w:uiPriority w:val="99"/>
    <w:semiHidden/>
    <w:unhideWhenUsed/>
    <w:rsid w:val="00F54D8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9147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fat.gov.au/publications/aid/partnerships-recovery-australias-covid-19-development-response" TargetMode="External"/><Relationship Id="rId13" Type="http://schemas.openxmlformats.org/officeDocument/2006/relationships/hyperlink" Target="mailto:gender.equality@dfat.gov.a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fat.gov.au/about-us/publications/Pages/gender-equality-in-monitoring-and-evaluation-good-practice-note"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fat.gov.au/aid/performance-assessmen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dfat.gov.au/about-us/publications/Pages/gender-equality-in-monitoring-and-evaluation-good-practice-not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dfat.gov.au/about-us/publications/Pages/gender-equality-in-investment-design-good-practice-note"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8" Type="http://schemas.openxmlformats.org/officeDocument/2006/relationships/hyperlink" Target="https://iwda.org.au/resource/do-no-harm-toolkit/" TargetMode="External"/><Relationship Id="rId3" Type="http://schemas.openxmlformats.org/officeDocument/2006/relationships/hyperlink" Target="https://www.centerforappreciativeinquiry.net/more-on-ai/what-is-appreciative-inquiry-ai/" TargetMode="External"/><Relationship Id="rId7" Type="http://schemas.openxmlformats.org/officeDocument/2006/relationships/hyperlink" Target="https://beamexchange.org/resources/794/" TargetMode="External"/><Relationship Id="rId2" Type="http://schemas.openxmlformats.org/officeDocument/2006/relationships/hyperlink" Target="http://www.davidcooperrider.com/" TargetMode="External"/><Relationship Id="rId1" Type="http://schemas.openxmlformats.org/officeDocument/2006/relationships/hyperlink" Target="https://www.researchgate.net/publication/261135380_Effective_Strategies_for_Promoting_Gender_Equality" TargetMode="External"/><Relationship Id="rId6" Type="http://schemas.openxmlformats.org/officeDocument/2006/relationships/hyperlink" Target="https://insights.careinternational.org.uk/media/k2/attachments/Gender_equality_womens_voice_Guidance_Note_2018.pdf" TargetMode="External"/><Relationship Id="rId5" Type="http://schemas.openxmlformats.org/officeDocument/2006/relationships/hyperlink" Target="https://www.ndi.org/sites/default/files/Guide%20to%20Gender%20Analysis%20Frameworks.pdf" TargetMode="External"/><Relationship Id="rId4" Type="http://schemas.openxmlformats.org/officeDocument/2006/relationships/hyperlink" Target="https://appreciativeinquiry.champlain.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DFAT Corporate - Standard">
  <a:themeElements>
    <a:clrScheme name="DFAT Corporate">
      <a:dk1>
        <a:sysClr val="windowText" lastClr="000000"/>
      </a:dk1>
      <a:lt1>
        <a:sysClr val="window" lastClr="FFFFFF"/>
      </a:lt1>
      <a:dk2>
        <a:srgbClr val="495965"/>
      </a:dk2>
      <a:lt2>
        <a:srgbClr val="D8DCDB"/>
      </a:lt2>
      <a:accent1>
        <a:srgbClr val="65C5B4"/>
      </a:accent1>
      <a:accent2>
        <a:srgbClr val="ACD08C"/>
      </a:accent2>
      <a:accent3>
        <a:srgbClr val="D3875F"/>
      </a:accent3>
      <a:accent4>
        <a:srgbClr val="FFF799"/>
      </a:accent4>
      <a:accent5>
        <a:srgbClr val="409F68"/>
      </a:accent5>
      <a:accent6>
        <a:srgbClr val="007C89"/>
      </a:accent6>
      <a:hlink>
        <a:srgbClr val="0000FF"/>
      </a:hlink>
      <a:folHlink>
        <a:srgbClr val="800080"/>
      </a:folHlink>
    </a:clrScheme>
    <a:fontScheme name="DFAT Corporate 1">
      <a:majorFont>
        <a:latin typeface="Calibri"/>
        <a:ea typeface=""/>
        <a:cs typeface=""/>
      </a:majorFont>
      <a:minorFont>
        <a:latin typeface="Calibri Light"/>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lIns="0" tIns="0" rIns="0" bIns="0" rtlCol="0">
        <a:spAutoFit/>
      </a:bodyPr>
      <a:lstStyle>
        <a:defPPr>
          <a:defRPr dirty="0"/>
        </a:defPPr>
      </a:lstStyle>
    </a:txDef>
  </a:objectDefaults>
  <a:extraClrSchemeLst/>
  <a:extLst>
    <a:ext uri="{05A4C25C-085E-4340-85A3-A5531E510DB2}">
      <thm15:themeFamily xmlns:thm15="http://schemas.microsoft.com/office/thememl/2012/main" name="DFAT Corporate - Standard" id="{D4BA5EE0-EB14-4FE9-A4E7-2FD97131F639}" vid="{2ACD2008-3A55-4AE1-937A-FE4FB76DD00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45732E-1580-4FEC-B3B9-B3CB1765F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1895</Words>
  <Characters>10804</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Gender Equality Investment-Level Strategy Development good practice note</dc:title>
  <dc:creator/>
  <cp:lastModifiedBy/>
  <cp:revision>1</cp:revision>
  <dcterms:created xsi:type="dcterms:W3CDTF">2020-11-17T03:51:00Z</dcterms:created>
  <dcterms:modified xsi:type="dcterms:W3CDTF">2020-11-17T03:51:00Z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38feb241-5ee5-418a-96d4-2bca39b82993</vt:lpwstr>
  </property>
  <property fmtid="{D5CDD505-2E9C-101B-9397-08002B2CF9AE}" pid="3" name="SEC">
    <vt:lpwstr>OFFICIAL</vt:lpwstr>
  </property>
</Properties>
</file>