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CF76" w14:textId="77777777" w:rsidR="007A21BE" w:rsidRDefault="007A21BE" w:rsidP="007A21BE">
      <w:pPr>
        <w:pStyle w:val="H1-Heading1"/>
        <w:spacing w:before="0"/>
      </w:pPr>
      <w:bookmarkStart w:id="1" w:name="_Hlk157504280"/>
      <w:bookmarkEnd w:id="1"/>
    </w:p>
    <w:p w14:paraId="2D61EBB5" w14:textId="0DDE0B72" w:rsidR="00C02DDF" w:rsidRDefault="00C465F8" w:rsidP="007A21BE">
      <w:pPr>
        <w:pStyle w:val="H1-Heading1"/>
        <w:spacing w:before="0"/>
      </w:pPr>
      <w:r>
        <w:t>gender equality o</w:t>
      </w:r>
      <w:r w:rsidR="00BB47AE">
        <w:t>utcomes</w:t>
      </w:r>
      <w:r>
        <w:t xml:space="preserve"> </w:t>
      </w:r>
    </w:p>
    <w:p w14:paraId="61A10108" w14:textId="6F20BE89" w:rsidR="00C465F8" w:rsidRPr="00F959D5" w:rsidRDefault="00C465F8" w:rsidP="007A21BE">
      <w:pPr>
        <w:pStyle w:val="H1-Heading1"/>
        <w:spacing w:before="0"/>
      </w:pPr>
      <w:r>
        <w:t>good practice note</w:t>
      </w:r>
    </w:p>
    <w:p w14:paraId="454AFBC5" w14:textId="77777777" w:rsidR="00B41023" w:rsidRDefault="00B41023" w:rsidP="00B41023">
      <w:pPr>
        <w:pStyle w:val="BodyCopy"/>
        <w:spacing w:after="240"/>
        <w:rPr>
          <w:rStyle w:val="Strong"/>
        </w:rPr>
      </w:pPr>
    </w:p>
    <w:p w14:paraId="7CF92C95" w14:textId="247EAD7B" w:rsidR="0083611F" w:rsidRDefault="00B41023" w:rsidP="00036605">
      <w:pPr>
        <w:pStyle w:val="BodyCopy"/>
        <w:spacing w:after="240"/>
        <w:jc w:val="both"/>
        <w:rPr>
          <w:rStyle w:val="Strong"/>
          <w:rFonts w:cstheme="minorHAnsi"/>
          <w:szCs w:val="22"/>
        </w:rPr>
      </w:pPr>
      <w:r>
        <w:rPr>
          <w:rStyle w:val="Strong"/>
        </w:rPr>
        <w:t>DFAT i</w:t>
      </w:r>
      <w:r w:rsidRPr="00B41023">
        <w:rPr>
          <w:rStyle w:val="Strong"/>
        </w:rPr>
        <w:t xml:space="preserve">nvestments valued at $3 million and over must include a gender equality </w:t>
      </w:r>
      <w:r>
        <w:rPr>
          <w:rStyle w:val="Strong"/>
        </w:rPr>
        <w:t>o</w:t>
      </w:r>
      <w:r w:rsidR="00BB47AE">
        <w:rPr>
          <w:rStyle w:val="Strong"/>
        </w:rPr>
        <w:t>utcom</w:t>
      </w:r>
      <w:r>
        <w:rPr>
          <w:rStyle w:val="Strong"/>
        </w:rPr>
        <w:t>e</w:t>
      </w:r>
      <w:r w:rsidRPr="00B41023">
        <w:rPr>
          <w:rStyle w:val="Strong"/>
        </w:rPr>
        <w:t xml:space="preserve"> (either end of program outcome or intermediate outcome)</w:t>
      </w:r>
      <w:r>
        <w:rPr>
          <w:rStyle w:val="Strong"/>
        </w:rPr>
        <w:t xml:space="preserve">. This good practice note provides guidance on developing </w:t>
      </w:r>
      <w:r w:rsidR="00175312">
        <w:rPr>
          <w:rStyle w:val="Strong"/>
        </w:rPr>
        <w:t xml:space="preserve">quality </w:t>
      </w:r>
      <w:r>
        <w:rPr>
          <w:rStyle w:val="Strong"/>
        </w:rPr>
        <w:t xml:space="preserve">gender </w:t>
      </w:r>
      <w:r w:rsidRPr="004B2D58">
        <w:rPr>
          <w:rStyle w:val="Strong"/>
          <w:rFonts w:cstheme="minorHAnsi"/>
          <w:szCs w:val="22"/>
        </w:rPr>
        <w:t>equality o</w:t>
      </w:r>
      <w:r w:rsidR="00BB47AE" w:rsidRPr="004B2D58">
        <w:rPr>
          <w:rStyle w:val="Strong"/>
          <w:rFonts w:cstheme="minorHAnsi"/>
          <w:szCs w:val="22"/>
        </w:rPr>
        <w:t>utcomes</w:t>
      </w:r>
      <w:r w:rsidRPr="004B2D58">
        <w:rPr>
          <w:rStyle w:val="Strong"/>
          <w:rFonts w:cstheme="minorHAnsi"/>
          <w:szCs w:val="22"/>
        </w:rPr>
        <w:t xml:space="preserve"> to meet the mandatory requirement</w:t>
      </w:r>
      <w:r w:rsidR="008035BC">
        <w:rPr>
          <w:rStyle w:val="Strong"/>
          <w:rFonts w:cstheme="minorHAnsi"/>
          <w:szCs w:val="22"/>
        </w:rPr>
        <w:t>, which is a Tier 3 Indicator in the Performance and Delivery Framework</w:t>
      </w:r>
      <w:r w:rsidRPr="004B2D58">
        <w:rPr>
          <w:rStyle w:val="Strong"/>
          <w:rFonts w:cstheme="minorHAnsi"/>
          <w:szCs w:val="22"/>
        </w:rPr>
        <w:t xml:space="preserve">. </w:t>
      </w:r>
    </w:p>
    <w:p w14:paraId="6AD50219" w14:textId="47C0F647" w:rsidR="001126C1" w:rsidRPr="00036605" w:rsidRDefault="00B41023" w:rsidP="00036605">
      <w:pPr>
        <w:pStyle w:val="BodyCopy"/>
        <w:spacing w:after="240"/>
        <w:jc w:val="both"/>
        <w:rPr>
          <w:rFonts w:asciiTheme="minorHAnsi" w:hAnsiTheme="minorHAnsi" w:cstheme="minorHAnsi"/>
          <w:b/>
          <w:bCs/>
          <w:szCs w:val="22"/>
        </w:rPr>
      </w:pPr>
      <w:r w:rsidRPr="004B2D58">
        <w:rPr>
          <w:rStyle w:val="Strong"/>
          <w:rFonts w:cstheme="minorHAnsi"/>
          <w:szCs w:val="22"/>
        </w:rPr>
        <w:t xml:space="preserve">More information about the requirement can be found in </w:t>
      </w:r>
      <w:r w:rsidRPr="008035BC">
        <w:rPr>
          <w:rStyle w:val="Strong"/>
          <w:rFonts w:cstheme="minorHAnsi"/>
          <w:szCs w:val="22"/>
        </w:rPr>
        <w:t>the</w:t>
      </w:r>
      <w:r w:rsidRPr="004B2D58">
        <w:rPr>
          <w:rStyle w:val="Strong"/>
          <w:rFonts w:cstheme="minorHAnsi"/>
          <w:b w:val="0"/>
          <w:bCs w:val="0"/>
          <w:szCs w:val="22"/>
        </w:rPr>
        <w:t xml:space="preserve"> </w:t>
      </w:r>
      <w:hyperlink r:id="rId8" w:history="1">
        <w:r w:rsidR="00757862" w:rsidRPr="004B2D58">
          <w:rPr>
            <w:rStyle w:val="Hyperlink"/>
            <w:rFonts w:asciiTheme="minorHAnsi" w:hAnsiTheme="minorHAnsi" w:cstheme="minorHAnsi"/>
            <w:b/>
            <w:bCs/>
            <w:szCs w:val="22"/>
          </w:rPr>
          <w:t xml:space="preserve">International </w:t>
        </w:r>
        <w:r w:rsidR="1D0F06AB" w:rsidRPr="004B2D58">
          <w:rPr>
            <w:rStyle w:val="Hyperlink"/>
            <w:rFonts w:asciiTheme="minorHAnsi" w:hAnsiTheme="minorHAnsi" w:cstheme="minorHAnsi"/>
            <w:b/>
            <w:bCs/>
            <w:szCs w:val="22"/>
          </w:rPr>
          <w:t>D</w:t>
        </w:r>
        <w:r w:rsidR="00757862" w:rsidRPr="004B2D58">
          <w:rPr>
            <w:rStyle w:val="Hyperlink"/>
            <w:rFonts w:asciiTheme="minorHAnsi" w:hAnsiTheme="minorHAnsi" w:cstheme="minorHAnsi"/>
            <w:b/>
            <w:bCs/>
            <w:szCs w:val="22"/>
          </w:rPr>
          <w:t xml:space="preserve">evelopment </w:t>
        </w:r>
        <w:r w:rsidRPr="004B2D58">
          <w:rPr>
            <w:rStyle w:val="Hyperlink"/>
            <w:rFonts w:asciiTheme="minorHAnsi" w:hAnsiTheme="minorHAnsi" w:cstheme="minorHAnsi"/>
            <w:b/>
            <w:bCs/>
            <w:szCs w:val="22"/>
          </w:rPr>
          <w:t>Programming Guide.</w:t>
        </w:r>
      </w:hyperlink>
      <w:r w:rsidRPr="004B2D58">
        <w:rPr>
          <w:rStyle w:val="Strong"/>
          <w:rFonts w:cstheme="minorHAnsi"/>
          <w:szCs w:val="22"/>
        </w:rPr>
        <w:t xml:space="preserve"> This note complements the </w:t>
      </w:r>
      <w:hyperlink r:id="rId9" w:history="1">
        <w:r w:rsidR="00FF7718" w:rsidRPr="004B2D58">
          <w:rPr>
            <w:rStyle w:val="Hyperlink"/>
            <w:rFonts w:asciiTheme="minorHAnsi" w:hAnsiTheme="minorHAnsi" w:cstheme="minorHAnsi"/>
            <w:b/>
            <w:bCs/>
            <w:szCs w:val="22"/>
          </w:rPr>
          <w:t>DFAT Design and Monitoring and Evaluation</w:t>
        </w:r>
        <w:r w:rsidRPr="004B2D58">
          <w:rPr>
            <w:rStyle w:val="Hyperlink"/>
            <w:rFonts w:asciiTheme="minorHAnsi" w:hAnsiTheme="minorHAnsi" w:cstheme="minorHAnsi"/>
            <w:b/>
            <w:bCs/>
            <w:szCs w:val="22"/>
          </w:rPr>
          <w:t xml:space="preserve"> </w:t>
        </w:r>
        <w:r w:rsidR="00FF7718" w:rsidRPr="004B2D58">
          <w:rPr>
            <w:rStyle w:val="Hyperlink"/>
            <w:rFonts w:asciiTheme="minorHAnsi" w:hAnsiTheme="minorHAnsi" w:cstheme="minorHAnsi"/>
            <w:b/>
            <w:bCs/>
            <w:szCs w:val="22"/>
          </w:rPr>
          <w:t>Standards</w:t>
        </w:r>
      </w:hyperlink>
      <w:r w:rsidR="00FF7718" w:rsidRPr="004B2D58">
        <w:rPr>
          <w:rStyle w:val="Strong"/>
          <w:rFonts w:cstheme="minorHAnsi"/>
          <w:szCs w:val="22"/>
        </w:rPr>
        <w:t xml:space="preserve">, </w:t>
      </w:r>
      <w:r w:rsidR="001C19F2" w:rsidRPr="004B2D58">
        <w:rPr>
          <w:rStyle w:val="Strong"/>
          <w:rFonts w:cstheme="minorHAnsi"/>
          <w:szCs w:val="22"/>
        </w:rPr>
        <w:t>the</w:t>
      </w:r>
      <w:r w:rsidR="00A409A7" w:rsidRPr="004B2D58">
        <w:rPr>
          <w:rStyle w:val="Strong"/>
          <w:rFonts w:cstheme="minorHAnsi"/>
          <w:szCs w:val="22"/>
        </w:rPr>
        <w:t xml:space="preserve"> </w:t>
      </w:r>
      <w:hyperlink r:id="rId10" w:history="1">
        <w:r w:rsidR="00A409A7" w:rsidRPr="004B2D58">
          <w:rPr>
            <w:rStyle w:val="Hyperlink"/>
            <w:rFonts w:asciiTheme="minorHAnsi" w:hAnsiTheme="minorHAnsi" w:cstheme="minorHAnsi"/>
            <w:b/>
            <w:bCs/>
            <w:szCs w:val="22"/>
          </w:rPr>
          <w:t>Gender Equality in Investment Design</w:t>
        </w:r>
      </w:hyperlink>
      <w:r w:rsidR="00A409A7" w:rsidRPr="004B2D58">
        <w:rPr>
          <w:rStyle w:val="Strong"/>
          <w:rFonts w:cstheme="minorHAnsi"/>
          <w:szCs w:val="22"/>
        </w:rPr>
        <w:t xml:space="preserve"> and </w:t>
      </w:r>
      <w:hyperlink r:id="rId11" w:history="1">
        <w:r w:rsidR="00494FDA" w:rsidRPr="004B2D58">
          <w:rPr>
            <w:rStyle w:val="Hyperlink"/>
            <w:rFonts w:asciiTheme="minorHAnsi" w:hAnsiTheme="minorHAnsi" w:cstheme="minorHAnsi"/>
            <w:b/>
            <w:bCs/>
            <w:szCs w:val="22"/>
          </w:rPr>
          <w:t xml:space="preserve">Gender Equality </w:t>
        </w:r>
        <w:r w:rsidR="00E7638C" w:rsidRPr="004B2D58">
          <w:rPr>
            <w:rStyle w:val="Hyperlink"/>
            <w:rFonts w:asciiTheme="minorHAnsi" w:hAnsiTheme="minorHAnsi" w:cstheme="minorHAnsi"/>
            <w:b/>
            <w:bCs/>
            <w:szCs w:val="22"/>
          </w:rPr>
          <w:t>in Monitoring and Evaluation</w:t>
        </w:r>
      </w:hyperlink>
      <w:r w:rsidR="00E7638C" w:rsidRPr="004B2D58">
        <w:rPr>
          <w:rStyle w:val="Strong"/>
          <w:rFonts w:cstheme="minorHAnsi"/>
          <w:szCs w:val="22"/>
        </w:rPr>
        <w:t xml:space="preserve"> Good Practice Notes.</w:t>
      </w:r>
    </w:p>
    <w:p w14:paraId="3667C5D2" w14:textId="77777777" w:rsidR="00E413FB" w:rsidRPr="00E413FB" w:rsidRDefault="00E413FB" w:rsidP="00E413FB">
      <w:pPr>
        <w:shd w:val="clear" w:color="auto" w:fill="44546A"/>
        <w:jc w:val="center"/>
        <w:rPr>
          <w:b/>
          <w:bCs/>
          <w:color w:val="FFFFFF" w:themeColor="background1"/>
          <w:sz w:val="28"/>
          <w:szCs w:val="28"/>
        </w:rPr>
      </w:pPr>
      <w:r w:rsidRPr="00E413FB">
        <w:rPr>
          <w:b/>
          <w:bCs/>
          <w:color w:val="FFFFFF" w:themeColor="background1"/>
          <w:sz w:val="28"/>
          <w:szCs w:val="28"/>
        </w:rPr>
        <w:t xml:space="preserve">Gender inequalities are the result of unequal power distribution among groups of people. Men often have more power than women and people of diverse gender identities. Work to achieve gender equality therefore addresses unequal power relations. </w:t>
      </w:r>
    </w:p>
    <w:p w14:paraId="7F3D4AFE" w14:textId="0A6FF555" w:rsidR="00BB47AE" w:rsidRDefault="00BB47AE" w:rsidP="00E22B39">
      <w:pPr>
        <w:pStyle w:val="H2-Heading2"/>
        <w:spacing w:before="0"/>
      </w:pPr>
      <w:r>
        <w:t>what is a gender equality outcome?</w:t>
      </w:r>
    </w:p>
    <w:p w14:paraId="6EE409A1" w14:textId="6B94AE71" w:rsidR="00BA3E5C" w:rsidRDefault="001563E7" w:rsidP="00DA6024">
      <w:pPr>
        <w:pStyle w:val="BodyCopy"/>
        <w:rPr>
          <w:rStyle w:val="normaltextrun"/>
        </w:rPr>
      </w:pPr>
      <w:r>
        <w:rPr>
          <w:rStyle w:val="normaltextrun"/>
        </w:rPr>
        <w:t>A</w:t>
      </w:r>
      <w:r w:rsidR="00B41023">
        <w:rPr>
          <w:rStyle w:val="normaltextrun"/>
        </w:rPr>
        <w:t xml:space="preserve"> gender equality outcome is a clearly defined </w:t>
      </w:r>
      <w:r w:rsidR="00BA3E5C" w:rsidRPr="00BA3E5C">
        <w:rPr>
          <w:rStyle w:val="normaltextrun"/>
        </w:rPr>
        <w:t>end of program outcome or intermediate outcome</w:t>
      </w:r>
      <w:r w:rsidR="00B41023">
        <w:rPr>
          <w:rStyle w:val="normaltextrun"/>
        </w:rPr>
        <w:t xml:space="preserve"> which actively targets specific </w:t>
      </w:r>
      <w:r w:rsidR="00A57464">
        <w:rPr>
          <w:rStyle w:val="normaltextrun"/>
        </w:rPr>
        <w:t xml:space="preserve">types </w:t>
      </w:r>
      <w:r w:rsidR="00B41023">
        <w:rPr>
          <w:rStyle w:val="normaltextrun"/>
        </w:rPr>
        <w:t>of gender inequality</w:t>
      </w:r>
      <w:r>
        <w:rPr>
          <w:rStyle w:val="normaltextrun"/>
        </w:rPr>
        <w:t xml:space="preserve">. </w:t>
      </w:r>
      <w:r w:rsidR="00BA3E5C">
        <w:rPr>
          <w:rStyle w:val="normaltextrun"/>
        </w:rPr>
        <w:t xml:space="preserve">These outcomes aim not only to ensure that the benefits of </w:t>
      </w:r>
      <w:r w:rsidR="00867ACB">
        <w:rPr>
          <w:rStyle w:val="normaltextrun"/>
        </w:rPr>
        <w:t>international</w:t>
      </w:r>
      <w:r w:rsidR="00BA3E5C">
        <w:rPr>
          <w:rStyle w:val="normaltextrun"/>
        </w:rPr>
        <w:t xml:space="preserve"> development are equitable, but that structural inequalities are sustainably reduced or eliminated. </w:t>
      </w:r>
    </w:p>
    <w:p w14:paraId="7233E11F" w14:textId="78E7FA7A" w:rsidR="00B53DFF" w:rsidRDefault="00B53DFF" w:rsidP="00B53DFF">
      <w:pPr>
        <w:pStyle w:val="BodyCopy"/>
        <w:spacing w:after="0"/>
        <w:rPr>
          <w:rStyle w:val="normaltextrun"/>
        </w:rPr>
      </w:pPr>
      <w:r w:rsidRPr="008F23A7">
        <w:t xml:space="preserve">STANDARD 3:  Program Logic/Theory of Change </w:t>
      </w:r>
      <w:r>
        <w:t xml:space="preserve">of the </w:t>
      </w:r>
      <w:hyperlink r:id="rId12" w:history="1">
        <w:r w:rsidRPr="004B2D58">
          <w:rPr>
            <w:rStyle w:val="Hyperlink"/>
            <w:rFonts w:asciiTheme="minorHAnsi" w:hAnsiTheme="minorHAnsi" w:cstheme="minorHAnsi"/>
            <w:b/>
            <w:bCs/>
            <w:szCs w:val="22"/>
          </w:rPr>
          <w:t>DFAT Design and Monitoring and Evaluation Standards</w:t>
        </w:r>
      </w:hyperlink>
    </w:p>
    <w:p w14:paraId="5B8451B2" w14:textId="7DAE3EE4" w:rsidR="00B53DFF" w:rsidRDefault="001C465E" w:rsidP="00B53DFF">
      <w:pPr>
        <w:pStyle w:val="BodyCopy"/>
        <w:spacing w:after="0"/>
        <w:rPr>
          <w:rStyle w:val="normaltextrun"/>
        </w:rPr>
      </w:pPr>
      <w:r>
        <w:rPr>
          <w:rStyle w:val="normaltextrun"/>
        </w:rPr>
        <w:t>sets out the following definitions:</w:t>
      </w:r>
    </w:p>
    <w:p w14:paraId="03DA1B25" w14:textId="77777777" w:rsidR="0083611F" w:rsidRDefault="0083611F" w:rsidP="00B53DFF">
      <w:pPr>
        <w:pStyle w:val="BodyCopy"/>
        <w:spacing w:after="0"/>
        <w:rPr>
          <w:rStyle w:val="normaltextrun"/>
        </w:rPr>
      </w:pPr>
    </w:p>
    <w:p w14:paraId="3EF784B7" w14:textId="38AB48EE" w:rsidR="00E413FB" w:rsidRPr="00E413FB" w:rsidRDefault="00E413FB" w:rsidP="00B53DFF">
      <w:pPr>
        <w:pStyle w:val="BodyCopy"/>
        <w:spacing w:after="0"/>
        <w:rPr>
          <w:b/>
          <w:bCs/>
        </w:rPr>
      </w:pPr>
      <w:r w:rsidRPr="00E413FB">
        <w:rPr>
          <w:b/>
          <w:bCs/>
        </w:rPr>
        <w:t>End-of-Program-Outcome</w:t>
      </w:r>
    </w:p>
    <w:p w14:paraId="4EEEDC02" w14:textId="77777777" w:rsidR="00E413FB" w:rsidRDefault="00E413FB" w:rsidP="00E413FB">
      <w:pPr>
        <w:pStyle w:val="TableBodyCopy"/>
      </w:pPr>
      <w:r>
        <w:t xml:space="preserve">The desired development change among counterparts, change agents or beneficiaries that can be achieved within allocated resources and the timeframe of the investment. </w:t>
      </w:r>
    </w:p>
    <w:p w14:paraId="0FCB41EE" w14:textId="77777777" w:rsidR="00E413FB" w:rsidRDefault="00E413FB" w:rsidP="00E413FB">
      <w:pPr>
        <w:pStyle w:val="BodyCopy"/>
        <w:spacing w:after="0"/>
      </w:pPr>
      <w:r>
        <w:t xml:space="preserve">The EOPOs are anticipated to occur </w:t>
      </w:r>
      <w:proofErr w:type="gramStart"/>
      <w:r>
        <w:t>as a result of</w:t>
      </w:r>
      <w:proofErr w:type="gramEnd"/>
      <w:r>
        <w:t xml:space="preserve"> the combined inputs, activities, outputs and intermediate outcomes.</w:t>
      </w:r>
    </w:p>
    <w:p w14:paraId="1FF825C8" w14:textId="77777777" w:rsidR="00E413FB" w:rsidRDefault="00E413FB" w:rsidP="00E413FB">
      <w:pPr>
        <w:pStyle w:val="BodyCopy"/>
        <w:spacing w:after="0"/>
      </w:pPr>
    </w:p>
    <w:p w14:paraId="61423873" w14:textId="03AD0727" w:rsidR="00E413FB" w:rsidRPr="00E413FB" w:rsidRDefault="00E413FB" w:rsidP="00E413FB">
      <w:pPr>
        <w:pStyle w:val="BodyCopy"/>
        <w:spacing w:after="0"/>
        <w:rPr>
          <w:b/>
          <w:bCs/>
        </w:rPr>
      </w:pPr>
      <w:r w:rsidRPr="00E413FB">
        <w:rPr>
          <w:b/>
          <w:bCs/>
        </w:rPr>
        <w:t>Intermediate Outcome</w:t>
      </w:r>
    </w:p>
    <w:p w14:paraId="356479F6" w14:textId="6AA7A430" w:rsidR="00E413FB" w:rsidRDefault="00E413FB" w:rsidP="00E413FB">
      <w:pPr>
        <w:pStyle w:val="BodyCopy"/>
        <w:spacing w:after="0"/>
        <w:rPr>
          <w:rStyle w:val="normaltextrun"/>
        </w:rPr>
      </w:pPr>
      <w:r>
        <w:t>The short and medium-term effects of an investment’s outputs. Short term effects include, for example, changes in counterpart or beneficiary knowledge, attitudes, and skills, while medium term effects often reflect changes in behaviour, practice, and decisions. The achievement of a single intermediate outcome is a necessary, but not sufficient, condition for the achievement of the EOPO.</w:t>
      </w:r>
    </w:p>
    <w:p w14:paraId="308D702A" w14:textId="77777777" w:rsidR="00D4116B" w:rsidRPr="000F22F8" w:rsidRDefault="00D4116B" w:rsidP="00B53DFF">
      <w:pPr>
        <w:pStyle w:val="BodyCopy"/>
        <w:spacing w:after="0"/>
        <w:rPr>
          <w:rStyle w:val="normaltextrun"/>
        </w:rPr>
      </w:pPr>
    </w:p>
    <w:p w14:paraId="6581548E" w14:textId="66A5AA83" w:rsidR="00430014" w:rsidRDefault="00701B2D" w:rsidP="00430014">
      <w:pPr>
        <w:pStyle w:val="Heading1Numbered"/>
        <w:tabs>
          <w:tab w:val="clear" w:pos="360"/>
          <w:tab w:val="left" w:pos="720"/>
        </w:tabs>
      </w:pPr>
      <w:r>
        <w:t xml:space="preserve">gender equality </w:t>
      </w:r>
      <w:r w:rsidR="00430014">
        <w:t xml:space="preserve">Outcomes and The OECD DAC gender equality Policy marker </w:t>
      </w:r>
    </w:p>
    <w:p w14:paraId="2D95B3F6" w14:textId="77777777" w:rsidR="00430014" w:rsidRDefault="00430014" w:rsidP="00430014">
      <w:pPr>
        <w:pStyle w:val="BodyCopy"/>
      </w:pPr>
      <w:r>
        <w:t xml:space="preserve">DFAT uses the </w:t>
      </w:r>
      <w:hyperlink r:id="rId13" w:history="1">
        <w:r>
          <w:rPr>
            <w:rStyle w:val="Hyperlink"/>
            <w:rFonts w:cstheme="majorHAnsi"/>
            <w:color w:val="44546A" w:themeColor="text2"/>
          </w:rPr>
          <w:t>OECD DAC Gender Equality Policy Marker</w:t>
        </w:r>
      </w:hyperlink>
      <w:r>
        <w:t xml:space="preserve"> to determine whether or not an investment is targeting gender equality, and if it is, whether it is a significant or principal objective. </w:t>
      </w:r>
    </w:p>
    <w:p w14:paraId="0CADF509" w14:textId="40084EA9" w:rsidR="00602F22" w:rsidRDefault="00430014" w:rsidP="00430014">
      <w:pPr>
        <w:pStyle w:val="BodyCopy"/>
        <w:rPr>
          <w:szCs w:val="22"/>
        </w:rPr>
      </w:pPr>
      <w:r>
        <w:t xml:space="preserve">Every investment must have a gender equality marker assigned during the design stage. </w:t>
      </w:r>
      <w:r>
        <w:rPr>
          <w:szCs w:val="22"/>
        </w:rPr>
        <w:t xml:space="preserve">The marker is applied in </w:t>
      </w:r>
      <w:proofErr w:type="spellStart"/>
      <w:r>
        <w:rPr>
          <w:szCs w:val="22"/>
        </w:rPr>
        <w:t>AidWorks</w:t>
      </w:r>
      <w:proofErr w:type="spellEnd"/>
      <w:r>
        <w:rPr>
          <w:szCs w:val="22"/>
        </w:rPr>
        <w:t>, under Themes</w:t>
      </w:r>
      <w:r>
        <w:t>, for all investments</w:t>
      </w:r>
      <w:r>
        <w:rPr>
          <w:szCs w:val="22"/>
        </w:rPr>
        <w:t>.</w:t>
      </w:r>
      <w:r w:rsidR="005B1C3E">
        <w:rPr>
          <w:szCs w:val="22"/>
        </w:rPr>
        <w:t xml:space="preserve"> </w:t>
      </w:r>
    </w:p>
    <w:p w14:paraId="3A24273F" w14:textId="0263EDF4" w:rsidR="00430014" w:rsidRPr="00602F22" w:rsidRDefault="005B1C3E" w:rsidP="00430014">
      <w:pPr>
        <w:pStyle w:val="BodyCopy"/>
        <w:rPr>
          <w:szCs w:val="22"/>
        </w:rPr>
      </w:pPr>
      <w:r>
        <w:rPr>
          <w:szCs w:val="22"/>
        </w:rPr>
        <w:t xml:space="preserve">The intersection between the policy marker </w:t>
      </w:r>
      <w:r w:rsidR="00727E2C">
        <w:rPr>
          <w:szCs w:val="22"/>
        </w:rPr>
        <w:t xml:space="preserve">and DFAT’s </w:t>
      </w:r>
      <w:r w:rsidR="009B6705">
        <w:rPr>
          <w:szCs w:val="22"/>
        </w:rPr>
        <w:t>g</w:t>
      </w:r>
      <w:r w:rsidR="00494478">
        <w:rPr>
          <w:szCs w:val="22"/>
        </w:rPr>
        <w:t xml:space="preserve">ender </w:t>
      </w:r>
      <w:r w:rsidR="009B6705">
        <w:rPr>
          <w:szCs w:val="22"/>
        </w:rPr>
        <w:t>e</w:t>
      </w:r>
      <w:r w:rsidR="00494478">
        <w:rPr>
          <w:szCs w:val="22"/>
        </w:rPr>
        <w:t xml:space="preserve">quality </w:t>
      </w:r>
      <w:r w:rsidR="009B6705">
        <w:rPr>
          <w:szCs w:val="22"/>
        </w:rPr>
        <w:t>o</w:t>
      </w:r>
      <w:r w:rsidR="00494478">
        <w:rPr>
          <w:szCs w:val="22"/>
        </w:rPr>
        <w:t xml:space="preserve">utcome </w:t>
      </w:r>
      <w:r w:rsidR="000239AF">
        <w:rPr>
          <w:szCs w:val="22"/>
        </w:rPr>
        <w:t>r</w:t>
      </w:r>
      <w:r w:rsidR="00494478">
        <w:rPr>
          <w:szCs w:val="22"/>
        </w:rPr>
        <w:t xml:space="preserve">equirement </w:t>
      </w:r>
      <w:r w:rsidR="000F22F8">
        <w:rPr>
          <w:szCs w:val="22"/>
        </w:rPr>
        <w:t>is set out</w:t>
      </w:r>
      <w:r w:rsidR="00494478">
        <w:rPr>
          <w:szCs w:val="22"/>
        </w:rPr>
        <w:t xml:space="preserve"> below:</w:t>
      </w:r>
    </w:p>
    <w:tbl>
      <w:tblPr>
        <w:tblStyle w:val="TableGrid"/>
        <w:tblW w:w="0" w:type="auto"/>
        <w:tblLook w:val="04A0" w:firstRow="1" w:lastRow="0" w:firstColumn="1" w:lastColumn="0" w:noHBand="0" w:noVBand="1"/>
      </w:tblPr>
      <w:tblGrid>
        <w:gridCol w:w="1838"/>
        <w:gridCol w:w="3686"/>
        <w:gridCol w:w="4670"/>
      </w:tblGrid>
      <w:tr w:rsidR="00980FC2" w14:paraId="0BCC5935" w14:textId="77777777" w:rsidTr="00E413FB">
        <w:trPr>
          <w:tblHeader/>
        </w:trPr>
        <w:tc>
          <w:tcPr>
            <w:tcW w:w="1838" w:type="dxa"/>
            <w:shd w:val="clear" w:color="auto" w:fill="44546A" w:themeFill="text2"/>
          </w:tcPr>
          <w:p w14:paraId="0CFB758E" w14:textId="12067429" w:rsidR="00980FC2" w:rsidRPr="00494478" w:rsidRDefault="00701B2D" w:rsidP="00701B2D">
            <w:pPr>
              <w:pStyle w:val="TableHeading"/>
              <w:rPr>
                <w:color w:val="FFFFFF" w:themeColor="background1"/>
              </w:rPr>
            </w:pPr>
            <w:r w:rsidRPr="00494478">
              <w:rPr>
                <w:color w:val="FFFFFF" w:themeColor="background1"/>
              </w:rPr>
              <w:lastRenderedPageBreak/>
              <w:t>Gender Equality Policy</w:t>
            </w:r>
            <w:r w:rsidR="00980FC2" w:rsidRPr="00494478">
              <w:rPr>
                <w:color w:val="FFFFFF" w:themeColor="background1"/>
              </w:rPr>
              <w:t xml:space="preserve"> </w:t>
            </w:r>
            <w:r w:rsidRPr="00494478">
              <w:rPr>
                <w:color w:val="FFFFFF" w:themeColor="background1"/>
              </w:rPr>
              <w:t>M</w:t>
            </w:r>
            <w:r w:rsidR="00980FC2" w:rsidRPr="00494478">
              <w:rPr>
                <w:color w:val="FFFFFF" w:themeColor="background1"/>
              </w:rPr>
              <w:t>arker</w:t>
            </w:r>
          </w:p>
        </w:tc>
        <w:tc>
          <w:tcPr>
            <w:tcW w:w="3686" w:type="dxa"/>
            <w:shd w:val="clear" w:color="auto" w:fill="44546A" w:themeFill="text2"/>
          </w:tcPr>
          <w:p w14:paraId="25D98056" w14:textId="2C0E94B9" w:rsidR="00980FC2" w:rsidRPr="00494478" w:rsidRDefault="008102EF" w:rsidP="00701B2D">
            <w:pPr>
              <w:pStyle w:val="TableHeading"/>
              <w:rPr>
                <w:color w:val="FFFFFF" w:themeColor="background1"/>
              </w:rPr>
            </w:pPr>
            <w:r w:rsidRPr="00494478">
              <w:rPr>
                <w:color w:val="FFFFFF" w:themeColor="background1"/>
              </w:rPr>
              <w:t>Definition</w:t>
            </w:r>
          </w:p>
        </w:tc>
        <w:tc>
          <w:tcPr>
            <w:tcW w:w="4670" w:type="dxa"/>
            <w:shd w:val="clear" w:color="auto" w:fill="44546A" w:themeFill="text2"/>
          </w:tcPr>
          <w:p w14:paraId="241D1C1D" w14:textId="674D326D" w:rsidR="00980FC2" w:rsidRPr="00494478" w:rsidRDefault="008102EF" w:rsidP="00701B2D">
            <w:pPr>
              <w:pStyle w:val="TableHeading"/>
              <w:rPr>
                <w:color w:val="FFFFFF" w:themeColor="background1"/>
              </w:rPr>
            </w:pPr>
            <w:r w:rsidRPr="00494478">
              <w:rPr>
                <w:color w:val="FFFFFF" w:themeColor="background1"/>
              </w:rPr>
              <w:t>DFAT requirement</w:t>
            </w:r>
          </w:p>
        </w:tc>
      </w:tr>
      <w:tr w:rsidR="00980FC2" w14:paraId="2ECBEE9D" w14:textId="77777777" w:rsidTr="00900975">
        <w:tc>
          <w:tcPr>
            <w:tcW w:w="1838" w:type="dxa"/>
            <w:shd w:val="clear" w:color="auto" w:fill="auto"/>
          </w:tcPr>
          <w:p w14:paraId="39870379" w14:textId="10C6CE7A" w:rsidR="00980FC2" w:rsidRPr="00701B2D" w:rsidRDefault="00FD0AB3" w:rsidP="00D740C6">
            <w:pPr>
              <w:pStyle w:val="BodyCopy"/>
              <w:rPr>
                <w:b/>
                <w:bCs/>
              </w:rPr>
            </w:pPr>
            <w:r w:rsidRPr="00701B2D">
              <w:rPr>
                <w:b/>
                <w:bCs/>
              </w:rPr>
              <w:t>NOT TARGETED (SCORE 0)</w:t>
            </w:r>
          </w:p>
        </w:tc>
        <w:tc>
          <w:tcPr>
            <w:tcW w:w="3686" w:type="dxa"/>
            <w:shd w:val="clear" w:color="auto" w:fill="auto"/>
          </w:tcPr>
          <w:p w14:paraId="0B9CFBCC" w14:textId="6785BBE9" w:rsidR="00980FC2" w:rsidRDefault="004B1892" w:rsidP="00D740C6">
            <w:pPr>
              <w:pStyle w:val="BodyCopy"/>
            </w:pPr>
            <w:r>
              <w:t>The project/programme has been screened against the marker but has not been found to target gender equality.</w:t>
            </w:r>
          </w:p>
        </w:tc>
        <w:tc>
          <w:tcPr>
            <w:tcW w:w="4670" w:type="dxa"/>
            <w:shd w:val="clear" w:color="auto" w:fill="auto"/>
          </w:tcPr>
          <w:p w14:paraId="3D560973" w14:textId="5F81B05F" w:rsidR="00980FC2" w:rsidRDefault="004768A3" w:rsidP="00D740C6">
            <w:pPr>
              <w:pStyle w:val="BodyCopy"/>
            </w:pPr>
            <w:r>
              <w:t xml:space="preserve">New designs must seek an </w:t>
            </w:r>
            <w:hyperlink r:id="rId14" w:history="1">
              <w:r w:rsidRPr="00146AFA">
                <w:rPr>
                  <w:rStyle w:val="Hyperlink"/>
                </w:rPr>
                <w:t>exemption</w:t>
              </w:r>
            </w:hyperlink>
            <w:r>
              <w:t xml:space="preserve"> from the </w:t>
            </w:r>
            <w:r w:rsidR="000239AF">
              <w:t>g</w:t>
            </w:r>
            <w:r>
              <w:t xml:space="preserve">ender </w:t>
            </w:r>
            <w:r w:rsidR="000239AF">
              <w:t>e</w:t>
            </w:r>
            <w:r>
              <w:t xml:space="preserve">quality </w:t>
            </w:r>
            <w:r w:rsidR="000239AF">
              <w:t>o</w:t>
            </w:r>
            <w:r>
              <w:t xml:space="preserve">utcome </w:t>
            </w:r>
            <w:r w:rsidR="000239AF">
              <w:t>r</w:t>
            </w:r>
            <w:r>
              <w:t xml:space="preserve">equirement. </w:t>
            </w:r>
            <w:r w:rsidR="00701B2D">
              <w:t>Designs m</w:t>
            </w:r>
            <w:r w:rsidR="00CD68B4">
              <w:t xml:space="preserve">ust meet minimum standards: </w:t>
            </w:r>
          </w:p>
          <w:p w14:paraId="6B4709E5" w14:textId="5758A3AD" w:rsidR="00CD68B4" w:rsidRDefault="00CD68B4" w:rsidP="00701B2D">
            <w:pPr>
              <w:pStyle w:val="BodyCopyBullets"/>
              <w:rPr>
                <w:rFonts w:eastAsiaTheme="minorHAnsi"/>
                <w:szCs w:val="22"/>
              </w:rPr>
            </w:pPr>
            <w:r>
              <w:t xml:space="preserve">a gender analysis has been </w:t>
            </w:r>
            <w:r w:rsidRPr="00AA684F">
              <w:t>conducted</w:t>
            </w:r>
            <w:r w:rsidR="00AA684F">
              <w:t xml:space="preserve"> at the start of the investment</w:t>
            </w:r>
            <w:r w:rsidRPr="00AA684F">
              <w:t xml:space="preserve"> </w:t>
            </w:r>
            <w:r>
              <w:t xml:space="preserve">and </w:t>
            </w:r>
          </w:p>
          <w:p w14:paraId="1F538B02" w14:textId="77777777" w:rsidR="00CD68B4" w:rsidRDefault="00CD68B4" w:rsidP="00701B2D">
            <w:pPr>
              <w:pStyle w:val="BodyCopyBullets"/>
            </w:pPr>
            <w:r>
              <w:t xml:space="preserve">findings from the gender analysis have been used to ensure at minimum that the investment does no harm and does not reinforce gender </w:t>
            </w:r>
            <w:proofErr w:type="gramStart"/>
            <w:r>
              <w:t>inequalities</w:t>
            </w:r>
            <w:proofErr w:type="gramEnd"/>
          </w:p>
          <w:p w14:paraId="2074757D" w14:textId="15DE497B" w:rsidR="00CD68B4" w:rsidRPr="00267C6F" w:rsidRDefault="00CD68B4" w:rsidP="00701B2D">
            <w:pPr>
              <w:pStyle w:val="BodyCopyBullets"/>
            </w:pPr>
            <w:r>
              <w:t>sex-disaggregated data is collected for all indicators of people</w:t>
            </w:r>
          </w:p>
        </w:tc>
      </w:tr>
      <w:tr w:rsidR="00980FC2" w14:paraId="27892EC0" w14:textId="77777777" w:rsidTr="00900975">
        <w:tc>
          <w:tcPr>
            <w:tcW w:w="1838" w:type="dxa"/>
            <w:shd w:val="clear" w:color="auto" w:fill="auto"/>
          </w:tcPr>
          <w:p w14:paraId="608DCB55" w14:textId="5403C7DE" w:rsidR="00980FC2" w:rsidRPr="00701B2D" w:rsidRDefault="00FD0AB3" w:rsidP="00D740C6">
            <w:pPr>
              <w:pStyle w:val="BodyCopy"/>
              <w:rPr>
                <w:b/>
                <w:bCs/>
              </w:rPr>
            </w:pPr>
            <w:r w:rsidRPr="00701B2D">
              <w:rPr>
                <w:b/>
                <w:bCs/>
              </w:rPr>
              <w:t>SIGNIFICANT (S</w:t>
            </w:r>
            <w:r w:rsidR="002803E7" w:rsidRPr="00701B2D">
              <w:rPr>
                <w:b/>
                <w:bCs/>
              </w:rPr>
              <w:t>CORE 1)</w:t>
            </w:r>
          </w:p>
        </w:tc>
        <w:tc>
          <w:tcPr>
            <w:tcW w:w="3686" w:type="dxa"/>
            <w:shd w:val="clear" w:color="auto" w:fill="auto"/>
          </w:tcPr>
          <w:p w14:paraId="3ABE74F7" w14:textId="2F351CAC" w:rsidR="00980FC2" w:rsidRDefault="00CD68B4" w:rsidP="00D740C6">
            <w:pPr>
              <w:pStyle w:val="BodyCopy"/>
            </w:pPr>
            <w:r>
              <w:t xml:space="preserve">Gender equality is an important and deliberate objective, but not the principal reason for undertaking the project/programme. </w:t>
            </w:r>
          </w:p>
        </w:tc>
        <w:tc>
          <w:tcPr>
            <w:tcW w:w="4670" w:type="dxa"/>
            <w:shd w:val="clear" w:color="auto" w:fill="auto"/>
          </w:tcPr>
          <w:p w14:paraId="3799EF96" w14:textId="7E7D92FB" w:rsidR="00980FC2" w:rsidRDefault="009D0210" w:rsidP="00D740C6">
            <w:pPr>
              <w:pStyle w:val="BodyCopy"/>
            </w:pPr>
            <w:r>
              <w:t>In addition to t</w:t>
            </w:r>
            <w:r w:rsidR="00FF5CAA">
              <w:t xml:space="preserve">he </w:t>
            </w:r>
            <w:r>
              <w:t xml:space="preserve">minimum standards above, the </w:t>
            </w:r>
            <w:r w:rsidR="00FF5CAA">
              <w:t xml:space="preserve">design must include an </w:t>
            </w:r>
            <w:r w:rsidR="00C62393">
              <w:t xml:space="preserve">Intermediate Outcome to advance gender equality; and may include an </w:t>
            </w:r>
            <w:r w:rsidR="00C62393" w:rsidRPr="00C62393">
              <w:t>End-of-Program-Outcome</w:t>
            </w:r>
            <w:r w:rsidR="00793390">
              <w:t xml:space="preserve"> to advance gender equality</w:t>
            </w:r>
            <w:r w:rsidR="00C62393">
              <w:t>.</w:t>
            </w:r>
          </w:p>
        </w:tc>
      </w:tr>
      <w:tr w:rsidR="00980FC2" w14:paraId="3373E7A0" w14:textId="77777777" w:rsidTr="00900975">
        <w:tc>
          <w:tcPr>
            <w:tcW w:w="1838" w:type="dxa"/>
            <w:shd w:val="clear" w:color="auto" w:fill="auto"/>
          </w:tcPr>
          <w:p w14:paraId="54D34CBF" w14:textId="464BC746" w:rsidR="00980FC2" w:rsidRPr="00701B2D" w:rsidRDefault="004B1892" w:rsidP="00D740C6">
            <w:pPr>
              <w:pStyle w:val="BodyCopy"/>
              <w:rPr>
                <w:b/>
                <w:bCs/>
              </w:rPr>
            </w:pPr>
            <w:r w:rsidRPr="00701B2D">
              <w:rPr>
                <w:b/>
                <w:bCs/>
              </w:rPr>
              <w:t>PRINCIPAL (SCORE 2)</w:t>
            </w:r>
          </w:p>
        </w:tc>
        <w:tc>
          <w:tcPr>
            <w:tcW w:w="3686" w:type="dxa"/>
            <w:shd w:val="clear" w:color="auto" w:fill="auto"/>
          </w:tcPr>
          <w:p w14:paraId="493422CA" w14:textId="32FB40C8" w:rsidR="00980FC2" w:rsidRDefault="00D740C6" w:rsidP="00D740C6">
            <w:pPr>
              <w:pStyle w:val="BodyCopy"/>
            </w:pPr>
            <w:r>
              <w:t>Gender equality is</w:t>
            </w:r>
            <w:r w:rsidR="00F20C9C">
              <w:t xml:space="preserve"> the main objective</w:t>
            </w:r>
            <w:r w:rsidR="00A56B03">
              <w:t xml:space="preserve"> of the project/programme and is fundamental </w:t>
            </w:r>
            <w:r w:rsidR="00FF5CAA">
              <w:t xml:space="preserve">in its design and expected results. The project/programme would not have been undertaken without this gender equality objective. </w:t>
            </w:r>
          </w:p>
        </w:tc>
        <w:tc>
          <w:tcPr>
            <w:tcW w:w="4670" w:type="dxa"/>
            <w:shd w:val="clear" w:color="auto" w:fill="auto"/>
          </w:tcPr>
          <w:p w14:paraId="70276C55" w14:textId="67E0B423" w:rsidR="00980FC2" w:rsidRDefault="009D0210" w:rsidP="00D740C6">
            <w:pPr>
              <w:pStyle w:val="BodyCopy"/>
            </w:pPr>
            <w:r>
              <w:t>In addition to the minimum standards above, the</w:t>
            </w:r>
            <w:r w:rsidR="00C62393">
              <w:t xml:space="preserve"> design must include Intermediate Outcome</w:t>
            </w:r>
            <w:r w:rsidR="008937B3">
              <w:t>s</w:t>
            </w:r>
            <w:r w:rsidR="00C62393">
              <w:t>, and a</w:t>
            </w:r>
            <w:r w:rsidR="008937B3">
              <w:t>t least one</w:t>
            </w:r>
            <w:r w:rsidR="00C62393">
              <w:t xml:space="preserve"> </w:t>
            </w:r>
            <w:r w:rsidR="00C62393" w:rsidRPr="00C62393">
              <w:t>End-of-Program-Outcome</w:t>
            </w:r>
            <w:r w:rsidR="00C62393">
              <w:t xml:space="preserve"> to advance gender equality.</w:t>
            </w:r>
          </w:p>
        </w:tc>
      </w:tr>
    </w:tbl>
    <w:p w14:paraId="006F2C99" w14:textId="04C63C16" w:rsidR="00211D95" w:rsidRPr="00D54754" w:rsidRDefault="00211D95" w:rsidP="00211D95">
      <w:pPr>
        <w:pStyle w:val="H3-Heading3"/>
        <w:rPr>
          <w:b w:val="0"/>
          <w:bCs w:val="0"/>
          <w:u w:val="single"/>
        </w:rPr>
      </w:pPr>
      <w:r>
        <w:t>G</w:t>
      </w:r>
      <w:r w:rsidRPr="003F577F">
        <w:t xml:space="preserve">ender mainstreaming  </w:t>
      </w:r>
    </w:p>
    <w:p w14:paraId="6F5FA4EA" w14:textId="3A939336" w:rsidR="00487157" w:rsidRPr="007A21BE" w:rsidRDefault="00BA3E5C" w:rsidP="00211D95">
      <w:pPr>
        <w:pStyle w:val="BodyCopy"/>
      </w:pPr>
      <w:r>
        <w:t xml:space="preserve">Gender </w:t>
      </w:r>
      <w:r w:rsidR="008937B3">
        <w:t>e</w:t>
      </w:r>
      <w:r>
        <w:t xml:space="preserve">quality </w:t>
      </w:r>
      <w:r w:rsidR="008937B3">
        <w:t>o</w:t>
      </w:r>
      <w:r>
        <w:t xml:space="preserve">utcomes should not </w:t>
      </w:r>
      <w:r w:rsidR="00144ECD">
        <w:t xml:space="preserve">be </w:t>
      </w:r>
      <w:r w:rsidR="00FD4829">
        <w:t>treated as</w:t>
      </w:r>
      <w:r>
        <w:t xml:space="preserve"> ‘add-on’. In line with MEL </w:t>
      </w:r>
      <w:r w:rsidR="00FD4829">
        <w:t>S</w:t>
      </w:r>
      <w:r>
        <w:t xml:space="preserve">tandard 3.6, gender equality should be embedded in the entire program logic/theory of change. This does not mean that the overarching </w:t>
      </w:r>
      <w:r w:rsidR="00820316">
        <w:t xml:space="preserve">intent </w:t>
      </w:r>
      <w:r w:rsidR="00211D95">
        <w:t xml:space="preserve">or focus </w:t>
      </w:r>
      <w:r>
        <w:t xml:space="preserve">of the investment needs </w:t>
      </w:r>
      <w:r w:rsidRPr="007A21BE">
        <w:t>to change</w:t>
      </w:r>
      <w:r w:rsidR="003F577F" w:rsidRPr="007A21BE">
        <w:t>.</w:t>
      </w:r>
    </w:p>
    <w:p w14:paraId="6C52A937" w14:textId="6A022559" w:rsidR="00211D95" w:rsidRPr="007A21BE" w:rsidRDefault="003F577F" w:rsidP="00211D95">
      <w:pPr>
        <w:pStyle w:val="BodyCopy"/>
      </w:pPr>
      <w:r w:rsidRPr="007A21BE">
        <w:t xml:space="preserve">For example, </w:t>
      </w:r>
    </w:p>
    <w:p w14:paraId="65EC3A69" w14:textId="51F0E553" w:rsidR="00211D95" w:rsidRPr="007A21BE" w:rsidRDefault="00801AAA" w:rsidP="00211D95">
      <w:pPr>
        <w:pStyle w:val="BodyCopyBullets"/>
      </w:pPr>
      <w:r w:rsidRPr="007A21BE">
        <w:t>P</w:t>
      </w:r>
      <w:r w:rsidR="003F577F" w:rsidRPr="007A21BE">
        <w:t>hysical infrastructure investment</w:t>
      </w:r>
      <w:r w:rsidRPr="007A21BE">
        <w:t>s</w:t>
      </w:r>
      <w:r w:rsidR="003F577F" w:rsidRPr="007A21BE">
        <w:t xml:space="preserve"> can be designed to create opportunities for gender inequalities, including in the infrastructure sector, to be reduced. </w:t>
      </w:r>
      <w:r w:rsidR="00487157" w:rsidRPr="007A21BE">
        <w:t>A</w:t>
      </w:r>
      <w:r w:rsidR="00211D95" w:rsidRPr="007A21BE">
        <w:t xml:space="preserve"> relevant outcome could </w:t>
      </w:r>
      <w:r w:rsidR="003B7161" w:rsidRPr="007A21BE">
        <w:t xml:space="preserve">be: </w:t>
      </w:r>
      <w:r w:rsidRPr="007A21BE">
        <w:rPr>
          <w:i/>
          <w:iCs/>
        </w:rPr>
        <w:t>All b</w:t>
      </w:r>
      <w:r w:rsidR="000A0CE3" w:rsidRPr="007A21BE">
        <w:rPr>
          <w:i/>
          <w:iCs/>
        </w:rPr>
        <w:t xml:space="preserve">usiness cases for projects </w:t>
      </w:r>
      <w:r w:rsidRPr="007A21BE">
        <w:rPr>
          <w:i/>
          <w:iCs/>
        </w:rPr>
        <w:t xml:space="preserve">approved by the fund </w:t>
      </w:r>
      <w:r w:rsidR="000A0CE3" w:rsidRPr="007A21BE">
        <w:rPr>
          <w:i/>
          <w:iCs/>
        </w:rPr>
        <w:t>consider benefits, costs and risks related to gender and social inclusion, climate resilience and low carbon emissions</w:t>
      </w:r>
      <w:r w:rsidRPr="007A21BE">
        <w:rPr>
          <w:i/>
          <w:iCs/>
        </w:rPr>
        <w:t>.</w:t>
      </w:r>
    </w:p>
    <w:p w14:paraId="72D0C2F8" w14:textId="7EC47FDD" w:rsidR="00BA3E5C" w:rsidRPr="007A21BE" w:rsidRDefault="003F577F" w:rsidP="00211D95">
      <w:pPr>
        <w:pStyle w:val="BodyCopyBullets"/>
      </w:pPr>
      <w:r w:rsidRPr="007A21BE">
        <w:t xml:space="preserve">When identifying technical assistance agendas for economic growth, the specific barriers faced by women as both participants and leaders in the economy can be prioritised. </w:t>
      </w:r>
      <w:r w:rsidR="00635CF6" w:rsidRPr="00D55029">
        <w:t>A</w:t>
      </w:r>
      <w:r w:rsidR="00211D95" w:rsidRPr="00D55029">
        <w:t xml:space="preserve"> relevant outcome </w:t>
      </w:r>
      <w:r w:rsidR="00322187" w:rsidRPr="00D55029">
        <w:t>could be:</w:t>
      </w:r>
      <w:r w:rsidR="002A766B" w:rsidRPr="002B018D">
        <w:rPr>
          <w:i/>
          <w:iCs/>
        </w:rPr>
        <w:t xml:space="preserve"> </w:t>
      </w:r>
      <w:r w:rsidR="002B018D">
        <w:rPr>
          <w:i/>
          <w:iCs/>
        </w:rPr>
        <w:t>N</w:t>
      </w:r>
      <w:r w:rsidR="00C06A9D" w:rsidRPr="002B018D">
        <w:rPr>
          <w:i/>
          <w:iCs/>
        </w:rPr>
        <w:t xml:space="preserve">ational </w:t>
      </w:r>
      <w:r w:rsidR="002B018D">
        <w:rPr>
          <w:i/>
          <w:iCs/>
        </w:rPr>
        <w:t xml:space="preserve">and Provincial </w:t>
      </w:r>
      <w:r w:rsidR="00C06A9D" w:rsidRPr="002B018D">
        <w:rPr>
          <w:i/>
          <w:iCs/>
        </w:rPr>
        <w:t>economic plans and policies are designed with gender and social ministries and meaningfully engage with women’s organisations, organisations of persons with disabilities and local and indigenous peoples</w:t>
      </w:r>
      <w:r w:rsidR="002B018D" w:rsidRPr="002B018D">
        <w:rPr>
          <w:i/>
          <w:iCs/>
        </w:rPr>
        <w:t>.</w:t>
      </w:r>
    </w:p>
    <w:p w14:paraId="3DF19258" w14:textId="66798E45" w:rsidR="00BA10C0" w:rsidRDefault="00BA10C0" w:rsidP="57376699">
      <w:pPr>
        <w:pStyle w:val="H4-Heading4"/>
        <w:rPr>
          <w:lang w:eastAsia="en-NZ"/>
        </w:rPr>
      </w:pPr>
      <w:r>
        <w:t xml:space="preserve">Disability and </w:t>
      </w:r>
      <w:r w:rsidR="1E4EB609">
        <w:t>C</w:t>
      </w:r>
      <w:r>
        <w:t>limate</w:t>
      </w:r>
      <w:r w:rsidR="16D67F13">
        <w:t xml:space="preserve"> Change</w:t>
      </w:r>
    </w:p>
    <w:p w14:paraId="7787FD1A" w14:textId="726CACC0" w:rsidR="00BA10C0" w:rsidRDefault="00573D48" w:rsidP="00BA10C0">
      <w:pPr>
        <w:pStyle w:val="BodyCopyBullets"/>
        <w:numPr>
          <w:ilvl w:val="0"/>
          <w:numId w:val="0"/>
        </w:numPr>
      </w:pPr>
      <w:hyperlink r:id="rId15">
        <w:r w:rsidR="00BA10C0" w:rsidRPr="57376699">
          <w:rPr>
            <w:rStyle w:val="Hyperlink"/>
          </w:rPr>
          <w:t>Australia’s International Development Policy</w:t>
        </w:r>
      </w:hyperlink>
      <w:r w:rsidR="00BA10C0">
        <w:t xml:space="preserve"> identifies climate change and disability equity and rights as core issues for action, alongside gender equality. It is possible to address multiple issues in an integrated way during the design stage, through early analysis and the theory of change. This will strengthen the quality of the investment design</w:t>
      </w:r>
      <w:r w:rsidR="35B10B69">
        <w:t>, deliver on partner priorities and government commitments.</w:t>
      </w:r>
      <w:r w:rsidR="00BA10C0">
        <w:t xml:space="preserve"> The OECD DAC has guidance on their complementary </w:t>
      </w:r>
      <w:hyperlink r:id="rId16">
        <w:r w:rsidR="00BA10C0" w:rsidRPr="57376699">
          <w:rPr>
            <w:rStyle w:val="Hyperlink"/>
          </w:rPr>
          <w:t>Policy Marker on the Inclusion and Empowerment of Persons with Disabilities</w:t>
        </w:r>
      </w:hyperlink>
      <w:r w:rsidR="00BA10C0">
        <w:t xml:space="preserve"> and the </w:t>
      </w:r>
      <w:hyperlink r:id="rId17">
        <w:r w:rsidR="00BA10C0" w:rsidRPr="57376699">
          <w:rPr>
            <w:rStyle w:val="Hyperlink"/>
          </w:rPr>
          <w:t>Rio Marker for Climate</w:t>
        </w:r>
      </w:hyperlink>
      <w:r w:rsidR="00BA10C0">
        <w:t xml:space="preserve">. DFAT also has a </w:t>
      </w:r>
      <w:hyperlink r:id="rId18">
        <w:r w:rsidR="00BA10C0" w:rsidRPr="57376699">
          <w:rPr>
            <w:rStyle w:val="Hyperlink"/>
          </w:rPr>
          <w:t>Disability Inclusive Development guidance note</w:t>
        </w:r>
      </w:hyperlink>
      <w:r w:rsidR="00BA10C0">
        <w:t xml:space="preserve"> and guidance on </w:t>
      </w:r>
      <w:hyperlink r:id="rId19">
        <w:r w:rsidR="00BA10C0" w:rsidRPr="57376699">
          <w:rPr>
            <w:rStyle w:val="Hyperlink"/>
          </w:rPr>
          <w:t>Integrating Climate Change into Australia’s Development Assistance</w:t>
        </w:r>
      </w:hyperlink>
      <w:r w:rsidR="00BA10C0">
        <w:t xml:space="preserve">, and a </w:t>
      </w:r>
      <w:hyperlink r:id="rId20">
        <w:r w:rsidR="00BA10C0" w:rsidRPr="57376699">
          <w:rPr>
            <w:rStyle w:val="Hyperlink"/>
          </w:rPr>
          <w:t>Climate Change Hub</w:t>
        </w:r>
      </w:hyperlink>
      <w:r w:rsidR="00BA10C0">
        <w:t xml:space="preserve"> with a range of helpful resources. </w:t>
      </w:r>
    </w:p>
    <w:p w14:paraId="73B937EE" w14:textId="337F8E62" w:rsidR="003F577F" w:rsidRDefault="003F577F" w:rsidP="00487157">
      <w:pPr>
        <w:pStyle w:val="H2-Heading2"/>
      </w:pPr>
      <w:r>
        <w:lastRenderedPageBreak/>
        <w:t>What makes a good gender equality outcome</w:t>
      </w:r>
    </w:p>
    <w:p w14:paraId="235A0858" w14:textId="0DB764B1" w:rsidR="000E4CB2" w:rsidRPr="000E4CB2" w:rsidRDefault="003F577F" w:rsidP="006E4FE0">
      <w:pPr>
        <w:pStyle w:val="BodycopyNumberedBullets"/>
        <w:rPr>
          <w:iCs/>
          <w:lang w:eastAsia="en-AU"/>
        </w:rPr>
      </w:pPr>
      <w:r w:rsidRPr="006A22F3">
        <w:rPr>
          <w:rStyle w:val="Emphasis"/>
        </w:rPr>
        <w:t xml:space="preserve">Informed by </w:t>
      </w:r>
      <w:r w:rsidRPr="00805405">
        <w:rPr>
          <w:rFonts w:asciiTheme="minorHAnsi" w:hAnsiTheme="minorHAnsi" w:cstheme="minorHAnsi"/>
          <w:b/>
          <w:bCs/>
        </w:rPr>
        <w:t>GEDSI analysis</w:t>
      </w:r>
      <w:r w:rsidRPr="00805405">
        <w:t xml:space="preserve"> –</w:t>
      </w:r>
      <w:r w:rsidR="00CE40D4">
        <w:t xml:space="preserve"> </w:t>
      </w:r>
      <w:r w:rsidR="00592D63" w:rsidRPr="00805405">
        <w:t xml:space="preserve">All DFAT investments </w:t>
      </w:r>
      <w:r w:rsidR="00DE4DC5">
        <w:t>are required</w:t>
      </w:r>
      <w:r w:rsidR="00545068" w:rsidRPr="00805405">
        <w:t xml:space="preserve"> to demonstrate how the design was </w:t>
      </w:r>
      <w:r w:rsidR="00DE4DC5">
        <w:t>informed by</w:t>
      </w:r>
      <w:r w:rsidR="00545068" w:rsidRPr="00805405">
        <w:t xml:space="preserve"> gender analysis in the relevant sector or area</w:t>
      </w:r>
      <w:r w:rsidR="00DE4DC5">
        <w:t xml:space="preserve">, and DFAT recommends an intersectional approach </w:t>
      </w:r>
      <w:r w:rsidR="004D164E">
        <w:t>which also analyses disability and other forms of social marginalisation</w:t>
      </w:r>
      <w:r w:rsidR="00545068" w:rsidRPr="00805405">
        <w:t>. Guidance can be found in the</w:t>
      </w:r>
      <w:r w:rsidR="00805405" w:rsidRPr="00805405">
        <w:t xml:space="preserve"> </w:t>
      </w:r>
      <w:hyperlink r:id="rId21" w:history="1">
        <w:r w:rsidR="00805405" w:rsidRPr="00805405">
          <w:rPr>
            <w:rStyle w:val="Hyperlink"/>
            <w:rFonts w:asciiTheme="majorHAnsi" w:hAnsiTheme="majorHAnsi" w:cstheme="majorHAnsi"/>
            <w:szCs w:val="22"/>
          </w:rPr>
          <w:t>Gender Equality in Investment Design</w:t>
        </w:r>
      </w:hyperlink>
      <w:r w:rsidR="00805405" w:rsidRPr="00805405">
        <w:rPr>
          <w:rStyle w:val="Hyperlink"/>
          <w:rFonts w:asciiTheme="majorHAnsi" w:hAnsiTheme="majorHAnsi" w:cstheme="majorHAnsi"/>
          <w:szCs w:val="22"/>
          <w:u w:val="none"/>
        </w:rPr>
        <w:t xml:space="preserve"> and</w:t>
      </w:r>
      <w:r w:rsidR="00545068" w:rsidRPr="00805405">
        <w:t xml:space="preserve"> </w:t>
      </w:r>
      <w:hyperlink r:id="rId22" w:history="1">
        <w:r w:rsidR="00805405" w:rsidRPr="00805405">
          <w:rPr>
            <w:rStyle w:val="Hyperlink"/>
            <w:rFonts w:asciiTheme="majorHAnsi" w:hAnsiTheme="majorHAnsi" w:cstheme="majorHAnsi"/>
          </w:rPr>
          <w:t>Gender Equality, Disability and Social Inclusion Analysis</w:t>
        </w:r>
      </w:hyperlink>
      <w:r w:rsidR="00805405">
        <w:t xml:space="preserve"> Good Practice Notes. </w:t>
      </w:r>
    </w:p>
    <w:p w14:paraId="41E669EE" w14:textId="3DBC7788" w:rsidR="000E4CB2" w:rsidRDefault="000E4CB2" w:rsidP="000E4CB2">
      <w:pPr>
        <w:pStyle w:val="BodycopyNumberedBullets"/>
        <w:numPr>
          <w:ilvl w:val="0"/>
          <w:numId w:val="0"/>
        </w:numPr>
        <w:ind w:left="360"/>
      </w:pPr>
      <w:r w:rsidRPr="002C3F26">
        <w:t xml:space="preserve">Gender equality outcomes should be underpinned by evidence, including learning from </w:t>
      </w:r>
      <w:r w:rsidR="004D164E">
        <w:t xml:space="preserve">successful </w:t>
      </w:r>
      <w:r w:rsidRPr="002C3F26">
        <w:t xml:space="preserve">interventions and approaches. </w:t>
      </w:r>
      <w:r w:rsidR="0007657D">
        <w:t xml:space="preserve">This ensures the gender equality outcome(s) </w:t>
      </w:r>
      <w:r w:rsidR="003F577F">
        <w:t>re</w:t>
      </w:r>
      <w:r w:rsidR="004D164E">
        <w:t>spond to</w:t>
      </w:r>
      <w:r w:rsidR="003F577F">
        <w:t xml:space="preserve"> the specific gendered barriers</w:t>
      </w:r>
      <w:r w:rsidR="00E000AC">
        <w:t xml:space="preserve">, </w:t>
      </w:r>
      <w:r w:rsidR="003F577F">
        <w:t>constraints</w:t>
      </w:r>
      <w:r w:rsidR="00E000AC">
        <w:t>, and root causes</w:t>
      </w:r>
      <w:r w:rsidR="003F577F">
        <w:t xml:space="preserve"> </w:t>
      </w:r>
      <w:r w:rsidR="004D164E">
        <w:t>of development challenges</w:t>
      </w:r>
      <w:r w:rsidR="003F577F">
        <w:t xml:space="preserve"> in the relevant location</w:t>
      </w:r>
      <w:r w:rsidR="004D164E">
        <w:t>,</w:t>
      </w:r>
      <w:r w:rsidR="003F577F">
        <w:t xml:space="preserve"> sector</w:t>
      </w:r>
      <w:r w:rsidR="00AD4CD4">
        <w:t xml:space="preserve"> and for the specific target group</w:t>
      </w:r>
      <w:r w:rsidR="003F577F">
        <w:t xml:space="preserve">. </w:t>
      </w:r>
      <w:r w:rsidR="003F577F" w:rsidRPr="002222D4">
        <w:rPr>
          <w:iCs/>
          <w:lang w:eastAsia="en-AU"/>
        </w:rPr>
        <w:t xml:space="preserve">The link between the situation or problem analysis and the outcomes proposed should be clear </w:t>
      </w:r>
      <w:r w:rsidR="003F577F">
        <w:t>(see also MEL standard 4.11)</w:t>
      </w:r>
      <w:r w:rsidR="002222D4">
        <w:t xml:space="preserve">. </w:t>
      </w:r>
    </w:p>
    <w:p w14:paraId="23FC02E6" w14:textId="350D65DB" w:rsidR="00C863A0" w:rsidRPr="00C42102" w:rsidRDefault="002222D4" w:rsidP="00C42102">
      <w:pPr>
        <w:pStyle w:val="BodycopyNumberedBullets"/>
        <w:numPr>
          <w:ilvl w:val="0"/>
          <w:numId w:val="0"/>
        </w:numPr>
        <w:ind w:left="360"/>
        <w:rPr>
          <w:lang w:eastAsia="en-AU"/>
        </w:rPr>
      </w:pPr>
      <w:r>
        <w:t xml:space="preserve">The </w:t>
      </w:r>
      <w:hyperlink r:id="rId23" w:history="1">
        <w:r w:rsidRPr="009B54F0">
          <w:rPr>
            <w:rStyle w:val="Hyperlink"/>
          </w:rPr>
          <w:t>Gender</w:t>
        </w:r>
        <w:r w:rsidR="00362938" w:rsidRPr="009B54F0">
          <w:rPr>
            <w:rStyle w:val="Hyperlink"/>
          </w:rPr>
          <w:t xml:space="preserve"> </w:t>
        </w:r>
        <w:proofErr w:type="gramStart"/>
        <w:r w:rsidR="00362938" w:rsidRPr="009B54F0">
          <w:rPr>
            <w:rStyle w:val="Hyperlink"/>
          </w:rPr>
          <w:t>At</w:t>
        </w:r>
        <w:proofErr w:type="gramEnd"/>
        <w:r w:rsidR="00362938" w:rsidRPr="009B54F0">
          <w:rPr>
            <w:rStyle w:val="Hyperlink"/>
          </w:rPr>
          <w:t xml:space="preserve"> Work </w:t>
        </w:r>
        <w:r w:rsidRPr="009B54F0">
          <w:rPr>
            <w:rStyle w:val="Hyperlink"/>
          </w:rPr>
          <w:t>Framework</w:t>
        </w:r>
      </w:hyperlink>
      <w:r>
        <w:t xml:space="preserve"> sets out different types of barriers to gender equality that an investment may address</w:t>
      </w:r>
      <w:r w:rsidR="00362938">
        <w:t>.</w:t>
      </w:r>
    </w:p>
    <w:p w14:paraId="02438F30" w14:textId="1D743805" w:rsidR="002222D4" w:rsidRDefault="0043566A" w:rsidP="0043566A">
      <w:pPr>
        <w:mirrorIndents/>
        <w:jc w:val="center"/>
        <w:rPr>
          <w:rFonts w:eastAsia="Calibri" w:cstheme="minorHAnsi"/>
          <w:iCs/>
          <w:lang w:eastAsia="en-AU"/>
        </w:rPr>
      </w:pPr>
      <w:r>
        <w:rPr>
          <w:noProof/>
        </w:rPr>
        <w:drawing>
          <wp:inline distT="0" distB="0" distL="0" distR="0" wp14:anchorId="0E95D350" wp14:editId="32A5D8E8">
            <wp:extent cx="5657333" cy="3002280"/>
            <wp:effectExtent l="0" t="0" r="635" b="7620"/>
            <wp:docPr id="1967465405" name="Picture 1" descr="A picture of the Gender At Work Framework shows a matrix with a vertical axis and a horizontal axis intersecting in the centre. At the top of the vertical axis are the words 'individual change'. At the bottom of the vertical axis are the words 'systemic change'. On the left side of the horizontal axis are the words 'informal change' and on the right side of the horizontal axis are the words 'formal change'. &#10;This creates four quadrants. The top left quadrant connects the attributes individual and informal. This space has the heading 'Women's and men's awareness, voice and agency.' It refers to a persons' consciousness and capability – knowledge, skills, political consciousness, and commitment to change toward equality. Examples are provided: Women's ability to envision positive change for themselves and act, father's ambitions for daughters and sons, distribution of power in the household. In the top right quadrant the attributes are individual and formal. The heading reads 'Access and control over public and private resources. This refers to changes in noticeable individual conditions, e.g., health, education, social networks, land, capital, common property, etc. The bottom left quadrant connects the attributes systemic and informal. The heading reads 'Socio-cultural norms, beliefs and practices. This refers to discriminatory norms and deep structures, including those that maintain inequality in everyday practices. Examples are given: Acceptability of women working outside the home, stay-at-home dads, norms on gender violence, distribution of unpaid domestic tasks, perceptions of leadership. The attributes of the bottom right quadrant are systemic and formal. The heading reads 'Laws, policies, budgets'. This refers to the formal rules that govern social life. Examples are given: human rights conventions ratified, divorce and family laws, banking rules and regulations, migration rules, employment law, maternity lea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65405" name="Picture 1" descr="A picture of the Gender At Work Framework shows a matrix with a vertical axis and a horizontal axis intersecting in the centre. At the top of the vertical axis are the words 'individual change'. At the bottom of the vertical axis are the words 'systemic change'. On the left side of the horizontal axis are the words 'informal change' and on the right side of the horizontal axis are the words 'formal change'. &#10;This creates four quadrants. The top left quadrant connects the attributes individual and informal. This space has the heading 'Women's and men's awareness, voice and agency.' It refers to a persons' consciousness and capability – knowledge, skills, political consciousness, and commitment to change toward equality. Examples are provided: Women's ability to envision positive change for themselves and act, father's ambitions for daughters and sons, distribution of power in the household. In the top right quadrant the attributes are individual and formal. The heading reads 'Access and control over public and private resources. This refers to changes in noticeable individual conditions, e.g., health, education, social networks, land, capital, common property, etc. The bottom left quadrant connects the attributes systemic and informal. The heading reads 'Socio-cultural norms, beliefs and practices. This refers to discriminatory norms and deep structures, including those that maintain inequality in everyday practices. Examples are given: Acceptability of women working outside the home, stay-at-home dads, norms on gender violence, distribution of unpaid domestic tasks, perceptions of leadership. The attributes of the bottom right quadrant are systemic and formal. The heading reads 'Laws, policies, budgets'. This refers to the formal rules that govern social life. Examples are given: human rights conventions ratified, divorce and family laws, banking rules and regulations, migration rules, employment law, maternity leave. "/>
                    <pic:cNvPicPr>
                      <a:picLocks noChangeAspect="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5663050" cy="3005314"/>
                    </a:xfrm>
                    <a:prstGeom prst="rect">
                      <a:avLst/>
                    </a:prstGeom>
                    <a:ln>
                      <a:noFill/>
                    </a:ln>
                    <a:extLst>
                      <a:ext uri="{53640926-AAD7-44D8-BBD7-CCE9431645EC}">
                        <a14:shadowObscured xmlns:a14="http://schemas.microsoft.com/office/drawing/2010/main"/>
                      </a:ext>
                    </a:extLst>
                  </pic:spPr>
                </pic:pic>
              </a:graphicData>
            </a:graphic>
          </wp:inline>
        </w:drawing>
      </w:r>
    </w:p>
    <w:p w14:paraId="475F968B" w14:textId="391F2E49" w:rsidR="002222D4" w:rsidRDefault="002222D4" w:rsidP="002222D4">
      <w:pPr>
        <w:mirrorIndents/>
        <w:rPr>
          <w:rFonts w:eastAsia="Calibri" w:cstheme="minorHAnsi"/>
          <w:iCs/>
          <w:lang w:eastAsia="en-AU"/>
        </w:rPr>
      </w:pPr>
    </w:p>
    <w:p w14:paraId="14FD1111" w14:textId="2FE97030" w:rsidR="00211D95" w:rsidRPr="00211D95" w:rsidRDefault="003F577F" w:rsidP="00AC585C">
      <w:pPr>
        <w:pStyle w:val="BodycopyNumberedBullets"/>
        <w:rPr>
          <w:rFonts w:cstheme="minorHAnsi"/>
          <w:iCs/>
          <w:lang w:eastAsia="en-AU"/>
        </w:rPr>
      </w:pPr>
      <w:r w:rsidRPr="006A22F3">
        <w:rPr>
          <w:rStyle w:val="Emphasis"/>
        </w:rPr>
        <w:t>Measurable</w:t>
      </w:r>
      <w:r w:rsidR="002222D4" w:rsidRPr="006A22F3">
        <w:rPr>
          <w:rStyle w:val="Emphasis"/>
        </w:rPr>
        <w:t xml:space="preserve"> and accountable</w:t>
      </w:r>
      <w:r>
        <w:t xml:space="preserve"> </w:t>
      </w:r>
      <w:r w:rsidR="002222D4">
        <w:t xml:space="preserve">– </w:t>
      </w:r>
      <w:r w:rsidR="00D331C9">
        <w:t xml:space="preserve">The </w:t>
      </w:r>
      <w:r w:rsidR="002222D4">
        <w:t>outcome must be</w:t>
      </w:r>
      <w:r w:rsidRPr="00211D95">
        <w:t xml:space="preserve"> clearly articulated and</w:t>
      </w:r>
      <w:r w:rsidR="002222D4">
        <w:t xml:space="preserve"> supported by relevant performance indicators </w:t>
      </w:r>
      <w:r w:rsidR="002222D4" w:rsidRPr="00211D95">
        <w:rPr>
          <w:i/>
          <w:iCs/>
        </w:rPr>
        <w:t>pitched at the right level</w:t>
      </w:r>
      <w:r w:rsidR="002222D4">
        <w:rPr>
          <w:i/>
          <w:iCs/>
        </w:rPr>
        <w:t xml:space="preserve">. </w:t>
      </w:r>
      <w:r w:rsidR="002222D4">
        <w:t xml:space="preserve">End of Programme and Intermediate Outcomes are ‘below the line’, meaning that the </w:t>
      </w:r>
      <w:r w:rsidR="002222D4" w:rsidRPr="372E9160">
        <w:rPr>
          <w:lang w:val="en-GB"/>
        </w:rPr>
        <w:t xml:space="preserve">the investment </w:t>
      </w:r>
      <w:r w:rsidR="002222D4">
        <w:rPr>
          <w:lang w:val="en-GB"/>
        </w:rPr>
        <w:t>is expected to de</w:t>
      </w:r>
      <w:r w:rsidR="002222D4">
        <w:t>liver on these</w:t>
      </w:r>
      <w:r w:rsidR="002222D4">
        <w:rPr>
          <w:lang w:val="en-GB"/>
        </w:rPr>
        <w:t xml:space="preserve"> </w:t>
      </w:r>
      <w:r w:rsidR="002222D4">
        <w:t>(see also MEL standards 4.2 and 5.4).</w:t>
      </w:r>
      <w:r w:rsidR="00487157">
        <w:t xml:space="preserve"> The level of ambition should be aligned with the analysis and context</w:t>
      </w:r>
      <w:r w:rsidR="00114CB6">
        <w:t>, and</w:t>
      </w:r>
      <w:r w:rsidR="00114CB6" w:rsidRPr="00177532">
        <w:t xml:space="preserve"> with DFAT and partner priorities</w:t>
      </w:r>
      <w:r w:rsidR="00487157">
        <w:t xml:space="preserve">. </w:t>
      </w:r>
    </w:p>
    <w:p w14:paraId="7DB67062" w14:textId="2D4F4F74" w:rsidR="00900975" w:rsidRDefault="002222D4" w:rsidP="00C42102">
      <w:pPr>
        <w:pStyle w:val="BodycopyNumberedBullets"/>
        <w:rPr>
          <w:lang w:eastAsia="en-AU"/>
        </w:rPr>
      </w:pPr>
      <w:r w:rsidRPr="060AF836">
        <w:rPr>
          <w:rStyle w:val="Emphasis"/>
        </w:rPr>
        <w:t xml:space="preserve">Specific </w:t>
      </w:r>
      <w:r w:rsidR="00555DAB" w:rsidRPr="060AF836">
        <w:rPr>
          <w:b/>
          <w:bCs/>
        </w:rPr>
        <w:t xml:space="preserve">– </w:t>
      </w:r>
      <w:r w:rsidR="004F1C1F" w:rsidRPr="004F1C1F">
        <w:t>Ou</w:t>
      </w:r>
      <w:r w:rsidR="004F1C1F">
        <w:t>tcome</w:t>
      </w:r>
      <w:r w:rsidR="00842C97">
        <w:t xml:space="preserve">s that are too broad, vague, or </w:t>
      </w:r>
      <w:r w:rsidR="00DE5F67">
        <w:t xml:space="preserve">that </w:t>
      </w:r>
      <w:r w:rsidR="00842C97">
        <w:t xml:space="preserve">combine multiple elements </w:t>
      </w:r>
      <w:r w:rsidR="004644B8">
        <w:t>are difficult to measure and demonstrate success</w:t>
      </w:r>
      <w:r w:rsidR="001D2D98">
        <w:t xml:space="preserve"> against</w:t>
      </w:r>
      <w:r w:rsidR="004644B8">
        <w:t>.</w:t>
      </w:r>
      <w:r w:rsidR="00842C97">
        <w:t xml:space="preserve"> </w:t>
      </w:r>
      <w:r w:rsidR="00861347">
        <w:t>They require more indicators</w:t>
      </w:r>
      <w:r w:rsidR="0029592F">
        <w:t>,</w:t>
      </w:r>
      <w:r w:rsidR="00861347">
        <w:t xml:space="preserve"> increas</w:t>
      </w:r>
      <w:r w:rsidR="0029592F">
        <w:t>ing</w:t>
      </w:r>
      <w:r w:rsidR="00861347">
        <w:t xml:space="preserve"> the burden of data collection. </w:t>
      </w:r>
      <w:r w:rsidR="003D3AA2">
        <w:t xml:space="preserve">For example, rather than </w:t>
      </w:r>
      <w:r w:rsidR="003D3AA2" w:rsidRPr="060AF836">
        <w:rPr>
          <w:i/>
          <w:iCs/>
        </w:rPr>
        <w:t>Finance Ministry staff capacity is improved</w:t>
      </w:r>
      <w:r w:rsidR="003D3AA2">
        <w:rPr>
          <w:i/>
          <w:iCs/>
        </w:rPr>
        <w:t xml:space="preserve">, </w:t>
      </w:r>
      <w:r w:rsidR="003D3AA2" w:rsidRPr="003D3AA2">
        <w:t>a better outcome would be</w:t>
      </w:r>
      <w:r w:rsidR="003D3AA2">
        <w:t xml:space="preserve"> </w:t>
      </w:r>
      <w:r w:rsidR="003D3AA2" w:rsidRPr="060AF836">
        <w:rPr>
          <w:i/>
          <w:iCs/>
        </w:rPr>
        <w:t xml:space="preserve">Finance Ministry staff </w:t>
      </w:r>
      <w:r w:rsidR="003D3AA2">
        <w:rPr>
          <w:i/>
          <w:iCs/>
        </w:rPr>
        <w:t>integrate</w:t>
      </w:r>
      <w:r w:rsidR="003D3AA2" w:rsidRPr="060AF836">
        <w:rPr>
          <w:i/>
          <w:iCs/>
        </w:rPr>
        <w:t xml:space="preserve"> Gender Responsive Budgeting princip</w:t>
      </w:r>
      <w:r w:rsidR="003D3AA2">
        <w:rPr>
          <w:i/>
          <w:iCs/>
        </w:rPr>
        <w:t>le</w:t>
      </w:r>
      <w:r w:rsidR="003D3AA2" w:rsidRPr="060AF836">
        <w:rPr>
          <w:i/>
          <w:iCs/>
        </w:rPr>
        <w:t xml:space="preserve">s in budget approval </w:t>
      </w:r>
      <w:r w:rsidR="003D3AA2">
        <w:rPr>
          <w:i/>
          <w:iCs/>
        </w:rPr>
        <w:t>processes</w:t>
      </w:r>
      <w:r w:rsidR="003004AC">
        <w:rPr>
          <w:i/>
          <w:iCs/>
        </w:rPr>
        <w:t xml:space="preserve">. </w:t>
      </w:r>
      <w:r w:rsidR="003004AC">
        <w:t>The latter statement</w:t>
      </w:r>
      <w:r w:rsidR="003D3AA2">
        <w:t xml:space="preserve"> </w:t>
      </w:r>
      <w:r w:rsidR="003004AC">
        <w:t xml:space="preserve">defines </w:t>
      </w:r>
      <w:r w:rsidR="00163CEC" w:rsidRPr="00163CEC">
        <w:t>who is expected to deliver or benefit, and what the expected activity, deliverable or change is</w:t>
      </w:r>
      <w:r w:rsidR="00487157">
        <w:t>.</w:t>
      </w:r>
      <w:r w:rsidR="00163CEC" w:rsidRPr="00163CEC">
        <w:t xml:space="preserve"> </w:t>
      </w:r>
    </w:p>
    <w:p w14:paraId="249A2F7D" w14:textId="4A85FD17" w:rsidR="00E413FB" w:rsidRDefault="00E413FB" w:rsidP="00E413FB">
      <w:pPr>
        <w:pStyle w:val="BodyCopy"/>
        <w:shd w:val="clear" w:color="auto" w:fill="44546A"/>
        <w:spacing w:after="0"/>
        <w:jc w:val="center"/>
        <w:rPr>
          <w:color w:val="FFFFFF" w:themeColor="background1"/>
          <w:sz w:val="24"/>
          <w:szCs w:val="24"/>
        </w:rPr>
      </w:pPr>
      <w:r w:rsidRPr="002E0211">
        <w:rPr>
          <w:color w:val="FFFFFF" w:themeColor="background1"/>
          <w:sz w:val="24"/>
          <w:szCs w:val="24"/>
        </w:rPr>
        <w:t>A 2023 review of the Final Investment Monitoring Reports of nine investments with a Principal Objective to advance gender equality found that high performing investments had aspirational objectives that addressed multiple aspects of gender inequality.</w:t>
      </w:r>
    </w:p>
    <w:p w14:paraId="4A1C91B2" w14:textId="77777777" w:rsidR="00E413FB" w:rsidRPr="007B71B5" w:rsidRDefault="00E413FB" w:rsidP="00E413FB">
      <w:pPr>
        <w:pStyle w:val="BodyCopy"/>
        <w:shd w:val="clear" w:color="auto" w:fill="44546A"/>
        <w:spacing w:after="0"/>
        <w:jc w:val="center"/>
        <w:rPr>
          <w:color w:val="FFFFFF" w:themeColor="background1"/>
          <w:sz w:val="24"/>
          <w:szCs w:val="24"/>
        </w:rPr>
      </w:pPr>
      <w:r w:rsidRPr="002E0211">
        <w:rPr>
          <w:color w:val="FFFFFF" w:themeColor="background1"/>
          <w:sz w:val="24"/>
          <w:szCs w:val="24"/>
        </w:rPr>
        <w:t>These objectives were balanced with outcomes that were adjusted during implementation to address the causes of gender inequality. By contrast, investments where the level of ambition was too high or lacking logical pathways between outputs and outcomes, or where intermediate outcomes were not established early on, were less effective.</w:t>
      </w:r>
    </w:p>
    <w:p w14:paraId="60A492A2" w14:textId="77777777" w:rsidR="00E413FB" w:rsidRDefault="00E413FB" w:rsidP="00E413FB">
      <w:pPr>
        <w:pStyle w:val="BodycopyNumberedBullets"/>
        <w:numPr>
          <w:ilvl w:val="0"/>
          <w:numId w:val="0"/>
        </w:numPr>
        <w:ind w:left="360" w:hanging="360"/>
        <w:rPr>
          <w:lang w:eastAsia="en-AU"/>
        </w:rPr>
      </w:pPr>
    </w:p>
    <w:p w14:paraId="0FC0AD18" w14:textId="5973CCD5" w:rsidR="060AF836" w:rsidRPr="003C2009" w:rsidRDefault="060AF836" w:rsidP="00900975">
      <w:pPr>
        <w:pStyle w:val="BodycopyNumberedBullets"/>
        <w:numPr>
          <w:ilvl w:val="0"/>
          <w:numId w:val="0"/>
        </w:numPr>
        <w:ind w:left="360"/>
        <w:rPr>
          <w:lang w:eastAsia="en-AU"/>
        </w:rPr>
      </w:pPr>
    </w:p>
    <w:p w14:paraId="581E4F75" w14:textId="4453F5F0" w:rsidR="00AD4A72" w:rsidRDefault="00AD4A72" w:rsidP="00042163">
      <w:pPr>
        <w:pStyle w:val="BodyCopy"/>
        <w:rPr>
          <w:lang w:eastAsia="en-AU"/>
        </w:rPr>
      </w:pPr>
    </w:p>
    <w:p w14:paraId="0340EACF" w14:textId="77777777" w:rsidR="007B71B5" w:rsidRPr="002E0211" w:rsidRDefault="007B71B5" w:rsidP="007B71B5">
      <w:pPr>
        <w:jc w:val="center"/>
        <w:rPr>
          <w:b/>
          <w:bCs/>
          <w:i/>
          <w:iCs/>
          <w:sz w:val="28"/>
          <w:szCs w:val="28"/>
        </w:rPr>
      </w:pPr>
      <w:r w:rsidRPr="002E0211">
        <w:rPr>
          <w:b/>
          <w:bCs/>
          <w:i/>
          <w:iCs/>
          <w:sz w:val="28"/>
          <w:szCs w:val="28"/>
        </w:rPr>
        <w:t xml:space="preserve">Placing gender equality at the centre of development creates opportunities for people to thrive, making our countries stronger, more </w:t>
      </w:r>
      <w:proofErr w:type="gramStart"/>
      <w:r w:rsidRPr="002E0211">
        <w:rPr>
          <w:b/>
          <w:bCs/>
          <w:i/>
          <w:iCs/>
          <w:sz w:val="28"/>
          <w:szCs w:val="28"/>
        </w:rPr>
        <w:t>secure</w:t>
      </w:r>
      <w:proofErr w:type="gramEnd"/>
      <w:r w:rsidRPr="002E0211">
        <w:rPr>
          <w:b/>
          <w:bCs/>
          <w:i/>
          <w:iCs/>
          <w:sz w:val="28"/>
          <w:szCs w:val="28"/>
        </w:rPr>
        <w:t xml:space="preserve"> and more inclusive.</w:t>
      </w:r>
    </w:p>
    <w:p w14:paraId="6C7CB7FA" w14:textId="77777777" w:rsidR="007B71B5" w:rsidRPr="00E57999" w:rsidRDefault="007B71B5" w:rsidP="007B71B5">
      <w:pPr>
        <w:jc w:val="center"/>
        <w:rPr>
          <w:i/>
          <w:iCs/>
        </w:rPr>
      </w:pPr>
      <w:r w:rsidRPr="00E57999">
        <w:rPr>
          <w:i/>
          <w:iCs/>
        </w:rPr>
        <w:t>Australia’s International Development Policy</w:t>
      </w:r>
    </w:p>
    <w:p w14:paraId="1E4FF7F7" w14:textId="3F98E2F7" w:rsidR="00A52484" w:rsidRDefault="000F4374" w:rsidP="00C42102">
      <w:pPr>
        <w:spacing w:before="0" w:after="0" w:line="240" w:lineRule="auto"/>
        <w:rPr>
          <w:lang w:eastAsia="en-AU"/>
        </w:rPr>
      </w:pPr>
      <w:r>
        <w:rPr>
          <w:lang w:eastAsia="en-AU"/>
        </w:rPr>
        <w:t>Examples</w:t>
      </w:r>
      <w:r w:rsidR="00D964FD">
        <w:rPr>
          <w:lang w:eastAsia="en-AU"/>
        </w:rPr>
        <w:t xml:space="preserve"> for </w:t>
      </w:r>
      <w:r w:rsidR="004C2106">
        <w:rPr>
          <w:lang w:eastAsia="en-AU"/>
        </w:rPr>
        <w:t xml:space="preserve">drafting </w:t>
      </w:r>
      <w:r w:rsidR="00D964FD">
        <w:rPr>
          <w:lang w:eastAsia="en-AU"/>
        </w:rPr>
        <w:t xml:space="preserve">better </w:t>
      </w:r>
      <w:proofErr w:type="gramStart"/>
      <w:r w:rsidR="00D964FD">
        <w:rPr>
          <w:lang w:eastAsia="en-AU"/>
        </w:rPr>
        <w:t>outcomes</w:t>
      </w:r>
      <w:proofErr w:type="gramEnd"/>
    </w:p>
    <w:p w14:paraId="1563DC30" w14:textId="55199BE2" w:rsidR="00112660" w:rsidRPr="00112660" w:rsidRDefault="00112660" w:rsidP="00112660">
      <w:pPr>
        <w:pStyle w:val="BodyCopy"/>
        <w:rPr>
          <w:lang w:eastAsia="en-AU"/>
        </w:rPr>
      </w:pPr>
    </w:p>
    <w:tbl>
      <w:tblPr>
        <w:tblStyle w:val="TableGrid"/>
        <w:tblW w:w="5000" w:type="pct"/>
        <w:jc w:val="center"/>
        <w:tblLook w:val="04A0" w:firstRow="1" w:lastRow="0" w:firstColumn="1" w:lastColumn="0" w:noHBand="0" w:noVBand="1"/>
      </w:tblPr>
      <w:tblGrid>
        <w:gridCol w:w="5097"/>
        <w:gridCol w:w="5097"/>
      </w:tblGrid>
      <w:tr w:rsidR="00BA3E5C" w14:paraId="2A88FF98" w14:textId="77777777" w:rsidTr="00E413FB">
        <w:trPr>
          <w:tblHeader/>
          <w:jc w:val="center"/>
        </w:trPr>
        <w:tc>
          <w:tcPr>
            <w:tcW w:w="2500" w:type="pct"/>
            <w:shd w:val="clear" w:color="auto" w:fill="E7E6E6" w:themeFill="background2"/>
          </w:tcPr>
          <w:p w14:paraId="1C03ACA9" w14:textId="35B78796" w:rsidR="00BA3E5C" w:rsidRDefault="00112660" w:rsidP="003D01D7">
            <w:pPr>
              <w:pStyle w:val="TableHeading"/>
            </w:pPr>
            <w:r>
              <w:rPr>
                <w:noProof/>
                <w:lang w:eastAsia="en-AU"/>
              </w:rPr>
              <w:drawing>
                <wp:anchor distT="0" distB="0" distL="114300" distR="114300" simplePos="0" relativeHeight="251658248" behindDoc="0" locked="0" layoutInCell="1" allowOverlap="1" wp14:anchorId="5861F336" wp14:editId="335B6661">
                  <wp:simplePos x="0" y="0"/>
                  <wp:positionH relativeFrom="column">
                    <wp:posOffset>1902460</wp:posOffset>
                  </wp:positionH>
                  <wp:positionV relativeFrom="paragraph">
                    <wp:posOffset>-1905</wp:posOffset>
                  </wp:positionV>
                  <wp:extent cx="289560" cy="289560"/>
                  <wp:effectExtent l="0" t="0" r="0" b="0"/>
                  <wp:wrapNone/>
                  <wp:docPr id="1020474892" name="Graphic 10204748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74892" name="Graphic 1020474892">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9560" cy="289560"/>
                          </a:xfrm>
                          <a:prstGeom prst="rect">
                            <a:avLst/>
                          </a:prstGeom>
                        </pic:spPr>
                      </pic:pic>
                    </a:graphicData>
                  </a:graphic>
                  <wp14:sizeRelH relativeFrom="page">
                    <wp14:pctWidth>0</wp14:pctWidth>
                  </wp14:sizeRelH>
                  <wp14:sizeRelV relativeFrom="page">
                    <wp14:pctHeight>0</wp14:pctHeight>
                  </wp14:sizeRelV>
                </wp:anchor>
              </w:drawing>
            </w:r>
            <w:r w:rsidR="00BA3E5C">
              <w:t>Not a Gender Equality Outcome</w:t>
            </w:r>
          </w:p>
        </w:tc>
        <w:tc>
          <w:tcPr>
            <w:tcW w:w="2500" w:type="pct"/>
            <w:shd w:val="clear" w:color="auto" w:fill="E7E6E6" w:themeFill="background2"/>
          </w:tcPr>
          <w:p w14:paraId="5403A2CA" w14:textId="13E6A98C" w:rsidR="00BA3E5C" w:rsidRDefault="00112660" w:rsidP="003D01D7">
            <w:pPr>
              <w:pStyle w:val="TableHeading"/>
            </w:pPr>
            <w:r>
              <w:rPr>
                <w:rFonts w:ascii="Calibri Light" w:hAnsi="Calibri Light" w:cs="Calibri Light"/>
                <w:noProof/>
                <w:color w:val="3F3F3F"/>
                <w:lang w:val="en-GB"/>
              </w:rPr>
              <w:drawing>
                <wp:anchor distT="0" distB="0" distL="114300" distR="114300" simplePos="0" relativeHeight="251658250" behindDoc="0" locked="0" layoutInCell="1" allowOverlap="1" wp14:anchorId="287AD34D" wp14:editId="7C51377B">
                  <wp:simplePos x="0" y="0"/>
                  <wp:positionH relativeFrom="column">
                    <wp:posOffset>1523365</wp:posOffset>
                  </wp:positionH>
                  <wp:positionV relativeFrom="paragraph">
                    <wp:posOffset>-24765</wp:posOffset>
                  </wp:positionV>
                  <wp:extent cx="327660" cy="327660"/>
                  <wp:effectExtent l="0" t="0" r="0" b="0"/>
                  <wp:wrapNone/>
                  <wp:docPr id="2029286080" name="Graphic 20292860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86080" name="Graphic 2029286080">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27660" cy="327660"/>
                          </a:xfrm>
                          <a:prstGeom prst="rect">
                            <a:avLst/>
                          </a:prstGeom>
                        </pic:spPr>
                      </pic:pic>
                    </a:graphicData>
                  </a:graphic>
                  <wp14:sizeRelH relativeFrom="margin">
                    <wp14:pctWidth>0</wp14:pctWidth>
                  </wp14:sizeRelH>
                  <wp14:sizeRelV relativeFrom="margin">
                    <wp14:pctHeight>0</wp14:pctHeight>
                  </wp14:sizeRelV>
                </wp:anchor>
              </w:drawing>
            </w:r>
            <w:r w:rsidR="00BA3E5C">
              <w:t>Gender Equality Outcome</w:t>
            </w:r>
          </w:p>
        </w:tc>
      </w:tr>
      <w:tr w:rsidR="00BA3E5C" w14:paraId="5BE042F2" w14:textId="77777777" w:rsidTr="00145678">
        <w:trPr>
          <w:jc w:val="center"/>
        </w:trPr>
        <w:tc>
          <w:tcPr>
            <w:tcW w:w="2500" w:type="pct"/>
          </w:tcPr>
          <w:p w14:paraId="64C22662" w14:textId="4937F75B" w:rsidR="00BA3E5C" w:rsidRPr="00B927E0" w:rsidRDefault="00BA3E5C" w:rsidP="00F509AE">
            <w:pPr>
              <w:pStyle w:val="TableBodyCopy"/>
            </w:pPr>
            <w:r w:rsidRPr="00B927E0">
              <w:t>Partners more effectively integrate cross-cutting issues including GEDSI</w:t>
            </w:r>
          </w:p>
        </w:tc>
        <w:tc>
          <w:tcPr>
            <w:tcW w:w="2500" w:type="pct"/>
          </w:tcPr>
          <w:p w14:paraId="07477856" w14:textId="27BC6027" w:rsidR="00BA3E5C" w:rsidRPr="00B927E0" w:rsidRDefault="00BA3E5C" w:rsidP="00F509AE">
            <w:pPr>
              <w:pStyle w:val="TableBodyCopy"/>
            </w:pPr>
            <w:r w:rsidRPr="00B927E0">
              <w:t xml:space="preserve">Government and church decision-makers actively promote gender equality, </w:t>
            </w:r>
            <w:proofErr w:type="gramStart"/>
            <w:r w:rsidRPr="00B927E0">
              <w:t>disability</w:t>
            </w:r>
            <w:proofErr w:type="gramEnd"/>
            <w:r w:rsidRPr="00B927E0">
              <w:t xml:space="preserve"> and social inclusion</w:t>
            </w:r>
          </w:p>
        </w:tc>
      </w:tr>
      <w:tr w:rsidR="00BA3E5C" w14:paraId="62327BF0" w14:textId="77777777" w:rsidTr="00145678">
        <w:trPr>
          <w:jc w:val="center"/>
        </w:trPr>
        <w:tc>
          <w:tcPr>
            <w:tcW w:w="2500" w:type="pct"/>
          </w:tcPr>
          <w:p w14:paraId="45753799" w14:textId="04F5984D" w:rsidR="00BA3E5C" w:rsidRPr="00B927E0" w:rsidRDefault="00BA3E5C" w:rsidP="00F509AE">
            <w:pPr>
              <w:pStyle w:val="TableBodyCopy"/>
            </w:pPr>
            <w:r w:rsidRPr="00B927E0">
              <w:t>Diverse groups have the skills and knowledge to contribute to development that is aligned to our shared goals</w:t>
            </w:r>
          </w:p>
        </w:tc>
        <w:tc>
          <w:tcPr>
            <w:tcW w:w="2500" w:type="pct"/>
          </w:tcPr>
          <w:p w14:paraId="3CE2C1D2" w14:textId="173E13B0" w:rsidR="00BA3E5C" w:rsidRPr="00B927E0" w:rsidRDefault="00BA3E5C" w:rsidP="00F509AE">
            <w:pPr>
              <w:pStyle w:val="TableBodyCopy"/>
            </w:pPr>
            <w:r w:rsidRPr="00B927E0">
              <w:t>Policymakers make decisions that promote the rights of people with diverse sexual orientation and gender identity</w:t>
            </w:r>
          </w:p>
        </w:tc>
      </w:tr>
      <w:tr w:rsidR="00BA3E5C" w14:paraId="0027C1EC" w14:textId="77777777" w:rsidTr="00145678">
        <w:trPr>
          <w:jc w:val="center"/>
        </w:trPr>
        <w:tc>
          <w:tcPr>
            <w:tcW w:w="2500" w:type="pct"/>
          </w:tcPr>
          <w:p w14:paraId="45C9A08C" w14:textId="00262B73" w:rsidR="00BA3E5C" w:rsidRPr="00B927E0" w:rsidRDefault="00555DAB" w:rsidP="00F509AE">
            <w:pPr>
              <w:pStyle w:val="TableBodyCopy"/>
            </w:pPr>
            <w:r w:rsidRPr="00555DAB">
              <w:t>People of all genders are adequately represented in the delivery of training.</w:t>
            </w:r>
          </w:p>
        </w:tc>
        <w:tc>
          <w:tcPr>
            <w:tcW w:w="2500" w:type="pct"/>
          </w:tcPr>
          <w:p w14:paraId="6320E616" w14:textId="06FACFC4" w:rsidR="00BA3E5C" w:rsidRPr="00B927E0" w:rsidRDefault="00BA3E5C" w:rsidP="00F509AE">
            <w:pPr>
              <w:pStyle w:val="TableBodyCopy"/>
            </w:pPr>
            <w:r w:rsidRPr="00B927E0">
              <w:t>Increased number of women have dignified work</w:t>
            </w:r>
          </w:p>
        </w:tc>
      </w:tr>
      <w:tr w:rsidR="00BA3E5C" w14:paraId="7C0C1B3F" w14:textId="77777777" w:rsidTr="00145678">
        <w:trPr>
          <w:jc w:val="center"/>
        </w:trPr>
        <w:tc>
          <w:tcPr>
            <w:tcW w:w="2500" w:type="pct"/>
          </w:tcPr>
          <w:p w14:paraId="10472BBE" w14:textId="7CE87CB1" w:rsidR="00BA3E5C" w:rsidRPr="00B927E0" w:rsidRDefault="00555DAB" w:rsidP="00F509AE">
            <w:pPr>
              <w:pStyle w:val="TableBodyCopy"/>
            </w:pPr>
            <w:r w:rsidRPr="00B927E0">
              <w:t>Farming women, men and youth have more resilient livelihoods and improved economic empowerment</w:t>
            </w:r>
            <w:r w:rsidRPr="00555DAB">
              <w:t xml:space="preserve"> </w:t>
            </w:r>
          </w:p>
        </w:tc>
        <w:tc>
          <w:tcPr>
            <w:tcW w:w="2500" w:type="pct"/>
          </w:tcPr>
          <w:p w14:paraId="1565C390" w14:textId="6D11C767" w:rsidR="00BA3E5C" w:rsidRPr="00B927E0" w:rsidRDefault="00BA3E5C" w:rsidP="00F509AE">
            <w:pPr>
              <w:pStyle w:val="TableBodyCopy"/>
            </w:pPr>
            <w:r w:rsidRPr="00B927E0">
              <w:t>Targeted men demonstrate gender equitable attitudes</w:t>
            </w:r>
          </w:p>
        </w:tc>
      </w:tr>
    </w:tbl>
    <w:p w14:paraId="17CFDAF1" w14:textId="5494D228" w:rsidR="060AF836" w:rsidRPr="00C42102" w:rsidRDefault="00400E65" w:rsidP="00C42102">
      <w:pPr>
        <w:pStyle w:val="H3-Heading3"/>
      </w:pPr>
      <w:r>
        <w:t>Tips</w:t>
      </w:r>
    </w:p>
    <w:p w14:paraId="49E7E035" w14:textId="77777777" w:rsidR="00112660" w:rsidRDefault="00E91A24" w:rsidP="00112660">
      <w:pPr>
        <w:pStyle w:val="BodyCopyBullets"/>
        <w:rPr>
          <w:rStyle w:val="normaltextrun"/>
          <w:color w:val="3F3F3F"/>
          <w:lang w:val="en-GB"/>
        </w:rPr>
      </w:pPr>
      <w:r>
        <w:rPr>
          <w:rStyle w:val="normaltextrun"/>
          <w:color w:val="3F3F3F"/>
          <w:lang w:val="en-GB"/>
        </w:rPr>
        <w:t xml:space="preserve">Avoid vague terms like ‘GEDSI’ and ‘diverse groups’ when it is unclear who will benefit and how. </w:t>
      </w:r>
    </w:p>
    <w:p w14:paraId="514B54FF" w14:textId="3316FCA2" w:rsidR="00112660" w:rsidRPr="00112660" w:rsidRDefault="00400E65" w:rsidP="00112660">
      <w:pPr>
        <w:pStyle w:val="BodyCopyBullets"/>
        <w:rPr>
          <w:rStyle w:val="normaltextrun"/>
          <w:color w:val="3F3F3F"/>
          <w:lang w:val="en-GB"/>
        </w:rPr>
      </w:pPr>
      <w:r w:rsidRPr="00112660">
        <w:rPr>
          <w:rStyle w:val="normaltextrun"/>
          <w:rFonts w:asciiTheme="majorHAnsi" w:hAnsiTheme="majorHAnsi" w:cstheme="majorHAnsi"/>
          <w:color w:val="44546A" w:themeColor="text2"/>
          <w:lang w:val="en-GB"/>
        </w:rPr>
        <w:t>W</w:t>
      </w:r>
      <w:r w:rsidRPr="00112660">
        <w:rPr>
          <w:rStyle w:val="normaltextrun"/>
          <w:rFonts w:asciiTheme="majorHAnsi" w:hAnsiTheme="majorHAnsi" w:cstheme="majorHAnsi"/>
          <w:color w:val="44546A" w:themeColor="text2"/>
        </w:rPr>
        <w:t>omen or marginalised individuals benefiting from general activities</w:t>
      </w:r>
      <w:r w:rsidRPr="00112660">
        <w:rPr>
          <w:rStyle w:val="normaltextrun"/>
          <w:rFonts w:asciiTheme="majorHAnsi" w:hAnsiTheme="majorHAnsi" w:cstheme="majorHAnsi"/>
          <w:color w:val="44546A" w:themeColor="text2"/>
          <w:lang w:val="en-GB"/>
        </w:rPr>
        <w:t xml:space="preserve"> is inclusive but does not address the root causes of marginalisation - power imbalances or harmful social norms.</w:t>
      </w:r>
    </w:p>
    <w:p w14:paraId="5D3D63D4" w14:textId="1D98CEAB" w:rsidR="00112660" w:rsidRPr="00112660" w:rsidRDefault="00400E65" w:rsidP="00112660">
      <w:pPr>
        <w:pStyle w:val="BodyCopyBullets"/>
        <w:rPr>
          <w:rStyle w:val="normaltextrun"/>
          <w:color w:val="3F3F3F"/>
          <w:lang w:val="en-GB"/>
        </w:rPr>
      </w:pPr>
      <w:r w:rsidRPr="00112660">
        <w:rPr>
          <w:rStyle w:val="normaltextrun"/>
          <w:rFonts w:asciiTheme="majorHAnsi" w:hAnsiTheme="majorHAnsi" w:cstheme="majorHAnsi"/>
          <w:color w:val="44546A" w:themeColor="text2"/>
          <w:lang w:val="en-GB"/>
        </w:rPr>
        <w:t xml:space="preserve">Reaching and counting beneficiaries </w:t>
      </w:r>
      <w:r w:rsidR="00112660">
        <w:rPr>
          <w:rStyle w:val="normaltextrun"/>
          <w:rFonts w:asciiTheme="majorHAnsi" w:hAnsiTheme="majorHAnsi" w:cstheme="majorHAnsi"/>
          <w:color w:val="44546A" w:themeColor="text2"/>
          <w:lang w:val="en-GB"/>
        </w:rPr>
        <w:t>(</w:t>
      </w:r>
      <w:proofErr w:type="gramStart"/>
      <w:r w:rsidR="00112660">
        <w:rPr>
          <w:rStyle w:val="normaltextrun"/>
          <w:rFonts w:asciiTheme="majorHAnsi" w:hAnsiTheme="majorHAnsi" w:cstheme="majorHAnsi"/>
          <w:color w:val="44546A" w:themeColor="text2"/>
          <w:lang w:val="en-GB"/>
        </w:rPr>
        <w:t>i.e.</w:t>
      </w:r>
      <w:proofErr w:type="gramEnd"/>
      <w:r w:rsidR="00112660">
        <w:rPr>
          <w:rStyle w:val="normaltextrun"/>
          <w:rFonts w:asciiTheme="majorHAnsi" w:hAnsiTheme="majorHAnsi" w:cstheme="majorHAnsi"/>
          <w:color w:val="44546A" w:themeColor="text2"/>
          <w:lang w:val="en-GB"/>
        </w:rPr>
        <w:t xml:space="preserve"> sex-disaggregated data) </w:t>
      </w:r>
      <w:r w:rsidRPr="00112660">
        <w:rPr>
          <w:rStyle w:val="normaltextrun"/>
          <w:rFonts w:asciiTheme="majorHAnsi" w:hAnsiTheme="majorHAnsi" w:cstheme="majorHAnsi"/>
          <w:color w:val="44546A" w:themeColor="text2"/>
          <w:lang w:val="en-GB"/>
        </w:rPr>
        <w:t xml:space="preserve">is not an outcome. </w:t>
      </w:r>
    </w:p>
    <w:p w14:paraId="0BBDADCC" w14:textId="77777777" w:rsidR="00112660" w:rsidRPr="00112660" w:rsidRDefault="00400E65" w:rsidP="00112660">
      <w:pPr>
        <w:pStyle w:val="BodyCopyBullets"/>
        <w:rPr>
          <w:rStyle w:val="normaltextrun"/>
          <w:color w:val="3F3F3F"/>
          <w:lang w:val="en-GB"/>
        </w:rPr>
      </w:pPr>
      <w:r w:rsidRPr="00112660">
        <w:rPr>
          <w:rStyle w:val="normaltextrun"/>
          <w:color w:val="3F3F3F"/>
          <w:szCs w:val="22"/>
          <w:lang w:val="en-GB"/>
        </w:rPr>
        <w:t>Good outcomes describe a situation in which power imbalances or harmful norms have been challenged or changed.</w:t>
      </w:r>
    </w:p>
    <w:p w14:paraId="798B56D7" w14:textId="42E57661" w:rsidR="00112660" w:rsidRPr="00112660" w:rsidRDefault="00400E65" w:rsidP="00112660">
      <w:pPr>
        <w:pStyle w:val="BodyCopyBullets"/>
        <w:rPr>
          <w:color w:val="3F3F3F"/>
          <w:lang w:val="en-GB"/>
        </w:rPr>
      </w:pPr>
      <w:r w:rsidRPr="00112660">
        <w:rPr>
          <w:lang w:val="en-NZ"/>
        </w:rPr>
        <w:t>Key terms (like ‘dignified</w:t>
      </w:r>
      <w:r w:rsidR="00112660">
        <w:rPr>
          <w:lang w:val="en-NZ"/>
        </w:rPr>
        <w:t xml:space="preserve"> work</w:t>
      </w:r>
      <w:r w:rsidRPr="00112660">
        <w:rPr>
          <w:lang w:val="en-NZ"/>
        </w:rPr>
        <w:t>’) should be defined, to make it clear what we mean and how we will measure it. Gender analysis highlights the barriers to dignified work, which informs the outputs contributing to this outcome.</w:t>
      </w:r>
    </w:p>
    <w:p w14:paraId="733830AF" w14:textId="3F4EFD11" w:rsidR="008403CB" w:rsidRPr="00C42102" w:rsidRDefault="00400E65" w:rsidP="00BB47AE">
      <w:pPr>
        <w:pStyle w:val="BodyCopyBullets"/>
        <w:rPr>
          <w:color w:val="3F3F3F"/>
          <w:lang w:val="en-GB"/>
        </w:rPr>
      </w:pPr>
      <w:r w:rsidRPr="00112660">
        <w:rPr>
          <w:rStyle w:val="normaltextrun"/>
          <w:color w:val="3F3F3F"/>
          <w:szCs w:val="22"/>
          <w:lang w:val="en-GB"/>
        </w:rPr>
        <w:t>Outcomes are not all or only about women – gender equality outcomes can target LGBTQIA+ people, or men.</w:t>
      </w:r>
    </w:p>
    <w:p w14:paraId="5F62A708" w14:textId="61AE351B" w:rsidR="00BB47AE" w:rsidRDefault="00BB47AE" w:rsidP="00BB47AE">
      <w:pPr>
        <w:pStyle w:val="H3-Heading3"/>
      </w:pPr>
      <w:r>
        <w:t>Using inclusive language</w:t>
      </w:r>
    </w:p>
    <w:p w14:paraId="14ACDE8E" w14:textId="6602A93C" w:rsidR="004620FA" w:rsidRDefault="005A4999" w:rsidP="00F509AE">
      <w:pPr>
        <w:pStyle w:val="BodyCopy"/>
      </w:pPr>
      <w:r>
        <w:t>E</w:t>
      </w:r>
      <w:r w:rsidR="004620FA">
        <w:t>xplicitly identif</w:t>
      </w:r>
      <w:r>
        <w:t>ying</w:t>
      </w:r>
      <w:r w:rsidR="004620FA">
        <w:t xml:space="preserve"> t</w:t>
      </w:r>
      <w:r>
        <w:t>arget</w:t>
      </w:r>
      <w:r w:rsidR="004620FA">
        <w:t xml:space="preserve"> groups</w:t>
      </w:r>
      <w:r>
        <w:t xml:space="preserve"> (men, women, boys, girls, people with diverse sexual orientation and/or gender identity</w:t>
      </w:r>
      <w:r w:rsidR="00BF4EDB">
        <w:t xml:space="preserve">, </w:t>
      </w:r>
      <w:proofErr w:type="gramStart"/>
      <w:r w:rsidR="00BF4EDB">
        <w:t>women</w:t>
      </w:r>
      <w:proofErr w:type="gramEnd"/>
      <w:r w:rsidR="00BF4EDB">
        <w:t xml:space="preserve"> or men with disabilities</w:t>
      </w:r>
      <w:r>
        <w:t>)</w:t>
      </w:r>
      <w:r w:rsidR="004620FA">
        <w:t xml:space="preserve"> in outcome statements</w:t>
      </w:r>
      <w:r w:rsidR="00DB1AAB">
        <w:t xml:space="preserve"> </w:t>
      </w:r>
      <w:r w:rsidR="00086589">
        <w:t>is critical to show who the investment is targeting and why. This also helps</w:t>
      </w:r>
      <w:r w:rsidR="00DB1AAB">
        <w:t xml:space="preserve"> identify what data needs to be collected to measure achievement of the outcome</w:t>
      </w:r>
      <w:r w:rsidR="004620FA">
        <w:t xml:space="preserve">. </w:t>
      </w:r>
    </w:p>
    <w:p w14:paraId="08ADB985" w14:textId="5C08A440" w:rsidR="00CA0957" w:rsidRDefault="004620FA" w:rsidP="00CA0957">
      <w:pPr>
        <w:pStyle w:val="BodyCopyBullets"/>
        <w:numPr>
          <w:ilvl w:val="0"/>
          <w:numId w:val="0"/>
        </w:numPr>
      </w:pPr>
      <w:r>
        <w:t>For example, if the gender analysis indicates that female teachers are less likely to be promoted into leadership</w:t>
      </w:r>
      <w:r w:rsidR="00CA0957">
        <w:t xml:space="preserve"> </w:t>
      </w:r>
      <w:r>
        <w:t xml:space="preserve">positions, it </w:t>
      </w:r>
      <w:r w:rsidR="00CA0957">
        <w:t>may be</w:t>
      </w:r>
      <w:r>
        <w:t xml:space="preserve"> useful to </w:t>
      </w:r>
      <w:r w:rsidR="00DB1AAB">
        <w:t>e</w:t>
      </w:r>
      <w:r w:rsidR="00F43E9A" w:rsidRPr="00F43E9A">
        <w:t>xplicitly refer to male and female teachers (rather than just teachers)</w:t>
      </w:r>
      <w:r w:rsidR="00086589">
        <w:t>, for example:</w:t>
      </w:r>
      <w:r w:rsidR="00DB1AAB">
        <w:t xml:space="preserve"> </w:t>
      </w:r>
    </w:p>
    <w:p w14:paraId="0D1009FC" w14:textId="1837EB30" w:rsidR="00426A7E" w:rsidRDefault="00CA0957" w:rsidP="00CA0957">
      <w:pPr>
        <w:pStyle w:val="BodyCopyBullets"/>
      </w:pPr>
      <w:r>
        <w:t>Gender parity</w:t>
      </w:r>
      <w:r w:rsidR="00426A7E" w:rsidRPr="00426A7E">
        <w:t xml:space="preserve"> </w:t>
      </w:r>
      <w:r w:rsidR="00426A7E">
        <w:t>is achieved</w:t>
      </w:r>
      <w:r>
        <w:t xml:space="preserve"> </w:t>
      </w:r>
      <w:r w:rsidR="00426A7E">
        <w:t xml:space="preserve">(or an equal number of male and female teachers are represented) </w:t>
      </w:r>
      <w:r>
        <w:t xml:space="preserve">on School </w:t>
      </w:r>
      <w:r w:rsidR="00086589">
        <w:t>L</w:t>
      </w:r>
      <w:r w:rsidRPr="00F43E9A">
        <w:t>eadership</w:t>
      </w:r>
      <w:r>
        <w:t xml:space="preserve"> Committees</w:t>
      </w:r>
      <w:r w:rsidR="008C16F9">
        <w:t>.</w:t>
      </w:r>
    </w:p>
    <w:p w14:paraId="0FF458F8" w14:textId="147C075C" w:rsidR="00CA0957" w:rsidRDefault="00426A7E" w:rsidP="00CA0957">
      <w:pPr>
        <w:pStyle w:val="BodyCopyBullets"/>
      </w:pPr>
      <w:r>
        <w:t>A quota for leadership roles (Ministry for Education, Provincial Education Boards and Heads of Schools) held by women is established</w:t>
      </w:r>
      <w:r w:rsidR="008C16F9">
        <w:t>.</w:t>
      </w:r>
    </w:p>
    <w:p w14:paraId="5D3BBF39" w14:textId="1AF5FCFC" w:rsidR="00785800" w:rsidRDefault="00CA0957" w:rsidP="00F94701">
      <w:pPr>
        <w:pStyle w:val="BodyCopyBullets"/>
        <w:numPr>
          <w:ilvl w:val="0"/>
          <w:numId w:val="0"/>
        </w:numPr>
      </w:pPr>
      <w:r>
        <w:t>U</w:t>
      </w:r>
      <w:r w:rsidR="00DB1AAB">
        <w:t xml:space="preserve">sing catch-all terms such as ‘diverse groups’ or ‘people of all genders’ </w:t>
      </w:r>
      <w:r w:rsidR="00F54E10">
        <w:t>is unhelpful</w:t>
      </w:r>
      <w:r w:rsidR="00DB1AAB">
        <w:t>.</w:t>
      </w:r>
      <w:r>
        <w:t xml:space="preserve"> </w:t>
      </w:r>
      <w:r w:rsidR="00DB1AAB">
        <w:t>The inequalities, barriers and constraints facing different groups vary, which is why it is important to be specific about who will benefit</w:t>
      </w:r>
      <w:r w:rsidR="00F94701">
        <w:t xml:space="preserve"> and why</w:t>
      </w:r>
      <w:r w:rsidR="00DB1AAB">
        <w:t xml:space="preserve">. </w:t>
      </w:r>
      <w:r w:rsidR="00785800">
        <w:t xml:space="preserve">‘Women and girls in all their diversity’ </w:t>
      </w:r>
      <w:r w:rsidR="001E544E">
        <w:t>is a</w:t>
      </w:r>
      <w:r w:rsidR="00000BCB">
        <w:t xml:space="preserve">n example of </w:t>
      </w:r>
      <w:r w:rsidR="004C2106">
        <w:t>inclusive language</w:t>
      </w:r>
      <w:r w:rsidR="00976D6C">
        <w:t xml:space="preserve"> designed to maintain focus on gender equality, whilst ensuring intersections with other identities – such as women with disabilities – are not neglected. </w:t>
      </w:r>
    </w:p>
    <w:p w14:paraId="64DA0162" w14:textId="4094ABD3" w:rsidR="00F43E9A" w:rsidRDefault="00F43E9A" w:rsidP="004620FA">
      <w:pPr>
        <w:rPr>
          <w:rFonts w:cstheme="minorHAnsi"/>
        </w:rPr>
      </w:pPr>
    </w:p>
    <w:p w14:paraId="48F0B6FB" w14:textId="455977D5" w:rsidR="00FF4FA7" w:rsidRDefault="00FF4FA7" w:rsidP="00177532">
      <w:pPr>
        <w:pStyle w:val="paragraph"/>
        <w:spacing w:before="0" w:beforeAutospacing="0" w:after="0" w:afterAutospacing="0"/>
        <w:textAlignment w:val="baseline"/>
        <w:rPr>
          <w:rFonts w:asciiTheme="majorHAnsi" w:hAnsiTheme="majorHAnsi" w:cstheme="majorHAnsi"/>
          <w:b/>
          <w:bCs/>
          <w:sz w:val="32"/>
          <w:szCs w:val="32"/>
        </w:rPr>
      </w:pPr>
    </w:p>
    <w:p w14:paraId="7A86C726" w14:textId="4B9385D7" w:rsidR="00211D95" w:rsidRPr="00177532" w:rsidRDefault="00211D95" w:rsidP="00177532">
      <w:pPr>
        <w:pStyle w:val="paragraph"/>
        <w:spacing w:before="0" w:beforeAutospacing="0" w:after="0" w:afterAutospacing="0"/>
        <w:textAlignment w:val="baseline"/>
        <w:rPr>
          <w:rFonts w:asciiTheme="majorHAnsi" w:hAnsiTheme="majorHAnsi" w:cstheme="majorHAnsi"/>
          <w:b/>
          <w:bCs/>
          <w:sz w:val="32"/>
          <w:szCs w:val="32"/>
        </w:rPr>
      </w:pPr>
      <w:r w:rsidRPr="00177532">
        <w:rPr>
          <w:rFonts w:asciiTheme="majorHAnsi" w:hAnsiTheme="majorHAnsi" w:cstheme="majorHAnsi"/>
          <w:b/>
          <w:bCs/>
          <w:sz w:val="32"/>
          <w:szCs w:val="32"/>
        </w:rPr>
        <w:t>T</w:t>
      </w:r>
      <w:r w:rsidR="00177532">
        <w:rPr>
          <w:rFonts w:asciiTheme="majorHAnsi" w:hAnsiTheme="majorHAnsi" w:cstheme="majorHAnsi"/>
          <w:b/>
          <w:bCs/>
          <w:sz w:val="32"/>
          <w:szCs w:val="32"/>
        </w:rPr>
        <w:t>HE DESIGN PROCESS</w:t>
      </w:r>
    </w:p>
    <w:p w14:paraId="015E6A16" w14:textId="77777777" w:rsidR="00305C4E" w:rsidRDefault="00305C4E" w:rsidP="00A551E7">
      <w:pPr>
        <w:pStyle w:val="BodyCopy"/>
      </w:pPr>
      <w:r>
        <w:t>Before approving a design, d</w:t>
      </w:r>
      <w:r w:rsidR="00F509AE">
        <w:t>elegates are required to check th</w:t>
      </w:r>
      <w:r w:rsidR="00AA736D">
        <w:t xml:space="preserve">e Investment Design Document </w:t>
      </w:r>
      <w:r>
        <w:t>includes:</w:t>
      </w:r>
      <w:r w:rsidR="00F509AE">
        <w:t xml:space="preserve"> </w:t>
      </w:r>
    </w:p>
    <w:p w14:paraId="7516F468" w14:textId="77777777" w:rsidR="005C17A3" w:rsidRDefault="005C17A3" w:rsidP="005C17A3">
      <w:pPr>
        <w:pStyle w:val="BodyCopyBullets"/>
      </w:pPr>
      <w:r>
        <w:t>Gender equality outcomes at the relevant level consistent with the gender equality marker</w:t>
      </w:r>
    </w:p>
    <w:p w14:paraId="282E505D" w14:textId="2FFCD38D" w:rsidR="00E7008F" w:rsidRDefault="00E7008F" w:rsidP="005C17A3">
      <w:pPr>
        <w:pStyle w:val="BodyCopyBullets"/>
      </w:pPr>
      <w:r>
        <w:t xml:space="preserve">2 – 3 indicators against which </w:t>
      </w:r>
      <w:proofErr w:type="gramStart"/>
      <w:r>
        <w:t>progress</w:t>
      </w:r>
      <w:proofErr w:type="gramEnd"/>
      <w:r>
        <w:t xml:space="preserve"> and performance of the outcome (and associated activities/outputs) will be assessed, and ensure source data and information will consistently be available for those indicators.</w:t>
      </w:r>
    </w:p>
    <w:p w14:paraId="3E6EC4E8" w14:textId="59162604" w:rsidR="000A4261" w:rsidRDefault="008E243A" w:rsidP="005C17A3">
      <w:pPr>
        <w:pStyle w:val="BodyCopyBullets"/>
        <w:numPr>
          <w:ilvl w:val="0"/>
          <w:numId w:val="0"/>
        </w:numPr>
      </w:pPr>
      <w:r>
        <w:t xml:space="preserve">Design documents uploaded into </w:t>
      </w:r>
      <w:proofErr w:type="spellStart"/>
      <w:r w:rsidR="00202BE1">
        <w:t>AidWorks</w:t>
      </w:r>
      <w:proofErr w:type="spellEnd"/>
      <w:r w:rsidR="00202BE1">
        <w:t xml:space="preserve"> </w:t>
      </w:r>
      <w:r w:rsidR="00621A97">
        <w:t>are the primary source of information used to monitor c</w:t>
      </w:r>
      <w:r w:rsidR="0050086B">
        <w:t xml:space="preserve">ompliance with the </w:t>
      </w:r>
      <w:r>
        <w:t>gender equality outcome</w:t>
      </w:r>
      <w:r w:rsidR="0050086B">
        <w:t xml:space="preserve"> requirement</w:t>
      </w:r>
      <w:r w:rsidR="00CA3DD5">
        <w:t xml:space="preserve"> </w:t>
      </w:r>
      <w:r w:rsidR="00621A97">
        <w:t>once a design moves into implementation.</w:t>
      </w:r>
      <w:r>
        <w:t xml:space="preserve"> DFAT </w:t>
      </w:r>
      <w:r w:rsidR="004567D9">
        <w:t>compliance with the gender equality outcome requirement is reported annually in the Performance of Australia’s Development Cooperation report.</w:t>
      </w:r>
    </w:p>
    <w:p w14:paraId="298629A2" w14:textId="1A25CC99" w:rsidR="007F6492" w:rsidRDefault="000A4261" w:rsidP="00211D95">
      <w:pPr>
        <w:pStyle w:val="H3-Heading3"/>
      </w:pPr>
      <w:r>
        <w:t>Adaptive</w:t>
      </w:r>
      <w:r w:rsidR="00C465F8">
        <w:t xml:space="preserve"> investment designs</w:t>
      </w:r>
    </w:p>
    <w:p w14:paraId="0345A793" w14:textId="5453532E" w:rsidR="000A455F" w:rsidRDefault="004567D9" w:rsidP="00F509AE">
      <w:pPr>
        <w:pStyle w:val="BodyCopy"/>
        <w:rPr>
          <w:rStyle w:val="Emphasis"/>
          <w:rFonts w:asciiTheme="majorHAnsi" w:hAnsiTheme="majorHAnsi" w:cstheme="majorHAnsi"/>
        </w:rPr>
      </w:pPr>
      <w:r>
        <w:rPr>
          <w:rFonts w:asciiTheme="majorHAnsi" w:hAnsiTheme="majorHAnsi" w:cstheme="majorHAnsi"/>
        </w:rPr>
        <w:t>I</w:t>
      </w:r>
      <w:r w:rsidR="003D3942" w:rsidRPr="00AC6809">
        <w:rPr>
          <w:rFonts w:asciiTheme="majorHAnsi" w:hAnsiTheme="majorHAnsi" w:cstheme="majorHAnsi"/>
        </w:rPr>
        <w:t>nvestments that do not follow standard design pathways</w:t>
      </w:r>
      <w:r w:rsidR="002063C7" w:rsidRPr="00AC6809">
        <w:rPr>
          <w:rFonts w:asciiTheme="majorHAnsi" w:hAnsiTheme="majorHAnsi" w:cstheme="majorHAnsi"/>
        </w:rPr>
        <w:t xml:space="preserve">, </w:t>
      </w:r>
      <w:r w:rsidR="00447019" w:rsidRPr="00AC6809">
        <w:rPr>
          <w:rFonts w:asciiTheme="majorHAnsi" w:hAnsiTheme="majorHAnsi" w:cstheme="majorHAnsi"/>
        </w:rPr>
        <w:t xml:space="preserve">or </w:t>
      </w:r>
      <w:r w:rsidR="002063C7" w:rsidRPr="00AC6809">
        <w:rPr>
          <w:rFonts w:asciiTheme="majorHAnsi" w:hAnsiTheme="majorHAnsi" w:cstheme="majorHAnsi"/>
        </w:rPr>
        <w:t xml:space="preserve">are designed to be </w:t>
      </w:r>
      <w:r w:rsidR="00C465F8" w:rsidRPr="00AC6809">
        <w:rPr>
          <w:rFonts w:asciiTheme="majorHAnsi" w:hAnsiTheme="majorHAnsi" w:cstheme="majorHAnsi"/>
        </w:rPr>
        <w:t xml:space="preserve">highly flexible </w:t>
      </w:r>
      <w:r w:rsidR="002063C7" w:rsidRPr="00AC6809">
        <w:rPr>
          <w:rFonts w:asciiTheme="majorHAnsi" w:hAnsiTheme="majorHAnsi" w:cstheme="majorHAnsi"/>
        </w:rPr>
        <w:t>or</w:t>
      </w:r>
      <w:r w:rsidR="00C465F8" w:rsidRPr="00AC6809">
        <w:rPr>
          <w:rFonts w:asciiTheme="majorHAnsi" w:hAnsiTheme="majorHAnsi" w:cstheme="majorHAnsi"/>
        </w:rPr>
        <w:t xml:space="preserve"> </w:t>
      </w:r>
      <w:r w:rsidR="00C465F8" w:rsidRPr="00AC6809">
        <w:rPr>
          <w:rStyle w:val="Emphasis"/>
          <w:rFonts w:asciiTheme="majorHAnsi" w:hAnsiTheme="majorHAnsi" w:cstheme="majorHAnsi"/>
          <w:b w:val="0"/>
          <w:bCs w:val="0"/>
        </w:rPr>
        <w:t>adaptive</w:t>
      </w:r>
      <w:r w:rsidR="002063C7" w:rsidRPr="00757104">
        <w:rPr>
          <w:rStyle w:val="Emphasis"/>
          <w:rFonts w:asciiTheme="majorHAnsi" w:hAnsiTheme="majorHAnsi" w:cstheme="majorHAnsi"/>
          <w:b w:val="0"/>
          <w:bCs w:val="0"/>
        </w:rPr>
        <w:t>,</w:t>
      </w:r>
      <w:r w:rsidR="00C465F8" w:rsidRPr="00757104">
        <w:rPr>
          <w:rStyle w:val="Emphasis"/>
          <w:rFonts w:asciiTheme="majorHAnsi" w:hAnsiTheme="majorHAnsi" w:cstheme="majorHAnsi"/>
          <w:b w:val="0"/>
          <w:bCs w:val="0"/>
        </w:rPr>
        <w:t xml:space="preserve"> </w:t>
      </w:r>
      <w:r w:rsidR="00621A97" w:rsidRPr="00757104">
        <w:rPr>
          <w:rStyle w:val="Emphasis"/>
          <w:rFonts w:asciiTheme="majorHAnsi" w:hAnsiTheme="majorHAnsi" w:cstheme="majorHAnsi"/>
          <w:b w:val="0"/>
          <w:bCs w:val="0"/>
        </w:rPr>
        <w:t xml:space="preserve">are </w:t>
      </w:r>
      <w:r w:rsidR="002F5FB4">
        <w:rPr>
          <w:rStyle w:val="Emphasis"/>
          <w:rFonts w:asciiTheme="majorHAnsi" w:hAnsiTheme="majorHAnsi" w:cstheme="majorHAnsi"/>
          <w:b w:val="0"/>
          <w:bCs w:val="0"/>
        </w:rPr>
        <w:t>more</w:t>
      </w:r>
      <w:r w:rsidR="00621A97" w:rsidRPr="00757104">
        <w:rPr>
          <w:rStyle w:val="Emphasis"/>
          <w:rFonts w:asciiTheme="majorHAnsi" w:hAnsiTheme="majorHAnsi" w:cstheme="majorHAnsi"/>
          <w:b w:val="0"/>
          <w:bCs w:val="0"/>
        </w:rPr>
        <w:t xml:space="preserve"> likely to struggle to comply with the </w:t>
      </w:r>
      <w:r>
        <w:rPr>
          <w:rStyle w:val="Emphasis"/>
          <w:rFonts w:asciiTheme="majorHAnsi" w:hAnsiTheme="majorHAnsi" w:cstheme="majorHAnsi"/>
          <w:b w:val="0"/>
          <w:bCs w:val="0"/>
        </w:rPr>
        <w:t xml:space="preserve">gender equality outcome </w:t>
      </w:r>
      <w:r w:rsidR="00621A97" w:rsidRPr="00757104">
        <w:rPr>
          <w:rStyle w:val="Emphasis"/>
          <w:rFonts w:asciiTheme="majorHAnsi" w:hAnsiTheme="majorHAnsi" w:cstheme="majorHAnsi"/>
          <w:b w:val="0"/>
          <w:bCs w:val="0"/>
        </w:rPr>
        <w:t>requirement.</w:t>
      </w:r>
      <w:r w:rsidR="00621A97">
        <w:rPr>
          <w:rStyle w:val="Emphasis"/>
          <w:rFonts w:asciiTheme="majorHAnsi" w:hAnsiTheme="majorHAnsi" w:cstheme="majorHAnsi"/>
        </w:rPr>
        <w:t xml:space="preserve"> </w:t>
      </w:r>
      <w:r w:rsidR="00F67B82">
        <w:rPr>
          <w:rStyle w:val="Emphasis"/>
          <w:rFonts w:asciiTheme="majorHAnsi" w:hAnsiTheme="majorHAnsi" w:cstheme="majorHAnsi"/>
        </w:rPr>
        <w:t xml:space="preserve">It is much harder to retrofit </w:t>
      </w:r>
      <w:r w:rsidR="002E1281">
        <w:rPr>
          <w:rStyle w:val="Emphasis"/>
          <w:rFonts w:asciiTheme="majorHAnsi" w:hAnsiTheme="majorHAnsi" w:cstheme="majorHAnsi"/>
        </w:rPr>
        <w:t xml:space="preserve">a gender equality outcome into </w:t>
      </w:r>
      <w:r w:rsidR="00F67B82">
        <w:rPr>
          <w:rStyle w:val="Emphasis"/>
          <w:rFonts w:asciiTheme="majorHAnsi" w:hAnsiTheme="majorHAnsi" w:cstheme="majorHAnsi"/>
        </w:rPr>
        <w:t xml:space="preserve">a </w:t>
      </w:r>
      <w:r w:rsidR="00FC037B">
        <w:rPr>
          <w:rStyle w:val="Emphasis"/>
          <w:rFonts w:asciiTheme="majorHAnsi" w:hAnsiTheme="majorHAnsi" w:cstheme="majorHAnsi"/>
        </w:rPr>
        <w:t xml:space="preserve">concept that </w:t>
      </w:r>
      <w:r w:rsidR="007335FC">
        <w:rPr>
          <w:rStyle w:val="Emphasis"/>
          <w:rFonts w:asciiTheme="majorHAnsi" w:hAnsiTheme="majorHAnsi" w:cstheme="majorHAnsi"/>
        </w:rPr>
        <w:t>di</w:t>
      </w:r>
      <w:r w:rsidR="00FC037B">
        <w:rPr>
          <w:rStyle w:val="Emphasis"/>
          <w:rFonts w:asciiTheme="majorHAnsi" w:hAnsiTheme="majorHAnsi" w:cstheme="majorHAnsi"/>
        </w:rPr>
        <w:t xml:space="preserve">d not adequately consider gender equality at the outset. </w:t>
      </w:r>
    </w:p>
    <w:p w14:paraId="69B8E908" w14:textId="303AA9ED" w:rsidR="00C465F8" w:rsidRPr="00AC6809" w:rsidRDefault="00A36B75" w:rsidP="00F509AE">
      <w:pPr>
        <w:pStyle w:val="BodyCopy"/>
        <w:rPr>
          <w:rFonts w:asciiTheme="majorHAnsi" w:hAnsiTheme="majorHAnsi" w:cstheme="majorHAnsi"/>
        </w:rPr>
      </w:pPr>
      <w:r>
        <w:rPr>
          <w:rStyle w:val="Emphasis"/>
          <w:rFonts w:asciiTheme="majorHAnsi" w:hAnsiTheme="majorHAnsi" w:cstheme="majorHAnsi"/>
          <w:b w:val="0"/>
          <w:bCs w:val="0"/>
        </w:rPr>
        <w:t xml:space="preserve">To </w:t>
      </w:r>
      <w:r w:rsidR="00B27C61">
        <w:rPr>
          <w:rStyle w:val="Emphasis"/>
          <w:rFonts w:asciiTheme="majorHAnsi" w:hAnsiTheme="majorHAnsi" w:cstheme="majorHAnsi"/>
          <w:b w:val="0"/>
          <w:bCs w:val="0"/>
        </w:rPr>
        <w:t>meet</w:t>
      </w:r>
      <w:r>
        <w:rPr>
          <w:rStyle w:val="Emphasis"/>
          <w:rFonts w:asciiTheme="majorHAnsi" w:hAnsiTheme="majorHAnsi" w:cstheme="majorHAnsi"/>
          <w:b w:val="0"/>
          <w:bCs w:val="0"/>
        </w:rPr>
        <w:t xml:space="preserve"> the</w:t>
      </w:r>
      <w:r w:rsidR="00FA499F">
        <w:rPr>
          <w:rStyle w:val="Emphasis"/>
          <w:rFonts w:asciiTheme="majorHAnsi" w:hAnsiTheme="majorHAnsi" w:cstheme="majorHAnsi"/>
          <w:b w:val="0"/>
          <w:bCs w:val="0"/>
        </w:rPr>
        <w:t xml:space="preserve"> requirement, </w:t>
      </w:r>
      <w:r w:rsidR="007335FC">
        <w:rPr>
          <w:rStyle w:val="Emphasis"/>
          <w:rFonts w:asciiTheme="majorHAnsi" w:hAnsiTheme="majorHAnsi" w:cstheme="majorHAnsi"/>
          <w:b w:val="0"/>
          <w:bCs w:val="0"/>
        </w:rPr>
        <w:t xml:space="preserve">the </w:t>
      </w:r>
      <w:r w:rsidR="00C465F8" w:rsidRPr="00AC6809">
        <w:rPr>
          <w:rFonts w:asciiTheme="majorHAnsi" w:hAnsiTheme="majorHAnsi" w:cstheme="majorHAnsi"/>
        </w:rPr>
        <w:t xml:space="preserve">program logic </w:t>
      </w:r>
      <w:r w:rsidR="009B5F0F">
        <w:rPr>
          <w:rFonts w:asciiTheme="majorHAnsi" w:hAnsiTheme="majorHAnsi" w:cstheme="majorHAnsi"/>
        </w:rPr>
        <w:t>and/or concept note (</w:t>
      </w:r>
      <w:r w:rsidR="00FC037B">
        <w:rPr>
          <w:rFonts w:asciiTheme="majorHAnsi" w:hAnsiTheme="majorHAnsi" w:cstheme="majorHAnsi"/>
        </w:rPr>
        <w:t xml:space="preserve">in lieu of a design document) </w:t>
      </w:r>
      <w:r w:rsidR="00C465F8" w:rsidRPr="00AC6809">
        <w:rPr>
          <w:rFonts w:asciiTheme="majorHAnsi" w:hAnsiTheme="majorHAnsi" w:cstheme="majorHAnsi"/>
        </w:rPr>
        <w:t>must have</w:t>
      </w:r>
      <w:r w:rsidR="00B27C61">
        <w:rPr>
          <w:rFonts w:asciiTheme="majorHAnsi" w:hAnsiTheme="majorHAnsi" w:cstheme="majorHAnsi"/>
        </w:rPr>
        <w:t xml:space="preserve"> at a minimum</w:t>
      </w:r>
      <w:r w:rsidR="00C465F8" w:rsidRPr="00AC6809">
        <w:rPr>
          <w:rFonts w:asciiTheme="majorHAnsi" w:hAnsiTheme="majorHAnsi" w:cstheme="majorHAnsi"/>
        </w:rPr>
        <w:t>:</w:t>
      </w:r>
    </w:p>
    <w:p w14:paraId="6CDE49DA" w14:textId="13FE7949" w:rsidR="00C465F8" w:rsidRDefault="000A455F" w:rsidP="00F509AE">
      <w:pPr>
        <w:pStyle w:val="BodyCopyBullets"/>
      </w:pPr>
      <w:r>
        <w:t>An i</w:t>
      </w:r>
      <w:r w:rsidR="00C465F8">
        <w:t>nitial</w:t>
      </w:r>
      <w:r>
        <w:t xml:space="preserve"> or indicative</w:t>
      </w:r>
      <w:r w:rsidR="00C465F8">
        <w:t xml:space="preserve"> intermediate outcome</w:t>
      </w:r>
      <w:r>
        <w:t xml:space="preserve"> to advance gender equality</w:t>
      </w:r>
      <w:r w:rsidR="00FA5A79">
        <w:t>,</w:t>
      </w:r>
      <w:r w:rsidR="00C465F8">
        <w:t xml:space="preserve"> and indicative outputs based on initial hypotheses that are tested and updated during implementation</w:t>
      </w:r>
      <w:r w:rsidR="00F509AE">
        <w:t xml:space="preserve">. </w:t>
      </w:r>
    </w:p>
    <w:p w14:paraId="24D78E89" w14:textId="6CAB4F6C" w:rsidR="00FA5A79" w:rsidRDefault="00FA5A79" w:rsidP="00F509AE">
      <w:pPr>
        <w:pStyle w:val="BodyCopyBullets"/>
      </w:pPr>
      <w:r>
        <w:t xml:space="preserve">At least one indicative performance indicator by which the </w:t>
      </w:r>
      <w:r w:rsidR="007335FC">
        <w:t>gender equality outcome will be measured.</w:t>
      </w:r>
    </w:p>
    <w:p w14:paraId="3EFA4017" w14:textId="3E64DB0F" w:rsidR="000A4261" w:rsidRDefault="000A4261" w:rsidP="00F509AE">
      <w:pPr>
        <w:pStyle w:val="BodyCopyBullets"/>
      </w:pPr>
      <w:r>
        <w:t xml:space="preserve">A clear timeframe by which the minimum standards on gender equality will be met. </w:t>
      </w:r>
    </w:p>
    <w:p w14:paraId="4BB1521E" w14:textId="2C1FF1E5" w:rsidR="000A4261" w:rsidRPr="000A4261" w:rsidRDefault="000A4261" w:rsidP="000A4261">
      <w:pPr>
        <w:pStyle w:val="H3-Heading3"/>
      </w:pPr>
      <w:r>
        <w:rPr>
          <w:rStyle w:val="Emphasis"/>
          <w:b/>
          <w:bCs/>
          <w:iCs w:val="0"/>
          <w:sz w:val="28"/>
        </w:rPr>
        <w:t>P</w:t>
      </w:r>
      <w:r w:rsidR="00F509AE" w:rsidRPr="000A4261">
        <w:rPr>
          <w:rStyle w:val="Emphasis"/>
          <w:b/>
          <w:bCs/>
          <w:iCs w:val="0"/>
          <w:sz w:val="28"/>
        </w:rPr>
        <w:t>artner-led designs</w:t>
      </w:r>
    </w:p>
    <w:p w14:paraId="07C9BEED" w14:textId="378523FD" w:rsidR="008403CB" w:rsidRPr="00C42102" w:rsidRDefault="00F509AE" w:rsidP="00C42102">
      <w:pPr>
        <w:pStyle w:val="BodyCopy"/>
        <w:rPr>
          <w:rFonts w:cstheme="majorHAnsi"/>
          <w:i/>
          <w:iCs/>
        </w:rPr>
      </w:pPr>
      <w:r>
        <w:t xml:space="preserve">MEL standards 4.24 and 4.27 are particularly relevant with regards to the gender equality outcome. These should (where </w:t>
      </w:r>
      <w:r w:rsidRPr="00F509AE">
        <w:t>necessary) explain the efforts DFAT has made to influence the partner-led design to deliver on Australia’s gender equality policy objectives, i</w:t>
      </w:r>
      <w:r w:rsidR="00F43E9A" w:rsidRPr="00F509AE">
        <w:t xml:space="preserve">dentify any gaps in meeting DFAT’s </w:t>
      </w:r>
      <w:r w:rsidRPr="00F509AE">
        <w:t>gender equality outcome</w:t>
      </w:r>
      <w:r w:rsidR="00F43E9A" w:rsidRPr="00F509AE">
        <w:t xml:space="preserve"> </w:t>
      </w:r>
      <w:r w:rsidRPr="00F509AE">
        <w:t>requirement</w:t>
      </w:r>
      <w:r w:rsidR="00F43E9A" w:rsidRPr="00F509AE">
        <w:t xml:space="preserve">, </w:t>
      </w:r>
      <w:r w:rsidRPr="00F509AE">
        <w:t>and o</w:t>
      </w:r>
      <w:r w:rsidR="00F43E9A" w:rsidRPr="00F509AE">
        <w:t>utline DFAT’s strategy to ensure these gaps are addressed.</w:t>
      </w:r>
      <w:r w:rsidR="00F43E9A" w:rsidRPr="00FA4E38">
        <w:rPr>
          <w:rFonts w:cstheme="majorHAnsi"/>
          <w:i/>
          <w:iCs/>
        </w:rPr>
        <w:t xml:space="preserve"> </w:t>
      </w:r>
    </w:p>
    <w:p w14:paraId="7F02FB8D" w14:textId="3C579A5D" w:rsidR="00F11087" w:rsidRDefault="00F11087" w:rsidP="00487157">
      <w:pPr>
        <w:pStyle w:val="H2-Heading2"/>
      </w:pPr>
      <w:r>
        <w:t xml:space="preserve">Monitoring and Evaluation of </w:t>
      </w:r>
      <w:r w:rsidR="00DD5650">
        <w:t xml:space="preserve">gender equality </w:t>
      </w:r>
      <w:r>
        <w:t>Outcomes</w:t>
      </w:r>
    </w:p>
    <w:p w14:paraId="0708D211" w14:textId="77777777" w:rsidR="005B60AB" w:rsidRDefault="00B55CEA" w:rsidP="005B60AB">
      <w:pPr>
        <w:pStyle w:val="BodyCopy"/>
        <w:spacing w:before="0"/>
      </w:pPr>
      <w:r>
        <w:t>As w</w:t>
      </w:r>
      <w:r w:rsidRPr="000E6290">
        <w:t>ork on gender equality aims to address unequal gender norms</w:t>
      </w:r>
      <w:r>
        <w:t xml:space="preserve"> and </w:t>
      </w:r>
      <w:r w:rsidRPr="00CC251C">
        <w:t>power distribution</w:t>
      </w:r>
      <w:r>
        <w:t xml:space="preserve">, both </w:t>
      </w:r>
      <w:r w:rsidRPr="002C0DA9">
        <w:t xml:space="preserve">quantitative </w:t>
      </w:r>
      <w:r>
        <w:t>and</w:t>
      </w:r>
      <w:r w:rsidRPr="002C0DA9">
        <w:t xml:space="preserve"> qualitative</w:t>
      </w:r>
      <w:r>
        <w:t xml:space="preserve"> i</w:t>
      </w:r>
      <w:r w:rsidR="00015EEE" w:rsidRPr="002C0DA9">
        <w:t xml:space="preserve">ndicators </w:t>
      </w:r>
      <w:r>
        <w:t>are</w:t>
      </w:r>
      <w:r w:rsidR="002C0DA9">
        <w:t xml:space="preserve"> likely to be needed</w:t>
      </w:r>
      <w:r w:rsidR="00015EEE" w:rsidRPr="002C0DA9">
        <w:t xml:space="preserve"> </w:t>
      </w:r>
      <w:r w:rsidR="005B60AB">
        <w:t>to assess</w:t>
      </w:r>
      <w:r w:rsidR="00186067">
        <w:t xml:space="preserve"> progress towards the </w:t>
      </w:r>
      <w:r w:rsidR="00186067" w:rsidRPr="002C0DA9">
        <w:t>gender equality outcome(s)</w:t>
      </w:r>
      <w:r w:rsidR="00015EEE" w:rsidRPr="002C0DA9">
        <w:t>.</w:t>
      </w:r>
      <w:r w:rsidR="000E6290">
        <w:t xml:space="preserve"> </w:t>
      </w:r>
      <w:r w:rsidR="005B60AB">
        <w:t>Indicator e</w:t>
      </w:r>
      <w:r w:rsidR="00283E61">
        <w:t xml:space="preserve">xamples </w:t>
      </w:r>
      <w:r w:rsidR="005B60AB">
        <w:t>are</w:t>
      </w:r>
      <w:r w:rsidR="00283E61">
        <w:t xml:space="preserve"> </w:t>
      </w:r>
      <w:r w:rsidR="005240BE">
        <w:t xml:space="preserve">in ADB’s </w:t>
      </w:r>
      <w:hyperlink r:id="rId29" w:history="1">
        <w:r w:rsidR="005240BE" w:rsidRPr="005240BE">
          <w:rPr>
            <w:rStyle w:val="Hyperlink"/>
          </w:rPr>
          <w:t>Tool Kit on Gender Equality Results and Indicators</w:t>
        </w:r>
      </w:hyperlink>
      <w:r w:rsidR="005240BE">
        <w:t xml:space="preserve">. </w:t>
      </w:r>
    </w:p>
    <w:p w14:paraId="40D3F3A8" w14:textId="6D7561A1" w:rsidR="006A7CB8" w:rsidRDefault="00565E71" w:rsidP="00565E71">
      <w:pPr>
        <w:pStyle w:val="BodyCopy"/>
        <w:spacing w:before="0"/>
      </w:pPr>
      <w:r>
        <w:rPr>
          <w:noProof/>
          <w:color w:val="3F3F3F"/>
          <w:lang w:val="en-GB"/>
        </w:rPr>
        <w:drawing>
          <wp:anchor distT="0" distB="0" distL="114300" distR="114300" simplePos="0" relativeHeight="251658258" behindDoc="0" locked="0" layoutInCell="1" allowOverlap="1" wp14:anchorId="683D240E" wp14:editId="66ACB29B">
            <wp:simplePos x="0" y="0"/>
            <wp:positionH relativeFrom="margin">
              <wp:posOffset>-45720</wp:posOffset>
            </wp:positionH>
            <wp:positionV relativeFrom="paragraph">
              <wp:posOffset>542925</wp:posOffset>
            </wp:positionV>
            <wp:extent cx="434340" cy="434340"/>
            <wp:effectExtent l="0" t="0" r="0" b="3810"/>
            <wp:wrapNone/>
            <wp:docPr id="1344020374" name="Graphic 13440203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020374" name="Graphic 1344020374">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434340" cy="434340"/>
                    </a:xfrm>
                    <a:prstGeom prst="rect">
                      <a:avLst/>
                    </a:prstGeom>
                  </pic:spPr>
                </pic:pic>
              </a:graphicData>
            </a:graphic>
            <wp14:sizeRelH relativeFrom="margin">
              <wp14:pctWidth>0</wp14:pctWidth>
            </wp14:sizeRelH>
            <wp14:sizeRelV relativeFrom="margin">
              <wp14:pctHeight>0</wp14:pctHeight>
            </wp14:sizeRelV>
          </wp:anchor>
        </w:drawing>
      </w:r>
      <w:r w:rsidR="008F3977" w:rsidRPr="002C0DA9">
        <w:t xml:space="preserve">The </w:t>
      </w:r>
      <w:r w:rsidR="005B60AB">
        <w:t xml:space="preserve">investment’s </w:t>
      </w:r>
      <w:r w:rsidR="008F3977" w:rsidRPr="002C0DA9">
        <w:t>Monitoring, Evaluation and Learning</w:t>
      </w:r>
      <w:r w:rsidR="008F3977">
        <w:t xml:space="preserve"> Framework </w:t>
      </w:r>
      <w:r w:rsidR="002E67AF">
        <w:t xml:space="preserve">and any investment-level </w:t>
      </w:r>
      <w:r w:rsidR="00B12AA6">
        <w:t xml:space="preserve">GEDSI or </w:t>
      </w:r>
      <w:hyperlink r:id="rId30" w:history="1">
        <w:r w:rsidR="00417FBD" w:rsidRPr="00B12AA6">
          <w:rPr>
            <w:rStyle w:val="Hyperlink"/>
          </w:rPr>
          <w:t>g</w:t>
        </w:r>
        <w:r w:rsidR="002E67AF" w:rsidRPr="00B12AA6">
          <w:rPr>
            <w:rStyle w:val="Hyperlink"/>
          </w:rPr>
          <w:t xml:space="preserve">ender </w:t>
        </w:r>
        <w:r w:rsidR="00417FBD" w:rsidRPr="00B12AA6">
          <w:rPr>
            <w:rStyle w:val="Hyperlink"/>
          </w:rPr>
          <w:t>e</w:t>
        </w:r>
        <w:r w:rsidR="002E67AF" w:rsidRPr="00B12AA6">
          <w:rPr>
            <w:rStyle w:val="Hyperlink"/>
          </w:rPr>
          <w:t xml:space="preserve">quality </w:t>
        </w:r>
        <w:r w:rsidR="00B12AA6" w:rsidRPr="00B12AA6">
          <w:rPr>
            <w:rStyle w:val="Hyperlink"/>
          </w:rPr>
          <w:t>strategy</w:t>
        </w:r>
      </w:hyperlink>
      <w:r w:rsidR="00B12AA6">
        <w:t xml:space="preserve"> </w:t>
      </w:r>
      <w:r w:rsidR="002E67AF">
        <w:t xml:space="preserve">should be aligned. A </w:t>
      </w:r>
      <w:r w:rsidR="005B60AB">
        <w:t>GEDSI</w:t>
      </w:r>
      <w:r w:rsidR="002E67AF">
        <w:t xml:space="preserve"> </w:t>
      </w:r>
      <w:r w:rsidR="00B12AA6">
        <w:t>s</w:t>
      </w:r>
      <w:r w:rsidR="002E67AF">
        <w:t xml:space="preserve">trategy </w:t>
      </w:r>
      <w:r w:rsidR="004A21F3">
        <w:t xml:space="preserve">provides clear guidance to implementing teams and partners about how </w:t>
      </w:r>
      <w:r w:rsidR="005B60AB">
        <w:t>GEDSI</w:t>
      </w:r>
      <w:r w:rsidR="004A21F3">
        <w:t xml:space="preserve"> activities, policies, </w:t>
      </w:r>
      <w:proofErr w:type="gramStart"/>
      <w:r w:rsidR="004A21F3">
        <w:t>programs</w:t>
      </w:r>
      <w:proofErr w:type="gramEnd"/>
      <w:r w:rsidR="004A21F3">
        <w:t xml:space="preserve"> and practices will be</w:t>
      </w:r>
      <w:r w:rsidR="008F3977">
        <w:t xml:space="preserve"> </w:t>
      </w:r>
      <w:r>
        <w:t>implemented</w:t>
      </w:r>
      <w:r w:rsidR="000C338D">
        <w:t xml:space="preserve"> and </w:t>
      </w:r>
      <w:r>
        <w:t>reported on.</w:t>
      </w:r>
      <w:r w:rsidR="004A21F3">
        <w:t xml:space="preserve"> </w:t>
      </w:r>
    </w:p>
    <w:p w14:paraId="1094ED13" w14:textId="2AD69416" w:rsidR="008403CB" w:rsidRDefault="0098576E" w:rsidP="00C42102">
      <w:pPr>
        <w:pStyle w:val="BodyCopy"/>
        <w:spacing w:before="0" w:after="0"/>
        <w:ind w:left="720"/>
      </w:pPr>
      <w:r>
        <w:t>C</w:t>
      </w:r>
      <w:r w:rsidR="0009637F">
        <w:t>onsider</w:t>
      </w:r>
      <w:r w:rsidR="000911EC">
        <w:t xml:space="preserve"> </w:t>
      </w:r>
      <w:r w:rsidR="006A7CB8">
        <w:t xml:space="preserve">also </w:t>
      </w:r>
      <w:r w:rsidR="000E6A92">
        <w:t xml:space="preserve">how you can </w:t>
      </w:r>
      <w:r w:rsidR="001343E0">
        <w:t>captur</w:t>
      </w:r>
      <w:r w:rsidR="000E6A92">
        <w:t>e</w:t>
      </w:r>
      <w:r w:rsidR="001343E0">
        <w:t xml:space="preserve"> </w:t>
      </w:r>
      <w:r w:rsidR="000911EC">
        <w:t xml:space="preserve">case studies, </w:t>
      </w:r>
      <w:r w:rsidR="001343E0">
        <w:t>lessons learned and good practice</w:t>
      </w:r>
      <w:r w:rsidR="00A53430">
        <w:t xml:space="preserve"> examples</w:t>
      </w:r>
      <w:r w:rsidR="008F1720">
        <w:t xml:space="preserve"> </w:t>
      </w:r>
      <w:r w:rsidR="00CD509B">
        <w:t xml:space="preserve">to </w:t>
      </w:r>
      <w:r w:rsidR="00A03427">
        <w:t xml:space="preserve">strengthen the evidence and/or </w:t>
      </w:r>
      <w:r w:rsidR="00CD509B">
        <w:t>prove assumptions in the program logic</w:t>
      </w:r>
      <w:r w:rsidR="00A03427">
        <w:t xml:space="preserve">. </w:t>
      </w:r>
    </w:p>
    <w:p w14:paraId="35BEDB71" w14:textId="437592FE" w:rsidR="00487157" w:rsidRDefault="00487157" w:rsidP="00487157">
      <w:pPr>
        <w:pStyle w:val="H2-Heading2"/>
      </w:pPr>
      <w:r>
        <w:t>for more information</w:t>
      </w:r>
    </w:p>
    <w:p w14:paraId="311E7B0E" w14:textId="520F2694" w:rsidR="007F6492" w:rsidRPr="007F6492" w:rsidRDefault="00487157" w:rsidP="00487157">
      <w:pPr>
        <w:pStyle w:val="BodyCopy"/>
      </w:pPr>
      <w:r>
        <w:t xml:space="preserve">Contact the </w:t>
      </w:r>
      <w:r w:rsidR="001A60B1">
        <w:t>G</w:t>
      </w:r>
      <w:r>
        <w:t xml:space="preserve">ender </w:t>
      </w:r>
      <w:r w:rsidR="001A60B1">
        <w:t>E</w:t>
      </w:r>
      <w:r>
        <w:t xml:space="preserve">quality, </w:t>
      </w:r>
      <w:r w:rsidR="001A60B1">
        <w:t>D</w:t>
      </w:r>
      <w:r>
        <w:t xml:space="preserve">isability and </w:t>
      </w:r>
      <w:r w:rsidR="001A60B1">
        <w:t>S</w:t>
      </w:r>
      <w:r>
        <w:t xml:space="preserve">ocial </w:t>
      </w:r>
      <w:r w:rsidR="001A60B1">
        <w:t>I</w:t>
      </w:r>
      <w:r>
        <w:t xml:space="preserve">nclusion </w:t>
      </w:r>
      <w:r w:rsidR="001A60B1">
        <w:t>B</w:t>
      </w:r>
      <w:r>
        <w:t xml:space="preserve">ranch at </w:t>
      </w:r>
      <w:hyperlink r:id="rId31" w:history="1">
        <w:r w:rsidRPr="000F7E95">
          <w:rPr>
            <w:rStyle w:val="Hyperlink"/>
          </w:rPr>
          <w:t>gender.equality@dfat.gov.au</w:t>
        </w:r>
      </w:hyperlink>
      <w:r>
        <w:t xml:space="preserve">. The branch has technical specialists available to provide support in developing robust gender equality outcomes for all investments, regardless of the size, </w:t>
      </w:r>
      <w:proofErr w:type="gramStart"/>
      <w:r>
        <w:t>context</w:t>
      </w:r>
      <w:proofErr w:type="gramEnd"/>
      <w:r>
        <w:t xml:space="preserve"> or sector. </w:t>
      </w:r>
      <w:r w:rsidR="007F6492">
        <w:tab/>
      </w:r>
    </w:p>
    <w:sectPr w:rsidR="007F6492" w:rsidRPr="007F6492" w:rsidSect="00013F6C">
      <w:headerReference w:type="default" r:id="rId32"/>
      <w:footerReference w:type="default" r:id="rId33"/>
      <w:headerReference w:type="first" r:id="rId34"/>
      <w:footerReference w:type="first" r:id="rId35"/>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54D0" w14:textId="77777777" w:rsidR="0089122D" w:rsidRDefault="0089122D" w:rsidP="00EE32FE">
      <w:pPr>
        <w:spacing w:after="0" w:line="240" w:lineRule="auto"/>
      </w:pPr>
      <w:r>
        <w:separator/>
      </w:r>
    </w:p>
  </w:endnote>
  <w:endnote w:type="continuationSeparator" w:id="0">
    <w:p w14:paraId="4CD09A52" w14:textId="77777777" w:rsidR="0089122D" w:rsidRDefault="0089122D" w:rsidP="00EE32FE">
      <w:pPr>
        <w:spacing w:after="0" w:line="240" w:lineRule="auto"/>
      </w:pPr>
      <w:r>
        <w:continuationSeparator/>
      </w:r>
    </w:p>
  </w:endnote>
  <w:endnote w:type="continuationNotice" w:id="1">
    <w:p w14:paraId="672CE510" w14:textId="77777777" w:rsidR="0089122D" w:rsidRDefault="0089122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5BE6"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71D8CB23" wp14:editId="24F5F24E">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80232"/>
      <w:docPartObj>
        <w:docPartGallery w:val="Page Numbers (Bottom of Page)"/>
        <w:docPartUnique/>
      </w:docPartObj>
    </w:sdtPr>
    <w:sdtEndPr>
      <w:rPr>
        <w:noProof/>
        <w:color w:val="313E48"/>
      </w:rPr>
    </w:sdtEndPr>
    <w:sdtContent>
      <w:p w14:paraId="01B43538"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26601911" wp14:editId="4FAE6C54">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6EA2" w14:textId="77777777" w:rsidR="0089122D" w:rsidRDefault="0089122D" w:rsidP="00EE32FE">
      <w:pPr>
        <w:spacing w:after="0" w:line="240" w:lineRule="auto"/>
      </w:pPr>
      <w:bookmarkStart w:id="0" w:name="_Hlk127364773"/>
      <w:bookmarkEnd w:id="0"/>
      <w:r>
        <w:separator/>
      </w:r>
    </w:p>
  </w:footnote>
  <w:footnote w:type="continuationSeparator" w:id="0">
    <w:p w14:paraId="2D742252" w14:textId="77777777" w:rsidR="0089122D" w:rsidRDefault="0089122D" w:rsidP="00EE32FE">
      <w:pPr>
        <w:spacing w:after="0" w:line="240" w:lineRule="auto"/>
      </w:pPr>
      <w:r>
        <w:continuationSeparator/>
      </w:r>
    </w:p>
  </w:footnote>
  <w:footnote w:type="continuationNotice" w:id="1">
    <w:p w14:paraId="7529B00D" w14:textId="77777777" w:rsidR="0089122D" w:rsidRDefault="0089122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9726"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43A91127" wp14:editId="4803D6B1">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56501E24" wp14:editId="0305AFC2">
              <wp:simplePos x="0" y="0"/>
              <wp:positionH relativeFrom="margin">
                <wp:align>center</wp:align>
              </wp:positionH>
              <wp:positionV relativeFrom="topMargin">
                <wp:align>center</wp:align>
              </wp:positionV>
              <wp:extent cx="892175" cy="38862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EB378" w14:textId="7976F555" w:rsidR="00F74B5D" w:rsidRPr="007F6492" w:rsidRDefault="007F6492" w:rsidP="00A31B38">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8D0C2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6501E24" id="_x0000_t202" coordsize="21600,21600" o:spt="202" path="m,l,21600r21600,l21600,xe">
              <v:stroke joinstyle="miter"/>
              <v:path gradientshapeok="t" o:connecttype="rect"/>
            </v:shapetype>
            <v:shape id="Text Box 4"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717EB378" w14:textId="7976F555" w:rsidR="00F74B5D" w:rsidRPr="007F6492" w:rsidRDefault="007F6492" w:rsidP="00A31B38">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8D0C2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A7F4" w14:textId="77777777" w:rsidR="0007092D" w:rsidRDefault="00622790">
    <w:pPr>
      <w:pStyle w:val="Header"/>
    </w:pPr>
    <w:r>
      <w:rPr>
        <w:noProof/>
      </w:rPr>
      <w:drawing>
        <wp:anchor distT="0" distB="0" distL="114300" distR="114300" simplePos="0" relativeHeight="251658242" behindDoc="0" locked="0" layoutInCell="1" allowOverlap="1" wp14:anchorId="0A5D6618" wp14:editId="3C224C55">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0AD739C4" wp14:editId="5A832553">
              <wp:simplePos x="0" y="0"/>
              <wp:positionH relativeFrom="margin">
                <wp:align>center</wp:align>
              </wp:positionH>
              <wp:positionV relativeFrom="topMargin">
                <wp:align>center</wp:align>
              </wp:positionV>
              <wp:extent cx="892175" cy="38862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8F5B03" w14:textId="41857FF6" w:rsidR="00F74B5D" w:rsidRPr="007F6492" w:rsidRDefault="007F6492" w:rsidP="00A31B38">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8D0C2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D739C4" id="_x0000_t202" coordsize="21600,21600" o:spt="202" path="m,l,21600r21600,l21600,xe">
              <v:stroke joinstyle="miter"/>
              <v:path gradientshapeok="t" o:connecttype="rect"/>
            </v:shapetype>
            <v:shape id="Text Box 5"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428F5B03" w14:textId="41857FF6" w:rsidR="00F74B5D" w:rsidRPr="007F6492" w:rsidRDefault="007F6492" w:rsidP="00A31B38">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8D0C2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0BA"/>
    <w:multiLevelType w:val="hybridMultilevel"/>
    <w:tmpl w:val="A04609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B295E07"/>
    <w:multiLevelType w:val="hybridMultilevel"/>
    <w:tmpl w:val="100AD1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1C122E"/>
    <w:multiLevelType w:val="hybridMultilevel"/>
    <w:tmpl w:val="3CC25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9B159F"/>
    <w:multiLevelType w:val="multilevel"/>
    <w:tmpl w:val="327AC97A"/>
    <w:styleLink w:val="HeadingsList"/>
    <w:lvl w:ilvl="0">
      <w:start w:val="1"/>
      <w:numFmt w:val="decimal"/>
      <w:pStyle w:val="Heading1Numberedsmallspaceafter"/>
      <w:suff w:val="space"/>
      <w:lvlText w:val="Chapter %1"/>
      <w:lvlJc w:val="left"/>
      <w:pPr>
        <w:ind w:left="0" w:firstLine="0"/>
      </w:pPr>
    </w:lvl>
    <w:lvl w:ilvl="1">
      <w:start w:val="1"/>
      <w:numFmt w:val="decimal"/>
      <w:pStyle w:val="Heading2Numbered"/>
      <w:lvlText w:val="%1.%2"/>
      <w:lvlJc w:val="left"/>
      <w:pPr>
        <w:ind w:left="567" w:hanging="567"/>
      </w:pPr>
    </w:lvl>
    <w:lvl w:ilvl="2">
      <w:start w:val="1"/>
      <w:numFmt w:val="decimal"/>
      <w:pStyle w:val="Heading3Numbered"/>
      <w:lvlText w:val="%1.%2.%3"/>
      <w:lvlJc w:val="left"/>
      <w:pPr>
        <w:ind w:left="10490" w:hanging="851"/>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30266D68"/>
    <w:multiLevelType w:val="hybridMultilevel"/>
    <w:tmpl w:val="03645100"/>
    <w:lvl w:ilvl="0" w:tplc="FBDCD9D0">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7A11C9"/>
    <w:multiLevelType w:val="hybridMultilevel"/>
    <w:tmpl w:val="046C1F72"/>
    <w:lvl w:ilvl="0" w:tplc="19AEA1CE">
      <w:start w:val="1"/>
      <w:numFmt w:val="decimal"/>
      <w:lvlText w:val="%1."/>
      <w:lvlJc w:val="left"/>
      <w:pPr>
        <w:ind w:left="720" w:hanging="360"/>
      </w:pPr>
      <w:rPr>
        <w:rFonts w:asciiTheme="minorHAnsi" w:hAnsiTheme="minorHAnsi" w:cstheme="minorHAnsi"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5580FB7"/>
    <w:multiLevelType w:val="hybridMultilevel"/>
    <w:tmpl w:val="AB208C66"/>
    <w:lvl w:ilvl="0" w:tplc="B9300C2A">
      <w:start w:val="1"/>
      <w:numFmt w:val="bullet"/>
      <w:pStyle w:val="BodyCopy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903ABC"/>
    <w:multiLevelType w:val="multilevel"/>
    <w:tmpl w:val="0CE8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56043A"/>
    <w:multiLevelType w:val="multilevel"/>
    <w:tmpl w:val="69AEB596"/>
    <w:numStyleLink w:val="BulletsList"/>
  </w:abstractNum>
  <w:abstractNum w:abstractNumId="10" w15:restartNumberingAfterBreak="0">
    <w:nsid w:val="5E4707C7"/>
    <w:multiLevelType w:val="multilevel"/>
    <w:tmpl w:val="042C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842F52"/>
    <w:multiLevelType w:val="hybridMultilevel"/>
    <w:tmpl w:val="1138D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BD2FB2"/>
    <w:multiLevelType w:val="multilevel"/>
    <w:tmpl w:val="1448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4472C4" w:themeColor="accent1"/>
      </w:rPr>
    </w:lvl>
    <w:lvl w:ilvl="1">
      <w:start w:val="1"/>
      <w:numFmt w:val="bullet"/>
      <w:pStyle w:val="Bullet2"/>
      <w:lvlText w:val="–"/>
      <w:lvlJc w:val="left"/>
      <w:pPr>
        <w:tabs>
          <w:tab w:val="num" w:pos="568"/>
        </w:tabs>
        <w:ind w:left="568" w:hanging="284"/>
      </w:pPr>
      <w:rPr>
        <w:rFonts w:ascii="Arial" w:hAnsi="Arial" w:cs="Times New Roman" w:hint="default"/>
        <w:color w:val="4472C4" w:themeColor="accent1"/>
      </w:rPr>
    </w:lvl>
    <w:lvl w:ilvl="2">
      <w:start w:val="1"/>
      <w:numFmt w:val="bullet"/>
      <w:pStyle w:val="Bullet3"/>
      <w:lvlText w:val="»"/>
      <w:lvlJc w:val="left"/>
      <w:pPr>
        <w:tabs>
          <w:tab w:val="num" w:pos="852"/>
        </w:tabs>
        <w:ind w:left="852" w:hanging="285"/>
      </w:pPr>
      <w:rPr>
        <w:rFonts w:ascii="Arial" w:hAnsi="Arial" w:cs="Times New Roman" w:hint="default"/>
        <w:color w:val="4472C4" w:themeColor="accent1"/>
      </w:rPr>
    </w:lvl>
    <w:lvl w:ilvl="3">
      <w:start w:val="1"/>
      <w:numFmt w:val="decimal"/>
      <w:lvlText w:val="(%4)"/>
      <w:lvlJc w:val="left"/>
      <w:pPr>
        <w:tabs>
          <w:tab w:val="num" w:pos="1136"/>
        </w:tabs>
        <w:ind w:left="1136" w:firstLine="0"/>
      </w:pPr>
    </w:lvl>
    <w:lvl w:ilvl="4">
      <w:start w:val="1"/>
      <w:numFmt w:val="lowerLetter"/>
      <w:lvlText w:val="(%5)"/>
      <w:lvlJc w:val="left"/>
      <w:pPr>
        <w:tabs>
          <w:tab w:val="num" w:pos="1420"/>
        </w:tabs>
        <w:ind w:left="1420" w:firstLine="0"/>
      </w:pPr>
    </w:lvl>
    <w:lvl w:ilvl="5">
      <w:start w:val="1"/>
      <w:numFmt w:val="lowerRoman"/>
      <w:lvlText w:val="(%6)"/>
      <w:lvlJc w:val="left"/>
      <w:pPr>
        <w:tabs>
          <w:tab w:val="num" w:pos="1704"/>
        </w:tabs>
        <w:ind w:left="1704" w:firstLine="0"/>
      </w:pPr>
    </w:lvl>
    <w:lvl w:ilvl="6">
      <w:start w:val="1"/>
      <w:numFmt w:val="decimal"/>
      <w:lvlText w:val="%7."/>
      <w:lvlJc w:val="left"/>
      <w:pPr>
        <w:tabs>
          <w:tab w:val="num" w:pos="1988"/>
        </w:tabs>
        <w:ind w:left="1988" w:firstLine="0"/>
      </w:pPr>
    </w:lvl>
    <w:lvl w:ilvl="7">
      <w:start w:val="1"/>
      <w:numFmt w:val="lowerLetter"/>
      <w:lvlText w:val="%8."/>
      <w:lvlJc w:val="left"/>
      <w:pPr>
        <w:tabs>
          <w:tab w:val="num" w:pos="2272"/>
        </w:tabs>
        <w:ind w:left="2272" w:firstLine="0"/>
      </w:pPr>
    </w:lvl>
    <w:lvl w:ilvl="8">
      <w:start w:val="1"/>
      <w:numFmt w:val="lowerRoman"/>
      <w:lvlText w:val="%9."/>
      <w:lvlJc w:val="left"/>
      <w:pPr>
        <w:tabs>
          <w:tab w:val="num" w:pos="2556"/>
        </w:tabs>
        <w:ind w:left="2556" w:firstLine="0"/>
      </w:pPr>
    </w:lvl>
  </w:abstractNum>
  <w:abstractNum w:abstractNumId="14" w15:restartNumberingAfterBreak="0">
    <w:nsid w:val="793527A8"/>
    <w:multiLevelType w:val="hybridMultilevel"/>
    <w:tmpl w:val="F86031F0"/>
    <w:lvl w:ilvl="0" w:tplc="97E6CADC">
      <w:start w:val="4"/>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846480"/>
    <w:multiLevelType w:val="hybridMultilevel"/>
    <w:tmpl w:val="C3AE5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2A76D5"/>
    <w:multiLevelType w:val="multilevel"/>
    <w:tmpl w:val="2D4AC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8162651">
    <w:abstractNumId w:val="5"/>
  </w:num>
  <w:num w:numId="2" w16cid:durableId="1193804330">
    <w:abstractNumId w:val="5"/>
    <w:lvlOverride w:ilvl="0">
      <w:startOverride w:val="1"/>
    </w:lvlOverride>
  </w:num>
  <w:num w:numId="3" w16cid:durableId="939992686">
    <w:abstractNumId w:val="5"/>
    <w:lvlOverride w:ilvl="0">
      <w:startOverride w:val="1"/>
    </w:lvlOverride>
  </w:num>
  <w:num w:numId="4" w16cid:durableId="2086567665">
    <w:abstractNumId w:val="7"/>
  </w:num>
  <w:num w:numId="5" w16cid:durableId="1242837570">
    <w:abstractNumId w:val="3"/>
  </w:num>
  <w:num w:numId="6" w16cid:durableId="1562328127">
    <w:abstractNumId w:val="5"/>
    <w:lvlOverride w:ilvl="0">
      <w:startOverride w:val="1"/>
    </w:lvlOverride>
  </w:num>
  <w:num w:numId="7" w16cid:durableId="458184019">
    <w:abstractNumId w:val="5"/>
    <w:lvlOverride w:ilvl="0">
      <w:startOverride w:val="1"/>
    </w:lvlOverride>
  </w:num>
  <w:num w:numId="8" w16cid:durableId="658074884">
    <w:abstractNumId w:val="5"/>
    <w:lvlOverride w:ilvl="0">
      <w:startOverride w:val="1"/>
    </w:lvlOverride>
  </w:num>
  <w:num w:numId="9" w16cid:durableId="122212991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7641995">
    <w:abstractNumId w:val="4"/>
  </w:num>
  <w:num w:numId="11" w16cid:durableId="23868852">
    <w:abstractNumId w:val="13"/>
  </w:num>
  <w:num w:numId="12" w16cid:durableId="1579559598">
    <w:abstractNumId w:val="2"/>
  </w:num>
  <w:num w:numId="13" w16cid:durableId="984285188">
    <w:abstractNumId w:val="15"/>
  </w:num>
  <w:num w:numId="14" w16cid:durableId="468133321">
    <w:abstractNumId w:val="12"/>
  </w:num>
  <w:num w:numId="15" w16cid:durableId="1474056814">
    <w:abstractNumId w:val="16"/>
  </w:num>
  <w:num w:numId="16" w16cid:durableId="2087219265">
    <w:abstractNumId w:val="10"/>
  </w:num>
  <w:num w:numId="17" w16cid:durableId="1074932249">
    <w:abstractNumId w:val="8"/>
  </w:num>
  <w:num w:numId="18" w16cid:durableId="1504734400">
    <w:abstractNumId w:val="14"/>
  </w:num>
  <w:num w:numId="19" w16cid:durableId="1387099756">
    <w:abstractNumId w:val="11"/>
  </w:num>
  <w:num w:numId="20" w16cid:durableId="1862432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1109856">
    <w:abstractNumId w:val="0"/>
  </w:num>
  <w:num w:numId="22" w16cid:durableId="646277333">
    <w:abstractNumId w:val="6"/>
  </w:num>
  <w:num w:numId="23" w16cid:durableId="76362699">
    <w:abstractNumId w:val="0"/>
  </w:num>
  <w:num w:numId="24" w16cid:durableId="150606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99"/>
    <w:rsid w:val="00000BCB"/>
    <w:rsid w:val="00006F8F"/>
    <w:rsid w:val="00013F6C"/>
    <w:rsid w:val="00015EEE"/>
    <w:rsid w:val="00021141"/>
    <w:rsid w:val="000239AF"/>
    <w:rsid w:val="00025428"/>
    <w:rsid w:val="00030679"/>
    <w:rsid w:val="00034078"/>
    <w:rsid w:val="00035D21"/>
    <w:rsid w:val="00036605"/>
    <w:rsid w:val="00040577"/>
    <w:rsid w:val="00040674"/>
    <w:rsid w:val="00042163"/>
    <w:rsid w:val="000444E2"/>
    <w:rsid w:val="00052770"/>
    <w:rsid w:val="00052971"/>
    <w:rsid w:val="000654CD"/>
    <w:rsid w:val="0006582F"/>
    <w:rsid w:val="00065E10"/>
    <w:rsid w:val="00067CE0"/>
    <w:rsid w:val="0007092D"/>
    <w:rsid w:val="0007657D"/>
    <w:rsid w:val="00081A73"/>
    <w:rsid w:val="00082860"/>
    <w:rsid w:val="00086589"/>
    <w:rsid w:val="000911EC"/>
    <w:rsid w:val="00094310"/>
    <w:rsid w:val="0009637F"/>
    <w:rsid w:val="000A0CE3"/>
    <w:rsid w:val="000A4261"/>
    <w:rsid w:val="000A455F"/>
    <w:rsid w:val="000C338D"/>
    <w:rsid w:val="000D481F"/>
    <w:rsid w:val="000D52CB"/>
    <w:rsid w:val="000E4CB2"/>
    <w:rsid w:val="000E6290"/>
    <w:rsid w:val="000E6A92"/>
    <w:rsid w:val="000F1407"/>
    <w:rsid w:val="000F22F8"/>
    <w:rsid w:val="000F25CE"/>
    <w:rsid w:val="000F4374"/>
    <w:rsid w:val="000F7C68"/>
    <w:rsid w:val="00100531"/>
    <w:rsid w:val="00112660"/>
    <w:rsid w:val="001126C1"/>
    <w:rsid w:val="00114CB6"/>
    <w:rsid w:val="00115105"/>
    <w:rsid w:val="001343E0"/>
    <w:rsid w:val="001405B7"/>
    <w:rsid w:val="00141ACA"/>
    <w:rsid w:val="001420E1"/>
    <w:rsid w:val="00144ECD"/>
    <w:rsid w:val="00145678"/>
    <w:rsid w:val="00146AFA"/>
    <w:rsid w:val="00152F6E"/>
    <w:rsid w:val="001563E7"/>
    <w:rsid w:val="00163CEC"/>
    <w:rsid w:val="0016480E"/>
    <w:rsid w:val="00175312"/>
    <w:rsid w:val="00177532"/>
    <w:rsid w:val="00186067"/>
    <w:rsid w:val="001869DB"/>
    <w:rsid w:val="0019463F"/>
    <w:rsid w:val="001A60B1"/>
    <w:rsid w:val="001B2186"/>
    <w:rsid w:val="001C19F2"/>
    <w:rsid w:val="001C465E"/>
    <w:rsid w:val="001D29C1"/>
    <w:rsid w:val="001D2D98"/>
    <w:rsid w:val="001D3E4F"/>
    <w:rsid w:val="001E544E"/>
    <w:rsid w:val="001E76D2"/>
    <w:rsid w:val="002018FF"/>
    <w:rsid w:val="00202BE1"/>
    <w:rsid w:val="002063C7"/>
    <w:rsid w:val="00211D95"/>
    <w:rsid w:val="0021791D"/>
    <w:rsid w:val="00221F28"/>
    <w:rsid w:val="002222D4"/>
    <w:rsid w:val="002239A5"/>
    <w:rsid w:val="00225B40"/>
    <w:rsid w:val="00232F10"/>
    <w:rsid w:val="00234FCA"/>
    <w:rsid w:val="0023710C"/>
    <w:rsid w:val="002379AD"/>
    <w:rsid w:val="00246196"/>
    <w:rsid w:val="00251320"/>
    <w:rsid w:val="00251D4C"/>
    <w:rsid w:val="00261D0B"/>
    <w:rsid w:val="00265F11"/>
    <w:rsid w:val="00267C6F"/>
    <w:rsid w:val="00271AA6"/>
    <w:rsid w:val="002803E7"/>
    <w:rsid w:val="002833A3"/>
    <w:rsid w:val="00283E61"/>
    <w:rsid w:val="00287AA7"/>
    <w:rsid w:val="002903BA"/>
    <w:rsid w:val="002923D5"/>
    <w:rsid w:val="002948D5"/>
    <w:rsid w:val="00295729"/>
    <w:rsid w:val="0029592F"/>
    <w:rsid w:val="002965B1"/>
    <w:rsid w:val="002A3E59"/>
    <w:rsid w:val="002A766B"/>
    <w:rsid w:val="002A7A3C"/>
    <w:rsid w:val="002B018D"/>
    <w:rsid w:val="002B60A0"/>
    <w:rsid w:val="002B7BA8"/>
    <w:rsid w:val="002C0DA9"/>
    <w:rsid w:val="002C1236"/>
    <w:rsid w:val="002C3F26"/>
    <w:rsid w:val="002C7620"/>
    <w:rsid w:val="002D30BF"/>
    <w:rsid w:val="002E0211"/>
    <w:rsid w:val="002E1281"/>
    <w:rsid w:val="002E67AF"/>
    <w:rsid w:val="002F40D5"/>
    <w:rsid w:val="002F5FB4"/>
    <w:rsid w:val="003004AC"/>
    <w:rsid w:val="00305C4E"/>
    <w:rsid w:val="0031557D"/>
    <w:rsid w:val="00322187"/>
    <w:rsid w:val="00323834"/>
    <w:rsid w:val="003269B4"/>
    <w:rsid w:val="00340493"/>
    <w:rsid w:val="00343F6F"/>
    <w:rsid w:val="00344281"/>
    <w:rsid w:val="00362938"/>
    <w:rsid w:val="00372EC7"/>
    <w:rsid w:val="0037454F"/>
    <w:rsid w:val="00374D30"/>
    <w:rsid w:val="00383C23"/>
    <w:rsid w:val="003951AB"/>
    <w:rsid w:val="003B6F35"/>
    <w:rsid w:val="003B7161"/>
    <w:rsid w:val="003C2009"/>
    <w:rsid w:val="003D01D7"/>
    <w:rsid w:val="003D1446"/>
    <w:rsid w:val="003D3942"/>
    <w:rsid w:val="003D3AA2"/>
    <w:rsid w:val="003D5063"/>
    <w:rsid w:val="003F2855"/>
    <w:rsid w:val="003F577F"/>
    <w:rsid w:val="00400E65"/>
    <w:rsid w:val="004029D5"/>
    <w:rsid w:val="004041C7"/>
    <w:rsid w:val="00417FBD"/>
    <w:rsid w:val="004210B6"/>
    <w:rsid w:val="00426A7E"/>
    <w:rsid w:val="004278A6"/>
    <w:rsid w:val="00430014"/>
    <w:rsid w:val="00434317"/>
    <w:rsid w:val="0043566A"/>
    <w:rsid w:val="00447019"/>
    <w:rsid w:val="0044704A"/>
    <w:rsid w:val="004567D9"/>
    <w:rsid w:val="0045785F"/>
    <w:rsid w:val="004620FA"/>
    <w:rsid w:val="004644B8"/>
    <w:rsid w:val="004768A3"/>
    <w:rsid w:val="004802CD"/>
    <w:rsid w:val="00487157"/>
    <w:rsid w:val="00494478"/>
    <w:rsid w:val="00494FDA"/>
    <w:rsid w:val="004A21F3"/>
    <w:rsid w:val="004A3323"/>
    <w:rsid w:val="004B1892"/>
    <w:rsid w:val="004B2D58"/>
    <w:rsid w:val="004B7115"/>
    <w:rsid w:val="004C2106"/>
    <w:rsid w:val="004C7DDF"/>
    <w:rsid w:val="004D164E"/>
    <w:rsid w:val="004D1D85"/>
    <w:rsid w:val="004D68E4"/>
    <w:rsid w:val="004F1C1F"/>
    <w:rsid w:val="004F6C95"/>
    <w:rsid w:val="0050086B"/>
    <w:rsid w:val="00501382"/>
    <w:rsid w:val="0051304C"/>
    <w:rsid w:val="005208EE"/>
    <w:rsid w:val="005240BE"/>
    <w:rsid w:val="005346A5"/>
    <w:rsid w:val="005417BC"/>
    <w:rsid w:val="00543915"/>
    <w:rsid w:val="00543EF6"/>
    <w:rsid w:val="00545068"/>
    <w:rsid w:val="00546752"/>
    <w:rsid w:val="005479C6"/>
    <w:rsid w:val="00555DAB"/>
    <w:rsid w:val="00565E71"/>
    <w:rsid w:val="00572A9A"/>
    <w:rsid w:val="00573D48"/>
    <w:rsid w:val="005814DB"/>
    <w:rsid w:val="00590707"/>
    <w:rsid w:val="00592D05"/>
    <w:rsid w:val="00592D63"/>
    <w:rsid w:val="00592E1A"/>
    <w:rsid w:val="00595180"/>
    <w:rsid w:val="005978DA"/>
    <w:rsid w:val="005A3F2D"/>
    <w:rsid w:val="005A4153"/>
    <w:rsid w:val="005A4999"/>
    <w:rsid w:val="005A7570"/>
    <w:rsid w:val="005B1C3E"/>
    <w:rsid w:val="005B55C4"/>
    <w:rsid w:val="005B60AB"/>
    <w:rsid w:val="005B7E1A"/>
    <w:rsid w:val="005C16A8"/>
    <w:rsid w:val="005C16C4"/>
    <w:rsid w:val="005C1729"/>
    <w:rsid w:val="005C17A3"/>
    <w:rsid w:val="005D2744"/>
    <w:rsid w:val="005D7813"/>
    <w:rsid w:val="005E3DCE"/>
    <w:rsid w:val="005F7B84"/>
    <w:rsid w:val="006007BC"/>
    <w:rsid w:val="00601441"/>
    <w:rsid w:val="00602F22"/>
    <w:rsid w:val="00616A92"/>
    <w:rsid w:val="00621A97"/>
    <w:rsid w:val="00622790"/>
    <w:rsid w:val="006303E3"/>
    <w:rsid w:val="00630A0A"/>
    <w:rsid w:val="00630F12"/>
    <w:rsid w:val="00634AD1"/>
    <w:rsid w:val="00635CF6"/>
    <w:rsid w:val="00645317"/>
    <w:rsid w:val="00646699"/>
    <w:rsid w:val="00661961"/>
    <w:rsid w:val="00670544"/>
    <w:rsid w:val="00671161"/>
    <w:rsid w:val="006716CA"/>
    <w:rsid w:val="0069747F"/>
    <w:rsid w:val="006A22F3"/>
    <w:rsid w:val="006A7CB8"/>
    <w:rsid w:val="006B1B6F"/>
    <w:rsid w:val="006B3247"/>
    <w:rsid w:val="006C139D"/>
    <w:rsid w:val="006C13E7"/>
    <w:rsid w:val="006C4266"/>
    <w:rsid w:val="006D0139"/>
    <w:rsid w:val="006D36F7"/>
    <w:rsid w:val="006D75BD"/>
    <w:rsid w:val="006E3077"/>
    <w:rsid w:val="006E4FE0"/>
    <w:rsid w:val="006F4BAA"/>
    <w:rsid w:val="00701B2D"/>
    <w:rsid w:val="0070707D"/>
    <w:rsid w:val="00727E2C"/>
    <w:rsid w:val="007332ED"/>
    <w:rsid w:val="007335FC"/>
    <w:rsid w:val="0073373C"/>
    <w:rsid w:val="007358F7"/>
    <w:rsid w:val="007379EA"/>
    <w:rsid w:val="007464CD"/>
    <w:rsid w:val="00751085"/>
    <w:rsid w:val="0075219C"/>
    <w:rsid w:val="00757104"/>
    <w:rsid w:val="00757862"/>
    <w:rsid w:val="00760A1A"/>
    <w:rsid w:val="0076796D"/>
    <w:rsid w:val="00770B99"/>
    <w:rsid w:val="0077578D"/>
    <w:rsid w:val="00777321"/>
    <w:rsid w:val="00785800"/>
    <w:rsid w:val="00790F87"/>
    <w:rsid w:val="00791418"/>
    <w:rsid w:val="0079183F"/>
    <w:rsid w:val="00793390"/>
    <w:rsid w:val="0079728E"/>
    <w:rsid w:val="007A21BE"/>
    <w:rsid w:val="007A22A2"/>
    <w:rsid w:val="007A71ED"/>
    <w:rsid w:val="007B188F"/>
    <w:rsid w:val="007B71B5"/>
    <w:rsid w:val="007C3442"/>
    <w:rsid w:val="007C3600"/>
    <w:rsid w:val="007C5166"/>
    <w:rsid w:val="007D215E"/>
    <w:rsid w:val="007D34A6"/>
    <w:rsid w:val="007D7B27"/>
    <w:rsid w:val="007E3145"/>
    <w:rsid w:val="007E7F16"/>
    <w:rsid w:val="007F6492"/>
    <w:rsid w:val="007F6D91"/>
    <w:rsid w:val="00801AAA"/>
    <w:rsid w:val="008035BC"/>
    <w:rsid w:val="00805405"/>
    <w:rsid w:val="008102EF"/>
    <w:rsid w:val="00813999"/>
    <w:rsid w:val="00815618"/>
    <w:rsid w:val="00820316"/>
    <w:rsid w:val="00820FD8"/>
    <w:rsid w:val="008235FB"/>
    <w:rsid w:val="00830AAD"/>
    <w:rsid w:val="00832FE7"/>
    <w:rsid w:val="008347D8"/>
    <w:rsid w:val="0083611F"/>
    <w:rsid w:val="008403CB"/>
    <w:rsid w:val="00842C97"/>
    <w:rsid w:val="00845374"/>
    <w:rsid w:val="008548C1"/>
    <w:rsid w:val="00861347"/>
    <w:rsid w:val="008627C7"/>
    <w:rsid w:val="00864660"/>
    <w:rsid w:val="00865666"/>
    <w:rsid w:val="00866934"/>
    <w:rsid w:val="00867ACB"/>
    <w:rsid w:val="008826BD"/>
    <w:rsid w:val="00890862"/>
    <w:rsid w:val="0089122D"/>
    <w:rsid w:val="00893155"/>
    <w:rsid w:val="008937B3"/>
    <w:rsid w:val="008A226C"/>
    <w:rsid w:val="008A3AF2"/>
    <w:rsid w:val="008B6E6C"/>
    <w:rsid w:val="008C16F9"/>
    <w:rsid w:val="008D0C21"/>
    <w:rsid w:val="008E20EA"/>
    <w:rsid w:val="008E2298"/>
    <w:rsid w:val="008E22E4"/>
    <w:rsid w:val="008E243A"/>
    <w:rsid w:val="008F1720"/>
    <w:rsid w:val="008F23A7"/>
    <w:rsid w:val="008F3850"/>
    <w:rsid w:val="008F3977"/>
    <w:rsid w:val="00900975"/>
    <w:rsid w:val="00917B16"/>
    <w:rsid w:val="00920D54"/>
    <w:rsid w:val="00943196"/>
    <w:rsid w:val="009516D1"/>
    <w:rsid w:val="00953DAF"/>
    <w:rsid w:val="009550C6"/>
    <w:rsid w:val="00974941"/>
    <w:rsid w:val="00975C47"/>
    <w:rsid w:val="00976D6C"/>
    <w:rsid w:val="00980FC2"/>
    <w:rsid w:val="0098576E"/>
    <w:rsid w:val="00986090"/>
    <w:rsid w:val="0098632C"/>
    <w:rsid w:val="009A3EAD"/>
    <w:rsid w:val="009A7174"/>
    <w:rsid w:val="009B54F0"/>
    <w:rsid w:val="009B5F0F"/>
    <w:rsid w:val="009B6705"/>
    <w:rsid w:val="009D0210"/>
    <w:rsid w:val="009D158A"/>
    <w:rsid w:val="009D264E"/>
    <w:rsid w:val="009D348F"/>
    <w:rsid w:val="009E2E12"/>
    <w:rsid w:val="009F4FE7"/>
    <w:rsid w:val="00A01A33"/>
    <w:rsid w:val="00A01D6E"/>
    <w:rsid w:val="00A03427"/>
    <w:rsid w:val="00A15862"/>
    <w:rsid w:val="00A31B38"/>
    <w:rsid w:val="00A36B75"/>
    <w:rsid w:val="00A37AE3"/>
    <w:rsid w:val="00A4001E"/>
    <w:rsid w:val="00A409A7"/>
    <w:rsid w:val="00A43B98"/>
    <w:rsid w:val="00A45413"/>
    <w:rsid w:val="00A52484"/>
    <w:rsid w:val="00A53430"/>
    <w:rsid w:val="00A54C3E"/>
    <w:rsid w:val="00A551E7"/>
    <w:rsid w:val="00A56B03"/>
    <w:rsid w:val="00A57464"/>
    <w:rsid w:val="00A61CD4"/>
    <w:rsid w:val="00A71B31"/>
    <w:rsid w:val="00A75C72"/>
    <w:rsid w:val="00A802EC"/>
    <w:rsid w:val="00A80E65"/>
    <w:rsid w:val="00A829C7"/>
    <w:rsid w:val="00A84D97"/>
    <w:rsid w:val="00A9722F"/>
    <w:rsid w:val="00AA0097"/>
    <w:rsid w:val="00AA6521"/>
    <w:rsid w:val="00AA684F"/>
    <w:rsid w:val="00AA6ACC"/>
    <w:rsid w:val="00AA736D"/>
    <w:rsid w:val="00AB236D"/>
    <w:rsid w:val="00AC585C"/>
    <w:rsid w:val="00AC6809"/>
    <w:rsid w:val="00AD4A72"/>
    <w:rsid w:val="00AD4CD4"/>
    <w:rsid w:val="00AF7C26"/>
    <w:rsid w:val="00B05004"/>
    <w:rsid w:val="00B05F26"/>
    <w:rsid w:val="00B12AA6"/>
    <w:rsid w:val="00B17747"/>
    <w:rsid w:val="00B17E83"/>
    <w:rsid w:val="00B26C55"/>
    <w:rsid w:val="00B27C61"/>
    <w:rsid w:val="00B41023"/>
    <w:rsid w:val="00B53DFF"/>
    <w:rsid w:val="00B54BFB"/>
    <w:rsid w:val="00B55CEA"/>
    <w:rsid w:val="00B62684"/>
    <w:rsid w:val="00B63BA1"/>
    <w:rsid w:val="00B643B1"/>
    <w:rsid w:val="00B71F2D"/>
    <w:rsid w:val="00B91630"/>
    <w:rsid w:val="00B927E0"/>
    <w:rsid w:val="00BA10C0"/>
    <w:rsid w:val="00BA226C"/>
    <w:rsid w:val="00BA3E5C"/>
    <w:rsid w:val="00BB2A83"/>
    <w:rsid w:val="00BB32BC"/>
    <w:rsid w:val="00BB47AE"/>
    <w:rsid w:val="00BC2B41"/>
    <w:rsid w:val="00BE4F5B"/>
    <w:rsid w:val="00BE62F8"/>
    <w:rsid w:val="00BF4EDB"/>
    <w:rsid w:val="00C02DDF"/>
    <w:rsid w:val="00C06A9D"/>
    <w:rsid w:val="00C40760"/>
    <w:rsid w:val="00C42102"/>
    <w:rsid w:val="00C4232D"/>
    <w:rsid w:val="00C465F8"/>
    <w:rsid w:val="00C55808"/>
    <w:rsid w:val="00C60EBF"/>
    <w:rsid w:val="00C62393"/>
    <w:rsid w:val="00C72393"/>
    <w:rsid w:val="00C76C60"/>
    <w:rsid w:val="00C863A0"/>
    <w:rsid w:val="00CA0957"/>
    <w:rsid w:val="00CA35B7"/>
    <w:rsid w:val="00CA3DD5"/>
    <w:rsid w:val="00CA5083"/>
    <w:rsid w:val="00CB67EC"/>
    <w:rsid w:val="00CB7C5D"/>
    <w:rsid w:val="00CC251C"/>
    <w:rsid w:val="00CC2A5E"/>
    <w:rsid w:val="00CD509B"/>
    <w:rsid w:val="00CD65A4"/>
    <w:rsid w:val="00CD68B4"/>
    <w:rsid w:val="00CD7293"/>
    <w:rsid w:val="00CE40D4"/>
    <w:rsid w:val="00CF14DB"/>
    <w:rsid w:val="00D05799"/>
    <w:rsid w:val="00D2395A"/>
    <w:rsid w:val="00D27997"/>
    <w:rsid w:val="00D27C30"/>
    <w:rsid w:val="00D331C9"/>
    <w:rsid w:val="00D4116B"/>
    <w:rsid w:val="00D54754"/>
    <w:rsid w:val="00D55029"/>
    <w:rsid w:val="00D700C8"/>
    <w:rsid w:val="00D740C6"/>
    <w:rsid w:val="00D74BB9"/>
    <w:rsid w:val="00D918F2"/>
    <w:rsid w:val="00D9213A"/>
    <w:rsid w:val="00D964FD"/>
    <w:rsid w:val="00DA6024"/>
    <w:rsid w:val="00DB1810"/>
    <w:rsid w:val="00DB1AAB"/>
    <w:rsid w:val="00DB2A55"/>
    <w:rsid w:val="00DB3626"/>
    <w:rsid w:val="00DB59D8"/>
    <w:rsid w:val="00DD5650"/>
    <w:rsid w:val="00DE4DC5"/>
    <w:rsid w:val="00DE5F67"/>
    <w:rsid w:val="00DF79EE"/>
    <w:rsid w:val="00E000AC"/>
    <w:rsid w:val="00E0343D"/>
    <w:rsid w:val="00E03C3C"/>
    <w:rsid w:val="00E205B2"/>
    <w:rsid w:val="00E20C74"/>
    <w:rsid w:val="00E22B39"/>
    <w:rsid w:val="00E363E8"/>
    <w:rsid w:val="00E36A38"/>
    <w:rsid w:val="00E413FB"/>
    <w:rsid w:val="00E57999"/>
    <w:rsid w:val="00E65408"/>
    <w:rsid w:val="00E7008F"/>
    <w:rsid w:val="00E73090"/>
    <w:rsid w:val="00E7638C"/>
    <w:rsid w:val="00E845C1"/>
    <w:rsid w:val="00E91A24"/>
    <w:rsid w:val="00E97ED2"/>
    <w:rsid w:val="00EA3BB8"/>
    <w:rsid w:val="00EA6F12"/>
    <w:rsid w:val="00EB4BCB"/>
    <w:rsid w:val="00EC1229"/>
    <w:rsid w:val="00ED6B10"/>
    <w:rsid w:val="00ED7756"/>
    <w:rsid w:val="00EE1F81"/>
    <w:rsid w:val="00EE306C"/>
    <w:rsid w:val="00EE32FE"/>
    <w:rsid w:val="00F11087"/>
    <w:rsid w:val="00F119EF"/>
    <w:rsid w:val="00F15BCF"/>
    <w:rsid w:val="00F2055A"/>
    <w:rsid w:val="00F20C9C"/>
    <w:rsid w:val="00F30CFD"/>
    <w:rsid w:val="00F43E9A"/>
    <w:rsid w:val="00F44C2A"/>
    <w:rsid w:val="00F44C67"/>
    <w:rsid w:val="00F473C5"/>
    <w:rsid w:val="00F509AE"/>
    <w:rsid w:val="00F529E8"/>
    <w:rsid w:val="00F54E10"/>
    <w:rsid w:val="00F61121"/>
    <w:rsid w:val="00F62B89"/>
    <w:rsid w:val="00F63247"/>
    <w:rsid w:val="00F6691B"/>
    <w:rsid w:val="00F67B82"/>
    <w:rsid w:val="00F705CC"/>
    <w:rsid w:val="00F707F1"/>
    <w:rsid w:val="00F74B5D"/>
    <w:rsid w:val="00F803D3"/>
    <w:rsid w:val="00F86770"/>
    <w:rsid w:val="00F94701"/>
    <w:rsid w:val="00F949FF"/>
    <w:rsid w:val="00F9589D"/>
    <w:rsid w:val="00F959D5"/>
    <w:rsid w:val="00FA499F"/>
    <w:rsid w:val="00FA5A79"/>
    <w:rsid w:val="00FB3CD6"/>
    <w:rsid w:val="00FC037B"/>
    <w:rsid w:val="00FC5138"/>
    <w:rsid w:val="00FC799C"/>
    <w:rsid w:val="00FD0AB3"/>
    <w:rsid w:val="00FD4829"/>
    <w:rsid w:val="00FE6531"/>
    <w:rsid w:val="00FF4863"/>
    <w:rsid w:val="00FF4FA7"/>
    <w:rsid w:val="00FF5CAA"/>
    <w:rsid w:val="00FF7718"/>
    <w:rsid w:val="03451A0F"/>
    <w:rsid w:val="04E8B000"/>
    <w:rsid w:val="060AF836"/>
    <w:rsid w:val="0A1D665F"/>
    <w:rsid w:val="0E7669E9"/>
    <w:rsid w:val="0F821A73"/>
    <w:rsid w:val="0FD7B78F"/>
    <w:rsid w:val="117387F0"/>
    <w:rsid w:val="127F2DB7"/>
    <w:rsid w:val="158FB8EA"/>
    <w:rsid w:val="16D67F13"/>
    <w:rsid w:val="1D0F06AB"/>
    <w:rsid w:val="1D45B54D"/>
    <w:rsid w:val="1D8AE0E0"/>
    <w:rsid w:val="1E4EB609"/>
    <w:rsid w:val="2D5296A1"/>
    <w:rsid w:val="2F6E6346"/>
    <w:rsid w:val="35B10B69"/>
    <w:rsid w:val="44D013C2"/>
    <w:rsid w:val="47392E00"/>
    <w:rsid w:val="479A90DC"/>
    <w:rsid w:val="4E7478B7"/>
    <w:rsid w:val="57376699"/>
    <w:rsid w:val="5B6C1C92"/>
    <w:rsid w:val="6A54F09A"/>
    <w:rsid w:val="75471CDD"/>
    <w:rsid w:val="7EC678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6F3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99"/>
    <w:pPr>
      <w:spacing w:before="120" w:after="60" w:line="260" w:lineRule="atLeast"/>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4D1D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1D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1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D1D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qFormat/>
    <w:rsid w:val="00F959D5"/>
    <w:pPr>
      <w:spacing w:before="480"/>
      <w:jc w:val="center"/>
    </w:pPr>
    <w:rPr>
      <w:rFonts w:asciiTheme="minorHAnsi" w:hAnsiTheme="minorHAnsi" w:cstheme="minorHAnsi"/>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next w:val="BodyCopy"/>
    <w:qFormat/>
    <w:rsid w:val="00AF7C26"/>
    <w:pPr>
      <w:spacing w:before="240"/>
    </w:pPr>
    <w:rPr>
      <w:rFonts w:cstheme="majorHAnsi"/>
      <w:b/>
      <w:bCs/>
      <w:caps/>
      <w:color w:val="313E48"/>
      <w:sz w:val="32"/>
      <w:szCs w:val="3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C40760"/>
    <w:pPr>
      <w:numPr>
        <w:numId w:val="4"/>
      </w:numPr>
      <w:ind w:left="340"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paragraph" w:customStyle="1" w:styleId="Bullet1">
    <w:name w:val="Bullet 1"/>
    <w:basedOn w:val="Normal"/>
    <w:qFormat/>
    <w:rsid w:val="00D05799"/>
    <w:pPr>
      <w:numPr>
        <w:numId w:val="9"/>
      </w:numPr>
      <w:tabs>
        <w:tab w:val="left" w:pos="567"/>
      </w:tabs>
      <w:suppressAutoHyphens/>
      <w:spacing w:before="60"/>
    </w:pPr>
    <w:rPr>
      <w:color w:val="44546A" w:themeColor="text2"/>
      <w:lang w:val="en-GB"/>
    </w:rPr>
  </w:style>
  <w:style w:type="paragraph" w:customStyle="1" w:styleId="Bullet2">
    <w:name w:val="Bullet 2"/>
    <w:basedOn w:val="Bullet1"/>
    <w:qFormat/>
    <w:rsid w:val="00D05799"/>
    <w:pPr>
      <w:numPr>
        <w:ilvl w:val="1"/>
      </w:numPr>
      <w:tabs>
        <w:tab w:val="clear" w:pos="568"/>
        <w:tab w:val="left" w:pos="851"/>
      </w:tabs>
    </w:pPr>
  </w:style>
  <w:style w:type="paragraph" w:customStyle="1" w:styleId="Bullet3">
    <w:name w:val="Bullet 3"/>
    <w:basedOn w:val="Bullet2"/>
    <w:qFormat/>
    <w:rsid w:val="00D05799"/>
    <w:pPr>
      <w:numPr>
        <w:ilvl w:val="2"/>
      </w:numPr>
      <w:tabs>
        <w:tab w:val="clear" w:pos="852"/>
        <w:tab w:val="left" w:pos="1134"/>
      </w:tabs>
    </w:pPr>
  </w:style>
  <w:style w:type="paragraph" w:customStyle="1" w:styleId="Heading2Numbered">
    <w:name w:val="Heading 2 Numbered"/>
    <w:basedOn w:val="Heading2"/>
    <w:next w:val="Normal"/>
    <w:qFormat/>
    <w:rsid w:val="00D05799"/>
    <w:pPr>
      <w:numPr>
        <w:ilvl w:val="1"/>
        <w:numId w:val="10"/>
      </w:numPr>
      <w:tabs>
        <w:tab w:val="num" w:pos="360"/>
      </w:tabs>
      <w:suppressAutoHyphens/>
      <w:spacing w:before="480" w:after="60" w:line="380" w:lineRule="exact"/>
      <w:ind w:left="0" w:firstLine="0"/>
      <w:contextualSpacing/>
    </w:pPr>
    <w:rPr>
      <w:b/>
      <w:caps/>
      <w:color w:val="222A35" w:themeColor="text2" w:themeShade="80"/>
      <w:sz w:val="38"/>
      <w:szCs w:val="32"/>
      <w:lang w:val="en-GB"/>
    </w:rPr>
  </w:style>
  <w:style w:type="paragraph" w:customStyle="1" w:styleId="Heading3Numbered">
    <w:name w:val="Heading 3 Numbered"/>
    <w:basedOn w:val="Heading3"/>
    <w:next w:val="Normal"/>
    <w:qFormat/>
    <w:rsid w:val="00D05799"/>
    <w:pPr>
      <w:numPr>
        <w:ilvl w:val="2"/>
        <w:numId w:val="10"/>
      </w:numPr>
      <w:tabs>
        <w:tab w:val="num" w:pos="360"/>
      </w:tabs>
      <w:suppressAutoHyphens/>
      <w:spacing w:before="300" w:after="60" w:line="360" w:lineRule="atLeast"/>
      <w:ind w:left="0" w:firstLine="0"/>
      <w:contextualSpacing/>
    </w:pPr>
    <w:rPr>
      <w:b/>
      <w:bCs/>
      <w:color w:val="222A35" w:themeColor="text2" w:themeShade="80"/>
      <w:sz w:val="30"/>
      <w:szCs w:val="22"/>
      <w:lang w:val="en-GB"/>
    </w:rPr>
  </w:style>
  <w:style w:type="paragraph" w:customStyle="1" w:styleId="Heading1Numberedsmallspaceafter">
    <w:name w:val="Heading 1 Numbered small space after"/>
    <w:basedOn w:val="Normal"/>
    <w:qFormat/>
    <w:rsid w:val="00D05799"/>
    <w:pPr>
      <w:keepNext/>
      <w:keepLines/>
      <w:numPr>
        <w:numId w:val="10"/>
      </w:numPr>
      <w:suppressAutoHyphens/>
      <w:spacing w:before="300" w:after="600" w:line="240" w:lineRule="auto"/>
      <w:contextualSpacing/>
      <w:outlineLvl w:val="0"/>
    </w:pPr>
    <w:rPr>
      <w:rFonts w:asciiTheme="majorHAnsi" w:eastAsiaTheme="majorEastAsia" w:hAnsiTheme="majorHAnsi" w:cstheme="majorBidi"/>
      <w:b/>
      <w:bCs/>
      <w:caps/>
      <w:color w:val="44546A" w:themeColor="text2"/>
      <w:sz w:val="38"/>
      <w:szCs w:val="28"/>
      <w:lang w:val="en-GB"/>
    </w:rPr>
  </w:style>
  <w:style w:type="numbering" w:customStyle="1" w:styleId="HeadingsList">
    <w:name w:val="Headings List"/>
    <w:uiPriority w:val="99"/>
    <w:rsid w:val="00D05799"/>
    <w:pPr>
      <w:numPr>
        <w:numId w:val="10"/>
      </w:numPr>
    </w:pPr>
  </w:style>
  <w:style w:type="numbering" w:customStyle="1" w:styleId="BulletsList">
    <w:name w:val="Bullets List"/>
    <w:uiPriority w:val="99"/>
    <w:rsid w:val="00D05799"/>
    <w:pPr>
      <w:numPr>
        <w:numId w:val="11"/>
      </w:numPr>
    </w:pPr>
  </w:style>
  <w:style w:type="paragraph" w:styleId="BodyText">
    <w:name w:val="Body Text"/>
    <w:basedOn w:val="Normal"/>
    <w:link w:val="BodyTextChar"/>
    <w:uiPriority w:val="99"/>
    <w:unhideWhenUsed/>
    <w:qFormat/>
    <w:rsid w:val="00D05799"/>
    <w:pPr>
      <w:suppressAutoHyphens/>
      <w:spacing w:after="120" w:line="240" w:lineRule="auto"/>
    </w:pPr>
    <w:rPr>
      <w:rFonts w:ascii="Calibri" w:hAnsi="Calibri"/>
      <w:color w:val="000000" w:themeColor="text1"/>
      <w:lang w:val="en-GB"/>
    </w:rPr>
  </w:style>
  <w:style w:type="character" w:customStyle="1" w:styleId="BodyTextChar">
    <w:name w:val="Body Text Char"/>
    <w:basedOn w:val="DefaultParagraphFont"/>
    <w:link w:val="BodyText"/>
    <w:uiPriority w:val="99"/>
    <w:rsid w:val="00D05799"/>
    <w:rPr>
      <w:rFonts w:eastAsiaTheme="minorHAnsi" w:cstheme="minorBidi"/>
      <w:color w:val="000000" w:themeColor="text1"/>
      <w:sz w:val="22"/>
      <w:szCs w:val="22"/>
      <w:lang w:val="en-GB" w:eastAsia="en-US"/>
    </w:rPr>
  </w:style>
  <w:style w:type="paragraph" w:customStyle="1" w:styleId="BoxStyle-Content">
    <w:name w:val="Box Style - Content"/>
    <w:basedOn w:val="Normal"/>
    <w:link w:val="BoxStyle-ContentChar"/>
    <w:qFormat/>
    <w:rsid w:val="00D05799"/>
    <w:pPr>
      <w:spacing w:after="120" w:line="240" w:lineRule="auto"/>
      <w:ind w:left="284"/>
      <w:mirrorIndents/>
    </w:pPr>
    <w:rPr>
      <w:rFonts w:ascii="Franklin Gothic Book" w:eastAsia="Calibri" w:hAnsi="Franklin Gothic Book" w:cs="Times New Roman"/>
      <w:iCs/>
      <w:szCs w:val="21"/>
      <w:lang w:eastAsia="en-AU"/>
    </w:rPr>
  </w:style>
  <w:style w:type="character" w:customStyle="1" w:styleId="BoxStyle-ContentChar">
    <w:name w:val="Box Style - Content Char"/>
    <w:basedOn w:val="DefaultParagraphFont"/>
    <w:link w:val="BoxStyle-Content"/>
    <w:rsid w:val="00D05799"/>
    <w:rPr>
      <w:rFonts w:ascii="Franklin Gothic Book" w:hAnsi="Franklin Gothic Book"/>
      <w:iCs/>
      <w:sz w:val="22"/>
      <w:szCs w:val="21"/>
    </w:rPr>
  </w:style>
  <w:style w:type="paragraph" w:styleId="ListParagraph">
    <w:name w:val="List Paragraph"/>
    <w:aliases w:val="Bullets,Bullet paras,Bullet1,List Paragraph1,Recommendation,List Paragraph11,Rec para,L,CV text,Table text,F5 List Paragraph,Dot pt,Colorful List - Accent 11,No Spacing1,List Paragraph Char Char Char,Indicator Text,Numbered Para 1,列"/>
    <w:basedOn w:val="Normal"/>
    <w:link w:val="ListParagraphChar"/>
    <w:uiPriority w:val="34"/>
    <w:qFormat/>
    <w:rsid w:val="00D05799"/>
    <w:pPr>
      <w:ind w:left="720"/>
      <w:contextualSpacing/>
    </w:pPr>
  </w:style>
  <w:style w:type="character" w:customStyle="1" w:styleId="ListParagraphChar">
    <w:name w:val="List Paragraph Char"/>
    <w:aliases w:val="Bullets Char,Bullet paras Char,Bullet1 Char,List Paragraph1 Char,Recommendation Char,List Paragraph11 Char,Rec para Char,L Char,CV text Char,Table text Char,F5 List Paragraph Char,Dot pt Char,Colorful List - Accent 11 Char,列 Char"/>
    <w:basedOn w:val="DefaultParagraphFont"/>
    <w:link w:val="ListParagraph"/>
    <w:uiPriority w:val="34"/>
    <w:qFormat/>
    <w:locked/>
    <w:rsid w:val="00D05799"/>
    <w:rPr>
      <w:rFonts w:asciiTheme="minorHAnsi" w:eastAsiaTheme="minorHAnsi" w:hAnsiTheme="minorHAnsi" w:cstheme="minorBidi"/>
      <w:sz w:val="22"/>
      <w:szCs w:val="22"/>
      <w:lang w:eastAsia="en-US"/>
    </w:rPr>
  </w:style>
  <w:style w:type="paragraph" w:customStyle="1" w:styleId="paragraph">
    <w:name w:val="paragraph"/>
    <w:basedOn w:val="Normal"/>
    <w:rsid w:val="004802C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802CD"/>
  </w:style>
  <w:style w:type="character" w:customStyle="1" w:styleId="eop">
    <w:name w:val="eop"/>
    <w:basedOn w:val="DefaultParagraphFont"/>
    <w:rsid w:val="004802CD"/>
  </w:style>
  <w:style w:type="character" w:styleId="Hyperlink">
    <w:name w:val="Hyperlink"/>
    <w:basedOn w:val="DefaultParagraphFont"/>
    <w:uiPriority w:val="99"/>
    <w:unhideWhenUsed/>
    <w:rsid w:val="00487157"/>
    <w:rPr>
      <w:color w:val="0563C1" w:themeColor="hyperlink"/>
      <w:u w:val="single"/>
    </w:rPr>
  </w:style>
  <w:style w:type="character" w:styleId="UnresolvedMention">
    <w:name w:val="Unresolved Mention"/>
    <w:basedOn w:val="DefaultParagraphFont"/>
    <w:uiPriority w:val="99"/>
    <w:semiHidden/>
    <w:unhideWhenUsed/>
    <w:rsid w:val="00487157"/>
    <w:rPr>
      <w:color w:val="605E5C"/>
      <w:shd w:val="clear" w:color="auto" w:fill="E1DFDD"/>
    </w:rPr>
  </w:style>
  <w:style w:type="character" w:styleId="CommentReference">
    <w:name w:val="annotation reference"/>
    <w:basedOn w:val="DefaultParagraphFont"/>
    <w:uiPriority w:val="99"/>
    <w:semiHidden/>
    <w:unhideWhenUsed/>
    <w:rsid w:val="002E67AF"/>
    <w:rPr>
      <w:sz w:val="16"/>
      <w:szCs w:val="16"/>
    </w:rPr>
  </w:style>
  <w:style w:type="paragraph" w:styleId="CommentText">
    <w:name w:val="annotation text"/>
    <w:basedOn w:val="Normal"/>
    <w:link w:val="CommentTextChar"/>
    <w:uiPriority w:val="99"/>
    <w:unhideWhenUsed/>
    <w:rsid w:val="002E67AF"/>
    <w:pPr>
      <w:spacing w:line="240" w:lineRule="auto"/>
    </w:pPr>
    <w:rPr>
      <w:sz w:val="20"/>
      <w:szCs w:val="20"/>
    </w:rPr>
  </w:style>
  <w:style w:type="character" w:customStyle="1" w:styleId="CommentTextChar">
    <w:name w:val="Comment Text Char"/>
    <w:basedOn w:val="DefaultParagraphFont"/>
    <w:link w:val="CommentText"/>
    <w:uiPriority w:val="99"/>
    <w:rsid w:val="002E67AF"/>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E67AF"/>
    <w:rPr>
      <w:b/>
      <w:bCs/>
    </w:rPr>
  </w:style>
  <w:style w:type="character" w:customStyle="1" w:styleId="CommentSubjectChar">
    <w:name w:val="Comment Subject Char"/>
    <w:basedOn w:val="CommentTextChar"/>
    <w:link w:val="CommentSubject"/>
    <w:uiPriority w:val="99"/>
    <w:semiHidden/>
    <w:rsid w:val="002E67AF"/>
    <w:rPr>
      <w:rFonts w:asciiTheme="minorHAnsi" w:eastAsiaTheme="minorHAnsi" w:hAnsiTheme="minorHAnsi" w:cstheme="minorBidi"/>
      <w:b/>
      <w:bCs/>
      <w:lang w:eastAsia="en-US"/>
    </w:rPr>
  </w:style>
  <w:style w:type="paragraph" w:styleId="Revision">
    <w:name w:val="Revision"/>
    <w:hidden/>
    <w:uiPriority w:val="99"/>
    <w:semiHidden/>
    <w:rsid w:val="00757862"/>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FD4829"/>
    <w:rPr>
      <w:color w:val="954F72" w:themeColor="followedHyperlink"/>
      <w:u w:val="single"/>
    </w:rPr>
  </w:style>
  <w:style w:type="paragraph" w:styleId="FootnoteText">
    <w:name w:val="footnote text"/>
    <w:basedOn w:val="Normal"/>
    <w:link w:val="FootnoteTextChar"/>
    <w:uiPriority w:val="99"/>
    <w:semiHidden/>
    <w:unhideWhenUsed/>
    <w:rsid w:val="00E03C3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03C3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E03C3C"/>
    <w:rPr>
      <w:vertAlign w:val="superscript"/>
    </w:rPr>
  </w:style>
  <w:style w:type="paragraph" w:styleId="Caption">
    <w:name w:val="caption"/>
    <w:basedOn w:val="Normal"/>
    <w:next w:val="Normal"/>
    <w:uiPriority w:val="35"/>
    <w:semiHidden/>
    <w:unhideWhenUsed/>
    <w:qFormat/>
    <w:rsid w:val="00430014"/>
    <w:pPr>
      <w:suppressAutoHyphens/>
      <w:spacing w:before="240" w:after="180" w:line="240" w:lineRule="atLeast"/>
      <w:contextualSpacing/>
    </w:pPr>
    <w:rPr>
      <w:b/>
      <w:iCs/>
      <w:color w:val="44546A" w:themeColor="text2"/>
      <w:sz w:val="20"/>
      <w:szCs w:val="18"/>
      <w:lang w:val="en-GB"/>
    </w:rPr>
  </w:style>
  <w:style w:type="paragraph" w:customStyle="1" w:styleId="Heading1Numbered">
    <w:name w:val="Heading 1 Numbered"/>
    <w:basedOn w:val="Heading1"/>
    <w:next w:val="Normal"/>
    <w:qFormat/>
    <w:rsid w:val="00430014"/>
    <w:pPr>
      <w:tabs>
        <w:tab w:val="num" w:pos="360"/>
      </w:tabs>
      <w:suppressAutoHyphens/>
      <w:spacing w:before="0" w:after="180" w:line="380" w:lineRule="exact"/>
      <w:contextualSpacing/>
    </w:pPr>
    <w:rPr>
      <w:b/>
      <w:bCs/>
      <w:caps/>
      <w:color w:val="44546A" w:themeColor="text2"/>
      <w:sz w:val="3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85479">
      <w:bodyDiv w:val="1"/>
      <w:marLeft w:val="0"/>
      <w:marRight w:val="0"/>
      <w:marTop w:val="0"/>
      <w:marBottom w:val="0"/>
      <w:divBdr>
        <w:top w:val="none" w:sz="0" w:space="0" w:color="auto"/>
        <w:left w:val="none" w:sz="0" w:space="0" w:color="auto"/>
        <w:bottom w:val="none" w:sz="0" w:space="0" w:color="auto"/>
        <w:right w:val="none" w:sz="0" w:space="0" w:color="auto"/>
      </w:divBdr>
    </w:div>
    <w:div w:id="638731639">
      <w:bodyDiv w:val="1"/>
      <w:marLeft w:val="0"/>
      <w:marRight w:val="0"/>
      <w:marTop w:val="0"/>
      <w:marBottom w:val="0"/>
      <w:divBdr>
        <w:top w:val="none" w:sz="0" w:space="0" w:color="auto"/>
        <w:left w:val="none" w:sz="0" w:space="0" w:color="auto"/>
        <w:bottom w:val="none" w:sz="0" w:space="0" w:color="auto"/>
        <w:right w:val="none" w:sz="0" w:space="0" w:color="auto"/>
      </w:divBdr>
      <w:divsChild>
        <w:div w:id="545917144">
          <w:marLeft w:val="0"/>
          <w:marRight w:val="0"/>
          <w:marTop w:val="0"/>
          <w:marBottom w:val="0"/>
          <w:divBdr>
            <w:top w:val="none" w:sz="0" w:space="0" w:color="auto"/>
            <w:left w:val="none" w:sz="0" w:space="0" w:color="auto"/>
            <w:bottom w:val="none" w:sz="0" w:space="0" w:color="auto"/>
            <w:right w:val="none" w:sz="0" w:space="0" w:color="auto"/>
          </w:divBdr>
        </w:div>
        <w:div w:id="1474177031">
          <w:marLeft w:val="0"/>
          <w:marRight w:val="0"/>
          <w:marTop w:val="0"/>
          <w:marBottom w:val="0"/>
          <w:divBdr>
            <w:top w:val="none" w:sz="0" w:space="0" w:color="auto"/>
            <w:left w:val="none" w:sz="0" w:space="0" w:color="auto"/>
            <w:bottom w:val="none" w:sz="0" w:space="0" w:color="auto"/>
            <w:right w:val="none" w:sz="0" w:space="0" w:color="auto"/>
          </w:divBdr>
        </w:div>
      </w:divsChild>
    </w:div>
    <w:div w:id="1326788681">
      <w:bodyDiv w:val="1"/>
      <w:marLeft w:val="0"/>
      <w:marRight w:val="0"/>
      <w:marTop w:val="0"/>
      <w:marBottom w:val="0"/>
      <w:divBdr>
        <w:top w:val="none" w:sz="0" w:space="0" w:color="auto"/>
        <w:left w:val="none" w:sz="0" w:space="0" w:color="auto"/>
        <w:bottom w:val="none" w:sz="0" w:space="0" w:color="auto"/>
        <w:right w:val="none" w:sz="0" w:space="0" w:color="auto"/>
      </w:divBdr>
    </w:div>
    <w:div w:id="1383019759">
      <w:bodyDiv w:val="1"/>
      <w:marLeft w:val="0"/>
      <w:marRight w:val="0"/>
      <w:marTop w:val="0"/>
      <w:marBottom w:val="0"/>
      <w:divBdr>
        <w:top w:val="none" w:sz="0" w:space="0" w:color="auto"/>
        <w:left w:val="none" w:sz="0" w:space="0" w:color="auto"/>
        <w:bottom w:val="none" w:sz="0" w:space="0" w:color="auto"/>
        <w:right w:val="none" w:sz="0" w:space="0" w:color="auto"/>
      </w:divBdr>
      <w:divsChild>
        <w:div w:id="1242257733">
          <w:marLeft w:val="0"/>
          <w:marRight w:val="0"/>
          <w:marTop w:val="0"/>
          <w:marBottom w:val="0"/>
          <w:divBdr>
            <w:top w:val="none" w:sz="0" w:space="0" w:color="auto"/>
            <w:left w:val="none" w:sz="0" w:space="0" w:color="auto"/>
            <w:bottom w:val="none" w:sz="0" w:space="0" w:color="auto"/>
            <w:right w:val="none" w:sz="0" w:space="0" w:color="auto"/>
          </w:divBdr>
        </w:div>
        <w:div w:id="1397898697">
          <w:marLeft w:val="0"/>
          <w:marRight w:val="0"/>
          <w:marTop w:val="0"/>
          <w:marBottom w:val="0"/>
          <w:divBdr>
            <w:top w:val="none" w:sz="0" w:space="0" w:color="auto"/>
            <w:left w:val="none" w:sz="0" w:space="0" w:color="auto"/>
            <w:bottom w:val="none" w:sz="0" w:space="0" w:color="auto"/>
            <w:right w:val="none" w:sz="0" w:space="0" w:color="auto"/>
          </w:divBdr>
        </w:div>
        <w:div w:id="1398237390">
          <w:marLeft w:val="0"/>
          <w:marRight w:val="0"/>
          <w:marTop w:val="0"/>
          <w:marBottom w:val="0"/>
          <w:divBdr>
            <w:top w:val="none" w:sz="0" w:space="0" w:color="auto"/>
            <w:left w:val="none" w:sz="0" w:space="0" w:color="auto"/>
            <w:bottom w:val="none" w:sz="0" w:space="0" w:color="auto"/>
            <w:right w:val="none" w:sz="0" w:space="0" w:color="auto"/>
          </w:divBdr>
        </w:div>
        <w:div w:id="1708523722">
          <w:marLeft w:val="0"/>
          <w:marRight w:val="0"/>
          <w:marTop w:val="0"/>
          <w:marBottom w:val="0"/>
          <w:divBdr>
            <w:top w:val="none" w:sz="0" w:space="0" w:color="auto"/>
            <w:left w:val="none" w:sz="0" w:space="0" w:color="auto"/>
            <w:bottom w:val="none" w:sz="0" w:space="0" w:color="auto"/>
            <w:right w:val="none" w:sz="0" w:space="0" w:color="auto"/>
          </w:divBdr>
        </w:div>
      </w:divsChild>
    </w:div>
    <w:div w:id="19249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about-us/publications/international-development-programming-guide" TargetMode="External"/><Relationship Id="rId13" Type="http://schemas.openxmlformats.org/officeDocument/2006/relationships/hyperlink" Target="https://www.oecd.org/dac/gender-development/dac-gender-equality-marker.htm" TargetMode="External"/><Relationship Id="rId18" Type="http://schemas.openxmlformats.org/officeDocument/2006/relationships/hyperlink" Target="https://www.dfat.gov.au/sites/default/files/disability-inclusive-development-guidance-note.pdf" TargetMode="External"/><Relationship Id="rId26" Type="http://schemas.openxmlformats.org/officeDocument/2006/relationships/image" Target="media/image3.svg"/><Relationship Id="rId3" Type="http://schemas.openxmlformats.org/officeDocument/2006/relationships/styles" Target="styles.xml"/><Relationship Id="rId21" Type="http://schemas.openxmlformats.org/officeDocument/2006/relationships/hyperlink" Target="https://www.dfat.gov.au/about-us/publications/gender-equality-in-investment-design-good-practice-note"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fat.gov.au/about-us/publications/dfat-design-monitoring-evaluation-learning-standards" TargetMode="External"/><Relationship Id="rId17" Type="http://schemas.openxmlformats.org/officeDocument/2006/relationships/hyperlink" Target="http://chrome-extension://efaidnbmnnnibpcajpcglclefindmkaj/https:/www.oecd.org/dac/environment-development/Revised%20climate%20marker%20handbook_FINAL.pdf" TargetMode="External"/><Relationship Id="rId25" Type="http://schemas.openxmlformats.org/officeDocument/2006/relationships/image" Target="media/image2.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rome-extension://efaidnbmnnnibpcajpcglclefindmkaj/https:/one.oecd.org/document/DCD/DAC/STAT(2020)48/en/pdf" TargetMode="External"/><Relationship Id="rId20" Type="http://schemas.openxmlformats.org/officeDocument/2006/relationships/hyperlink" Target="http://dfatintranet.titan.satin.lo/managing-aid/climate-change-hub/Pages/default.aspx" TargetMode="External"/><Relationship Id="rId29" Type="http://schemas.openxmlformats.org/officeDocument/2006/relationships/hyperlink" Target="https://www.adb.org/documents/tool-kit-gender-equality-results-and-indica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about-us/publications/Pages/gender-equality-in-monitoring-and-evaluation-good-practice-note" TargetMode="External"/><Relationship Id="rId24" Type="http://schemas.openxmlformats.org/officeDocument/2006/relationships/image" Target="media/image1.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fat.gov.au/publications/development/australias-international-development-policy" TargetMode="External"/><Relationship Id="rId23" Type="http://schemas.openxmlformats.org/officeDocument/2006/relationships/hyperlink" Target="https://genderatwork.org/analytical-framework/" TargetMode="External"/><Relationship Id="rId28" Type="http://schemas.openxmlformats.org/officeDocument/2006/relationships/image" Target="media/image5.svg"/><Relationship Id="rId36" Type="http://schemas.openxmlformats.org/officeDocument/2006/relationships/fontTable" Target="fontTable.xml"/><Relationship Id="rId10" Type="http://schemas.openxmlformats.org/officeDocument/2006/relationships/hyperlink" Target="https://www.dfat.gov.au/about-us/publications/gender-equality-in-investment-design-good-practice-note" TargetMode="External"/><Relationship Id="rId19" Type="http://schemas.openxmlformats.org/officeDocument/2006/relationships/hyperlink" Target="http://dfatintranet.titan.satin.lo/managing-aid/investment-priorities-cross-cutting-issues/investment-priorities/humanitarian-assistance-disaster-risk-reduction/Documents/climate-change-integration-guidance.pdf" TargetMode="External"/><Relationship Id="rId31" Type="http://schemas.openxmlformats.org/officeDocument/2006/relationships/hyperlink" Target="mailto:gender.equality@dfat.gov.au" TargetMode="External"/><Relationship Id="rId4" Type="http://schemas.openxmlformats.org/officeDocument/2006/relationships/settings" Target="settings.xml"/><Relationship Id="rId9" Type="http://schemas.openxmlformats.org/officeDocument/2006/relationships/hyperlink" Target="https://www.dfat.gov.au/about-us/publications/dfat-design-monitoring-evaluation-learning-standards" TargetMode="External"/><Relationship Id="rId14" Type="http://schemas.openxmlformats.org/officeDocument/2006/relationships/hyperlink" Target="https://www.dfat.gov.au/about-us/publications/international-development-programming-guide" TargetMode="External"/><Relationship Id="rId22" Type="http://schemas.openxmlformats.org/officeDocument/2006/relationships/hyperlink" Target="https://www.dfat.gov.au/publications/development/gender-equality-disability-and-social-inclusion-analysis-good-practice-note" TargetMode="External"/><Relationship Id="rId27" Type="http://schemas.openxmlformats.org/officeDocument/2006/relationships/image" Target="media/image4.png"/><Relationship Id="rId30" Type="http://schemas.openxmlformats.org/officeDocument/2006/relationships/hyperlink" Target="https://www.dfat.gov.au/publications/development/gender-equality-investment-level-strategy-development-good-practice-note"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2158</Words>
  <Characters>12570</Characters>
  <Application>Microsoft Office Word</Application>
  <DocSecurity>0</DocSecurity>
  <Lines>225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Equality Outcomes - Good Practice Note</dc:title>
  <dc:subject/>
  <dc:creator/>
  <cp:keywords>[SEC=OFFICIAL]</cp:keywords>
  <dc:description/>
  <cp:lastModifiedBy/>
  <cp:revision>1</cp:revision>
  <dcterms:created xsi:type="dcterms:W3CDTF">2024-03-01T03:14:00Z</dcterms:created>
  <dcterms:modified xsi:type="dcterms:W3CDTF">2024-03-01T03:14:00Z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v=2022.1;a=SHA256;h=CDE041E83325E14CFA7E172C0D565071C96641C33B63462411EEBE8D5E18AD47</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4654A15D617077612B08389D7E4124AE</vt:lpwstr>
  </property>
  <property fmtid="{D5CDD505-2E9C-101B-9397-08002B2CF9AE}" pid="20" name="PM_Hash_Salt">
    <vt:lpwstr>E00E17ABA9821FE3BB43DECF489C8D24</vt:lpwstr>
  </property>
  <property fmtid="{D5CDD505-2E9C-101B-9397-08002B2CF9AE}" pid="21" name="PM_Hash_SHA1">
    <vt:lpwstr>E51FF711D085CF16554313D1B48D7009F0AA4F43</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