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204015" w14:textId="77777777" w:rsidR="00FE6F2A" w:rsidRDefault="00955ABA" w:rsidP="00955ABA">
      <w:pPr>
        <w:pStyle w:val="SpacebeforeTitle"/>
        <w:tabs>
          <w:tab w:val="left" w:pos="1114"/>
        </w:tabs>
      </w:pPr>
      <w:bookmarkStart w:id="0" w:name="_GoBack"/>
      <w:bookmarkEnd w:id="0"/>
      <w:r>
        <w:tab/>
      </w:r>
      <w:r w:rsidR="003555AD">
        <w:t xml:space="preserve"> </w:t>
      </w:r>
    </w:p>
    <w:p w14:paraId="184739A0" w14:textId="77777777" w:rsidR="00490CDB" w:rsidRPr="00490CDB" w:rsidRDefault="00490CDB" w:rsidP="00490CDB">
      <w:pPr>
        <w:pBdr>
          <w:top w:val="single" w:sz="4" w:space="1" w:color="677370" w:themeColor="background2" w:themeShade="80"/>
          <w:left w:val="single" w:sz="4" w:space="4" w:color="677370" w:themeColor="background2" w:themeShade="80"/>
          <w:bottom w:val="single" w:sz="4" w:space="1" w:color="677370" w:themeColor="background2" w:themeShade="80"/>
          <w:right w:val="single" w:sz="4" w:space="4" w:color="677370" w:themeColor="background2" w:themeShade="80"/>
          <w:between w:val="single" w:sz="4" w:space="1" w:color="677370" w:themeColor="background2" w:themeShade="80"/>
          <w:bar w:val="single" w:sz="4" w:color="677370" w:themeColor="background2" w:themeShade="80"/>
        </w:pBdr>
        <w:shd w:val="clear" w:color="auto" w:fill="C1E7E0" w:themeFill="accent1" w:themeFillTint="66"/>
        <w:rPr>
          <w:sz w:val="21"/>
          <w:szCs w:val="21"/>
        </w:rPr>
      </w:pPr>
      <w:r w:rsidRPr="00490CDB">
        <w:rPr>
          <w:b/>
          <w:sz w:val="21"/>
          <w:szCs w:val="21"/>
        </w:rPr>
        <w:t>Investment Concept Title:</w:t>
      </w:r>
      <w:r w:rsidR="004775C0">
        <w:rPr>
          <w:b/>
          <w:sz w:val="21"/>
          <w:szCs w:val="21"/>
        </w:rPr>
        <w:t xml:space="preserve"> Timor-Leste: Governance for Development 2</w:t>
      </w:r>
      <w:r w:rsidR="004775C0">
        <w:rPr>
          <w:b/>
          <w:sz w:val="21"/>
          <w:szCs w:val="21"/>
        </w:rPr>
        <w:tab/>
      </w:r>
      <w:r w:rsidRPr="00490CDB">
        <w:rPr>
          <w:b/>
          <w:sz w:val="21"/>
          <w:szCs w:val="21"/>
        </w:rPr>
        <w:tab/>
      </w:r>
      <w:r w:rsidRPr="00490CDB">
        <w:rPr>
          <w:b/>
          <w:sz w:val="21"/>
          <w:szCs w:val="21"/>
        </w:rPr>
        <w:tab/>
      </w:r>
      <w:r w:rsidRPr="00490CDB">
        <w:rPr>
          <w:b/>
          <w:sz w:val="21"/>
          <w:szCs w:val="21"/>
        </w:rPr>
        <w:tab/>
      </w:r>
    </w:p>
    <w:p w14:paraId="7F7A7A59" w14:textId="77777777" w:rsidR="00490CDB" w:rsidRPr="00490CDB" w:rsidRDefault="00490CDB" w:rsidP="00490CDB">
      <w:pPr>
        <w:pBdr>
          <w:top w:val="single" w:sz="4" w:space="1" w:color="677370" w:themeColor="background2" w:themeShade="80"/>
          <w:left w:val="single" w:sz="4" w:space="4" w:color="677370" w:themeColor="background2" w:themeShade="80"/>
          <w:bottom w:val="single" w:sz="4" w:space="1" w:color="677370" w:themeColor="background2" w:themeShade="80"/>
          <w:right w:val="single" w:sz="4" w:space="4" w:color="677370" w:themeColor="background2" w:themeShade="80"/>
          <w:between w:val="single" w:sz="4" w:space="1" w:color="677370" w:themeColor="background2" w:themeShade="80"/>
          <w:bar w:val="single" w:sz="4" w:color="677370" w:themeColor="background2" w:themeShade="80"/>
        </w:pBdr>
        <w:shd w:val="clear" w:color="auto" w:fill="C1E7E0" w:themeFill="accent1" w:themeFillTint="66"/>
        <w:rPr>
          <w:b/>
          <w:sz w:val="21"/>
          <w:szCs w:val="21"/>
        </w:rPr>
      </w:pPr>
      <w:r w:rsidRPr="00490CDB">
        <w:rPr>
          <w:b/>
          <w:sz w:val="21"/>
          <w:szCs w:val="21"/>
        </w:rPr>
        <w:t>Start date:</w:t>
      </w:r>
      <w:r w:rsidR="004775C0">
        <w:rPr>
          <w:b/>
          <w:sz w:val="21"/>
          <w:szCs w:val="21"/>
        </w:rPr>
        <w:t xml:space="preserve"> 1 J</w:t>
      </w:r>
      <w:r w:rsidR="00B84B05">
        <w:rPr>
          <w:b/>
          <w:sz w:val="21"/>
          <w:szCs w:val="21"/>
        </w:rPr>
        <w:t>anuary</w:t>
      </w:r>
      <w:r w:rsidR="004775C0">
        <w:rPr>
          <w:b/>
          <w:sz w:val="21"/>
          <w:szCs w:val="21"/>
        </w:rPr>
        <w:t xml:space="preserve"> 202</w:t>
      </w:r>
      <w:r w:rsidR="00B84B05">
        <w:rPr>
          <w:b/>
          <w:sz w:val="21"/>
          <w:szCs w:val="21"/>
        </w:rPr>
        <w:t>2</w:t>
      </w:r>
      <w:r w:rsidR="000871AB">
        <w:rPr>
          <w:b/>
          <w:sz w:val="21"/>
          <w:szCs w:val="21"/>
        </w:rPr>
        <w:t xml:space="preserve"> (tbc)</w:t>
      </w:r>
      <w:r w:rsidR="006834E3">
        <w:rPr>
          <w:b/>
          <w:sz w:val="21"/>
          <w:szCs w:val="21"/>
        </w:rPr>
        <w:tab/>
      </w:r>
      <w:r w:rsidR="006834E3">
        <w:rPr>
          <w:b/>
          <w:sz w:val="21"/>
          <w:szCs w:val="21"/>
        </w:rPr>
        <w:tab/>
      </w:r>
      <w:r w:rsidR="006834E3">
        <w:rPr>
          <w:b/>
          <w:sz w:val="21"/>
          <w:szCs w:val="21"/>
        </w:rPr>
        <w:tab/>
      </w:r>
      <w:r w:rsidR="006834E3">
        <w:rPr>
          <w:b/>
          <w:sz w:val="21"/>
          <w:szCs w:val="21"/>
        </w:rPr>
        <w:tab/>
      </w:r>
      <w:r w:rsidRPr="00490CDB">
        <w:rPr>
          <w:b/>
          <w:sz w:val="21"/>
          <w:szCs w:val="21"/>
        </w:rPr>
        <w:t xml:space="preserve">End date: </w:t>
      </w:r>
      <w:r w:rsidR="004775C0">
        <w:rPr>
          <w:b/>
          <w:sz w:val="21"/>
          <w:szCs w:val="21"/>
        </w:rPr>
        <w:t>3</w:t>
      </w:r>
      <w:r w:rsidR="00B84B05">
        <w:rPr>
          <w:b/>
          <w:sz w:val="21"/>
          <w:szCs w:val="21"/>
        </w:rPr>
        <w:t>1</w:t>
      </w:r>
      <w:r w:rsidR="007B2AB2">
        <w:rPr>
          <w:b/>
          <w:sz w:val="21"/>
          <w:szCs w:val="21"/>
        </w:rPr>
        <w:t xml:space="preserve"> </w:t>
      </w:r>
      <w:r w:rsidR="00B84B05">
        <w:rPr>
          <w:b/>
          <w:sz w:val="21"/>
          <w:szCs w:val="21"/>
        </w:rPr>
        <w:t>December</w:t>
      </w:r>
      <w:r w:rsidR="004775C0">
        <w:rPr>
          <w:b/>
          <w:sz w:val="21"/>
          <w:szCs w:val="21"/>
        </w:rPr>
        <w:t xml:space="preserve"> 2029</w:t>
      </w:r>
      <w:r w:rsidR="000871AB">
        <w:rPr>
          <w:b/>
          <w:sz w:val="21"/>
          <w:szCs w:val="21"/>
        </w:rPr>
        <w:t xml:space="preserve"> (tbc)</w:t>
      </w:r>
      <w:r w:rsidRPr="00490CDB">
        <w:rPr>
          <w:b/>
          <w:sz w:val="21"/>
          <w:szCs w:val="21"/>
        </w:rPr>
        <w:tab/>
      </w:r>
      <w:r w:rsidRPr="00490CDB">
        <w:rPr>
          <w:b/>
          <w:sz w:val="21"/>
          <w:szCs w:val="21"/>
        </w:rPr>
        <w:tab/>
      </w:r>
    </w:p>
    <w:p w14:paraId="18B4B6A0" w14:textId="73909D59" w:rsidR="00490CDB" w:rsidRPr="006834E3" w:rsidRDefault="00490CDB" w:rsidP="00490CDB">
      <w:pPr>
        <w:pBdr>
          <w:top w:val="single" w:sz="4" w:space="1" w:color="677370" w:themeColor="background2" w:themeShade="80"/>
          <w:left w:val="single" w:sz="4" w:space="4" w:color="677370" w:themeColor="background2" w:themeShade="80"/>
          <w:bottom w:val="single" w:sz="4" w:space="1" w:color="677370" w:themeColor="background2" w:themeShade="80"/>
          <w:right w:val="single" w:sz="4" w:space="4" w:color="677370" w:themeColor="background2" w:themeShade="80"/>
          <w:between w:val="single" w:sz="4" w:space="1" w:color="677370" w:themeColor="background2" w:themeShade="80"/>
          <w:bar w:val="single" w:sz="4" w:color="677370" w:themeColor="background2" w:themeShade="80"/>
        </w:pBdr>
        <w:shd w:val="clear" w:color="auto" w:fill="C1E7E0" w:themeFill="accent1" w:themeFillTint="66"/>
        <w:rPr>
          <w:b/>
          <w:sz w:val="21"/>
          <w:szCs w:val="21"/>
        </w:rPr>
      </w:pPr>
      <w:r w:rsidRPr="00490CDB">
        <w:rPr>
          <w:b/>
          <w:sz w:val="21"/>
          <w:szCs w:val="21"/>
        </w:rPr>
        <w:t xml:space="preserve">Total proposed DFAT funding: </w:t>
      </w:r>
      <w:r w:rsidRPr="006834E3">
        <w:rPr>
          <w:b/>
          <w:sz w:val="21"/>
          <w:szCs w:val="21"/>
        </w:rPr>
        <w:t>AUD</w:t>
      </w:r>
      <w:r w:rsidR="004775C0" w:rsidRPr="006834E3">
        <w:rPr>
          <w:b/>
          <w:sz w:val="21"/>
          <w:szCs w:val="21"/>
        </w:rPr>
        <w:t>60</w:t>
      </w:r>
      <w:r w:rsidR="00E72596">
        <w:rPr>
          <w:b/>
          <w:sz w:val="21"/>
          <w:szCs w:val="21"/>
        </w:rPr>
        <w:t xml:space="preserve"> million</w:t>
      </w:r>
      <w:r w:rsidRPr="00490CDB">
        <w:rPr>
          <w:b/>
          <w:sz w:val="21"/>
          <w:szCs w:val="21"/>
        </w:rPr>
        <w:tab/>
      </w:r>
      <w:r w:rsidRPr="00490CDB">
        <w:rPr>
          <w:b/>
          <w:sz w:val="21"/>
          <w:szCs w:val="21"/>
        </w:rPr>
        <w:tab/>
        <w:t xml:space="preserve">Total proposed funding from all donor/s: </w:t>
      </w:r>
      <w:r w:rsidR="003B59E5">
        <w:rPr>
          <w:b/>
          <w:sz w:val="21"/>
          <w:szCs w:val="21"/>
        </w:rPr>
        <w:t>$</w:t>
      </w:r>
      <w:r w:rsidR="004775C0" w:rsidRPr="006834E3">
        <w:rPr>
          <w:b/>
          <w:sz w:val="21"/>
          <w:szCs w:val="21"/>
        </w:rPr>
        <w:t>60</w:t>
      </w:r>
      <w:r w:rsidR="003B59E5">
        <w:rPr>
          <w:b/>
          <w:sz w:val="21"/>
          <w:szCs w:val="21"/>
        </w:rPr>
        <w:t xml:space="preserve"> million</w:t>
      </w:r>
    </w:p>
    <w:p w14:paraId="0309A8C2" w14:textId="77777777" w:rsidR="00490CDB" w:rsidRPr="00490CDB" w:rsidRDefault="0037149C" w:rsidP="00490CDB">
      <w:pPr>
        <w:pBdr>
          <w:top w:val="single" w:sz="4" w:space="1" w:color="677370" w:themeColor="background2" w:themeShade="80"/>
          <w:left w:val="single" w:sz="4" w:space="4" w:color="677370" w:themeColor="background2" w:themeShade="80"/>
          <w:bottom w:val="single" w:sz="4" w:space="1" w:color="677370" w:themeColor="background2" w:themeShade="80"/>
          <w:right w:val="single" w:sz="4" w:space="4" w:color="677370" w:themeColor="background2" w:themeShade="80"/>
          <w:between w:val="single" w:sz="4" w:space="1" w:color="677370" w:themeColor="background2" w:themeShade="80"/>
          <w:bar w:val="single" w:sz="4" w:color="677370" w:themeColor="background2" w:themeShade="80"/>
        </w:pBdr>
        <w:shd w:val="clear" w:color="auto" w:fill="C1E7E0" w:themeFill="accent1" w:themeFillTint="66"/>
        <w:rPr>
          <w:b/>
          <w:sz w:val="21"/>
          <w:szCs w:val="21"/>
        </w:rPr>
      </w:pPr>
      <w:r>
        <w:rPr>
          <w:b/>
          <w:sz w:val="21"/>
          <w:szCs w:val="21"/>
        </w:rPr>
        <w:t xml:space="preserve">Overall </w:t>
      </w:r>
      <w:r w:rsidR="00490CDB" w:rsidRPr="00490CDB">
        <w:rPr>
          <w:b/>
          <w:sz w:val="21"/>
          <w:szCs w:val="21"/>
        </w:rPr>
        <w:t>Risk Profile</w:t>
      </w:r>
      <w:r w:rsidR="00490CDB" w:rsidRPr="00490CDB">
        <w:rPr>
          <w:sz w:val="21"/>
          <w:szCs w:val="21"/>
        </w:rPr>
        <w:t xml:space="preserve">: </w:t>
      </w:r>
      <w:r w:rsidR="003B59E5" w:rsidRPr="003B59E5">
        <w:rPr>
          <w:b/>
          <w:sz w:val="21"/>
          <w:szCs w:val="21"/>
        </w:rPr>
        <w:t>Medium</w:t>
      </w:r>
      <w:r w:rsidRPr="003B59E5">
        <w:rPr>
          <w:b/>
          <w:sz w:val="21"/>
          <w:szCs w:val="21"/>
        </w:rPr>
        <w:t xml:space="preserve">    Risk </w:t>
      </w:r>
      <w:r w:rsidR="003B59E5" w:rsidRPr="003B59E5">
        <w:rPr>
          <w:b/>
          <w:sz w:val="21"/>
          <w:szCs w:val="21"/>
        </w:rPr>
        <w:t>Medium</w:t>
      </w:r>
      <w:r w:rsidRPr="003B59E5">
        <w:rPr>
          <w:b/>
          <w:sz w:val="21"/>
          <w:szCs w:val="21"/>
        </w:rPr>
        <w:t xml:space="preserve"> </w:t>
      </w:r>
      <w:r w:rsidR="00490CDB" w:rsidRPr="003B59E5">
        <w:rPr>
          <w:b/>
          <w:sz w:val="21"/>
          <w:szCs w:val="21"/>
        </w:rPr>
        <w:t xml:space="preserve"> </w:t>
      </w:r>
      <w:r w:rsidRPr="003B59E5">
        <w:rPr>
          <w:b/>
          <w:sz w:val="21"/>
          <w:szCs w:val="21"/>
        </w:rPr>
        <w:t xml:space="preserve">   </w:t>
      </w:r>
      <w:r w:rsidR="00490CDB" w:rsidRPr="003B59E5">
        <w:rPr>
          <w:b/>
          <w:sz w:val="21"/>
          <w:szCs w:val="21"/>
        </w:rPr>
        <w:t>Value</w:t>
      </w:r>
      <w:r w:rsidR="006834E3">
        <w:rPr>
          <w:b/>
          <w:sz w:val="21"/>
          <w:szCs w:val="21"/>
        </w:rPr>
        <w:t xml:space="preserve"> </w:t>
      </w:r>
      <w:r w:rsidR="003B59E5">
        <w:rPr>
          <w:b/>
          <w:sz w:val="21"/>
          <w:szCs w:val="21"/>
        </w:rPr>
        <w:t>$</w:t>
      </w:r>
      <w:r w:rsidR="003B59E5" w:rsidRPr="003B59E5">
        <w:rPr>
          <w:b/>
          <w:sz w:val="21"/>
          <w:szCs w:val="21"/>
        </w:rPr>
        <w:t>60 million</w:t>
      </w:r>
      <w:r w:rsidR="00490CDB" w:rsidRPr="00490CDB">
        <w:rPr>
          <w:b/>
          <w:sz w:val="21"/>
          <w:szCs w:val="21"/>
        </w:rPr>
        <w:tab/>
      </w:r>
      <w:r w:rsidR="00490CDB" w:rsidRPr="00490CDB">
        <w:rPr>
          <w:b/>
          <w:sz w:val="21"/>
          <w:szCs w:val="21"/>
        </w:rPr>
        <w:tab/>
      </w:r>
    </w:p>
    <w:p w14:paraId="249BDE4A" w14:textId="77777777" w:rsidR="00490CDB" w:rsidRPr="00490CDB" w:rsidRDefault="00490CDB" w:rsidP="00490CDB">
      <w:pPr>
        <w:pBdr>
          <w:top w:val="single" w:sz="4" w:space="1" w:color="677370" w:themeColor="background2" w:themeShade="80"/>
          <w:left w:val="single" w:sz="4" w:space="4" w:color="677370" w:themeColor="background2" w:themeShade="80"/>
          <w:bottom w:val="single" w:sz="4" w:space="1" w:color="677370" w:themeColor="background2" w:themeShade="80"/>
          <w:right w:val="single" w:sz="4" w:space="4" w:color="677370" w:themeColor="background2" w:themeShade="80"/>
          <w:between w:val="single" w:sz="4" w:space="1" w:color="677370" w:themeColor="background2" w:themeShade="80"/>
          <w:bar w:val="single" w:sz="4" w:color="677370" w:themeColor="background2" w:themeShade="80"/>
        </w:pBdr>
        <w:shd w:val="clear" w:color="auto" w:fill="C1E7E0" w:themeFill="accent1" w:themeFillTint="66"/>
        <w:rPr>
          <w:sz w:val="21"/>
          <w:szCs w:val="21"/>
        </w:rPr>
      </w:pPr>
      <w:r w:rsidRPr="00490CDB">
        <w:rPr>
          <w:b/>
          <w:sz w:val="21"/>
          <w:szCs w:val="21"/>
        </w:rPr>
        <w:t xml:space="preserve">Proposed design pathway: </w:t>
      </w:r>
      <w:r w:rsidR="004775C0">
        <w:rPr>
          <w:b/>
          <w:sz w:val="21"/>
          <w:szCs w:val="21"/>
        </w:rPr>
        <w:t>DFAT-led</w:t>
      </w:r>
      <w:r w:rsidR="0029170A">
        <w:rPr>
          <w:b/>
          <w:sz w:val="21"/>
          <w:szCs w:val="21"/>
        </w:rPr>
        <w:t xml:space="preserve"> design of a governance facility</w:t>
      </w:r>
    </w:p>
    <w:p w14:paraId="0AAB7F20" w14:textId="77777777" w:rsidR="00490CDB" w:rsidRPr="00490CDB" w:rsidRDefault="00490CDB" w:rsidP="00490CDB">
      <w:pPr>
        <w:pBdr>
          <w:top w:val="single" w:sz="4" w:space="1" w:color="677370" w:themeColor="background2" w:themeShade="80"/>
          <w:left w:val="single" w:sz="4" w:space="4" w:color="677370" w:themeColor="background2" w:themeShade="80"/>
          <w:bottom w:val="single" w:sz="4" w:space="1" w:color="677370" w:themeColor="background2" w:themeShade="80"/>
          <w:right w:val="single" w:sz="4" w:space="4" w:color="677370" w:themeColor="background2" w:themeShade="80"/>
          <w:between w:val="single" w:sz="4" w:space="1" w:color="677370" w:themeColor="background2" w:themeShade="80"/>
          <w:bar w:val="single" w:sz="4" w:color="677370" w:themeColor="background2" w:themeShade="80"/>
        </w:pBdr>
        <w:shd w:val="clear" w:color="auto" w:fill="C1E7E0" w:themeFill="accent1" w:themeFillTint="66"/>
        <w:rPr>
          <w:sz w:val="21"/>
          <w:szCs w:val="21"/>
        </w:rPr>
      </w:pPr>
      <w:r w:rsidRPr="00490CDB">
        <w:rPr>
          <w:b/>
          <w:sz w:val="21"/>
          <w:szCs w:val="21"/>
        </w:rPr>
        <w:t xml:space="preserve">Concept endorsed by AGB: </w:t>
      </w:r>
      <w:r w:rsidRPr="00EC7A38">
        <w:rPr>
          <w:b/>
          <w:bCs/>
          <w:iCs/>
          <w:sz w:val="21"/>
          <w:szCs w:val="21"/>
        </w:rPr>
        <w:t>Yes</w:t>
      </w:r>
      <w:r w:rsidRPr="00490CDB">
        <w:rPr>
          <w:b/>
          <w:sz w:val="21"/>
          <w:szCs w:val="21"/>
        </w:rPr>
        <w:tab/>
      </w:r>
      <w:r w:rsidRPr="00490CDB">
        <w:rPr>
          <w:b/>
          <w:sz w:val="21"/>
          <w:szCs w:val="21"/>
        </w:rPr>
        <w:tab/>
      </w:r>
      <w:r w:rsidRPr="00490CDB">
        <w:rPr>
          <w:b/>
          <w:sz w:val="21"/>
          <w:szCs w:val="21"/>
        </w:rPr>
        <w:tab/>
      </w:r>
      <w:r w:rsidRPr="00490CDB">
        <w:rPr>
          <w:b/>
          <w:sz w:val="21"/>
          <w:szCs w:val="21"/>
        </w:rPr>
        <w:tab/>
      </w:r>
    </w:p>
    <w:p w14:paraId="7038A89E" w14:textId="77777777" w:rsidR="00490CDB" w:rsidRPr="00490CDB" w:rsidRDefault="006834E3" w:rsidP="00490CDB">
      <w:pPr>
        <w:pBdr>
          <w:top w:val="single" w:sz="4" w:space="1" w:color="677370" w:themeColor="background2" w:themeShade="80"/>
          <w:left w:val="single" w:sz="4" w:space="4" w:color="677370" w:themeColor="background2" w:themeShade="80"/>
          <w:bottom w:val="single" w:sz="4" w:space="1" w:color="677370" w:themeColor="background2" w:themeShade="80"/>
          <w:right w:val="single" w:sz="4" w:space="4" w:color="677370" w:themeColor="background2" w:themeShade="80"/>
          <w:between w:val="single" w:sz="4" w:space="1" w:color="677370" w:themeColor="background2" w:themeShade="80"/>
          <w:bar w:val="single" w:sz="4" w:color="677370" w:themeColor="background2" w:themeShade="80"/>
        </w:pBdr>
        <w:shd w:val="clear" w:color="auto" w:fill="C1E7E0" w:themeFill="accent1" w:themeFillTint="66"/>
        <w:rPr>
          <w:sz w:val="21"/>
          <w:szCs w:val="21"/>
        </w:rPr>
      </w:pPr>
      <w:r>
        <w:rPr>
          <w:b/>
          <w:sz w:val="21"/>
          <w:szCs w:val="21"/>
        </w:rPr>
        <w:t>Quality Assurance</w:t>
      </w:r>
      <w:r w:rsidR="00490CDB" w:rsidRPr="00490CDB">
        <w:rPr>
          <w:b/>
          <w:sz w:val="21"/>
          <w:szCs w:val="21"/>
        </w:rPr>
        <w:t xml:space="preserve">: </w:t>
      </w:r>
      <w:r w:rsidR="00F152D1">
        <w:rPr>
          <w:b/>
          <w:sz w:val="21"/>
          <w:szCs w:val="21"/>
        </w:rPr>
        <w:t>Investment Concept was internally peer reviewed, and the Investment D</w:t>
      </w:r>
      <w:r>
        <w:rPr>
          <w:b/>
          <w:sz w:val="21"/>
          <w:szCs w:val="21"/>
        </w:rPr>
        <w:t>esign will</w:t>
      </w:r>
      <w:r w:rsidR="00F152D1">
        <w:rPr>
          <w:b/>
          <w:sz w:val="21"/>
          <w:szCs w:val="21"/>
        </w:rPr>
        <w:t xml:space="preserve"> be </w:t>
      </w:r>
      <w:r>
        <w:rPr>
          <w:b/>
          <w:sz w:val="21"/>
          <w:szCs w:val="21"/>
        </w:rPr>
        <w:t>independently appraised</w:t>
      </w:r>
      <w:r w:rsidR="00F152D1">
        <w:rPr>
          <w:b/>
          <w:sz w:val="21"/>
          <w:szCs w:val="21"/>
        </w:rPr>
        <w:t xml:space="preserve"> and internally peer reviewed</w:t>
      </w:r>
    </w:p>
    <w:p w14:paraId="2F4D01DA" w14:textId="77777777" w:rsidR="00490CDB" w:rsidRPr="00490CDB" w:rsidRDefault="00490CDB" w:rsidP="00490CDB">
      <w:pPr>
        <w:spacing w:before="0" w:after="0"/>
        <w:rPr>
          <w:sz w:val="2"/>
          <w:szCs w:val="2"/>
        </w:rPr>
      </w:pPr>
    </w:p>
    <w:p w14:paraId="384CD79F" w14:textId="77777777" w:rsidR="00490CDB" w:rsidRPr="00490CDB" w:rsidRDefault="00BE4DC3" w:rsidP="00490CDB">
      <w:pPr>
        <w:numPr>
          <w:ilvl w:val="0"/>
          <w:numId w:val="38"/>
        </w:numPr>
        <w:pBdr>
          <w:top w:val="single" w:sz="4" w:space="1" w:color="677370" w:themeColor="background2" w:themeShade="80"/>
          <w:left w:val="single" w:sz="4" w:space="4" w:color="677370" w:themeColor="background2" w:themeShade="80"/>
          <w:bottom w:val="single" w:sz="4" w:space="1" w:color="677370" w:themeColor="background2" w:themeShade="80"/>
          <w:right w:val="single" w:sz="4" w:space="4" w:color="677370" w:themeColor="background2" w:themeShade="80"/>
        </w:pBdr>
        <w:shd w:val="clear" w:color="auto" w:fill="E0F3EF" w:themeFill="accent1" w:themeFillTint="33"/>
        <w:spacing w:after="120"/>
        <w:ind w:left="284" w:hanging="284"/>
        <w:rPr>
          <w:szCs w:val="21"/>
        </w:rPr>
      </w:pPr>
      <w:r>
        <w:rPr>
          <w:rFonts w:asciiTheme="majorHAnsi" w:hAnsiTheme="majorHAnsi"/>
          <w:b/>
          <w:szCs w:val="21"/>
        </w:rPr>
        <w:t>Development Context (</w:t>
      </w:r>
      <w:r w:rsidR="004776A5">
        <w:rPr>
          <w:rFonts w:asciiTheme="majorHAnsi" w:hAnsiTheme="majorHAnsi"/>
          <w:b/>
          <w:szCs w:val="21"/>
        </w:rPr>
        <w:t xml:space="preserve">What </w:t>
      </w:r>
      <w:r w:rsidR="00193353">
        <w:rPr>
          <w:rFonts w:asciiTheme="majorHAnsi" w:hAnsiTheme="majorHAnsi"/>
          <w:b/>
          <w:szCs w:val="21"/>
        </w:rPr>
        <w:t xml:space="preserve">is the </w:t>
      </w:r>
      <w:r w:rsidR="004776A5">
        <w:rPr>
          <w:rFonts w:asciiTheme="majorHAnsi" w:hAnsiTheme="majorHAnsi"/>
          <w:b/>
          <w:szCs w:val="21"/>
        </w:rPr>
        <w:t>problem</w:t>
      </w:r>
      <w:r>
        <w:rPr>
          <w:rFonts w:asciiTheme="majorHAnsi" w:hAnsiTheme="majorHAnsi"/>
          <w:b/>
          <w:szCs w:val="21"/>
        </w:rPr>
        <w:t>?)</w:t>
      </w:r>
    </w:p>
    <w:p w14:paraId="76F8B6EA" w14:textId="77777777" w:rsidR="00C64722" w:rsidRPr="007F255F" w:rsidRDefault="00CA51E5" w:rsidP="007F255F">
      <w:pPr>
        <w:tabs>
          <w:tab w:val="left" w:pos="284"/>
        </w:tabs>
        <w:suppressAutoHyphens w:val="0"/>
        <w:spacing w:before="0" w:line="280" w:lineRule="exact"/>
        <w:rPr>
          <w:rFonts w:eastAsia="Times New Roman" w:cs="Times New Roman"/>
          <w:sz w:val="21"/>
          <w:szCs w:val="21"/>
          <w:lang w:val="en-AU"/>
        </w:rPr>
      </w:pPr>
      <w:r w:rsidRPr="00CA51E5">
        <w:rPr>
          <w:rFonts w:eastAsia="Times New Roman" w:cs="Times New Roman"/>
          <w:sz w:val="21"/>
          <w:szCs w:val="21"/>
          <w:lang w:val="en-AU"/>
        </w:rPr>
        <w:t xml:space="preserve">Timor-Leste has made strong economic and social progress and secured stability since independence in 2002. </w:t>
      </w:r>
      <w:r w:rsidR="005C68D4">
        <w:rPr>
          <w:rFonts w:eastAsia="Times New Roman" w:cs="Times New Roman"/>
          <w:sz w:val="21"/>
          <w:szCs w:val="21"/>
          <w:lang w:val="en-AU"/>
        </w:rPr>
        <w:t>Successive government</w:t>
      </w:r>
      <w:r w:rsidR="00520D62">
        <w:rPr>
          <w:rFonts w:eastAsia="Times New Roman" w:cs="Times New Roman"/>
          <w:sz w:val="21"/>
          <w:szCs w:val="21"/>
          <w:lang w:val="en-AU"/>
        </w:rPr>
        <w:t>s</w:t>
      </w:r>
      <w:r w:rsidR="005C68D4">
        <w:rPr>
          <w:rFonts w:eastAsia="Times New Roman" w:cs="Times New Roman"/>
          <w:sz w:val="21"/>
          <w:szCs w:val="21"/>
          <w:lang w:val="en-AU"/>
        </w:rPr>
        <w:t xml:space="preserve"> have committed to the ambitious goal of </w:t>
      </w:r>
      <w:r w:rsidR="005C68D4" w:rsidRPr="000B1E1D">
        <w:rPr>
          <w:rFonts w:eastAsia="Times New Roman" w:cs="Times New Roman"/>
          <w:sz w:val="21"/>
          <w:szCs w:val="21"/>
          <w:lang w:val="en-AU"/>
        </w:rPr>
        <w:t xml:space="preserve">reaching </w:t>
      </w:r>
      <w:r w:rsidR="000216B2" w:rsidRPr="000B1E1D">
        <w:rPr>
          <w:rFonts w:eastAsia="Times New Roman" w:cs="Times New Roman"/>
          <w:sz w:val="21"/>
          <w:szCs w:val="21"/>
          <w:lang w:val="en-AU"/>
        </w:rPr>
        <w:t>upper</w:t>
      </w:r>
      <w:r w:rsidRPr="000B1E1D">
        <w:rPr>
          <w:rFonts w:eastAsia="Times New Roman" w:cs="Times New Roman"/>
          <w:sz w:val="21"/>
          <w:szCs w:val="21"/>
          <w:lang w:val="en-AU"/>
        </w:rPr>
        <w:t xml:space="preserve"> middle-income </w:t>
      </w:r>
      <w:r w:rsidR="000216B2" w:rsidRPr="000B1E1D">
        <w:rPr>
          <w:rFonts w:eastAsia="Times New Roman" w:cs="Times New Roman"/>
          <w:sz w:val="21"/>
          <w:szCs w:val="21"/>
          <w:lang w:val="en-AU"/>
        </w:rPr>
        <w:t>status</w:t>
      </w:r>
      <w:r w:rsidRPr="00CA51E5">
        <w:rPr>
          <w:rFonts w:eastAsia="Times New Roman" w:cs="Times New Roman"/>
          <w:sz w:val="21"/>
          <w:szCs w:val="21"/>
          <w:lang w:val="en-AU"/>
        </w:rPr>
        <w:t xml:space="preserve"> by 2030 </w:t>
      </w:r>
      <w:r>
        <w:rPr>
          <w:rFonts w:eastAsia="Times New Roman" w:cs="Times New Roman"/>
          <w:sz w:val="21"/>
          <w:szCs w:val="21"/>
          <w:lang w:val="en-AU"/>
        </w:rPr>
        <w:t>through its</w:t>
      </w:r>
      <w:r w:rsidRPr="00CA51E5">
        <w:rPr>
          <w:rFonts w:eastAsia="Times New Roman" w:cs="Times New Roman"/>
          <w:sz w:val="21"/>
          <w:szCs w:val="21"/>
          <w:lang w:val="en-AU"/>
        </w:rPr>
        <w:t xml:space="preserve"> </w:t>
      </w:r>
      <w:r w:rsidRPr="00CA51E5">
        <w:rPr>
          <w:rFonts w:eastAsia="Times New Roman" w:cs="Times New Roman"/>
          <w:i/>
          <w:sz w:val="21"/>
          <w:szCs w:val="21"/>
          <w:lang w:val="en-AU"/>
        </w:rPr>
        <w:t>Strategic Development Plan 2011-2030</w:t>
      </w:r>
      <w:r w:rsidR="0015663B">
        <w:rPr>
          <w:rFonts w:eastAsia="Times New Roman" w:cs="Times New Roman"/>
          <w:i/>
          <w:sz w:val="21"/>
          <w:szCs w:val="21"/>
          <w:lang w:val="en-AU"/>
        </w:rPr>
        <w:t xml:space="preserve"> </w:t>
      </w:r>
      <w:r w:rsidR="0015663B" w:rsidRPr="000F195F">
        <w:rPr>
          <w:rFonts w:eastAsia="Times New Roman" w:cs="Times New Roman"/>
          <w:sz w:val="21"/>
          <w:szCs w:val="21"/>
          <w:lang w:val="en-AU"/>
        </w:rPr>
        <w:t>(SDP)</w:t>
      </w:r>
      <w:r w:rsidRPr="00CA51E5">
        <w:rPr>
          <w:rFonts w:eastAsia="Times New Roman" w:cs="Times New Roman"/>
          <w:sz w:val="21"/>
          <w:szCs w:val="21"/>
          <w:lang w:val="en-AU"/>
        </w:rPr>
        <w:t xml:space="preserve">. </w:t>
      </w:r>
      <w:r w:rsidR="005C68D4">
        <w:rPr>
          <w:rFonts w:eastAsia="Times New Roman" w:cs="Times New Roman"/>
          <w:sz w:val="21"/>
          <w:szCs w:val="21"/>
          <w:lang w:val="en-AU"/>
        </w:rPr>
        <w:t xml:space="preserve">This goal </w:t>
      </w:r>
      <w:r w:rsidR="008E7158">
        <w:rPr>
          <w:rFonts w:eastAsia="Times New Roman" w:cs="Times New Roman"/>
          <w:sz w:val="21"/>
          <w:szCs w:val="21"/>
          <w:lang w:val="en-AU"/>
        </w:rPr>
        <w:t>requires</w:t>
      </w:r>
      <w:r w:rsidR="005C68D4">
        <w:rPr>
          <w:rFonts w:eastAsia="Times New Roman" w:cs="Times New Roman"/>
          <w:sz w:val="21"/>
          <w:szCs w:val="21"/>
          <w:lang w:val="en-AU"/>
        </w:rPr>
        <w:t xml:space="preserve"> a comprehensive reform agenda</w:t>
      </w:r>
      <w:r w:rsidR="000E7400">
        <w:rPr>
          <w:rFonts w:eastAsia="Times New Roman" w:cs="Times New Roman"/>
          <w:sz w:val="21"/>
          <w:szCs w:val="21"/>
          <w:lang w:val="en-AU"/>
        </w:rPr>
        <w:t>: strengthened governance/</w:t>
      </w:r>
      <w:r w:rsidR="002F7A92">
        <w:rPr>
          <w:rFonts w:eastAsia="Times New Roman" w:cs="Times New Roman"/>
          <w:sz w:val="21"/>
          <w:szCs w:val="21"/>
          <w:lang w:val="en-AU"/>
        </w:rPr>
        <w:t>institutions</w:t>
      </w:r>
      <w:r w:rsidRPr="00CA51E5">
        <w:rPr>
          <w:rFonts w:eastAsia="Times New Roman" w:cs="Times New Roman"/>
          <w:sz w:val="21"/>
          <w:szCs w:val="21"/>
          <w:lang w:val="en-AU"/>
        </w:rPr>
        <w:t xml:space="preserve">; improved services; </w:t>
      </w:r>
      <w:r w:rsidR="00C3180F">
        <w:rPr>
          <w:rFonts w:eastAsia="Times New Roman" w:cs="Times New Roman"/>
          <w:sz w:val="21"/>
          <w:szCs w:val="21"/>
          <w:lang w:val="en-AU"/>
        </w:rPr>
        <w:t>better</w:t>
      </w:r>
      <w:r w:rsidR="00520D62">
        <w:rPr>
          <w:rFonts w:eastAsia="Times New Roman" w:cs="Times New Roman"/>
          <w:sz w:val="21"/>
          <w:szCs w:val="21"/>
          <w:lang w:val="en-AU"/>
        </w:rPr>
        <w:t xml:space="preserve"> </w:t>
      </w:r>
      <w:r w:rsidRPr="00CA51E5">
        <w:rPr>
          <w:rFonts w:eastAsia="Times New Roman" w:cs="Times New Roman"/>
          <w:sz w:val="21"/>
          <w:szCs w:val="21"/>
          <w:lang w:val="en-AU"/>
        </w:rPr>
        <w:t xml:space="preserve">transport and communications </w:t>
      </w:r>
      <w:r w:rsidR="00DA06C5">
        <w:rPr>
          <w:rFonts w:eastAsia="Times New Roman" w:cs="Times New Roman"/>
          <w:sz w:val="21"/>
          <w:szCs w:val="21"/>
          <w:lang w:val="en-AU"/>
        </w:rPr>
        <w:t xml:space="preserve">infrastructure; </w:t>
      </w:r>
      <w:r w:rsidRPr="00CA51E5">
        <w:rPr>
          <w:rFonts w:eastAsia="Times New Roman" w:cs="Times New Roman"/>
          <w:sz w:val="21"/>
          <w:szCs w:val="21"/>
          <w:lang w:val="en-AU"/>
        </w:rPr>
        <w:t>growth of domestic markets and the private sector, and diversification of the economy.</w:t>
      </w:r>
      <w:r w:rsidR="00C64722" w:rsidRPr="007F255F">
        <w:rPr>
          <w:rFonts w:eastAsia="Times New Roman" w:cs="Times New Roman"/>
          <w:sz w:val="21"/>
          <w:szCs w:val="21"/>
        </w:rPr>
        <w:t xml:space="preserve"> As a fragile and post-conflict affected state, </w:t>
      </w:r>
      <w:r w:rsidR="005336CD">
        <w:rPr>
          <w:rFonts w:eastAsia="Times New Roman" w:cs="Times New Roman"/>
          <w:sz w:val="21"/>
          <w:szCs w:val="21"/>
        </w:rPr>
        <w:t xml:space="preserve">Timor-Leste’s </w:t>
      </w:r>
      <w:r w:rsidR="00C64722" w:rsidRPr="007F255F">
        <w:rPr>
          <w:rFonts w:eastAsia="Times New Roman" w:cs="Times New Roman"/>
          <w:sz w:val="21"/>
          <w:szCs w:val="21"/>
        </w:rPr>
        <w:t xml:space="preserve">development </w:t>
      </w:r>
      <w:r w:rsidR="005336CD">
        <w:rPr>
          <w:rFonts w:eastAsia="Times New Roman" w:cs="Times New Roman"/>
          <w:sz w:val="21"/>
          <w:szCs w:val="21"/>
        </w:rPr>
        <w:t xml:space="preserve">is </w:t>
      </w:r>
      <w:r w:rsidR="00C64722" w:rsidRPr="007F255F">
        <w:rPr>
          <w:rFonts w:eastAsia="Times New Roman" w:cs="Times New Roman"/>
          <w:sz w:val="21"/>
          <w:szCs w:val="21"/>
        </w:rPr>
        <w:t>tak</w:t>
      </w:r>
      <w:r w:rsidR="005336CD">
        <w:rPr>
          <w:rFonts w:eastAsia="Times New Roman" w:cs="Times New Roman"/>
          <w:sz w:val="21"/>
          <w:szCs w:val="21"/>
        </w:rPr>
        <w:t xml:space="preserve">ing </w:t>
      </w:r>
      <w:r w:rsidR="00C64722" w:rsidRPr="007F255F">
        <w:rPr>
          <w:rFonts w:eastAsia="Times New Roman" w:cs="Times New Roman"/>
          <w:sz w:val="21"/>
          <w:szCs w:val="21"/>
        </w:rPr>
        <w:t xml:space="preserve">time and </w:t>
      </w:r>
      <w:r w:rsidR="008E7158">
        <w:rPr>
          <w:rFonts w:eastAsia="Times New Roman" w:cs="Times New Roman"/>
          <w:sz w:val="21"/>
          <w:szCs w:val="21"/>
        </w:rPr>
        <w:t xml:space="preserve">progress </w:t>
      </w:r>
      <w:r w:rsidR="00C64722" w:rsidRPr="007F255F">
        <w:rPr>
          <w:rFonts w:eastAsia="Times New Roman" w:cs="Times New Roman"/>
          <w:sz w:val="21"/>
          <w:szCs w:val="21"/>
        </w:rPr>
        <w:t>cannot be taken for granted.</w:t>
      </w:r>
    </w:p>
    <w:p w14:paraId="3E8E2C23" w14:textId="25BC30C3" w:rsidR="00220B36" w:rsidRDefault="00C64722" w:rsidP="007F255F">
      <w:pPr>
        <w:tabs>
          <w:tab w:val="left" w:pos="284"/>
        </w:tabs>
        <w:suppressAutoHyphens w:val="0"/>
        <w:spacing w:before="0" w:line="280" w:lineRule="exact"/>
        <w:rPr>
          <w:rFonts w:eastAsia="Times New Roman" w:cs="Times New Roman"/>
          <w:sz w:val="21"/>
          <w:szCs w:val="21"/>
        </w:rPr>
      </w:pPr>
      <w:r w:rsidRPr="007F255F">
        <w:rPr>
          <w:rFonts w:eastAsia="Times New Roman" w:cs="Times New Roman"/>
          <w:sz w:val="21"/>
          <w:szCs w:val="21"/>
        </w:rPr>
        <w:t xml:space="preserve">Timor-Leste is a </w:t>
      </w:r>
      <w:r w:rsidR="007E19CD" w:rsidRPr="007F255F">
        <w:rPr>
          <w:rFonts w:eastAsia="Times New Roman" w:cs="Times New Roman"/>
          <w:sz w:val="21"/>
          <w:szCs w:val="21"/>
        </w:rPr>
        <w:t>middle-income</w:t>
      </w:r>
      <w:r w:rsidRPr="007F255F">
        <w:rPr>
          <w:rFonts w:eastAsia="Times New Roman" w:cs="Times New Roman"/>
          <w:sz w:val="21"/>
          <w:szCs w:val="21"/>
        </w:rPr>
        <w:t xml:space="preserve"> economy</w:t>
      </w:r>
      <w:r w:rsidR="00DF0615">
        <w:rPr>
          <w:rFonts w:eastAsia="Times New Roman" w:cs="Times New Roman"/>
          <w:sz w:val="21"/>
          <w:szCs w:val="21"/>
        </w:rPr>
        <w:t xml:space="preserve"> (population = 1.29 million; GDP = USD1.65 billion; GNI per capita = USD1,890</w:t>
      </w:r>
      <w:r w:rsidR="00860211">
        <w:rPr>
          <w:rStyle w:val="FootnoteReference"/>
          <w:rFonts w:eastAsia="Times New Roman" w:cs="Times New Roman"/>
          <w:sz w:val="21"/>
          <w:szCs w:val="21"/>
        </w:rPr>
        <w:footnoteReference w:id="1"/>
      </w:r>
      <w:r w:rsidR="00DF0615">
        <w:rPr>
          <w:rFonts w:eastAsia="Times New Roman" w:cs="Times New Roman"/>
          <w:sz w:val="21"/>
          <w:szCs w:val="21"/>
        </w:rPr>
        <w:t>)</w:t>
      </w:r>
      <w:r w:rsidRPr="007F255F">
        <w:rPr>
          <w:rFonts w:eastAsia="Times New Roman" w:cs="Times New Roman"/>
          <w:sz w:val="21"/>
          <w:szCs w:val="21"/>
        </w:rPr>
        <w:t>, but it is one of the most oil dependent economies in the world</w:t>
      </w:r>
      <w:r w:rsidR="00BF480E">
        <w:rPr>
          <w:rFonts w:eastAsia="Times New Roman" w:cs="Times New Roman"/>
          <w:sz w:val="21"/>
          <w:szCs w:val="21"/>
        </w:rPr>
        <w:t>. Poverty</w:t>
      </w:r>
      <w:r w:rsidR="00C82075">
        <w:rPr>
          <w:rFonts w:eastAsia="Times New Roman" w:cs="Times New Roman"/>
          <w:sz w:val="21"/>
          <w:szCs w:val="21"/>
        </w:rPr>
        <w:t xml:space="preserve"> is </w:t>
      </w:r>
      <w:r w:rsidR="008E7158">
        <w:rPr>
          <w:rFonts w:eastAsia="Times New Roman" w:cs="Times New Roman"/>
          <w:sz w:val="21"/>
          <w:szCs w:val="21"/>
        </w:rPr>
        <w:t>widespread</w:t>
      </w:r>
      <w:r w:rsidR="00C82075">
        <w:rPr>
          <w:rFonts w:eastAsia="Times New Roman" w:cs="Times New Roman"/>
          <w:sz w:val="21"/>
          <w:szCs w:val="21"/>
        </w:rPr>
        <w:t xml:space="preserve">, </w:t>
      </w:r>
      <w:r w:rsidR="00C82075" w:rsidRPr="00C82075">
        <w:rPr>
          <w:rFonts w:eastAsia="Times New Roman" w:cs="Times New Roman"/>
          <w:sz w:val="21"/>
          <w:szCs w:val="21"/>
        </w:rPr>
        <w:t>with 30 per cent of the population living on under USD1.90 per day (the international poverty line) and more than 40 per cent not able to meet their basic needs.</w:t>
      </w:r>
      <w:r w:rsidR="00C82075">
        <w:rPr>
          <w:rFonts w:eastAsia="Times New Roman" w:cs="Times New Roman"/>
          <w:sz w:val="21"/>
          <w:szCs w:val="21"/>
        </w:rPr>
        <w:t xml:space="preserve"> </w:t>
      </w:r>
      <w:r w:rsidRPr="007F255F">
        <w:rPr>
          <w:rFonts w:eastAsia="Times New Roman" w:cs="Times New Roman"/>
          <w:sz w:val="21"/>
          <w:szCs w:val="21"/>
        </w:rPr>
        <w:t>The public sector dominates the economy, with</w:t>
      </w:r>
      <w:r w:rsidR="00F535C2">
        <w:rPr>
          <w:rFonts w:eastAsia="Times New Roman" w:cs="Times New Roman"/>
          <w:sz w:val="21"/>
          <w:szCs w:val="21"/>
        </w:rPr>
        <w:t xml:space="preserve"> </w:t>
      </w:r>
      <w:r w:rsidR="00911464" w:rsidRPr="00911464">
        <w:rPr>
          <w:rFonts w:eastAsia="Times New Roman" w:cs="Times New Roman"/>
          <w:sz w:val="21"/>
          <w:szCs w:val="21"/>
        </w:rPr>
        <w:t xml:space="preserve">Government of Timor-Leste (GoTL) </w:t>
      </w:r>
      <w:r w:rsidRPr="007F255F">
        <w:rPr>
          <w:rFonts w:eastAsia="Times New Roman" w:cs="Times New Roman"/>
          <w:sz w:val="21"/>
          <w:szCs w:val="21"/>
        </w:rPr>
        <w:t xml:space="preserve">spending – largely funded by </w:t>
      </w:r>
      <w:r w:rsidR="00697C2F" w:rsidRPr="007F255F">
        <w:rPr>
          <w:rFonts w:eastAsia="Times New Roman" w:cs="Times New Roman"/>
          <w:sz w:val="21"/>
          <w:szCs w:val="21"/>
        </w:rPr>
        <w:t xml:space="preserve">transfers from Timor-Leste’s </w:t>
      </w:r>
      <w:r w:rsidRPr="007F255F">
        <w:rPr>
          <w:rFonts w:eastAsia="Times New Roman" w:cs="Times New Roman"/>
          <w:sz w:val="21"/>
          <w:szCs w:val="21"/>
        </w:rPr>
        <w:t>Petroleum Fund – being the overwhelming driver of growth. Private investment is low</w:t>
      </w:r>
      <w:r w:rsidR="00B544F9">
        <w:rPr>
          <w:rFonts w:eastAsia="Times New Roman" w:cs="Times New Roman"/>
          <w:sz w:val="21"/>
          <w:szCs w:val="21"/>
        </w:rPr>
        <w:t xml:space="preserve"> and </w:t>
      </w:r>
      <w:r w:rsidR="006E55FB">
        <w:rPr>
          <w:rFonts w:eastAsia="Times New Roman" w:cs="Times New Roman"/>
          <w:sz w:val="21"/>
          <w:szCs w:val="21"/>
        </w:rPr>
        <w:t>is dependent</w:t>
      </w:r>
      <w:r w:rsidR="00B544F9">
        <w:rPr>
          <w:rFonts w:eastAsia="Times New Roman" w:cs="Times New Roman"/>
          <w:sz w:val="21"/>
          <w:szCs w:val="21"/>
        </w:rPr>
        <w:t xml:space="preserve"> on GoTL spending</w:t>
      </w:r>
      <w:r w:rsidR="0068239E">
        <w:rPr>
          <w:rFonts w:eastAsia="Times New Roman" w:cs="Times New Roman"/>
          <w:sz w:val="21"/>
          <w:szCs w:val="21"/>
        </w:rPr>
        <w:t>. P</w:t>
      </w:r>
      <w:r w:rsidR="005336CD" w:rsidRPr="007F255F">
        <w:rPr>
          <w:rFonts w:eastAsia="Times New Roman" w:cs="Times New Roman"/>
          <w:sz w:val="21"/>
          <w:szCs w:val="21"/>
        </w:rPr>
        <w:t xml:space="preserve">rogress </w:t>
      </w:r>
      <w:r w:rsidR="001E1BCA">
        <w:rPr>
          <w:rFonts w:eastAsia="Times New Roman" w:cs="Times New Roman"/>
          <w:sz w:val="21"/>
          <w:szCs w:val="21"/>
        </w:rPr>
        <w:t>is needed</w:t>
      </w:r>
      <w:r w:rsidR="005336CD">
        <w:rPr>
          <w:rFonts w:eastAsia="Times New Roman" w:cs="Times New Roman"/>
          <w:sz w:val="21"/>
          <w:szCs w:val="21"/>
        </w:rPr>
        <w:t xml:space="preserve"> in addressing </w:t>
      </w:r>
      <w:r w:rsidR="00C3180F">
        <w:rPr>
          <w:rFonts w:eastAsia="Times New Roman" w:cs="Times New Roman"/>
          <w:sz w:val="21"/>
          <w:szCs w:val="21"/>
        </w:rPr>
        <w:t xml:space="preserve">the </w:t>
      </w:r>
      <w:r w:rsidR="005336CD" w:rsidRPr="007F255F">
        <w:rPr>
          <w:rFonts w:eastAsia="Times New Roman" w:cs="Times New Roman"/>
          <w:sz w:val="21"/>
          <w:szCs w:val="21"/>
        </w:rPr>
        <w:t>structural constraints to growth</w:t>
      </w:r>
      <w:r w:rsidR="005336CD">
        <w:rPr>
          <w:rFonts w:eastAsia="Times New Roman" w:cs="Times New Roman"/>
          <w:sz w:val="21"/>
          <w:szCs w:val="21"/>
        </w:rPr>
        <w:t>, including</w:t>
      </w:r>
      <w:r w:rsidR="00220B36">
        <w:rPr>
          <w:rFonts w:eastAsia="Times New Roman" w:cs="Times New Roman"/>
          <w:sz w:val="21"/>
          <w:szCs w:val="21"/>
        </w:rPr>
        <w:t>:</w:t>
      </w:r>
    </w:p>
    <w:p w14:paraId="6F4021BD" w14:textId="77777777" w:rsidR="00220B36" w:rsidRPr="00220B36" w:rsidRDefault="005336CD" w:rsidP="00220B36">
      <w:pPr>
        <w:pStyle w:val="ListParagraph"/>
        <w:numPr>
          <w:ilvl w:val="0"/>
          <w:numId w:val="47"/>
        </w:numPr>
        <w:tabs>
          <w:tab w:val="left" w:pos="284"/>
        </w:tabs>
        <w:suppressAutoHyphens w:val="0"/>
        <w:spacing w:before="0" w:line="280" w:lineRule="exact"/>
        <w:rPr>
          <w:rFonts w:eastAsia="Times New Roman" w:cs="Times New Roman"/>
          <w:sz w:val="21"/>
          <w:szCs w:val="21"/>
          <w:lang w:val="en-AU"/>
        </w:rPr>
      </w:pPr>
      <w:r>
        <w:rPr>
          <w:rFonts w:eastAsia="Times New Roman" w:cs="Times New Roman"/>
          <w:sz w:val="21"/>
          <w:szCs w:val="21"/>
        </w:rPr>
        <w:t xml:space="preserve">the </w:t>
      </w:r>
      <w:r w:rsidR="00401632" w:rsidRPr="00220B36">
        <w:rPr>
          <w:rFonts w:eastAsia="Times New Roman" w:cs="Times New Roman"/>
          <w:sz w:val="21"/>
          <w:szCs w:val="21"/>
        </w:rPr>
        <w:t xml:space="preserve">limited availability of capital from the </w:t>
      </w:r>
      <w:r w:rsidR="00220B36">
        <w:rPr>
          <w:rFonts w:eastAsia="Times New Roman" w:cs="Times New Roman"/>
          <w:sz w:val="21"/>
          <w:szCs w:val="21"/>
        </w:rPr>
        <w:t>financial sector</w:t>
      </w:r>
    </w:p>
    <w:p w14:paraId="0A5B4680" w14:textId="77777777" w:rsidR="0068239E" w:rsidRPr="0068239E" w:rsidRDefault="0068239E" w:rsidP="00220B36">
      <w:pPr>
        <w:pStyle w:val="ListParagraph"/>
        <w:numPr>
          <w:ilvl w:val="0"/>
          <w:numId w:val="47"/>
        </w:numPr>
        <w:tabs>
          <w:tab w:val="left" w:pos="284"/>
        </w:tabs>
        <w:suppressAutoHyphens w:val="0"/>
        <w:spacing w:before="0" w:line="280" w:lineRule="exact"/>
        <w:rPr>
          <w:rFonts w:eastAsia="Times New Roman" w:cs="Times New Roman"/>
          <w:sz w:val="21"/>
          <w:szCs w:val="21"/>
          <w:lang w:val="en-AU"/>
        </w:rPr>
      </w:pPr>
      <w:r>
        <w:rPr>
          <w:rFonts w:eastAsia="Times New Roman" w:cs="Times New Roman"/>
          <w:sz w:val="21"/>
          <w:szCs w:val="21"/>
          <w:lang w:val="en-AU"/>
        </w:rPr>
        <w:t>poor quality and high cost telecommunications</w:t>
      </w:r>
    </w:p>
    <w:p w14:paraId="6AAC5345" w14:textId="77777777" w:rsidR="00220B36" w:rsidRPr="00220B36" w:rsidRDefault="00401632" w:rsidP="00220B36">
      <w:pPr>
        <w:pStyle w:val="ListParagraph"/>
        <w:numPr>
          <w:ilvl w:val="0"/>
          <w:numId w:val="47"/>
        </w:numPr>
        <w:tabs>
          <w:tab w:val="left" w:pos="284"/>
        </w:tabs>
        <w:suppressAutoHyphens w:val="0"/>
        <w:spacing w:before="0" w:line="280" w:lineRule="exact"/>
        <w:rPr>
          <w:rFonts w:eastAsia="Times New Roman" w:cs="Times New Roman"/>
          <w:sz w:val="21"/>
          <w:szCs w:val="21"/>
          <w:lang w:val="en-AU"/>
        </w:rPr>
      </w:pPr>
      <w:r w:rsidRPr="00220B36">
        <w:rPr>
          <w:rFonts w:eastAsia="Times New Roman" w:cs="Times New Roman"/>
          <w:sz w:val="21"/>
          <w:szCs w:val="21"/>
        </w:rPr>
        <w:t>the lack of international connectivity and tourism opportunities</w:t>
      </w:r>
      <w:r w:rsidR="00220B36">
        <w:rPr>
          <w:rFonts w:eastAsia="Times New Roman" w:cs="Times New Roman"/>
          <w:sz w:val="21"/>
          <w:szCs w:val="21"/>
        </w:rPr>
        <w:t>, and</w:t>
      </w:r>
    </w:p>
    <w:p w14:paraId="700375CD" w14:textId="77777777" w:rsidR="00C64722" w:rsidRPr="00220B36" w:rsidRDefault="005336CD" w:rsidP="00220B36">
      <w:pPr>
        <w:pStyle w:val="ListParagraph"/>
        <w:numPr>
          <w:ilvl w:val="0"/>
          <w:numId w:val="47"/>
        </w:numPr>
        <w:tabs>
          <w:tab w:val="left" w:pos="284"/>
        </w:tabs>
        <w:suppressAutoHyphens w:val="0"/>
        <w:spacing w:before="0" w:line="280" w:lineRule="exact"/>
        <w:rPr>
          <w:rFonts w:eastAsia="Times New Roman" w:cs="Times New Roman"/>
          <w:sz w:val="21"/>
          <w:szCs w:val="21"/>
          <w:lang w:val="en-AU"/>
        </w:rPr>
      </w:pPr>
      <w:r>
        <w:rPr>
          <w:rFonts w:eastAsia="Times New Roman" w:cs="Times New Roman"/>
          <w:sz w:val="21"/>
          <w:szCs w:val="21"/>
        </w:rPr>
        <w:t>the</w:t>
      </w:r>
      <w:r w:rsidR="00861DC4">
        <w:rPr>
          <w:rFonts w:eastAsia="Times New Roman" w:cs="Times New Roman"/>
          <w:sz w:val="21"/>
          <w:szCs w:val="21"/>
        </w:rPr>
        <w:t xml:space="preserve"> </w:t>
      </w:r>
      <w:r w:rsidR="00A6350D" w:rsidRPr="00220B36">
        <w:rPr>
          <w:rFonts w:eastAsia="Times New Roman" w:cs="Times New Roman"/>
          <w:sz w:val="21"/>
          <w:szCs w:val="21"/>
        </w:rPr>
        <w:t xml:space="preserve">limited and high cost </w:t>
      </w:r>
      <w:r>
        <w:rPr>
          <w:rFonts w:eastAsia="Times New Roman" w:cs="Times New Roman"/>
          <w:sz w:val="21"/>
          <w:szCs w:val="21"/>
        </w:rPr>
        <w:t xml:space="preserve">of </w:t>
      </w:r>
      <w:r w:rsidR="00A6350D" w:rsidRPr="00220B36">
        <w:rPr>
          <w:rFonts w:eastAsia="Times New Roman" w:cs="Times New Roman"/>
          <w:sz w:val="21"/>
          <w:szCs w:val="21"/>
        </w:rPr>
        <w:t>access to international markets.</w:t>
      </w:r>
    </w:p>
    <w:p w14:paraId="4FCB1D5A" w14:textId="77777777" w:rsidR="009B6549" w:rsidRDefault="00C64722" w:rsidP="007F255F">
      <w:pPr>
        <w:tabs>
          <w:tab w:val="left" w:pos="284"/>
        </w:tabs>
        <w:suppressAutoHyphens w:val="0"/>
        <w:spacing w:before="0" w:line="280" w:lineRule="exact"/>
        <w:rPr>
          <w:rFonts w:eastAsia="Times New Roman" w:cs="Times New Roman"/>
          <w:sz w:val="21"/>
          <w:szCs w:val="21"/>
        </w:rPr>
      </w:pPr>
      <w:r w:rsidRPr="007F255F">
        <w:rPr>
          <w:rFonts w:eastAsia="Times New Roman" w:cs="Times New Roman"/>
          <w:sz w:val="21"/>
          <w:szCs w:val="21"/>
        </w:rPr>
        <w:t>COVID-19 has hit Timor-Leste hard</w:t>
      </w:r>
      <w:r w:rsidRPr="007F255F">
        <w:rPr>
          <w:rFonts w:eastAsia="Times New Roman" w:cs="Times New Roman"/>
          <w:sz w:val="21"/>
          <w:szCs w:val="21"/>
          <w:lang w:val="en-AU"/>
        </w:rPr>
        <w:t xml:space="preserve">, with the economy forecast to contract by </w:t>
      </w:r>
      <w:r w:rsidR="008E7158">
        <w:rPr>
          <w:rFonts w:eastAsia="Times New Roman" w:cs="Times New Roman"/>
          <w:sz w:val="21"/>
          <w:szCs w:val="21"/>
          <w:lang w:val="en-AU"/>
        </w:rPr>
        <w:t xml:space="preserve">at least </w:t>
      </w:r>
      <w:r w:rsidRPr="007F255F">
        <w:rPr>
          <w:rFonts w:eastAsia="Times New Roman" w:cs="Times New Roman"/>
          <w:sz w:val="21"/>
          <w:szCs w:val="21"/>
          <w:lang w:val="en-AU"/>
        </w:rPr>
        <w:t>4.8% in 2020</w:t>
      </w:r>
      <w:r w:rsidR="00697C2F" w:rsidRPr="007F255F">
        <w:rPr>
          <w:rFonts w:eastAsia="Times New Roman" w:cs="Times New Roman"/>
          <w:sz w:val="21"/>
          <w:szCs w:val="21"/>
          <w:lang w:val="en-AU"/>
        </w:rPr>
        <w:t>.</w:t>
      </w:r>
      <w:r w:rsidR="00DA06C5">
        <w:rPr>
          <w:rFonts w:eastAsia="Times New Roman" w:cs="Times New Roman"/>
          <w:sz w:val="21"/>
          <w:szCs w:val="21"/>
          <w:lang w:val="en-AU"/>
        </w:rPr>
        <w:t xml:space="preserve"> Socio-economic indicators are</w:t>
      </w:r>
      <w:r w:rsidR="00401632">
        <w:rPr>
          <w:rFonts w:eastAsia="Times New Roman" w:cs="Times New Roman"/>
          <w:sz w:val="21"/>
          <w:szCs w:val="21"/>
          <w:lang w:val="en-AU"/>
        </w:rPr>
        <w:t xml:space="preserve"> likely to </w:t>
      </w:r>
      <w:r w:rsidR="008E7158">
        <w:rPr>
          <w:rFonts w:eastAsia="Times New Roman" w:cs="Times New Roman"/>
          <w:sz w:val="21"/>
          <w:szCs w:val="21"/>
          <w:lang w:val="en-AU"/>
        </w:rPr>
        <w:t>regress</w:t>
      </w:r>
      <w:r w:rsidR="00DA06C5">
        <w:rPr>
          <w:rFonts w:eastAsia="Times New Roman" w:cs="Times New Roman"/>
          <w:sz w:val="21"/>
          <w:szCs w:val="21"/>
          <w:lang w:val="en-AU"/>
        </w:rPr>
        <w:t xml:space="preserve"> and there has been</w:t>
      </w:r>
      <w:r w:rsidRPr="007F255F">
        <w:rPr>
          <w:rFonts w:eastAsia="Times New Roman" w:cs="Times New Roman"/>
          <w:sz w:val="21"/>
          <w:szCs w:val="21"/>
          <w:lang w:val="en-AU"/>
        </w:rPr>
        <w:t xml:space="preserve"> significant impacts on income and employment in both the formal and informal sectors. There are around 60,000 jobs in the private sector, many of which are at risk. The</w:t>
      </w:r>
      <w:r w:rsidR="005B42BA" w:rsidRPr="007F255F">
        <w:rPr>
          <w:rFonts w:eastAsia="Times New Roman" w:cs="Times New Roman"/>
          <w:sz w:val="21"/>
          <w:szCs w:val="21"/>
          <w:lang w:val="en-AU"/>
        </w:rPr>
        <w:t xml:space="preserve"> much larger</w:t>
      </w:r>
      <w:r w:rsidRPr="007F255F">
        <w:rPr>
          <w:rFonts w:eastAsia="Times New Roman" w:cs="Times New Roman"/>
          <w:sz w:val="21"/>
          <w:szCs w:val="21"/>
          <w:lang w:val="en-AU"/>
        </w:rPr>
        <w:t xml:space="preserve"> informal sector</w:t>
      </w:r>
      <w:r w:rsidR="00697C2F" w:rsidRPr="007F255F">
        <w:rPr>
          <w:rFonts w:eastAsia="Times New Roman" w:cs="Times New Roman"/>
          <w:sz w:val="21"/>
          <w:szCs w:val="21"/>
          <w:lang w:val="en-AU"/>
        </w:rPr>
        <w:t xml:space="preserve"> </w:t>
      </w:r>
      <w:r w:rsidRPr="007F255F">
        <w:rPr>
          <w:rFonts w:eastAsia="Times New Roman" w:cs="Times New Roman"/>
          <w:sz w:val="21"/>
          <w:szCs w:val="21"/>
          <w:lang w:val="en-AU"/>
        </w:rPr>
        <w:t xml:space="preserve">is particularly vulnerable, with around 250,000 people facing </w:t>
      </w:r>
      <w:r w:rsidR="008E7158">
        <w:rPr>
          <w:rFonts w:eastAsia="Times New Roman" w:cs="Times New Roman"/>
          <w:sz w:val="21"/>
          <w:szCs w:val="21"/>
          <w:lang w:val="en-AU"/>
        </w:rPr>
        <w:t>reduced</w:t>
      </w:r>
      <w:r w:rsidRPr="007F255F">
        <w:rPr>
          <w:rFonts w:eastAsia="Times New Roman" w:cs="Times New Roman"/>
          <w:sz w:val="21"/>
          <w:szCs w:val="21"/>
          <w:lang w:val="en-AU"/>
        </w:rPr>
        <w:t xml:space="preserve"> income</w:t>
      </w:r>
      <w:r w:rsidR="008E7158">
        <w:rPr>
          <w:rFonts w:eastAsia="Times New Roman" w:cs="Times New Roman"/>
          <w:sz w:val="21"/>
          <w:szCs w:val="21"/>
          <w:lang w:val="en-AU"/>
        </w:rPr>
        <w:t>s</w:t>
      </w:r>
      <w:r w:rsidR="00EF44BF">
        <w:rPr>
          <w:rFonts w:eastAsia="Times New Roman" w:cs="Times New Roman"/>
          <w:sz w:val="21"/>
          <w:szCs w:val="21"/>
          <w:lang w:val="en-AU"/>
        </w:rPr>
        <w:t xml:space="preserve"> or job losses</w:t>
      </w:r>
      <w:r w:rsidR="009B6549">
        <w:rPr>
          <w:rFonts w:eastAsia="Times New Roman" w:cs="Times New Roman"/>
          <w:sz w:val="21"/>
          <w:szCs w:val="21"/>
        </w:rPr>
        <w:t>.</w:t>
      </w:r>
    </w:p>
    <w:p w14:paraId="3E31E47B" w14:textId="4B67F8FB" w:rsidR="00BD5615" w:rsidRDefault="00EC420D" w:rsidP="007F255F">
      <w:pPr>
        <w:tabs>
          <w:tab w:val="left" w:pos="284"/>
        </w:tabs>
        <w:suppressAutoHyphens w:val="0"/>
        <w:spacing w:before="0" w:line="280" w:lineRule="exact"/>
        <w:rPr>
          <w:rFonts w:eastAsia="Times New Roman" w:cs="Times New Roman"/>
          <w:sz w:val="21"/>
          <w:szCs w:val="21"/>
        </w:rPr>
      </w:pPr>
      <w:r>
        <w:rPr>
          <w:rFonts w:eastAsia="Times New Roman" w:cs="Times New Roman"/>
          <w:sz w:val="21"/>
          <w:szCs w:val="21"/>
        </w:rPr>
        <w:t xml:space="preserve">The impact of COVID-19 on global </w:t>
      </w:r>
      <w:r w:rsidR="006E55FB">
        <w:rPr>
          <w:rFonts w:eastAsia="Times New Roman" w:cs="Times New Roman"/>
          <w:sz w:val="21"/>
          <w:szCs w:val="21"/>
        </w:rPr>
        <w:t xml:space="preserve">energy markets will make it </w:t>
      </w:r>
      <w:r>
        <w:rPr>
          <w:rFonts w:eastAsia="Times New Roman" w:cs="Times New Roman"/>
          <w:sz w:val="21"/>
          <w:szCs w:val="21"/>
        </w:rPr>
        <w:t xml:space="preserve">more difficult for Timor-Leste’s to achieve </w:t>
      </w:r>
      <w:r w:rsidR="002C0524">
        <w:rPr>
          <w:rFonts w:eastAsia="Times New Roman" w:cs="Times New Roman"/>
          <w:sz w:val="21"/>
          <w:szCs w:val="21"/>
        </w:rPr>
        <w:t>its</w:t>
      </w:r>
      <w:r>
        <w:rPr>
          <w:rFonts w:eastAsia="Times New Roman" w:cs="Times New Roman"/>
          <w:sz w:val="21"/>
          <w:szCs w:val="21"/>
        </w:rPr>
        <w:t xml:space="preserve"> ambitions to develop a domestic oil and gas processing industry. </w:t>
      </w:r>
      <w:r w:rsidR="00BF480E" w:rsidRPr="00BF480E">
        <w:rPr>
          <w:rFonts w:eastAsia="Times New Roman" w:cs="Times New Roman"/>
          <w:sz w:val="21"/>
          <w:szCs w:val="21"/>
        </w:rPr>
        <w:t xml:space="preserve">After initial losses due to the impact of COVID-19 on global financial markets, the Petroleum Fund has </w:t>
      </w:r>
      <w:r w:rsidR="005336CD">
        <w:rPr>
          <w:rFonts w:eastAsia="Times New Roman" w:cs="Times New Roman"/>
          <w:sz w:val="21"/>
          <w:szCs w:val="21"/>
        </w:rPr>
        <w:t xml:space="preserve">recouped those losses and </w:t>
      </w:r>
      <w:r w:rsidR="00BF480E" w:rsidRPr="00BF480E">
        <w:rPr>
          <w:rFonts w:eastAsia="Times New Roman" w:cs="Times New Roman"/>
          <w:sz w:val="21"/>
          <w:szCs w:val="21"/>
        </w:rPr>
        <w:t xml:space="preserve">stabilised in value. </w:t>
      </w:r>
      <w:r w:rsidR="007E19CD">
        <w:rPr>
          <w:rFonts w:eastAsia="Times New Roman" w:cs="Times New Roman"/>
          <w:sz w:val="21"/>
          <w:szCs w:val="21"/>
        </w:rPr>
        <w:t>However,</w:t>
      </w:r>
      <w:r w:rsidR="002C0524">
        <w:rPr>
          <w:rFonts w:eastAsia="Times New Roman" w:cs="Times New Roman"/>
          <w:sz w:val="21"/>
          <w:szCs w:val="21"/>
        </w:rPr>
        <w:t xml:space="preserve"> </w:t>
      </w:r>
      <w:r>
        <w:rPr>
          <w:rFonts w:eastAsia="Times New Roman" w:cs="Times New Roman"/>
          <w:sz w:val="21"/>
          <w:szCs w:val="21"/>
        </w:rPr>
        <w:t xml:space="preserve">the long-term outlook </w:t>
      </w:r>
      <w:r w:rsidR="00AB5AEF">
        <w:rPr>
          <w:rFonts w:eastAsia="Times New Roman" w:cs="Times New Roman"/>
          <w:sz w:val="21"/>
          <w:szCs w:val="21"/>
        </w:rPr>
        <w:t xml:space="preserve">for </w:t>
      </w:r>
      <w:r w:rsidR="0015663B">
        <w:rPr>
          <w:rFonts w:eastAsia="Times New Roman" w:cs="Times New Roman"/>
          <w:sz w:val="21"/>
          <w:szCs w:val="21"/>
        </w:rPr>
        <w:t xml:space="preserve">Timor-Leste’s economy </w:t>
      </w:r>
      <w:r w:rsidR="002C0524">
        <w:rPr>
          <w:rFonts w:eastAsia="Times New Roman" w:cs="Times New Roman"/>
          <w:sz w:val="21"/>
          <w:szCs w:val="21"/>
        </w:rPr>
        <w:t xml:space="preserve">will be </w:t>
      </w:r>
      <w:r w:rsidR="00D35FF3">
        <w:rPr>
          <w:rFonts w:eastAsia="Times New Roman" w:cs="Times New Roman"/>
          <w:sz w:val="21"/>
          <w:szCs w:val="21"/>
        </w:rPr>
        <w:t>challenging</w:t>
      </w:r>
      <w:r w:rsidR="00E6103A">
        <w:rPr>
          <w:rFonts w:eastAsia="Times New Roman" w:cs="Times New Roman"/>
          <w:sz w:val="21"/>
          <w:szCs w:val="21"/>
        </w:rPr>
        <w:t xml:space="preserve"> </w:t>
      </w:r>
      <w:r>
        <w:rPr>
          <w:rFonts w:eastAsia="Times New Roman" w:cs="Times New Roman"/>
          <w:sz w:val="21"/>
          <w:szCs w:val="21"/>
        </w:rPr>
        <w:t>unless</w:t>
      </w:r>
      <w:r w:rsidR="002C0524">
        <w:rPr>
          <w:rFonts w:eastAsia="Times New Roman" w:cs="Times New Roman"/>
          <w:sz w:val="21"/>
          <w:szCs w:val="21"/>
        </w:rPr>
        <w:t xml:space="preserve"> it can deliver on </w:t>
      </w:r>
      <w:r>
        <w:rPr>
          <w:rFonts w:eastAsia="Times New Roman" w:cs="Times New Roman"/>
          <w:sz w:val="21"/>
          <w:szCs w:val="21"/>
        </w:rPr>
        <w:t>economic diversification.</w:t>
      </w:r>
      <w:r w:rsidR="00A037C1">
        <w:rPr>
          <w:rFonts w:eastAsia="Times New Roman" w:cs="Times New Roman"/>
          <w:sz w:val="21"/>
          <w:szCs w:val="21"/>
        </w:rPr>
        <w:t xml:space="preserve"> </w:t>
      </w:r>
      <w:r w:rsidR="00BD5615">
        <w:rPr>
          <w:rFonts w:eastAsia="Times New Roman" w:cs="Times New Roman"/>
          <w:sz w:val="21"/>
          <w:szCs w:val="21"/>
        </w:rPr>
        <w:t>Recognising that the global pandemic will have long-lasting impacts, Timor-Leste has prepared a</w:t>
      </w:r>
      <w:r w:rsidR="00BD5615" w:rsidRPr="007F255F">
        <w:rPr>
          <w:rFonts w:eastAsia="Times New Roman" w:cs="Times New Roman"/>
          <w:sz w:val="21"/>
          <w:szCs w:val="21"/>
        </w:rPr>
        <w:t xml:space="preserve"> </w:t>
      </w:r>
      <w:r w:rsidR="00BD5615" w:rsidRPr="007F255F">
        <w:rPr>
          <w:rFonts w:eastAsia="Times New Roman" w:cs="Times New Roman"/>
          <w:i/>
          <w:sz w:val="21"/>
          <w:szCs w:val="21"/>
        </w:rPr>
        <w:t>COVID-19</w:t>
      </w:r>
      <w:r w:rsidR="00BD5615" w:rsidRPr="007F255F">
        <w:rPr>
          <w:rFonts w:eastAsia="Times New Roman" w:cs="Times New Roman"/>
          <w:sz w:val="21"/>
          <w:szCs w:val="21"/>
        </w:rPr>
        <w:t xml:space="preserve"> </w:t>
      </w:r>
      <w:r w:rsidR="00BD5615" w:rsidRPr="007F255F">
        <w:rPr>
          <w:rFonts w:eastAsia="Times New Roman" w:cs="Times New Roman"/>
          <w:i/>
          <w:sz w:val="21"/>
          <w:szCs w:val="21"/>
        </w:rPr>
        <w:lastRenderedPageBreak/>
        <w:t xml:space="preserve">Economic Recovery </w:t>
      </w:r>
      <w:r w:rsidR="00BD5615">
        <w:rPr>
          <w:rFonts w:eastAsia="Times New Roman" w:cs="Times New Roman"/>
          <w:i/>
          <w:sz w:val="21"/>
          <w:szCs w:val="21"/>
        </w:rPr>
        <w:t xml:space="preserve">Plan </w:t>
      </w:r>
      <w:r w:rsidR="00BD5615" w:rsidRPr="006F12DD">
        <w:rPr>
          <w:rFonts w:eastAsia="Times New Roman" w:cs="Times New Roman"/>
          <w:sz w:val="21"/>
          <w:szCs w:val="21"/>
        </w:rPr>
        <w:t xml:space="preserve">(ERP) </w:t>
      </w:r>
      <w:r w:rsidR="00BD5615">
        <w:rPr>
          <w:rFonts w:eastAsia="Times New Roman" w:cs="Times New Roman"/>
          <w:sz w:val="21"/>
          <w:szCs w:val="21"/>
        </w:rPr>
        <w:t>that includes</w:t>
      </w:r>
      <w:r w:rsidR="00BD5615" w:rsidRPr="007F255F">
        <w:rPr>
          <w:rFonts w:eastAsia="Times New Roman" w:cs="Times New Roman"/>
          <w:sz w:val="21"/>
          <w:szCs w:val="21"/>
        </w:rPr>
        <w:t xml:space="preserve"> short and medium term </w:t>
      </w:r>
      <w:r w:rsidR="00BD5615">
        <w:rPr>
          <w:rFonts w:eastAsia="Times New Roman" w:cs="Times New Roman"/>
          <w:sz w:val="21"/>
          <w:szCs w:val="21"/>
        </w:rPr>
        <w:t xml:space="preserve">social and </w:t>
      </w:r>
      <w:r w:rsidR="00BD5615" w:rsidRPr="007F255F">
        <w:rPr>
          <w:rFonts w:eastAsia="Times New Roman" w:cs="Times New Roman"/>
          <w:sz w:val="21"/>
          <w:szCs w:val="21"/>
        </w:rPr>
        <w:t>economic policies</w:t>
      </w:r>
      <w:r w:rsidR="00BD5615">
        <w:rPr>
          <w:rFonts w:eastAsia="Times New Roman" w:cs="Times New Roman"/>
          <w:sz w:val="21"/>
          <w:szCs w:val="21"/>
        </w:rPr>
        <w:t>.</w:t>
      </w:r>
      <w:r w:rsidR="00BD5615" w:rsidRPr="00911464">
        <w:rPr>
          <w:rFonts w:eastAsia="Times New Roman" w:cs="Times New Roman"/>
          <w:sz w:val="21"/>
          <w:szCs w:val="21"/>
        </w:rPr>
        <w:t xml:space="preserve"> </w:t>
      </w:r>
      <w:r w:rsidR="00BD5615" w:rsidRPr="007F255F">
        <w:rPr>
          <w:rFonts w:eastAsia="Times New Roman" w:cs="Times New Roman"/>
          <w:sz w:val="21"/>
          <w:szCs w:val="21"/>
        </w:rPr>
        <w:t>GoTL</w:t>
      </w:r>
      <w:r w:rsidR="00BD5615">
        <w:rPr>
          <w:rFonts w:eastAsia="Times New Roman" w:cs="Times New Roman"/>
          <w:sz w:val="21"/>
          <w:szCs w:val="21"/>
        </w:rPr>
        <w:t xml:space="preserve"> </w:t>
      </w:r>
      <w:r w:rsidR="00BD5615" w:rsidRPr="00911464">
        <w:rPr>
          <w:rFonts w:eastAsia="Times New Roman" w:cs="Times New Roman"/>
          <w:sz w:val="21"/>
          <w:szCs w:val="21"/>
        </w:rPr>
        <w:t>is seeking</w:t>
      </w:r>
      <w:r w:rsidR="00BD5615" w:rsidRPr="007F255F">
        <w:rPr>
          <w:rFonts w:eastAsia="Times New Roman" w:cs="Times New Roman"/>
          <w:sz w:val="21"/>
          <w:szCs w:val="21"/>
        </w:rPr>
        <w:t xml:space="preserve"> donor support </w:t>
      </w:r>
      <w:r w:rsidR="00BD5615">
        <w:rPr>
          <w:rFonts w:eastAsia="Times New Roman" w:cs="Times New Roman"/>
          <w:sz w:val="21"/>
          <w:szCs w:val="21"/>
        </w:rPr>
        <w:t>to implement the ERP</w:t>
      </w:r>
      <w:r w:rsidR="002C0524">
        <w:rPr>
          <w:rFonts w:eastAsia="Times New Roman" w:cs="Times New Roman"/>
          <w:sz w:val="21"/>
          <w:szCs w:val="21"/>
        </w:rPr>
        <w:t>.</w:t>
      </w:r>
    </w:p>
    <w:p w14:paraId="1B1713E9" w14:textId="77777777" w:rsidR="00C64722" w:rsidRDefault="00CA194E" w:rsidP="007F255F">
      <w:pPr>
        <w:tabs>
          <w:tab w:val="left" w:pos="284"/>
        </w:tabs>
        <w:suppressAutoHyphens w:val="0"/>
        <w:spacing w:before="0" w:line="280" w:lineRule="exact"/>
        <w:rPr>
          <w:rFonts w:eastAsia="Times New Roman" w:cs="Times New Roman"/>
          <w:sz w:val="21"/>
          <w:szCs w:val="21"/>
        </w:rPr>
      </w:pPr>
      <w:r w:rsidRPr="007F255F">
        <w:rPr>
          <w:rFonts w:eastAsia="Times New Roman" w:cs="Times New Roman"/>
          <w:sz w:val="21"/>
          <w:szCs w:val="21"/>
        </w:rPr>
        <w:t>Timor-Leste faces</w:t>
      </w:r>
      <w:r w:rsidR="00B55440">
        <w:rPr>
          <w:rFonts w:eastAsia="Times New Roman" w:cs="Times New Roman"/>
          <w:sz w:val="21"/>
          <w:szCs w:val="21"/>
        </w:rPr>
        <w:t xml:space="preserve"> wide-ranging governance challenges</w:t>
      </w:r>
      <w:r w:rsidR="00CB241D" w:rsidRPr="007F255F">
        <w:rPr>
          <w:rFonts w:eastAsia="Times New Roman" w:cs="Times New Roman"/>
          <w:sz w:val="21"/>
          <w:szCs w:val="21"/>
        </w:rPr>
        <w:t xml:space="preserve"> that stifl</w:t>
      </w:r>
      <w:r w:rsidR="00E6103A">
        <w:rPr>
          <w:rFonts w:eastAsia="Times New Roman" w:cs="Times New Roman"/>
          <w:sz w:val="21"/>
          <w:szCs w:val="21"/>
        </w:rPr>
        <w:t>e</w:t>
      </w:r>
      <w:r w:rsidR="00CB241D" w:rsidRPr="007F255F">
        <w:rPr>
          <w:rFonts w:eastAsia="Times New Roman" w:cs="Times New Roman"/>
          <w:sz w:val="21"/>
          <w:szCs w:val="21"/>
        </w:rPr>
        <w:t xml:space="preserve"> the development of sound policy and service delivery.</w:t>
      </w:r>
      <w:r w:rsidRPr="007F255F">
        <w:rPr>
          <w:rFonts w:eastAsia="Times New Roman" w:cs="Times New Roman"/>
          <w:sz w:val="21"/>
          <w:szCs w:val="21"/>
        </w:rPr>
        <w:t xml:space="preserve"> </w:t>
      </w:r>
      <w:r w:rsidR="00C9302C">
        <w:rPr>
          <w:rFonts w:eastAsia="Times New Roman" w:cs="Times New Roman"/>
          <w:sz w:val="21"/>
          <w:szCs w:val="21"/>
        </w:rPr>
        <w:t xml:space="preserve">Line </w:t>
      </w:r>
      <w:r w:rsidR="00C64722" w:rsidRPr="007F255F">
        <w:rPr>
          <w:rFonts w:eastAsia="Times New Roman" w:cs="Times New Roman"/>
          <w:sz w:val="21"/>
          <w:szCs w:val="21"/>
        </w:rPr>
        <w:t>ministries responsible for delivering services are dependent on central agenc</w:t>
      </w:r>
      <w:r w:rsidR="00E6103A">
        <w:rPr>
          <w:rFonts w:eastAsia="Times New Roman" w:cs="Times New Roman"/>
          <w:sz w:val="21"/>
          <w:szCs w:val="21"/>
        </w:rPr>
        <w:t>ies</w:t>
      </w:r>
      <w:r w:rsidR="00266EDD">
        <w:rPr>
          <w:rFonts w:eastAsia="Times New Roman" w:cs="Times New Roman"/>
          <w:sz w:val="21"/>
          <w:szCs w:val="21"/>
        </w:rPr>
        <w:t xml:space="preserve"> for a range of inputs</w:t>
      </w:r>
      <w:r w:rsidR="00C64722" w:rsidRPr="007F255F">
        <w:rPr>
          <w:rFonts w:eastAsia="Times New Roman" w:cs="Times New Roman"/>
          <w:sz w:val="21"/>
          <w:szCs w:val="21"/>
        </w:rPr>
        <w:t>, including</w:t>
      </w:r>
      <w:r w:rsidR="0068239E">
        <w:rPr>
          <w:rFonts w:eastAsia="Times New Roman" w:cs="Times New Roman"/>
          <w:sz w:val="21"/>
          <w:szCs w:val="21"/>
        </w:rPr>
        <w:t>:</w:t>
      </w:r>
      <w:r w:rsidR="00C64722" w:rsidRPr="007F255F">
        <w:rPr>
          <w:rFonts w:eastAsia="Times New Roman" w:cs="Times New Roman"/>
          <w:sz w:val="21"/>
          <w:szCs w:val="21"/>
        </w:rPr>
        <w:t xml:space="preserve"> financial management systems for transferring and acquitting money and developing the budget; human resource systems for managing the workforce; and complicated procu</w:t>
      </w:r>
      <w:r w:rsidR="00EF44BF">
        <w:rPr>
          <w:rFonts w:eastAsia="Times New Roman" w:cs="Times New Roman"/>
          <w:sz w:val="21"/>
          <w:szCs w:val="21"/>
        </w:rPr>
        <w:t>rement and governance systems</w:t>
      </w:r>
      <w:r w:rsidR="00C64722" w:rsidRPr="007F255F">
        <w:rPr>
          <w:rFonts w:eastAsia="Times New Roman" w:cs="Times New Roman"/>
          <w:sz w:val="21"/>
          <w:szCs w:val="21"/>
        </w:rPr>
        <w:t xml:space="preserve"> </w:t>
      </w:r>
      <w:r w:rsidR="0015663B">
        <w:rPr>
          <w:rFonts w:eastAsia="Times New Roman" w:cs="Times New Roman"/>
          <w:sz w:val="21"/>
          <w:szCs w:val="21"/>
        </w:rPr>
        <w:t xml:space="preserve">that </w:t>
      </w:r>
      <w:r w:rsidR="0068239E">
        <w:rPr>
          <w:rFonts w:eastAsia="Times New Roman" w:cs="Times New Roman"/>
          <w:sz w:val="21"/>
          <w:szCs w:val="21"/>
        </w:rPr>
        <w:t>delay</w:t>
      </w:r>
      <w:r w:rsidR="00C64722" w:rsidRPr="007F255F">
        <w:rPr>
          <w:rFonts w:eastAsia="Times New Roman" w:cs="Times New Roman"/>
          <w:sz w:val="21"/>
          <w:szCs w:val="21"/>
        </w:rPr>
        <w:t xml:space="preserve"> infrastructure</w:t>
      </w:r>
      <w:r w:rsidR="0068239E">
        <w:rPr>
          <w:rFonts w:eastAsia="Times New Roman" w:cs="Times New Roman"/>
          <w:sz w:val="21"/>
          <w:szCs w:val="21"/>
        </w:rPr>
        <w:t xml:space="preserve"> projects</w:t>
      </w:r>
      <w:r w:rsidR="00C64722" w:rsidRPr="007F255F">
        <w:rPr>
          <w:rFonts w:eastAsia="Times New Roman" w:cs="Times New Roman"/>
          <w:sz w:val="21"/>
          <w:szCs w:val="21"/>
        </w:rPr>
        <w:t xml:space="preserve">. </w:t>
      </w:r>
      <w:r w:rsidR="0068239E">
        <w:rPr>
          <w:rFonts w:eastAsia="Times New Roman" w:cs="Times New Roman"/>
          <w:sz w:val="21"/>
          <w:szCs w:val="21"/>
        </w:rPr>
        <w:t>Improving these systems and having sounds economic policy decisions is crucial for Timor-Leste’s success as a stable and prosperous nation</w:t>
      </w:r>
      <w:r w:rsidR="00C64722" w:rsidRPr="007F255F">
        <w:rPr>
          <w:rFonts w:eastAsia="Times New Roman" w:cs="Times New Roman"/>
          <w:sz w:val="21"/>
          <w:szCs w:val="21"/>
        </w:rPr>
        <w:t>.</w:t>
      </w:r>
    </w:p>
    <w:p w14:paraId="5F638139" w14:textId="77777777" w:rsidR="007F255F" w:rsidRDefault="007227DC" w:rsidP="007F255F">
      <w:pPr>
        <w:tabs>
          <w:tab w:val="left" w:pos="284"/>
        </w:tabs>
        <w:suppressAutoHyphens w:val="0"/>
        <w:spacing w:before="0" w:line="280" w:lineRule="exact"/>
        <w:rPr>
          <w:rFonts w:eastAsia="Times New Roman" w:cs="Times New Roman"/>
          <w:sz w:val="21"/>
          <w:szCs w:val="21"/>
        </w:rPr>
      </w:pPr>
      <w:r w:rsidRPr="00690A0F">
        <w:rPr>
          <w:rFonts w:eastAsia="Times New Roman" w:cs="Times New Roman"/>
          <w:sz w:val="21"/>
          <w:szCs w:val="21"/>
        </w:rPr>
        <w:t xml:space="preserve">Governance for Development </w:t>
      </w:r>
      <w:r w:rsidRPr="0068239E">
        <w:rPr>
          <w:rFonts w:eastAsia="Times New Roman" w:cs="Times New Roman"/>
          <w:sz w:val="21"/>
          <w:szCs w:val="21"/>
        </w:rPr>
        <w:t>2 (working name GfD2; title to be confirmed during design)</w:t>
      </w:r>
      <w:r w:rsidR="000D4823" w:rsidRPr="0068239E">
        <w:rPr>
          <w:rFonts w:eastAsia="Times New Roman" w:cs="Times New Roman"/>
          <w:sz w:val="21"/>
          <w:szCs w:val="21"/>
        </w:rPr>
        <w:t xml:space="preserve"> </w:t>
      </w:r>
      <w:r w:rsidR="0015663B" w:rsidRPr="0068239E">
        <w:rPr>
          <w:rFonts w:eastAsia="Times New Roman" w:cs="Times New Roman"/>
          <w:sz w:val="21"/>
          <w:szCs w:val="21"/>
        </w:rPr>
        <w:t>will</w:t>
      </w:r>
      <w:r w:rsidR="0015663B">
        <w:rPr>
          <w:rFonts w:eastAsia="Times New Roman" w:cs="Times New Roman"/>
          <w:sz w:val="21"/>
          <w:szCs w:val="21"/>
        </w:rPr>
        <w:t xml:space="preserve"> </w:t>
      </w:r>
      <w:r w:rsidR="007F255F">
        <w:rPr>
          <w:rFonts w:eastAsia="Times New Roman" w:cs="Times New Roman"/>
          <w:sz w:val="21"/>
          <w:szCs w:val="21"/>
        </w:rPr>
        <w:t xml:space="preserve">extend Australia’s longstanding partnership with </w:t>
      </w:r>
      <w:r w:rsidR="00496BF9">
        <w:rPr>
          <w:rFonts w:eastAsia="Times New Roman" w:cs="Times New Roman"/>
          <w:sz w:val="21"/>
          <w:szCs w:val="21"/>
        </w:rPr>
        <w:t>Timor-Leste</w:t>
      </w:r>
      <w:r w:rsidR="007F255F">
        <w:rPr>
          <w:rFonts w:eastAsia="Times New Roman" w:cs="Times New Roman"/>
          <w:sz w:val="21"/>
          <w:szCs w:val="21"/>
        </w:rPr>
        <w:t xml:space="preserve"> in support of good governance and economic </w:t>
      </w:r>
      <w:r w:rsidR="00496BF9">
        <w:rPr>
          <w:rFonts w:eastAsia="Times New Roman" w:cs="Times New Roman"/>
          <w:sz w:val="21"/>
          <w:szCs w:val="21"/>
        </w:rPr>
        <w:t xml:space="preserve">policy </w:t>
      </w:r>
      <w:r w:rsidR="007F255F">
        <w:rPr>
          <w:rFonts w:eastAsia="Times New Roman" w:cs="Times New Roman"/>
          <w:sz w:val="21"/>
          <w:szCs w:val="21"/>
        </w:rPr>
        <w:t xml:space="preserve">development. </w:t>
      </w:r>
      <w:r w:rsidR="0015663B">
        <w:rPr>
          <w:rFonts w:eastAsia="Times New Roman" w:cs="Times New Roman"/>
          <w:sz w:val="21"/>
          <w:szCs w:val="21"/>
        </w:rPr>
        <w:t>It</w:t>
      </w:r>
      <w:r w:rsidR="007F255F">
        <w:rPr>
          <w:rFonts w:eastAsia="Times New Roman" w:cs="Times New Roman"/>
          <w:sz w:val="21"/>
          <w:szCs w:val="21"/>
        </w:rPr>
        <w:t xml:space="preserve"> </w:t>
      </w:r>
      <w:r w:rsidR="000D4823" w:rsidRPr="007F255F">
        <w:rPr>
          <w:rFonts w:eastAsia="Times New Roman" w:cs="Times New Roman"/>
          <w:sz w:val="21"/>
          <w:szCs w:val="21"/>
        </w:rPr>
        <w:t>will be Australia’s main program for providing support to Timor-Leste’s central government agencies and</w:t>
      </w:r>
      <w:r w:rsidR="0042360F" w:rsidRPr="007F255F">
        <w:rPr>
          <w:rFonts w:eastAsia="Times New Roman" w:cs="Times New Roman"/>
          <w:sz w:val="21"/>
          <w:szCs w:val="21"/>
        </w:rPr>
        <w:t xml:space="preserve"> </w:t>
      </w:r>
      <w:r w:rsidR="000D4823" w:rsidRPr="007F255F">
        <w:rPr>
          <w:rFonts w:eastAsia="Times New Roman" w:cs="Times New Roman"/>
          <w:sz w:val="21"/>
          <w:szCs w:val="21"/>
        </w:rPr>
        <w:t xml:space="preserve">economic line-ministries. The program </w:t>
      </w:r>
      <w:r w:rsidR="00266EDD">
        <w:rPr>
          <w:rFonts w:eastAsia="Times New Roman" w:cs="Times New Roman"/>
          <w:sz w:val="21"/>
          <w:szCs w:val="21"/>
        </w:rPr>
        <w:t xml:space="preserve">will </w:t>
      </w:r>
      <w:r w:rsidR="00FD3902" w:rsidRPr="007F255F">
        <w:rPr>
          <w:rFonts w:eastAsia="Times New Roman" w:cs="Times New Roman"/>
          <w:sz w:val="21"/>
          <w:szCs w:val="21"/>
        </w:rPr>
        <w:t>complement</w:t>
      </w:r>
      <w:r w:rsidR="00266EDD">
        <w:rPr>
          <w:rFonts w:eastAsia="Times New Roman" w:cs="Times New Roman"/>
          <w:sz w:val="21"/>
          <w:szCs w:val="21"/>
        </w:rPr>
        <w:t xml:space="preserve"> </w:t>
      </w:r>
      <w:r w:rsidR="000D4823" w:rsidRPr="007F255F">
        <w:rPr>
          <w:rFonts w:eastAsia="Times New Roman" w:cs="Times New Roman"/>
          <w:sz w:val="21"/>
          <w:szCs w:val="21"/>
        </w:rPr>
        <w:t xml:space="preserve">Australia’s broader bilateral program, including </w:t>
      </w:r>
      <w:r w:rsidR="00266EDD">
        <w:rPr>
          <w:rFonts w:eastAsia="Times New Roman" w:cs="Times New Roman"/>
          <w:sz w:val="21"/>
          <w:szCs w:val="21"/>
        </w:rPr>
        <w:t xml:space="preserve">by </w:t>
      </w:r>
      <w:r w:rsidR="000D4823" w:rsidRPr="007F255F">
        <w:rPr>
          <w:rFonts w:eastAsia="Times New Roman" w:cs="Times New Roman"/>
          <w:sz w:val="21"/>
          <w:szCs w:val="21"/>
        </w:rPr>
        <w:t xml:space="preserve">targeting upstream blockages to downstream service delivery, and working with </w:t>
      </w:r>
      <w:r w:rsidR="007F255F">
        <w:rPr>
          <w:rFonts w:eastAsia="Times New Roman" w:cs="Times New Roman"/>
          <w:sz w:val="21"/>
          <w:szCs w:val="21"/>
        </w:rPr>
        <w:t>GoTL</w:t>
      </w:r>
      <w:r w:rsidR="000D4823" w:rsidRPr="007F255F">
        <w:rPr>
          <w:rFonts w:eastAsia="Times New Roman" w:cs="Times New Roman"/>
          <w:sz w:val="21"/>
          <w:szCs w:val="21"/>
        </w:rPr>
        <w:t>, civil society and the private sector on priority economic reforms</w:t>
      </w:r>
      <w:r w:rsidR="0042360F" w:rsidRPr="007F255F">
        <w:rPr>
          <w:rFonts w:eastAsia="Times New Roman" w:cs="Times New Roman"/>
          <w:sz w:val="21"/>
          <w:szCs w:val="21"/>
        </w:rPr>
        <w:t xml:space="preserve"> aimed at </w:t>
      </w:r>
      <w:r w:rsidR="00496BF9">
        <w:rPr>
          <w:rFonts w:eastAsia="Times New Roman" w:cs="Times New Roman"/>
          <w:sz w:val="21"/>
          <w:szCs w:val="21"/>
        </w:rPr>
        <w:t xml:space="preserve">growing and </w:t>
      </w:r>
      <w:r w:rsidR="0042360F" w:rsidRPr="007F255F">
        <w:rPr>
          <w:rFonts w:eastAsia="Times New Roman" w:cs="Times New Roman"/>
          <w:sz w:val="21"/>
          <w:szCs w:val="21"/>
        </w:rPr>
        <w:t>diversifying</w:t>
      </w:r>
      <w:r w:rsidR="000D4823" w:rsidRPr="007F255F">
        <w:rPr>
          <w:rFonts w:eastAsia="Times New Roman" w:cs="Times New Roman"/>
          <w:sz w:val="21"/>
          <w:szCs w:val="21"/>
        </w:rPr>
        <w:t xml:space="preserve"> the economy.</w:t>
      </w:r>
    </w:p>
    <w:p w14:paraId="07614EAA" w14:textId="77777777" w:rsidR="00490CDB" w:rsidRPr="00490CDB" w:rsidRDefault="00BE4DC3" w:rsidP="00490CDB">
      <w:pPr>
        <w:numPr>
          <w:ilvl w:val="0"/>
          <w:numId w:val="38"/>
        </w:numPr>
        <w:pBdr>
          <w:top w:val="single" w:sz="4" w:space="1" w:color="677370" w:themeColor="background2" w:themeShade="80"/>
          <w:left w:val="single" w:sz="4" w:space="4" w:color="677370" w:themeColor="background2" w:themeShade="80"/>
          <w:bottom w:val="single" w:sz="4" w:space="1" w:color="677370" w:themeColor="background2" w:themeShade="80"/>
          <w:right w:val="single" w:sz="4" w:space="4" w:color="677370" w:themeColor="background2" w:themeShade="80"/>
        </w:pBdr>
        <w:shd w:val="clear" w:color="auto" w:fill="E0F3EF" w:themeFill="accent1" w:themeFillTint="33"/>
        <w:spacing w:after="120"/>
        <w:ind w:left="284" w:hanging="284"/>
        <w:rPr>
          <w:rFonts w:asciiTheme="majorHAnsi" w:eastAsia="Times New Roman" w:hAnsiTheme="majorHAnsi" w:cs="Arial"/>
        </w:rPr>
      </w:pPr>
      <w:r>
        <w:rPr>
          <w:rFonts w:asciiTheme="majorHAnsi" w:hAnsiTheme="majorHAnsi" w:cs="Arial"/>
          <w:b/>
        </w:rPr>
        <w:t>Strategic Intent and Rationale (</w:t>
      </w:r>
      <w:r w:rsidR="00490CDB" w:rsidRPr="00490CDB">
        <w:rPr>
          <w:rFonts w:asciiTheme="majorHAnsi" w:hAnsiTheme="majorHAnsi" w:cs="Arial"/>
          <w:b/>
        </w:rPr>
        <w:t>Why</w:t>
      </w:r>
      <w:r w:rsidR="00F441AE">
        <w:rPr>
          <w:rFonts w:asciiTheme="majorHAnsi" w:hAnsiTheme="majorHAnsi" w:cs="Arial"/>
          <w:b/>
        </w:rPr>
        <w:t xml:space="preserve"> should Australia</w:t>
      </w:r>
      <w:r w:rsidR="00193353">
        <w:rPr>
          <w:rFonts w:asciiTheme="majorHAnsi" w:hAnsiTheme="majorHAnsi" w:cs="Arial"/>
          <w:b/>
        </w:rPr>
        <w:t xml:space="preserve"> invest</w:t>
      </w:r>
      <w:r>
        <w:rPr>
          <w:rFonts w:asciiTheme="majorHAnsi" w:hAnsiTheme="majorHAnsi" w:cs="Arial"/>
          <w:b/>
        </w:rPr>
        <w:t>?)</w:t>
      </w:r>
    </w:p>
    <w:p w14:paraId="3B1372E6" w14:textId="4BA5F612" w:rsidR="004F4988" w:rsidRDefault="003C7D5E" w:rsidP="003C7D5E">
      <w:pPr>
        <w:tabs>
          <w:tab w:val="left" w:pos="284"/>
        </w:tabs>
        <w:suppressAutoHyphens w:val="0"/>
        <w:spacing w:before="0" w:line="280" w:lineRule="exact"/>
        <w:rPr>
          <w:rFonts w:eastAsia="Times New Roman" w:cs="Arial"/>
          <w:sz w:val="21"/>
          <w:szCs w:val="21"/>
          <w:lang w:val="en-AU" w:eastAsia="en-AU"/>
        </w:rPr>
      </w:pPr>
      <w:r w:rsidRPr="00BA020E">
        <w:rPr>
          <w:rFonts w:eastAsia="Times New Roman" w:cs="Arial"/>
          <w:sz w:val="21"/>
          <w:szCs w:val="21"/>
          <w:lang w:val="en-AU" w:eastAsia="en-AU"/>
        </w:rPr>
        <w:t xml:space="preserve">As Australia's Foreign Policy White Paper highlights, a strong and prosperous Timor-Leste is </w:t>
      </w:r>
      <w:r w:rsidR="00206193">
        <w:rPr>
          <w:rFonts w:eastAsia="Times New Roman" w:cs="Arial"/>
          <w:sz w:val="21"/>
          <w:szCs w:val="21"/>
          <w:lang w:val="en-AU" w:eastAsia="en-AU"/>
        </w:rPr>
        <w:t>in Australia’s national interest</w:t>
      </w:r>
      <w:r w:rsidRPr="00BA020E">
        <w:rPr>
          <w:rFonts w:eastAsia="Times New Roman" w:cs="Arial"/>
          <w:sz w:val="21"/>
          <w:szCs w:val="21"/>
          <w:lang w:val="en-AU" w:eastAsia="en-AU"/>
        </w:rPr>
        <w:t xml:space="preserve">. </w:t>
      </w:r>
      <w:r w:rsidR="0003651E">
        <w:rPr>
          <w:rFonts w:eastAsia="Times New Roman" w:cs="Arial"/>
          <w:sz w:val="21"/>
          <w:szCs w:val="21"/>
          <w:lang w:val="en-AU" w:eastAsia="en-AU"/>
        </w:rPr>
        <w:t>T</w:t>
      </w:r>
      <w:r w:rsidR="004F4988">
        <w:rPr>
          <w:rFonts w:eastAsia="Times New Roman" w:cs="Arial"/>
          <w:sz w:val="21"/>
          <w:szCs w:val="21"/>
          <w:lang w:val="en-AU" w:eastAsia="en-AU"/>
        </w:rPr>
        <w:t xml:space="preserve">he bilateral relationship has </w:t>
      </w:r>
      <w:r w:rsidR="0003651E">
        <w:rPr>
          <w:rFonts w:eastAsia="Times New Roman" w:cs="Arial"/>
          <w:sz w:val="21"/>
          <w:szCs w:val="21"/>
          <w:lang w:val="en-AU" w:eastAsia="en-AU"/>
        </w:rPr>
        <w:t>strength</w:t>
      </w:r>
      <w:r w:rsidR="00E6103A">
        <w:rPr>
          <w:rFonts w:eastAsia="Times New Roman" w:cs="Arial"/>
          <w:sz w:val="21"/>
          <w:szCs w:val="21"/>
          <w:lang w:val="en-AU" w:eastAsia="en-AU"/>
        </w:rPr>
        <w:t>ened</w:t>
      </w:r>
      <w:r w:rsidR="0003651E">
        <w:rPr>
          <w:rFonts w:eastAsia="Times New Roman" w:cs="Arial"/>
          <w:sz w:val="21"/>
          <w:szCs w:val="21"/>
          <w:lang w:val="en-AU" w:eastAsia="en-AU"/>
        </w:rPr>
        <w:t xml:space="preserve"> in recent times</w:t>
      </w:r>
      <w:r w:rsidR="004F4988">
        <w:rPr>
          <w:rFonts w:eastAsia="Times New Roman" w:cs="Arial"/>
          <w:sz w:val="21"/>
          <w:szCs w:val="21"/>
          <w:lang w:val="en-AU" w:eastAsia="en-AU"/>
        </w:rPr>
        <w:t xml:space="preserve">, particularly since maritime boundary negotiations were finalised in 2018. </w:t>
      </w:r>
    </w:p>
    <w:p w14:paraId="742BC2A9" w14:textId="77777777" w:rsidR="007B6841" w:rsidRDefault="0003651E" w:rsidP="003C7D5E">
      <w:pPr>
        <w:tabs>
          <w:tab w:val="left" w:pos="284"/>
        </w:tabs>
        <w:suppressAutoHyphens w:val="0"/>
        <w:spacing w:before="0" w:line="280" w:lineRule="exact"/>
        <w:rPr>
          <w:rFonts w:eastAsia="Times New Roman" w:cs="Arial"/>
          <w:sz w:val="21"/>
          <w:szCs w:val="21"/>
          <w:lang w:eastAsia="en-AU"/>
        </w:rPr>
      </w:pPr>
      <w:r w:rsidRPr="00BA020E">
        <w:rPr>
          <w:rFonts w:eastAsia="Times New Roman" w:cs="Arial"/>
          <w:sz w:val="21"/>
          <w:szCs w:val="21"/>
          <w:lang w:val="en-AU" w:eastAsia="en-AU"/>
        </w:rPr>
        <w:t xml:space="preserve">Australia is Timor-Leste’s </w:t>
      </w:r>
      <w:r w:rsidR="0068239E">
        <w:rPr>
          <w:rFonts w:eastAsia="Times New Roman" w:cs="Arial"/>
          <w:sz w:val="21"/>
          <w:szCs w:val="21"/>
          <w:lang w:val="en-AU" w:eastAsia="en-AU"/>
        </w:rPr>
        <w:t>largest</w:t>
      </w:r>
      <w:r w:rsidRPr="00BA020E">
        <w:rPr>
          <w:rFonts w:eastAsia="Times New Roman" w:cs="Arial"/>
          <w:sz w:val="21"/>
          <w:szCs w:val="21"/>
          <w:lang w:val="en-AU" w:eastAsia="en-AU"/>
        </w:rPr>
        <w:t xml:space="preserve"> developm</w:t>
      </w:r>
      <w:r>
        <w:rPr>
          <w:rFonts w:eastAsia="Times New Roman" w:cs="Arial"/>
          <w:sz w:val="21"/>
          <w:szCs w:val="21"/>
          <w:lang w:val="en-AU" w:eastAsia="en-AU"/>
        </w:rPr>
        <w:t xml:space="preserve">ent </w:t>
      </w:r>
      <w:r w:rsidRPr="00411DAC">
        <w:rPr>
          <w:rFonts w:eastAsia="Times New Roman" w:cs="Arial"/>
          <w:sz w:val="21"/>
          <w:szCs w:val="21"/>
          <w:lang w:val="en-AU" w:eastAsia="en-AU"/>
        </w:rPr>
        <w:t>partner ($100.7 million</w:t>
      </w:r>
      <w:r w:rsidRPr="00BA020E">
        <w:rPr>
          <w:rFonts w:eastAsia="Times New Roman" w:cs="Arial"/>
          <w:sz w:val="21"/>
          <w:szCs w:val="21"/>
          <w:lang w:val="en-AU" w:eastAsia="en-AU"/>
        </w:rPr>
        <w:t xml:space="preserve"> in total ODA in 2019-20</w:t>
      </w:r>
      <w:r>
        <w:rPr>
          <w:rStyle w:val="FootnoteReference"/>
          <w:rFonts w:eastAsia="Times New Roman" w:cs="Arial"/>
          <w:sz w:val="21"/>
          <w:szCs w:val="21"/>
          <w:lang w:val="en-AU" w:eastAsia="en-AU"/>
        </w:rPr>
        <w:footnoteReference w:id="2"/>
      </w:r>
      <w:r w:rsidRPr="00BA020E">
        <w:rPr>
          <w:rFonts w:eastAsia="Times New Roman" w:cs="Arial"/>
          <w:sz w:val="21"/>
          <w:szCs w:val="21"/>
          <w:lang w:val="en-AU" w:eastAsia="en-AU"/>
        </w:rPr>
        <w:t>)</w:t>
      </w:r>
      <w:r w:rsidR="00860211">
        <w:rPr>
          <w:rFonts w:eastAsia="Times New Roman" w:cs="Arial"/>
          <w:sz w:val="21"/>
          <w:szCs w:val="21"/>
          <w:lang w:val="en-AU" w:eastAsia="en-AU"/>
        </w:rPr>
        <w:t xml:space="preserve">. </w:t>
      </w:r>
      <w:r w:rsidR="00181354">
        <w:rPr>
          <w:rFonts w:eastAsia="Times New Roman" w:cs="Arial"/>
          <w:sz w:val="21"/>
          <w:szCs w:val="21"/>
          <w:lang w:val="en-AU" w:eastAsia="en-AU"/>
        </w:rPr>
        <w:t>The</w:t>
      </w:r>
      <w:r w:rsidR="003C7D5E" w:rsidRPr="00697C2F">
        <w:rPr>
          <w:rFonts w:eastAsia="Times New Roman" w:cs="Arial"/>
          <w:sz w:val="21"/>
          <w:szCs w:val="21"/>
          <w:lang w:eastAsia="en-AU"/>
        </w:rPr>
        <w:t xml:space="preserve"> Australia - Timor-Leste Strategic Planning Agreement for Development (SPD) articulates our shared commitment to achieving </w:t>
      </w:r>
      <w:r w:rsidR="0092747F">
        <w:rPr>
          <w:rFonts w:eastAsia="Times New Roman" w:cs="Arial"/>
          <w:sz w:val="21"/>
          <w:szCs w:val="21"/>
          <w:lang w:eastAsia="en-AU"/>
        </w:rPr>
        <w:t>Timor-Leste's development goals</w:t>
      </w:r>
      <w:r w:rsidR="00304AAE">
        <w:rPr>
          <w:rFonts w:eastAsia="Times New Roman" w:cs="Arial"/>
          <w:sz w:val="21"/>
          <w:szCs w:val="21"/>
          <w:lang w:eastAsia="en-AU"/>
        </w:rPr>
        <w:t>. M</w:t>
      </w:r>
      <w:r w:rsidR="00C22FAB">
        <w:rPr>
          <w:rFonts w:eastAsia="Times New Roman" w:cs="Arial"/>
          <w:sz w:val="21"/>
          <w:szCs w:val="21"/>
          <w:lang w:eastAsia="en-AU"/>
        </w:rPr>
        <w:t xml:space="preserve">ore recently, Australia’s </w:t>
      </w:r>
      <w:r w:rsidR="00C22FAB">
        <w:rPr>
          <w:rFonts w:eastAsia="Times New Roman" w:cs="Arial"/>
          <w:i/>
          <w:sz w:val="21"/>
          <w:szCs w:val="21"/>
          <w:lang w:eastAsia="en-AU"/>
        </w:rPr>
        <w:t xml:space="preserve">Partnerships for Recovery 2020-22 </w:t>
      </w:r>
      <w:r w:rsidR="00304AAE">
        <w:rPr>
          <w:rFonts w:eastAsia="Times New Roman" w:cs="Arial"/>
          <w:sz w:val="21"/>
          <w:szCs w:val="21"/>
          <w:lang w:eastAsia="en-AU"/>
        </w:rPr>
        <w:t xml:space="preserve">(PRP) </w:t>
      </w:r>
      <w:r w:rsidR="00C22FAB">
        <w:rPr>
          <w:rFonts w:eastAsia="Times New Roman" w:cs="Arial"/>
          <w:sz w:val="21"/>
          <w:szCs w:val="21"/>
          <w:lang w:eastAsia="en-AU"/>
        </w:rPr>
        <w:t>explains how we will support</w:t>
      </w:r>
      <w:r w:rsidR="00C6788F">
        <w:rPr>
          <w:rFonts w:eastAsia="Times New Roman" w:cs="Arial"/>
          <w:sz w:val="21"/>
          <w:szCs w:val="21"/>
          <w:lang w:eastAsia="en-AU"/>
        </w:rPr>
        <w:t xml:space="preserve"> </w:t>
      </w:r>
      <w:r w:rsidR="00266EDD">
        <w:rPr>
          <w:rFonts w:eastAsia="Times New Roman" w:cs="Arial"/>
          <w:sz w:val="21"/>
          <w:szCs w:val="21"/>
          <w:lang w:eastAsia="en-AU"/>
        </w:rPr>
        <w:t xml:space="preserve">Timor-Leste’ </w:t>
      </w:r>
      <w:r w:rsidR="00C22FAB">
        <w:rPr>
          <w:rFonts w:eastAsia="Times New Roman" w:cs="Arial"/>
          <w:sz w:val="21"/>
          <w:szCs w:val="21"/>
          <w:lang w:eastAsia="en-AU"/>
        </w:rPr>
        <w:t>response and recovery from COVID-19.</w:t>
      </w:r>
    </w:p>
    <w:p w14:paraId="4DD7B6D1" w14:textId="77777777" w:rsidR="00502D07" w:rsidRPr="003E2ECA" w:rsidRDefault="00304AAE" w:rsidP="007B6841">
      <w:pPr>
        <w:tabs>
          <w:tab w:val="left" w:pos="284"/>
        </w:tabs>
        <w:suppressAutoHyphens w:val="0"/>
        <w:spacing w:before="0" w:line="280" w:lineRule="exact"/>
        <w:rPr>
          <w:bCs/>
        </w:rPr>
      </w:pPr>
      <w:r w:rsidRPr="00304AAE">
        <w:rPr>
          <w:rFonts w:eastAsia="Times New Roman" w:cs="Arial"/>
          <w:sz w:val="21"/>
          <w:szCs w:val="21"/>
          <w:lang w:eastAsia="en-AU"/>
        </w:rPr>
        <w:t>PRP</w:t>
      </w:r>
      <w:r w:rsidR="00C22FAB" w:rsidRPr="00304AAE">
        <w:rPr>
          <w:rFonts w:eastAsia="Times New Roman" w:cs="Arial"/>
          <w:sz w:val="21"/>
          <w:szCs w:val="21"/>
          <w:lang w:eastAsia="en-AU"/>
        </w:rPr>
        <w:t xml:space="preserve"> has guid</w:t>
      </w:r>
      <w:r w:rsidR="00C22FAB">
        <w:rPr>
          <w:rFonts w:eastAsia="Times New Roman" w:cs="Arial"/>
          <w:sz w:val="21"/>
          <w:szCs w:val="21"/>
          <w:lang w:eastAsia="en-AU"/>
        </w:rPr>
        <w:t>ed the development of the Timor-Leste COVID-19 Development Response Plan 2020-22 (CDRP), which describes how Australia is supporting the three priority areas of health, stability and economic recovery</w:t>
      </w:r>
      <w:r w:rsidR="00C52A3D">
        <w:rPr>
          <w:rStyle w:val="FootnoteReference"/>
          <w:rFonts w:eastAsia="Times New Roman" w:cs="Arial"/>
          <w:sz w:val="21"/>
          <w:szCs w:val="21"/>
          <w:lang w:eastAsia="en-AU"/>
        </w:rPr>
        <w:footnoteReference w:id="3"/>
      </w:r>
      <w:r w:rsidR="00C22FAB">
        <w:rPr>
          <w:rFonts w:eastAsia="Times New Roman" w:cs="Arial"/>
          <w:sz w:val="21"/>
          <w:szCs w:val="21"/>
          <w:lang w:eastAsia="en-AU"/>
        </w:rPr>
        <w:t xml:space="preserve">. </w:t>
      </w:r>
      <w:r w:rsidR="00CA655B">
        <w:rPr>
          <w:rFonts w:eastAsia="Times New Roman" w:cs="Arial"/>
          <w:sz w:val="21"/>
          <w:szCs w:val="21"/>
          <w:lang w:eastAsia="en-AU"/>
        </w:rPr>
        <w:t xml:space="preserve">The CDRP </w:t>
      </w:r>
      <w:r w:rsidR="007B6841">
        <w:rPr>
          <w:rFonts w:eastAsia="Times New Roman" w:cs="Arial"/>
          <w:sz w:val="21"/>
          <w:szCs w:val="21"/>
          <w:lang w:eastAsia="en-AU"/>
        </w:rPr>
        <w:t>outlines the importance of</w:t>
      </w:r>
      <w:r w:rsidR="007B6841">
        <w:rPr>
          <w:rFonts w:eastAsia="Times New Roman" w:cs="Arial"/>
          <w:sz w:val="21"/>
          <w:szCs w:val="21"/>
          <w:lang w:val="en-AU" w:eastAsia="en-AU"/>
        </w:rPr>
        <w:t xml:space="preserve"> prioritising</w:t>
      </w:r>
      <w:r w:rsidR="007B6841" w:rsidRPr="00FC283D">
        <w:rPr>
          <w:rFonts w:eastAsia="Times New Roman" w:cs="Arial"/>
          <w:sz w:val="21"/>
          <w:szCs w:val="21"/>
          <w:lang w:val="en-AU" w:eastAsia="en-AU"/>
        </w:rPr>
        <w:t xml:space="preserve"> </w:t>
      </w:r>
      <w:r w:rsidR="007B6841">
        <w:rPr>
          <w:rFonts w:eastAsia="Times New Roman" w:cs="Arial"/>
          <w:sz w:val="21"/>
          <w:szCs w:val="21"/>
          <w:lang w:val="en-AU" w:eastAsia="en-AU"/>
        </w:rPr>
        <w:t xml:space="preserve">good governance, including </w:t>
      </w:r>
      <w:r w:rsidR="007B6841" w:rsidRPr="00FC283D">
        <w:rPr>
          <w:rFonts w:eastAsia="Times New Roman" w:cs="Arial"/>
          <w:sz w:val="21"/>
          <w:szCs w:val="21"/>
          <w:lang w:val="en-AU" w:eastAsia="en-AU"/>
        </w:rPr>
        <w:t>effective expenditure and</w:t>
      </w:r>
      <w:r w:rsidR="007B6841">
        <w:rPr>
          <w:rFonts w:eastAsia="Times New Roman" w:cs="Arial"/>
          <w:sz w:val="21"/>
          <w:szCs w:val="21"/>
          <w:lang w:val="en-AU" w:eastAsia="en-AU"/>
        </w:rPr>
        <w:t xml:space="preserve"> improving</w:t>
      </w:r>
      <w:r w:rsidR="007B6841" w:rsidRPr="00FC283D">
        <w:rPr>
          <w:rFonts w:eastAsia="Times New Roman" w:cs="Arial"/>
          <w:sz w:val="21"/>
          <w:szCs w:val="21"/>
          <w:lang w:val="en-AU" w:eastAsia="en-AU"/>
        </w:rPr>
        <w:t xml:space="preserve"> service delivery to continue strengthening Timor-Leste’s COVID-19 preparedness and economic recovery</w:t>
      </w:r>
      <w:r w:rsidR="007B6841">
        <w:rPr>
          <w:rFonts w:eastAsia="Times New Roman" w:cs="Arial"/>
          <w:sz w:val="21"/>
          <w:szCs w:val="21"/>
          <w:lang w:val="en-AU" w:eastAsia="en-AU"/>
        </w:rPr>
        <w:t>.</w:t>
      </w:r>
      <w:r w:rsidR="003E2ECA">
        <w:rPr>
          <w:bCs/>
        </w:rPr>
        <w:t xml:space="preserve"> </w:t>
      </w:r>
      <w:r w:rsidR="000F1256">
        <w:rPr>
          <w:bCs/>
        </w:rPr>
        <w:t>T</w:t>
      </w:r>
      <w:r w:rsidR="00502D07">
        <w:rPr>
          <w:bCs/>
        </w:rPr>
        <w:t xml:space="preserve">he CDRP </w:t>
      </w:r>
      <w:r w:rsidR="000F1256">
        <w:rPr>
          <w:bCs/>
        </w:rPr>
        <w:t>also details how</w:t>
      </w:r>
      <w:r w:rsidR="00502D07">
        <w:rPr>
          <w:bCs/>
        </w:rPr>
        <w:t xml:space="preserve"> </w:t>
      </w:r>
      <w:r w:rsidR="00502D07">
        <w:rPr>
          <w:rFonts w:eastAsia="Times New Roman" w:cs="Arial"/>
          <w:bCs/>
          <w:sz w:val="21"/>
          <w:szCs w:val="21"/>
          <w:lang w:eastAsia="en-AU"/>
        </w:rPr>
        <w:t>e</w:t>
      </w:r>
      <w:r w:rsidR="00502D07" w:rsidRPr="00502D07">
        <w:rPr>
          <w:rFonts w:eastAsia="Times New Roman" w:cs="Arial"/>
          <w:bCs/>
          <w:sz w:val="21"/>
          <w:szCs w:val="21"/>
          <w:lang w:eastAsia="en-AU"/>
        </w:rPr>
        <w:t xml:space="preserve">nhancing Timor-Leste’s international competitiveness and connectivity is key to its post-COVID-19 recovery. </w:t>
      </w:r>
      <w:r w:rsidR="00502D07">
        <w:rPr>
          <w:rFonts w:eastAsia="Times New Roman" w:cs="Arial"/>
          <w:bCs/>
          <w:sz w:val="21"/>
          <w:szCs w:val="21"/>
          <w:lang w:eastAsia="en-AU"/>
        </w:rPr>
        <w:t>In response, Australia</w:t>
      </w:r>
      <w:r w:rsidR="00502D07" w:rsidRPr="00502D07">
        <w:rPr>
          <w:rFonts w:eastAsia="Times New Roman" w:cs="Arial"/>
          <w:bCs/>
          <w:sz w:val="21"/>
          <w:szCs w:val="21"/>
          <w:lang w:eastAsia="en-AU"/>
        </w:rPr>
        <w:t xml:space="preserve"> </w:t>
      </w:r>
      <w:r w:rsidR="00AB5AEF">
        <w:rPr>
          <w:rFonts w:eastAsia="Times New Roman" w:cs="Arial"/>
          <w:bCs/>
          <w:sz w:val="21"/>
          <w:szCs w:val="21"/>
          <w:lang w:eastAsia="en-AU"/>
        </w:rPr>
        <w:t>is increasing</w:t>
      </w:r>
      <w:r w:rsidR="00502D07" w:rsidRPr="00502D07">
        <w:rPr>
          <w:rFonts w:eastAsia="Times New Roman" w:cs="Arial"/>
          <w:bCs/>
          <w:sz w:val="21"/>
          <w:szCs w:val="21"/>
          <w:lang w:eastAsia="en-AU"/>
        </w:rPr>
        <w:t xml:space="preserve"> investment in </w:t>
      </w:r>
      <w:r w:rsidR="00502D07" w:rsidRPr="007D2328">
        <w:rPr>
          <w:rFonts w:eastAsia="Times New Roman" w:cs="Arial"/>
          <w:bCs/>
          <w:sz w:val="21"/>
          <w:szCs w:val="21"/>
          <w:lang w:eastAsia="en-AU"/>
        </w:rPr>
        <w:t xml:space="preserve">Timor-Leste’s </w:t>
      </w:r>
      <w:r w:rsidR="00502D07" w:rsidRPr="007D2328">
        <w:rPr>
          <w:rFonts w:eastAsia="Times New Roman" w:cs="Arial"/>
          <w:sz w:val="21"/>
          <w:szCs w:val="21"/>
          <w:lang w:eastAsia="en-AU"/>
        </w:rPr>
        <w:t>national economic infrastructure</w:t>
      </w:r>
      <w:r w:rsidR="00502D07" w:rsidRPr="007D2328">
        <w:rPr>
          <w:rFonts w:eastAsia="Times New Roman" w:cs="Arial"/>
          <w:bCs/>
          <w:sz w:val="21"/>
          <w:szCs w:val="21"/>
          <w:lang w:eastAsia="en-AU"/>
        </w:rPr>
        <w:t xml:space="preserve"> through transformational projects like the fibre optic submarine</w:t>
      </w:r>
      <w:r w:rsidR="00502D07" w:rsidRPr="00502D07">
        <w:rPr>
          <w:rFonts w:eastAsia="Times New Roman" w:cs="Arial"/>
          <w:bCs/>
          <w:sz w:val="21"/>
          <w:szCs w:val="21"/>
          <w:lang w:eastAsia="en-AU"/>
        </w:rPr>
        <w:t xml:space="preserve"> cable announced by Prime Ministers Scott Morrison and Taur Matan Ruak in 2019, and proposed upgrades to Dili’s international airport.</w:t>
      </w:r>
      <w:r w:rsidR="00502D07" w:rsidRPr="00502D07">
        <w:rPr>
          <w:rFonts w:eastAsia="Times New Roman" w:cs="Arial"/>
          <w:sz w:val="21"/>
          <w:szCs w:val="21"/>
          <w:lang w:val="en-AU" w:eastAsia="en-AU"/>
        </w:rPr>
        <w:t xml:space="preserve"> </w:t>
      </w:r>
      <w:r w:rsidR="00502D07">
        <w:rPr>
          <w:rFonts w:eastAsia="Times New Roman" w:cs="Arial"/>
          <w:sz w:val="21"/>
          <w:szCs w:val="21"/>
          <w:lang w:val="en-AU" w:eastAsia="en-AU"/>
        </w:rPr>
        <w:t xml:space="preserve">Providing </w:t>
      </w:r>
      <w:r w:rsidR="00E6103A">
        <w:rPr>
          <w:rFonts w:eastAsia="Times New Roman" w:cs="Arial"/>
          <w:sz w:val="21"/>
          <w:szCs w:val="21"/>
          <w:lang w:val="en-AU" w:eastAsia="en-AU"/>
        </w:rPr>
        <w:t xml:space="preserve">complementary </w:t>
      </w:r>
      <w:r w:rsidR="00502D07">
        <w:rPr>
          <w:rFonts w:eastAsia="Times New Roman" w:cs="Arial"/>
          <w:sz w:val="21"/>
          <w:szCs w:val="21"/>
          <w:lang w:val="en-AU" w:eastAsia="en-AU"/>
        </w:rPr>
        <w:t xml:space="preserve">governance support for these initiatives will be </w:t>
      </w:r>
      <w:r w:rsidR="007D2328">
        <w:rPr>
          <w:rFonts w:eastAsia="Times New Roman" w:cs="Arial"/>
          <w:sz w:val="21"/>
          <w:szCs w:val="21"/>
          <w:lang w:val="en-AU" w:eastAsia="en-AU"/>
        </w:rPr>
        <w:t xml:space="preserve">a critical part of Australia’s package of </w:t>
      </w:r>
      <w:r w:rsidR="00C92D0E">
        <w:rPr>
          <w:rFonts w:eastAsia="Times New Roman" w:cs="Arial"/>
          <w:sz w:val="21"/>
          <w:szCs w:val="21"/>
          <w:lang w:val="en-AU" w:eastAsia="en-AU"/>
        </w:rPr>
        <w:t xml:space="preserve">infrastructure financing </w:t>
      </w:r>
      <w:r w:rsidR="00E6103A">
        <w:rPr>
          <w:rFonts w:eastAsia="Times New Roman" w:cs="Arial"/>
          <w:sz w:val="21"/>
          <w:szCs w:val="21"/>
          <w:lang w:val="en-AU" w:eastAsia="en-AU"/>
        </w:rPr>
        <w:t>to ensure benefits are realised from these investments</w:t>
      </w:r>
      <w:r w:rsidR="00502D07">
        <w:rPr>
          <w:rFonts w:eastAsia="Times New Roman" w:cs="Arial"/>
          <w:sz w:val="21"/>
          <w:szCs w:val="21"/>
          <w:lang w:val="en-AU" w:eastAsia="en-AU"/>
        </w:rPr>
        <w:t>.</w:t>
      </w:r>
    </w:p>
    <w:p w14:paraId="678D5FA4" w14:textId="6C4F45B1" w:rsidR="00C84012" w:rsidRPr="001E5C75" w:rsidRDefault="003C7D5E" w:rsidP="003C7D5E">
      <w:pPr>
        <w:tabs>
          <w:tab w:val="left" w:pos="284"/>
        </w:tabs>
        <w:suppressAutoHyphens w:val="0"/>
        <w:spacing w:before="0" w:line="280" w:lineRule="exact"/>
        <w:rPr>
          <w:rFonts w:eastAsia="Times New Roman" w:cs="Arial"/>
          <w:sz w:val="21"/>
          <w:szCs w:val="21"/>
          <w:lang w:val="en-AU" w:eastAsia="en-AU"/>
        </w:rPr>
      </w:pPr>
      <w:r w:rsidRPr="00683075">
        <w:rPr>
          <w:rFonts w:eastAsia="Times New Roman" w:cs="Arial"/>
          <w:sz w:val="21"/>
          <w:szCs w:val="21"/>
          <w:lang w:val="en-AU" w:eastAsia="en-AU"/>
        </w:rPr>
        <w:t xml:space="preserve">Australia </w:t>
      </w:r>
      <w:r w:rsidR="00377B09">
        <w:rPr>
          <w:rFonts w:eastAsia="Times New Roman" w:cs="Arial"/>
          <w:sz w:val="21"/>
          <w:szCs w:val="21"/>
          <w:lang w:val="en-AU" w:eastAsia="en-AU"/>
        </w:rPr>
        <w:t>is</w:t>
      </w:r>
      <w:r w:rsidRPr="00683075">
        <w:rPr>
          <w:rFonts w:eastAsia="Times New Roman" w:cs="Arial"/>
          <w:sz w:val="21"/>
          <w:szCs w:val="21"/>
          <w:lang w:val="en-AU" w:eastAsia="en-AU"/>
        </w:rPr>
        <w:t xml:space="preserve"> a key partner in </w:t>
      </w:r>
      <w:r>
        <w:rPr>
          <w:rFonts w:eastAsia="Times New Roman" w:cs="Arial"/>
          <w:sz w:val="21"/>
          <w:szCs w:val="21"/>
          <w:lang w:val="en-AU" w:eastAsia="en-AU"/>
        </w:rPr>
        <w:t>Timor-Leste’s governance sector</w:t>
      </w:r>
      <w:r w:rsidRPr="00683075">
        <w:rPr>
          <w:rFonts w:eastAsia="Times New Roman" w:cs="Arial"/>
          <w:sz w:val="21"/>
          <w:szCs w:val="21"/>
          <w:lang w:val="en-AU" w:eastAsia="en-AU"/>
        </w:rPr>
        <w:t>, providing over $7</w:t>
      </w:r>
      <w:r w:rsidR="003176EB">
        <w:rPr>
          <w:rFonts w:eastAsia="Times New Roman" w:cs="Arial"/>
          <w:sz w:val="21"/>
          <w:szCs w:val="21"/>
          <w:lang w:val="en-AU" w:eastAsia="en-AU"/>
        </w:rPr>
        <w:t>.5</w:t>
      </w:r>
      <w:r w:rsidRPr="00683075">
        <w:rPr>
          <w:rFonts w:eastAsia="Times New Roman" w:cs="Arial"/>
          <w:sz w:val="21"/>
          <w:szCs w:val="21"/>
          <w:lang w:val="en-AU" w:eastAsia="en-AU"/>
        </w:rPr>
        <w:t xml:space="preserve"> million</w:t>
      </w:r>
      <w:r w:rsidR="00C84012">
        <w:rPr>
          <w:rFonts w:eastAsia="Times New Roman" w:cs="Arial"/>
          <w:sz w:val="21"/>
          <w:szCs w:val="21"/>
          <w:lang w:val="en-AU" w:eastAsia="en-AU"/>
        </w:rPr>
        <w:t xml:space="preserve"> annually in bilateral support.</w:t>
      </w:r>
      <w:r w:rsidR="003434B8">
        <w:rPr>
          <w:rFonts w:eastAsia="Times New Roman" w:cs="Arial"/>
          <w:sz w:val="21"/>
          <w:szCs w:val="21"/>
          <w:lang w:val="en-AU" w:eastAsia="en-AU"/>
        </w:rPr>
        <w:t xml:space="preserve"> Australia’s support has primarily focused on public financial management, </w:t>
      </w:r>
      <w:r w:rsidR="00FC283D">
        <w:rPr>
          <w:rFonts w:eastAsia="Times New Roman" w:cs="Arial"/>
          <w:sz w:val="21"/>
          <w:szCs w:val="21"/>
          <w:lang w:val="en-AU" w:eastAsia="en-AU"/>
        </w:rPr>
        <w:t xml:space="preserve">inclusive </w:t>
      </w:r>
      <w:r w:rsidR="00B36DB6">
        <w:rPr>
          <w:rFonts w:eastAsia="Times New Roman" w:cs="Arial"/>
          <w:sz w:val="21"/>
          <w:szCs w:val="21"/>
          <w:lang w:val="en-AU" w:eastAsia="en-AU"/>
        </w:rPr>
        <w:t xml:space="preserve">economic policy and </w:t>
      </w:r>
      <w:r w:rsidR="00FC283D">
        <w:rPr>
          <w:rFonts w:eastAsia="Times New Roman" w:cs="Arial"/>
          <w:sz w:val="21"/>
          <w:szCs w:val="21"/>
          <w:lang w:val="en-AU" w:eastAsia="en-AU"/>
        </w:rPr>
        <w:t xml:space="preserve">improving the </w:t>
      </w:r>
      <w:r w:rsidR="00B36DB6">
        <w:rPr>
          <w:rFonts w:eastAsia="Times New Roman" w:cs="Arial"/>
          <w:sz w:val="21"/>
          <w:szCs w:val="21"/>
          <w:lang w:val="en-AU" w:eastAsia="en-AU"/>
        </w:rPr>
        <w:t xml:space="preserve">business </w:t>
      </w:r>
      <w:r w:rsidR="00FC283D">
        <w:rPr>
          <w:rFonts w:eastAsia="Times New Roman" w:cs="Arial"/>
          <w:sz w:val="21"/>
          <w:szCs w:val="21"/>
          <w:lang w:val="en-AU" w:eastAsia="en-AU"/>
        </w:rPr>
        <w:t>environment</w:t>
      </w:r>
      <w:r w:rsidR="00B36DB6">
        <w:rPr>
          <w:rFonts w:eastAsia="Times New Roman" w:cs="Arial"/>
          <w:sz w:val="21"/>
          <w:szCs w:val="21"/>
          <w:lang w:val="en-AU" w:eastAsia="en-AU"/>
        </w:rPr>
        <w:t>, pu</w:t>
      </w:r>
      <w:r w:rsidR="00705723">
        <w:rPr>
          <w:rFonts w:eastAsia="Times New Roman" w:cs="Arial"/>
          <w:sz w:val="21"/>
          <w:szCs w:val="21"/>
          <w:lang w:val="en-AU" w:eastAsia="en-AU"/>
        </w:rPr>
        <w:t xml:space="preserve">blic administration reform and </w:t>
      </w:r>
      <w:r w:rsidR="00B36DB6">
        <w:rPr>
          <w:rFonts w:eastAsia="Times New Roman" w:cs="Arial"/>
          <w:sz w:val="21"/>
          <w:szCs w:val="21"/>
          <w:lang w:val="en-AU" w:eastAsia="en-AU"/>
        </w:rPr>
        <w:t>aviation.</w:t>
      </w:r>
      <w:r w:rsidR="00C84012" w:rsidRPr="00C84012">
        <w:rPr>
          <w:rFonts w:eastAsia="Times New Roman" w:cs="Arial"/>
          <w:sz w:val="21"/>
          <w:szCs w:val="21"/>
          <w:lang w:val="en-AU" w:eastAsia="en-AU"/>
        </w:rPr>
        <w:t xml:space="preserve"> </w:t>
      </w:r>
      <w:r w:rsidR="00C84012" w:rsidRPr="00683075">
        <w:rPr>
          <w:rFonts w:eastAsia="Times New Roman" w:cs="Arial"/>
          <w:sz w:val="21"/>
          <w:szCs w:val="21"/>
          <w:lang w:val="en-AU" w:eastAsia="en-AU"/>
        </w:rPr>
        <w:t xml:space="preserve">While there are </w:t>
      </w:r>
      <w:r w:rsidR="002205AC">
        <w:rPr>
          <w:rFonts w:eastAsia="Times New Roman" w:cs="Arial"/>
          <w:sz w:val="21"/>
          <w:szCs w:val="21"/>
          <w:lang w:val="en-AU" w:eastAsia="en-AU"/>
        </w:rPr>
        <w:t xml:space="preserve">other </w:t>
      </w:r>
      <w:r w:rsidR="00C84012" w:rsidRPr="00683075">
        <w:rPr>
          <w:rFonts w:eastAsia="Times New Roman" w:cs="Arial"/>
          <w:sz w:val="21"/>
          <w:szCs w:val="21"/>
          <w:lang w:val="en-AU" w:eastAsia="en-AU"/>
        </w:rPr>
        <w:t xml:space="preserve">multilateral and bilateral donors working on governance in Timor-Leste, Australia’s program of support is the largest by value and </w:t>
      </w:r>
      <w:r w:rsidR="002205AC">
        <w:rPr>
          <w:rFonts w:eastAsia="Times New Roman" w:cs="Arial"/>
          <w:sz w:val="21"/>
          <w:szCs w:val="21"/>
          <w:lang w:val="en-AU" w:eastAsia="en-AU"/>
        </w:rPr>
        <w:t>is at the heart of the Government’s reform agenda</w:t>
      </w:r>
      <w:r w:rsidR="00C84012" w:rsidRPr="00683075">
        <w:rPr>
          <w:rFonts w:eastAsia="Times New Roman" w:cs="Arial"/>
          <w:sz w:val="21"/>
          <w:szCs w:val="21"/>
          <w:lang w:val="en-AU" w:eastAsia="en-AU"/>
        </w:rPr>
        <w:t>.</w:t>
      </w:r>
      <w:r w:rsidR="00377B09">
        <w:rPr>
          <w:rFonts w:eastAsia="Times New Roman" w:cs="Arial"/>
          <w:sz w:val="21"/>
          <w:szCs w:val="21"/>
          <w:lang w:val="en-AU" w:eastAsia="en-AU"/>
        </w:rPr>
        <w:t xml:space="preserve"> </w:t>
      </w:r>
      <w:r w:rsidR="004F593A">
        <w:rPr>
          <w:rFonts w:eastAsia="Times New Roman" w:cs="Arial"/>
          <w:sz w:val="21"/>
          <w:szCs w:val="21"/>
          <w:lang w:val="en-AU" w:eastAsia="en-AU"/>
        </w:rPr>
        <w:t>T</w:t>
      </w:r>
      <w:r w:rsidR="002205AC" w:rsidRPr="001E5C75">
        <w:rPr>
          <w:rFonts w:eastAsia="Times New Roman" w:cs="Arial"/>
          <w:sz w:val="21"/>
          <w:szCs w:val="21"/>
          <w:lang w:val="en-AU" w:eastAsia="en-AU"/>
        </w:rPr>
        <w:t xml:space="preserve">here has been a steady decline in support </w:t>
      </w:r>
      <w:r w:rsidR="00377B09" w:rsidRPr="001E5C75">
        <w:rPr>
          <w:rFonts w:eastAsia="Times New Roman" w:cs="Arial"/>
          <w:sz w:val="21"/>
          <w:szCs w:val="21"/>
          <w:lang w:val="en-AU" w:eastAsia="en-AU"/>
        </w:rPr>
        <w:t xml:space="preserve">for governance </w:t>
      </w:r>
      <w:r w:rsidR="002205AC" w:rsidRPr="001E5C75">
        <w:rPr>
          <w:rFonts w:eastAsia="Times New Roman" w:cs="Arial"/>
          <w:sz w:val="21"/>
          <w:szCs w:val="21"/>
          <w:lang w:val="en-AU" w:eastAsia="en-AU"/>
        </w:rPr>
        <w:t>from European donors</w:t>
      </w:r>
      <w:r w:rsidR="00377B09" w:rsidRPr="001E5C75">
        <w:rPr>
          <w:rFonts w:eastAsia="Times New Roman" w:cs="Arial"/>
          <w:sz w:val="21"/>
          <w:szCs w:val="21"/>
          <w:lang w:val="en-AU" w:eastAsia="en-AU"/>
        </w:rPr>
        <w:t xml:space="preserve"> and other donors are not active in th</w:t>
      </w:r>
      <w:r w:rsidR="00BA76E2" w:rsidRPr="001E5C75">
        <w:rPr>
          <w:rFonts w:eastAsia="Times New Roman" w:cs="Arial"/>
          <w:sz w:val="21"/>
          <w:szCs w:val="21"/>
          <w:lang w:val="en-AU" w:eastAsia="en-AU"/>
        </w:rPr>
        <w:t>e</w:t>
      </w:r>
      <w:r w:rsidR="00377B09" w:rsidRPr="001E5C75">
        <w:rPr>
          <w:rFonts w:eastAsia="Times New Roman" w:cs="Arial"/>
          <w:sz w:val="21"/>
          <w:szCs w:val="21"/>
          <w:lang w:val="en-AU" w:eastAsia="en-AU"/>
        </w:rPr>
        <w:t xml:space="preserve"> sector</w:t>
      </w:r>
      <w:r w:rsidR="00CC3BDE" w:rsidRPr="001E5C75">
        <w:rPr>
          <w:rFonts w:eastAsia="Times New Roman" w:cs="Arial"/>
          <w:sz w:val="21"/>
          <w:szCs w:val="21"/>
          <w:lang w:val="en-AU" w:eastAsia="en-AU"/>
        </w:rPr>
        <w:t xml:space="preserve">, </w:t>
      </w:r>
      <w:r w:rsidR="00B5059B" w:rsidRPr="001E5C75">
        <w:rPr>
          <w:rFonts w:eastAsia="Times New Roman" w:cs="Arial"/>
          <w:sz w:val="21"/>
          <w:szCs w:val="21"/>
          <w:lang w:val="en-AU" w:eastAsia="en-AU"/>
        </w:rPr>
        <w:t xml:space="preserve">including, to an extent, multilateral partners, </w:t>
      </w:r>
      <w:r w:rsidR="000F1256" w:rsidRPr="001E5C75">
        <w:rPr>
          <w:rFonts w:eastAsia="Times New Roman" w:cs="Arial"/>
          <w:sz w:val="21"/>
          <w:szCs w:val="21"/>
          <w:lang w:val="en-AU" w:eastAsia="en-AU"/>
        </w:rPr>
        <w:t>as</w:t>
      </w:r>
      <w:r w:rsidR="00B5059B" w:rsidRPr="001E5C75">
        <w:rPr>
          <w:rFonts w:eastAsia="Times New Roman" w:cs="Arial"/>
          <w:sz w:val="21"/>
          <w:szCs w:val="21"/>
          <w:lang w:val="en-AU" w:eastAsia="en-AU"/>
        </w:rPr>
        <w:t xml:space="preserve"> Timor-Leste</w:t>
      </w:r>
      <w:r w:rsidR="000F1256" w:rsidRPr="001E5C75">
        <w:rPr>
          <w:rFonts w:eastAsia="Times New Roman" w:cs="Arial"/>
          <w:sz w:val="21"/>
          <w:szCs w:val="21"/>
          <w:lang w:val="en-AU" w:eastAsia="en-AU"/>
        </w:rPr>
        <w:t xml:space="preserve"> has been reluctant to seek sovereign loans</w:t>
      </w:r>
      <w:r w:rsidR="00A533FC" w:rsidRPr="001E5C75">
        <w:rPr>
          <w:rFonts w:eastAsia="Times New Roman" w:cs="Arial"/>
          <w:sz w:val="21"/>
          <w:szCs w:val="21"/>
          <w:lang w:val="en-AU" w:eastAsia="en-AU"/>
        </w:rPr>
        <w:t>.</w:t>
      </w:r>
    </w:p>
    <w:p w14:paraId="359B101D" w14:textId="77777777" w:rsidR="00C84012" w:rsidRDefault="003C7D5E" w:rsidP="00C84012">
      <w:pPr>
        <w:tabs>
          <w:tab w:val="left" w:pos="284"/>
        </w:tabs>
        <w:suppressAutoHyphens w:val="0"/>
        <w:spacing w:before="0" w:line="280" w:lineRule="exact"/>
        <w:rPr>
          <w:rFonts w:eastAsia="Times New Roman" w:cs="Arial"/>
          <w:sz w:val="21"/>
          <w:szCs w:val="21"/>
          <w:lang w:val="en-AU" w:eastAsia="en-AU"/>
        </w:rPr>
      </w:pPr>
      <w:r w:rsidRPr="001E5C75">
        <w:rPr>
          <w:rFonts w:eastAsia="Times New Roman" w:cs="Arial"/>
          <w:sz w:val="21"/>
          <w:szCs w:val="21"/>
          <w:lang w:val="en-AU" w:eastAsia="en-AU"/>
        </w:rPr>
        <w:t xml:space="preserve">Our governance support is </w:t>
      </w:r>
      <w:r w:rsidR="00266EDD" w:rsidRPr="001E5C75">
        <w:rPr>
          <w:rFonts w:eastAsia="Times New Roman" w:cs="Arial"/>
          <w:sz w:val="21"/>
          <w:szCs w:val="21"/>
          <w:lang w:val="en-AU" w:eastAsia="en-AU"/>
        </w:rPr>
        <w:t xml:space="preserve">valued highly by Timor-Leste </w:t>
      </w:r>
      <w:r w:rsidRPr="001E5C75">
        <w:rPr>
          <w:rFonts w:eastAsia="Times New Roman" w:cs="Arial"/>
          <w:sz w:val="21"/>
          <w:szCs w:val="21"/>
          <w:lang w:val="en-AU" w:eastAsia="en-AU"/>
        </w:rPr>
        <w:t xml:space="preserve">and </w:t>
      </w:r>
      <w:r w:rsidR="00377B09" w:rsidRPr="001E5C75">
        <w:rPr>
          <w:rFonts w:eastAsia="Times New Roman" w:cs="Arial"/>
          <w:sz w:val="21"/>
          <w:szCs w:val="21"/>
          <w:lang w:val="en-AU" w:eastAsia="en-AU"/>
        </w:rPr>
        <w:t xml:space="preserve">experience </w:t>
      </w:r>
      <w:r w:rsidRPr="001E5C75">
        <w:rPr>
          <w:rFonts w:eastAsia="Times New Roman" w:cs="Arial"/>
          <w:sz w:val="21"/>
          <w:szCs w:val="21"/>
          <w:lang w:val="en-AU" w:eastAsia="en-AU"/>
        </w:rPr>
        <w:t xml:space="preserve">has </w:t>
      </w:r>
      <w:r w:rsidR="00377B09" w:rsidRPr="001E5C75">
        <w:rPr>
          <w:rFonts w:eastAsia="Times New Roman" w:cs="Arial"/>
          <w:sz w:val="21"/>
          <w:szCs w:val="21"/>
          <w:lang w:val="en-AU" w:eastAsia="en-AU"/>
        </w:rPr>
        <w:t xml:space="preserve">shown the value of </w:t>
      </w:r>
      <w:r w:rsidR="000F1256" w:rsidRPr="001E5C75">
        <w:rPr>
          <w:rFonts w:eastAsia="Times New Roman" w:cs="Arial"/>
          <w:sz w:val="21"/>
          <w:szCs w:val="21"/>
          <w:lang w:val="en-AU" w:eastAsia="en-AU"/>
        </w:rPr>
        <w:t xml:space="preserve">having </w:t>
      </w:r>
      <w:r w:rsidRPr="001E5C75">
        <w:rPr>
          <w:rFonts w:eastAsia="Times New Roman" w:cs="Arial"/>
          <w:sz w:val="21"/>
          <w:szCs w:val="21"/>
          <w:lang w:val="en-AU" w:eastAsia="en-AU"/>
        </w:rPr>
        <w:t>a direct</w:t>
      </w:r>
      <w:r w:rsidRPr="00683075">
        <w:rPr>
          <w:rFonts w:eastAsia="Times New Roman" w:cs="Arial"/>
          <w:sz w:val="21"/>
          <w:szCs w:val="21"/>
          <w:lang w:val="en-AU" w:eastAsia="en-AU"/>
        </w:rPr>
        <w:t xml:space="preserve"> bilateral </w:t>
      </w:r>
      <w:r w:rsidR="000F1256">
        <w:rPr>
          <w:rFonts w:eastAsia="Times New Roman" w:cs="Arial"/>
          <w:sz w:val="21"/>
          <w:szCs w:val="21"/>
          <w:lang w:val="en-AU" w:eastAsia="en-AU"/>
        </w:rPr>
        <w:t>relationship</w:t>
      </w:r>
      <w:r w:rsidRPr="00683075">
        <w:rPr>
          <w:rFonts w:eastAsia="Times New Roman" w:cs="Arial"/>
          <w:sz w:val="21"/>
          <w:szCs w:val="21"/>
          <w:lang w:val="en-AU" w:eastAsia="en-AU"/>
        </w:rPr>
        <w:t xml:space="preserve"> with </w:t>
      </w:r>
      <w:r>
        <w:rPr>
          <w:rFonts w:eastAsia="Times New Roman" w:cs="Arial"/>
          <w:sz w:val="21"/>
          <w:szCs w:val="21"/>
          <w:lang w:val="en-AU" w:eastAsia="en-AU"/>
        </w:rPr>
        <w:t>Timor-Leste</w:t>
      </w:r>
      <w:r w:rsidR="00C84012">
        <w:rPr>
          <w:rFonts w:eastAsia="Times New Roman" w:cs="Arial"/>
          <w:sz w:val="21"/>
          <w:szCs w:val="21"/>
          <w:lang w:val="en-AU" w:eastAsia="en-AU"/>
        </w:rPr>
        <w:t>, rather than</w:t>
      </w:r>
      <w:r w:rsidR="00B36DB6">
        <w:rPr>
          <w:rFonts w:eastAsia="Times New Roman" w:cs="Arial"/>
          <w:sz w:val="21"/>
          <w:szCs w:val="21"/>
          <w:lang w:val="en-AU" w:eastAsia="en-AU"/>
        </w:rPr>
        <w:t xml:space="preserve"> only relying on other partners</w:t>
      </w:r>
      <w:r w:rsidR="00C84012">
        <w:rPr>
          <w:rFonts w:eastAsia="Times New Roman" w:cs="Arial"/>
          <w:sz w:val="21"/>
          <w:szCs w:val="21"/>
          <w:lang w:val="en-AU" w:eastAsia="en-AU"/>
        </w:rPr>
        <w:t>.</w:t>
      </w:r>
      <w:r w:rsidR="00A533FC">
        <w:rPr>
          <w:rFonts w:eastAsia="Times New Roman" w:cs="Arial"/>
          <w:sz w:val="21"/>
          <w:szCs w:val="21"/>
          <w:lang w:val="en-AU" w:eastAsia="en-AU"/>
        </w:rPr>
        <w:t xml:space="preserve"> </w:t>
      </w:r>
      <w:r w:rsidR="00485E49">
        <w:rPr>
          <w:rFonts w:eastAsia="Times New Roman" w:cs="Arial"/>
          <w:sz w:val="21"/>
          <w:szCs w:val="21"/>
          <w:lang w:val="en-AU" w:eastAsia="en-AU"/>
        </w:rPr>
        <w:t xml:space="preserve">It </w:t>
      </w:r>
      <w:r w:rsidR="000F1256">
        <w:rPr>
          <w:rFonts w:eastAsia="Times New Roman" w:cs="Arial"/>
          <w:sz w:val="21"/>
          <w:szCs w:val="21"/>
          <w:lang w:val="en-AU" w:eastAsia="en-AU"/>
        </w:rPr>
        <w:t>helps us</w:t>
      </w:r>
      <w:r w:rsidR="00485E49">
        <w:rPr>
          <w:rFonts w:eastAsia="Times New Roman" w:cs="Arial"/>
          <w:sz w:val="21"/>
          <w:szCs w:val="21"/>
          <w:lang w:val="en-AU" w:eastAsia="en-AU"/>
        </w:rPr>
        <w:t xml:space="preserve"> engage directly with key decision makers, and to respond quickly to new opportunities</w:t>
      </w:r>
      <w:r w:rsidR="00A533FC" w:rsidRPr="00E077FD">
        <w:rPr>
          <w:rFonts w:eastAsia="Times New Roman" w:cs="Arial"/>
          <w:sz w:val="21"/>
          <w:szCs w:val="21"/>
          <w:lang w:val="en-AU" w:eastAsia="en-AU"/>
        </w:rPr>
        <w:t xml:space="preserve">, such as the development of </w:t>
      </w:r>
      <w:r w:rsidR="00377B09" w:rsidRPr="00E077FD">
        <w:rPr>
          <w:rFonts w:eastAsia="Times New Roman" w:cs="Arial"/>
          <w:sz w:val="21"/>
          <w:szCs w:val="21"/>
          <w:lang w:val="en-AU" w:eastAsia="en-AU"/>
        </w:rPr>
        <w:t xml:space="preserve">Timor-Leste’s </w:t>
      </w:r>
      <w:r w:rsidR="00A533FC" w:rsidRPr="00E077FD">
        <w:rPr>
          <w:rFonts w:eastAsia="Times New Roman" w:cs="Arial"/>
          <w:sz w:val="21"/>
          <w:szCs w:val="21"/>
          <w:lang w:val="en-AU" w:eastAsia="en-AU"/>
        </w:rPr>
        <w:t>ERP</w:t>
      </w:r>
      <w:r w:rsidR="00A533FC">
        <w:rPr>
          <w:rFonts w:eastAsia="Times New Roman" w:cs="Arial"/>
          <w:sz w:val="21"/>
          <w:szCs w:val="21"/>
          <w:lang w:val="en-AU" w:eastAsia="en-AU"/>
        </w:rPr>
        <w:t>.</w:t>
      </w:r>
      <w:r w:rsidR="00206193">
        <w:rPr>
          <w:rFonts w:eastAsia="Times New Roman" w:cs="Arial"/>
          <w:sz w:val="21"/>
          <w:szCs w:val="21"/>
          <w:lang w:val="en-AU" w:eastAsia="en-AU"/>
        </w:rPr>
        <w:t xml:space="preserve"> </w:t>
      </w:r>
      <w:r w:rsidR="00C84012" w:rsidRPr="00683075">
        <w:rPr>
          <w:rFonts w:eastAsia="Times New Roman" w:cs="Arial"/>
          <w:sz w:val="21"/>
          <w:szCs w:val="21"/>
          <w:lang w:val="en-AU" w:eastAsia="en-AU"/>
        </w:rPr>
        <w:t xml:space="preserve">We </w:t>
      </w:r>
      <w:r w:rsidR="00C84012">
        <w:rPr>
          <w:rFonts w:eastAsia="Times New Roman" w:cs="Arial"/>
          <w:sz w:val="21"/>
          <w:szCs w:val="21"/>
          <w:lang w:val="en-AU" w:eastAsia="en-AU"/>
        </w:rPr>
        <w:t xml:space="preserve">leverage our governance support </w:t>
      </w:r>
      <w:r w:rsidR="00E35111">
        <w:rPr>
          <w:rFonts w:eastAsia="Times New Roman" w:cs="Arial"/>
          <w:sz w:val="21"/>
          <w:szCs w:val="21"/>
          <w:lang w:val="en-AU" w:eastAsia="en-AU"/>
        </w:rPr>
        <w:t>to work</w:t>
      </w:r>
      <w:r w:rsidR="00C84012" w:rsidRPr="00683075">
        <w:rPr>
          <w:rFonts w:eastAsia="Times New Roman" w:cs="Arial"/>
          <w:sz w:val="21"/>
          <w:szCs w:val="21"/>
          <w:lang w:val="en-AU" w:eastAsia="en-AU"/>
        </w:rPr>
        <w:t xml:space="preserve"> with other donors on critical issues, such as the E</w:t>
      </w:r>
      <w:r w:rsidR="00C84012">
        <w:rPr>
          <w:rFonts w:eastAsia="Times New Roman" w:cs="Arial"/>
          <w:sz w:val="21"/>
          <w:szCs w:val="21"/>
          <w:lang w:val="en-AU" w:eastAsia="en-AU"/>
        </w:rPr>
        <w:t xml:space="preserve">uropean </w:t>
      </w:r>
      <w:r w:rsidR="00C84012" w:rsidRPr="00683075">
        <w:rPr>
          <w:rFonts w:eastAsia="Times New Roman" w:cs="Arial"/>
          <w:sz w:val="21"/>
          <w:szCs w:val="21"/>
          <w:lang w:val="en-AU" w:eastAsia="en-AU"/>
        </w:rPr>
        <w:t>U</w:t>
      </w:r>
      <w:r w:rsidR="00C84012">
        <w:rPr>
          <w:rFonts w:eastAsia="Times New Roman" w:cs="Arial"/>
          <w:sz w:val="21"/>
          <w:szCs w:val="21"/>
          <w:lang w:val="en-AU" w:eastAsia="en-AU"/>
        </w:rPr>
        <w:t>nion</w:t>
      </w:r>
      <w:r w:rsidR="00C84012" w:rsidRPr="00683075">
        <w:rPr>
          <w:rFonts w:eastAsia="Times New Roman" w:cs="Arial"/>
          <w:sz w:val="21"/>
          <w:szCs w:val="21"/>
          <w:lang w:val="en-AU" w:eastAsia="en-AU"/>
        </w:rPr>
        <w:t xml:space="preserve"> on </w:t>
      </w:r>
      <w:r w:rsidR="00206193">
        <w:rPr>
          <w:rFonts w:eastAsia="Times New Roman" w:cs="Arial"/>
          <w:sz w:val="21"/>
          <w:szCs w:val="21"/>
          <w:lang w:val="en-AU" w:eastAsia="en-AU"/>
        </w:rPr>
        <w:lastRenderedPageBreak/>
        <w:t>public financial management</w:t>
      </w:r>
      <w:r w:rsidR="00C84012" w:rsidRPr="00683075">
        <w:rPr>
          <w:rFonts w:eastAsia="Times New Roman" w:cs="Arial"/>
          <w:sz w:val="21"/>
          <w:szCs w:val="21"/>
          <w:lang w:val="en-AU" w:eastAsia="en-AU"/>
        </w:rPr>
        <w:t>, the A</w:t>
      </w:r>
      <w:r w:rsidR="00C84012">
        <w:rPr>
          <w:rFonts w:eastAsia="Times New Roman" w:cs="Arial"/>
          <w:sz w:val="21"/>
          <w:szCs w:val="21"/>
          <w:lang w:val="en-AU" w:eastAsia="en-AU"/>
        </w:rPr>
        <w:t xml:space="preserve">sian </w:t>
      </w:r>
      <w:r w:rsidR="00C84012" w:rsidRPr="00683075">
        <w:rPr>
          <w:rFonts w:eastAsia="Times New Roman" w:cs="Arial"/>
          <w:sz w:val="21"/>
          <w:szCs w:val="21"/>
          <w:lang w:val="en-AU" w:eastAsia="en-AU"/>
        </w:rPr>
        <w:t>D</w:t>
      </w:r>
      <w:r w:rsidR="00C84012">
        <w:rPr>
          <w:rFonts w:eastAsia="Times New Roman" w:cs="Arial"/>
          <w:sz w:val="21"/>
          <w:szCs w:val="21"/>
          <w:lang w:val="en-AU" w:eastAsia="en-AU"/>
        </w:rPr>
        <w:t xml:space="preserve">evelopment </w:t>
      </w:r>
      <w:r w:rsidR="00C84012" w:rsidRPr="00683075">
        <w:rPr>
          <w:rFonts w:eastAsia="Times New Roman" w:cs="Arial"/>
          <w:sz w:val="21"/>
          <w:szCs w:val="21"/>
          <w:lang w:val="en-AU" w:eastAsia="en-AU"/>
        </w:rPr>
        <w:t>B</w:t>
      </w:r>
      <w:r w:rsidR="00C84012">
        <w:rPr>
          <w:rFonts w:eastAsia="Times New Roman" w:cs="Arial"/>
          <w:sz w:val="21"/>
          <w:szCs w:val="21"/>
          <w:lang w:val="en-AU" w:eastAsia="en-AU"/>
        </w:rPr>
        <w:t>ank</w:t>
      </w:r>
      <w:r w:rsidR="00C84012" w:rsidRPr="00683075">
        <w:rPr>
          <w:rFonts w:eastAsia="Times New Roman" w:cs="Arial"/>
          <w:sz w:val="21"/>
          <w:szCs w:val="21"/>
          <w:lang w:val="en-AU" w:eastAsia="en-AU"/>
        </w:rPr>
        <w:t xml:space="preserve"> </w:t>
      </w:r>
      <w:r w:rsidR="00BA76E2">
        <w:rPr>
          <w:rFonts w:eastAsia="Times New Roman" w:cs="Arial"/>
          <w:sz w:val="21"/>
          <w:szCs w:val="21"/>
          <w:lang w:val="en-AU" w:eastAsia="en-AU"/>
        </w:rPr>
        <w:t>on</w:t>
      </w:r>
      <w:r w:rsidR="0004312D">
        <w:rPr>
          <w:rFonts w:eastAsia="Times New Roman" w:cs="Arial"/>
          <w:sz w:val="21"/>
          <w:szCs w:val="21"/>
          <w:lang w:val="en-AU" w:eastAsia="en-AU"/>
        </w:rPr>
        <w:t xml:space="preserve"> </w:t>
      </w:r>
      <w:r w:rsidR="00BA76E2" w:rsidRPr="00683075">
        <w:rPr>
          <w:rFonts w:eastAsia="Times New Roman" w:cs="Arial"/>
          <w:sz w:val="21"/>
          <w:szCs w:val="21"/>
          <w:lang w:val="en-AU" w:eastAsia="en-AU"/>
        </w:rPr>
        <w:t xml:space="preserve">improving the business enabling environment </w:t>
      </w:r>
      <w:r w:rsidR="00C84012" w:rsidRPr="00683075">
        <w:rPr>
          <w:rFonts w:eastAsia="Times New Roman" w:cs="Arial"/>
          <w:sz w:val="21"/>
          <w:szCs w:val="21"/>
          <w:lang w:val="en-AU" w:eastAsia="en-AU"/>
        </w:rPr>
        <w:t xml:space="preserve">and </w:t>
      </w:r>
      <w:r w:rsidR="00C84012">
        <w:rPr>
          <w:rFonts w:eastAsia="Times New Roman" w:cs="Arial"/>
          <w:sz w:val="21"/>
          <w:szCs w:val="21"/>
          <w:lang w:val="en-AU" w:eastAsia="en-AU"/>
        </w:rPr>
        <w:t xml:space="preserve">the International </w:t>
      </w:r>
      <w:r w:rsidR="00C84012" w:rsidRPr="00683075">
        <w:rPr>
          <w:rFonts w:eastAsia="Times New Roman" w:cs="Arial"/>
          <w:sz w:val="21"/>
          <w:szCs w:val="21"/>
          <w:lang w:val="en-AU" w:eastAsia="en-AU"/>
        </w:rPr>
        <w:t>F</w:t>
      </w:r>
      <w:r w:rsidR="00C84012">
        <w:rPr>
          <w:rFonts w:eastAsia="Times New Roman" w:cs="Arial"/>
          <w:sz w:val="21"/>
          <w:szCs w:val="21"/>
          <w:lang w:val="en-AU" w:eastAsia="en-AU"/>
        </w:rPr>
        <w:t xml:space="preserve">inance </w:t>
      </w:r>
      <w:r w:rsidR="00C84012" w:rsidRPr="00683075">
        <w:rPr>
          <w:rFonts w:eastAsia="Times New Roman" w:cs="Arial"/>
          <w:sz w:val="21"/>
          <w:szCs w:val="21"/>
          <w:lang w:val="en-AU" w:eastAsia="en-AU"/>
        </w:rPr>
        <w:t>C</w:t>
      </w:r>
      <w:r w:rsidR="00C84012">
        <w:rPr>
          <w:rFonts w:eastAsia="Times New Roman" w:cs="Arial"/>
          <w:sz w:val="21"/>
          <w:szCs w:val="21"/>
          <w:lang w:val="en-AU" w:eastAsia="en-AU"/>
        </w:rPr>
        <w:t>orporation</w:t>
      </w:r>
      <w:r w:rsidR="00BA76E2">
        <w:rPr>
          <w:rFonts w:eastAsia="Times New Roman" w:cs="Arial"/>
          <w:sz w:val="21"/>
          <w:szCs w:val="21"/>
          <w:lang w:val="en-AU" w:eastAsia="en-AU"/>
        </w:rPr>
        <w:t xml:space="preserve"> on financial inclusion</w:t>
      </w:r>
      <w:r w:rsidR="00C84012" w:rsidRPr="00683075">
        <w:rPr>
          <w:rFonts w:eastAsia="Times New Roman" w:cs="Arial"/>
          <w:sz w:val="21"/>
          <w:szCs w:val="21"/>
          <w:lang w:val="en-AU" w:eastAsia="en-AU"/>
        </w:rPr>
        <w:t>.</w:t>
      </w:r>
    </w:p>
    <w:p w14:paraId="18C5F3D7" w14:textId="54C89FB9" w:rsidR="00BA38F6" w:rsidRDefault="00BA38F6" w:rsidP="00C84012">
      <w:pPr>
        <w:tabs>
          <w:tab w:val="left" w:pos="284"/>
        </w:tabs>
        <w:suppressAutoHyphens w:val="0"/>
        <w:spacing w:before="0" w:line="280" w:lineRule="exact"/>
        <w:rPr>
          <w:rFonts w:eastAsia="Times New Roman" w:cs="Arial"/>
          <w:sz w:val="21"/>
          <w:szCs w:val="21"/>
          <w:lang w:val="en-AU" w:eastAsia="en-AU"/>
        </w:rPr>
      </w:pPr>
      <w:r>
        <w:rPr>
          <w:rFonts w:eastAsia="Times New Roman" w:cs="Arial"/>
          <w:sz w:val="21"/>
          <w:szCs w:val="21"/>
          <w:lang w:val="en-AU" w:eastAsia="en-AU"/>
        </w:rPr>
        <w:t xml:space="preserve">A </w:t>
      </w:r>
      <w:proofErr w:type="gramStart"/>
      <w:r>
        <w:rPr>
          <w:rFonts w:eastAsia="Times New Roman" w:cs="Arial"/>
          <w:sz w:val="21"/>
          <w:szCs w:val="21"/>
          <w:lang w:val="en-AU" w:eastAsia="en-AU"/>
        </w:rPr>
        <w:t>particular strength</w:t>
      </w:r>
      <w:proofErr w:type="gramEnd"/>
      <w:r>
        <w:rPr>
          <w:rFonts w:eastAsia="Times New Roman" w:cs="Arial"/>
          <w:sz w:val="21"/>
          <w:szCs w:val="21"/>
          <w:lang w:val="en-AU" w:eastAsia="en-AU"/>
        </w:rPr>
        <w:t xml:space="preserve"> of Australia’</w:t>
      </w:r>
      <w:r w:rsidR="00735C2D">
        <w:rPr>
          <w:rFonts w:eastAsia="Times New Roman" w:cs="Arial"/>
          <w:sz w:val="21"/>
          <w:szCs w:val="21"/>
          <w:lang w:val="en-AU" w:eastAsia="en-AU"/>
        </w:rPr>
        <w:t>s governance program</w:t>
      </w:r>
      <w:r>
        <w:rPr>
          <w:rFonts w:eastAsia="Times New Roman" w:cs="Arial"/>
          <w:sz w:val="21"/>
          <w:szCs w:val="21"/>
          <w:lang w:val="en-AU" w:eastAsia="en-AU"/>
        </w:rPr>
        <w:t xml:space="preserve"> has been the talented group of local advisers that are currently embedded in almost all central agencies and many economic agencies. </w:t>
      </w:r>
      <w:r w:rsidR="00113398">
        <w:rPr>
          <w:rFonts w:eastAsia="Times New Roman" w:cs="Arial"/>
          <w:sz w:val="21"/>
          <w:szCs w:val="21"/>
          <w:lang w:val="en-AU" w:eastAsia="en-AU"/>
        </w:rPr>
        <w:t>This</w:t>
      </w:r>
      <w:r w:rsidR="00735C2D">
        <w:rPr>
          <w:rFonts w:eastAsia="Times New Roman" w:cs="Arial"/>
          <w:sz w:val="21"/>
          <w:szCs w:val="21"/>
          <w:lang w:val="en-AU" w:eastAsia="en-AU"/>
        </w:rPr>
        <w:t xml:space="preserve"> advisory support is appreciated and well-known across GoTL</w:t>
      </w:r>
      <w:r w:rsidR="00951CEC">
        <w:rPr>
          <w:rFonts w:eastAsia="Times New Roman" w:cs="Arial"/>
          <w:sz w:val="21"/>
          <w:szCs w:val="21"/>
          <w:lang w:val="en-AU" w:eastAsia="en-AU"/>
        </w:rPr>
        <w:t xml:space="preserve">. </w:t>
      </w:r>
      <w:r w:rsidR="00951CEC" w:rsidRPr="00951CEC">
        <w:rPr>
          <w:rFonts w:eastAsia="Times New Roman" w:cs="Arial"/>
          <w:sz w:val="21"/>
          <w:szCs w:val="21"/>
          <w:lang w:eastAsia="en-AU"/>
        </w:rPr>
        <w:t xml:space="preserve">Australian-funded advisers have supported evidence-based policy and </w:t>
      </w:r>
      <w:r w:rsidR="00B11D27">
        <w:rPr>
          <w:rFonts w:eastAsia="Times New Roman" w:cs="Arial"/>
          <w:sz w:val="21"/>
          <w:szCs w:val="21"/>
          <w:lang w:eastAsia="en-AU"/>
        </w:rPr>
        <w:t xml:space="preserve">provided a highly responsive capacity to </w:t>
      </w:r>
      <w:r w:rsidR="00951CEC" w:rsidRPr="00951CEC">
        <w:rPr>
          <w:rFonts w:eastAsia="Times New Roman" w:cs="Arial"/>
          <w:sz w:val="21"/>
          <w:szCs w:val="21"/>
          <w:lang w:eastAsia="en-AU"/>
        </w:rPr>
        <w:t xml:space="preserve">inform GoTL’s COVID-19 response and recovery policy, especially at a time where international advisers and program staff </w:t>
      </w:r>
      <w:r w:rsidR="00181354">
        <w:rPr>
          <w:rFonts w:eastAsia="Times New Roman" w:cs="Arial"/>
          <w:sz w:val="21"/>
          <w:szCs w:val="21"/>
          <w:lang w:eastAsia="en-AU"/>
        </w:rPr>
        <w:t>were</w:t>
      </w:r>
      <w:r w:rsidR="00951CEC" w:rsidRPr="00951CEC">
        <w:rPr>
          <w:rFonts w:eastAsia="Times New Roman" w:cs="Arial"/>
          <w:sz w:val="21"/>
          <w:szCs w:val="21"/>
          <w:lang w:eastAsia="en-AU"/>
        </w:rPr>
        <w:t xml:space="preserve"> withdrawn from Timor-Leste.</w:t>
      </w:r>
      <w:r w:rsidR="00BA76E2">
        <w:rPr>
          <w:rFonts w:eastAsia="Times New Roman" w:cs="Arial"/>
          <w:sz w:val="21"/>
          <w:szCs w:val="21"/>
          <w:lang w:val="en-AU" w:eastAsia="en-AU"/>
        </w:rPr>
        <w:t xml:space="preserve"> </w:t>
      </w:r>
    </w:p>
    <w:p w14:paraId="7D2847A2" w14:textId="77777777" w:rsidR="00DF558A" w:rsidRDefault="00206193" w:rsidP="00C84012">
      <w:pPr>
        <w:tabs>
          <w:tab w:val="left" w:pos="284"/>
        </w:tabs>
        <w:suppressAutoHyphens w:val="0"/>
        <w:spacing w:before="0" w:line="280" w:lineRule="exact"/>
        <w:rPr>
          <w:rFonts w:eastAsia="Times New Roman" w:cs="Arial"/>
          <w:sz w:val="21"/>
          <w:szCs w:val="21"/>
          <w:lang w:val="en-AU" w:eastAsia="en-AU"/>
        </w:rPr>
      </w:pPr>
      <w:r>
        <w:rPr>
          <w:rFonts w:eastAsia="Times New Roman" w:cs="Arial"/>
          <w:sz w:val="21"/>
          <w:szCs w:val="21"/>
          <w:lang w:val="en-AU" w:eastAsia="en-AU"/>
        </w:rPr>
        <w:t xml:space="preserve">Australia’s governance support will be critical to Timor-Leste’s </w:t>
      </w:r>
      <w:r w:rsidR="008056F5">
        <w:rPr>
          <w:rFonts w:eastAsia="Times New Roman" w:cs="Arial"/>
          <w:sz w:val="21"/>
          <w:szCs w:val="21"/>
          <w:lang w:val="en-AU" w:eastAsia="en-AU"/>
        </w:rPr>
        <w:t xml:space="preserve">continued </w:t>
      </w:r>
      <w:r w:rsidR="00A23DA5">
        <w:rPr>
          <w:rFonts w:eastAsia="Times New Roman" w:cs="Arial"/>
          <w:sz w:val="21"/>
          <w:szCs w:val="21"/>
          <w:lang w:val="en-AU" w:eastAsia="en-AU"/>
        </w:rPr>
        <w:t>economic response</w:t>
      </w:r>
      <w:r>
        <w:rPr>
          <w:rFonts w:eastAsia="Times New Roman" w:cs="Arial"/>
          <w:sz w:val="21"/>
          <w:szCs w:val="21"/>
          <w:lang w:val="en-AU" w:eastAsia="en-AU"/>
        </w:rPr>
        <w:t xml:space="preserve"> </w:t>
      </w:r>
      <w:r w:rsidR="00BA76E2">
        <w:rPr>
          <w:rFonts w:eastAsia="Times New Roman" w:cs="Arial"/>
          <w:sz w:val="21"/>
          <w:szCs w:val="21"/>
          <w:lang w:val="en-AU" w:eastAsia="en-AU"/>
        </w:rPr>
        <w:t>to</w:t>
      </w:r>
      <w:r>
        <w:rPr>
          <w:rFonts w:eastAsia="Times New Roman" w:cs="Arial"/>
          <w:sz w:val="21"/>
          <w:szCs w:val="21"/>
          <w:lang w:val="en-AU" w:eastAsia="en-AU"/>
        </w:rPr>
        <w:t xml:space="preserve"> COVID-19</w:t>
      </w:r>
      <w:r w:rsidR="00113398">
        <w:rPr>
          <w:rFonts w:eastAsia="Times New Roman" w:cs="Arial"/>
          <w:sz w:val="21"/>
          <w:szCs w:val="21"/>
          <w:lang w:val="en-AU" w:eastAsia="en-AU"/>
        </w:rPr>
        <w:t>.</w:t>
      </w:r>
      <w:r w:rsidR="008056F5">
        <w:rPr>
          <w:rFonts w:eastAsia="Times New Roman" w:cs="Arial"/>
          <w:sz w:val="21"/>
          <w:szCs w:val="21"/>
          <w:lang w:val="en-AU" w:eastAsia="en-AU"/>
        </w:rPr>
        <w:t xml:space="preserve"> </w:t>
      </w:r>
      <w:r w:rsidR="00113398">
        <w:rPr>
          <w:rFonts w:eastAsia="Times New Roman" w:cs="Arial"/>
          <w:sz w:val="21"/>
          <w:szCs w:val="21"/>
          <w:lang w:val="en-AU" w:eastAsia="en-AU"/>
        </w:rPr>
        <w:t>There</w:t>
      </w:r>
      <w:r w:rsidR="00A23DA5">
        <w:rPr>
          <w:rFonts w:eastAsia="Times New Roman" w:cs="Arial"/>
          <w:sz w:val="21"/>
          <w:szCs w:val="21"/>
          <w:lang w:val="en-AU" w:eastAsia="en-AU"/>
        </w:rPr>
        <w:t xml:space="preserve"> is </w:t>
      </w:r>
      <w:r w:rsidR="00BA76E2">
        <w:rPr>
          <w:rFonts w:eastAsia="Times New Roman" w:cs="Arial"/>
          <w:sz w:val="21"/>
          <w:szCs w:val="21"/>
          <w:lang w:val="en-AU" w:eastAsia="en-AU"/>
        </w:rPr>
        <w:t xml:space="preserve">a strong </w:t>
      </w:r>
      <w:r w:rsidR="00A23DA5">
        <w:rPr>
          <w:rFonts w:eastAsia="Times New Roman" w:cs="Arial"/>
          <w:sz w:val="21"/>
          <w:szCs w:val="21"/>
          <w:lang w:val="en-AU" w:eastAsia="en-AU"/>
        </w:rPr>
        <w:t>demand for continuing support for strengthening governance systems (such as public financial management and improving public administration)</w:t>
      </w:r>
      <w:r w:rsidR="00A10918">
        <w:rPr>
          <w:rFonts w:eastAsia="Times New Roman" w:cs="Arial"/>
          <w:sz w:val="21"/>
          <w:szCs w:val="21"/>
          <w:lang w:val="en-AU" w:eastAsia="en-AU"/>
        </w:rPr>
        <w:t>, plus</w:t>
      </w:r>
      <w:r w:rsidR="00A23DA5">
        <w:rPr>
          <w:rFonts w:eastAsia="Times New Roman" w:cs="Arial"/>
          <w:sz w:val="21"/>
          <w:szCs w:val="21"/>
          <w:lang w:val="en-AU" w:eastAsia="en-AU"/>
        </w:rPr>
        <w:t xml:space="preserve"> policy and technical advice </w:t>
      </w:r>
      <w:r w:rsidR="00A10918">
        <w:rPr>
          <w:rFonts w:eastAsia="Times New Roman" w:cs="Arial"/>
          <w:sz w:val="21"/>
          <w:szCs w:val="21"/>
          <w:lang w:val="en-AU" w:eastAsia="en-AU"/>
        </w:rPr>
        <w:t>on stimulus measures and longer-term economic recovery.</w:t>
      </w:r>
      <w:r w:rsidR="003E474A">
        <w:rPr>
          <w:rFonts w:eastAsia="Times New Roman" w:cs="Arial"/>
          <w:sz w:val="21"/>
          <w:szCs w:val="21"/>
          <w:lang w:val="en-AU" w:eastAsia="en-AU"/>
        </w:rPr>
        <w:t xml:space="preserve"> </w:t>
      </w:r>
      <w:r w:rsidR="004F5C89">
        <w:rPr>
          <w:rFonts w:eastAsia="Times New Roman" w:cs="Arial"/>
          <w:sz w:val="21"/>
          <w:szCs w:val="21"/>
          <w:lang w:val="en-AU" w:eastAsia="en-AU"/>
        </w:rPr>
        <w:t>Women, girls and other vulnerable groups are particularly</w:t>
      </w:r>
      <w:r w:rsidR="00B262B2">
        <w:rPr>
          <w:rFonts w:eastAsia="Times New Roman" w:cs="Arial"/>
          <w:sz w:val="21"/>
          <w:szCs w:val="21"/>
          <w:lang w:val="en-AU" w:eastAsia="en-AU"/>
        </w:rPr>
        <w:t xml:space="preserve"> at risk from the economic and social impacts of COVID-19. </w:t>
      </w:r>
      <w:r w:rsidR="00114E4D">
        <w:rPr>
          <w:rFonts w:eastAsia="Times New Roman" w:cs="Arial"/>
          <w:sz w:val="21"/>
          <w:szCs w:val="21"/>
          <w:lang w:val="en-AU" w:eastAsia="en-AU"/>
        </w:rPr>
        <w:t>Australia’s s</w:t>
      </w:r>
      <w:r w:rsidR="00B262B2">
        <w:rPr>
          <w:rFonts w:eastAsia="Times New Roman" w:cs="Arial"/>
          <w:sz w:val="21"/>
          <w:szCs w:val="21"/>
          <w:lang w:val="en-AU" w:eastAsia="en-AU"/>
        </w:rPr>
        <w:t>upport</w:t>
      </w:r>
      <w:r w:rsidR="00114E4D">
        <w:rPr>
          <w:rFonts w:eastAsia="Times New Roman" w:cs="Arial"/>
          <w:sz w:val="21"/>
          <w:szCs w:val="21"/>
          <w:lang w:val="en-AU" w:eastAsia="en-AU"/>
        </w:rPr>
        <w:t xml:space="preserve"> for </w:t>
      </w:r>
      <w:r w:rsidR="00B262B2">
        <w:rPr>
          <w:rFonts w:eastAsia="Times New Roman" w:cs="Arial"/>
          <w:sz w:val="21"/>
          <w:szCs w:val="21"/>
          <w:lang w:val="en-AU" w:eastAsia="en-AU"/>
        </w:rPr>
        <w:t xml:space="preserve">inclusive economic growth that does not leave vulnerable groups behind will be </w:t>
      </w:r>
      <w:r w:rsidR="00E352E9">
        <w:rPr>
          <w:rFonts w:eastAsia="Times New Roman" w:cs="Arial"/>
          <w:sz w:val="21"/>
          <w:szCs w:val="21"/>
          <w:lang w:val="en-AU" w:eastAsia="en-AU"/>
        </w:rPr>
        <w:t>crucial during the recovery</w:t>
      </w:r>
      <w:r w:rsidR="00BA76E2">
        <w:rPr>
          <w:rFonts w:eastAsia="Times New Roman" w:cs="Arial"/>
          <w:sz w:val="21"/>
          <w:szCs w:val="21"/>
          <w:lang w:val="en-AU" w:eastAsia="en-AU"/>
        </w:rPr>
        <w:t xml:space="preserve"> phase</w:t>
      </w:r>
      <w:r w:rsidR="00B262B2">
        <w:rPr>
          <w:rFonts w:eastAsia="Times New Roman" w:cs="Arial"/>
          <w:sz w:val="21"/>
          <w:szCs w:val="21"/>
          <w:lang w:val="en-AU" w:eastAsia="en-AU"/>
        </w:rPr>
        <w:t>.</w:t>
      </w:r>
    </w:p>
    <w:p w14:paraId="0D510B77" w14:textId="4F2E1AB3" w:rsidR="00AC6CF8" w:rsidRDefault="00A10918" w:rsidP="00C84012">
      <w:pPr>
        <w:tabs>
          <w:tab w:val="left" w:pos="284"/>
        </w:tabs>
        <w:suppressAutoHyphens w:val="0"/>
        <w:spacing w:before="0" w:line="280" w:lineRule="exact"/>
        <w:rPr>
          <w:rFonts w:eastAsia="Times New Roman" w:cs="Arial"/>
          <w:sz w:val="21"/>
          <w:szCs w:val="21"/>
          <w:lang w:val="en-AU" w:eastAsia="en-AU"/>
        </w:rPr>
      </w:pPr>
      <w:r>
        <w:rPr>
          <w:rFonts w:eastAsia="Times New Roman" w:cs="Arial"/>
          <w:sz w:val="21"/>
          <w:szCs w:val="21"/>
          <w:lang w:val="en-AU" w:eastAsia="en-AU"/>
        </w:rPr>
        <w:t>In addition,</w:t>
      </w:r>
      <w:r w:rsidR="006F12DD">
        <w:rPr>
          <w:rFonts w:eastAsia="Times New Roman" w:cs="Arial"/>
          <w:sz w:val="21"/>
          <w:szCs w:val="21"/>
          <w:lang w:val="en-AU" w:eastAsia="en-AU"/>
        </w:rPr>
        <w:t xml:space="preserve"> Timor-Leste is seeking Australia’s support through the Australian Infrastructure Financing Facility for the Pacific (AIFFP) for </w:t>
      </w:r>
      <w:r>
        <w:rPr>
          <w:rFonts w:eastAsia="Times New Roman" w:cs="Arial"/>
          <w:sz w:val="21"/>
          <w:szCs w:val="21"/>
          <w:lang w:val="en-AU" w:eastAsia="en-AU"/>
        </w:rPr>
        <w:t>national economic infrastructure projects</w:t>
      </w:r>
      <w:r w:rsidR="00113398">
        <w:rPr>
          <w:rFonts w:eastAsia="Times New Roman" w:cs="Arial"/>
          <w:sz w:val="21"/>
          <w:szCs w:val="21"/>
          <w:lang w:val="en-AU" w:eastAsia="en-AU"/>
        </w:rPr>
        <w:t>.</w:t>
      </w:r>
      <w:r>
        <w:rPr>
          <w:rFonts w:eastAsia="Times New Roman" w:cs="Arial"/>
          <w:sz w:val="21"/>
          <w:szCs w:val="21"/>
          <w:lang w:val="en-AU" w:eastAsia="en-AU"/>
        </w:rPr>
        <w:t xml:space="preserve"> </w:t>
      </w:r>
      <w:r w:rsidR="007E19CD">
        <w:rPr>
          <w:rFonts w:eastAsia="Times New Roman" w:cs="Arial"/>
          <w:sz w:val="21"/>
          <w:szCs w:val="21"/>
          <w:lang w:val="en-AU" w:eastAsia="en-AU"/>
        </w:rPr>
        <w:t>Specifically,</w:t>
      </w:r>
      <w:r>
        <w:rPr>
          <w:rFonts w:eastAsia="Times New Roman" w:cs="Arial"/>
          <w:sz w:val="21"/>
          <w:szCs w:val="21"/>
          <w:lang w:val="en-AU" w:eastAsia="en-AU"/>
        </w:rPr>
        <w:t xml:space="preserve"> a fibre optic cable connection to Australia and </w:t>
      </w:r>
      <w:r w:rsidR="00114E4D">
        <w:rPr>
          <w:rFonts w:eastAsia="Times New Roman" w:cs="Arial"/>
          <w:sz w:val="21"/>
          <w:szCs w:val="21"/>
          <w:lang w:val="en-AU" w:eastAsia="en-AU"/>
        </w:rPr>
        <w:t xml:space="preserve">the </w:t>
      </w:r>
      <w:r>
        <w:rPr>
          <w:rFonts w:eastAsia="Times New Roman" w:cs="Arial"/>
          <w:sz w:val="21"/>
          <w:szCs w:val="21"/>
          <w:lang w:val="en-AU" w:eastAsia="en-AU"/>
        </w:rPr>
        <w:t>redevelopment of Dili’s international airport.</w:t>
      </w:r>
      <w:r w:rsidR="00DF558A">
        <w:rPr>
          <w:rFonts w:eastAsia="Times New Roman" w:cs="Arial"/>
          <w:sz w:val="21"/>
          <w:szCs w:val="21"/>
          <w:lang w:val="en-AU" w:eastAsia="en-AU"/>
        </w:rPr>
        <w:t xml:space="preserve"> Governance support </w:t>
      </w:r>
      <w:r w:rsidR="00BA76E2">
        <w:rPr>
          <w:rFonts w:eastAsia="Times New Roman" w:cs="Arial"/>
          <w:sz w:val="21"/>
          <w:szCs w:val="21"/>
          <w:lang w:val="en-AU" w:eastAsia="en-AU"/>
        </w:rPr>
        <w:t>for</w:t>
      </w:r>
      <w:r w:rsidR="00DF558A">
        <w:rPr>
          <w:rFonts w:eastAsia="Times New Roman" w:cs="Arial"/>
          <w:sz w:val="21"/>
          <w:szCs w:val="21"/>
          <w:lang w:val="en-AU" w:eastAsia="en-AU"/>
        </w:rPr>
        <w:t xml:space="preserve"> these two projects – and other critical infrastructure – is </w:t>
      </w:r>
      <w:r w:rsidR="00D934A0">
        <w:rPr>
          <w:rFonts w:eastAsia="Times New Roman" w:cs="Arial"/>
          <w:sz w:val="21"/>
          <w:szCs w:val="21"/>
          <w:lang w:val="en-AU" w:eastAsia="en-AU"/>
        </w:rPr>
        <w:t>a priority for</w:t>
      </w:r>
      <w:r w:rsidR="00BA68EC">
        <w:rPr>
          <w:rFonts w:eastAsia="Times New Roman" w:cs="Arial"/>
          <w:sz w:val="21"/>
          <w:szCs w:val="21"/>
          <w:lang w:val="en-AU" w:eastAsia="en-AU"/>
        </w:rPr>
        <w:t xml:space="preserve"> Australia</w:t>
      </w:r>
      <w:r w:rsidR="00DF558A">
        <w:rPr>
          <w:rFonts w:eastAsia="Times New Roman" w:cs="Arial"/>
          <w:sz w:val="21"/>
          <w:szCs w:val="21"/>
          <w:lang w:val="en-AU" w:eastAsia="en-AU"/>
        </w:rPr>
        <w:t xml:space="preserve"> and aligns with </w:t>
      </w:r>
      <w:r w:rsidR="00BA76E2">
        <w:rPr>
          <w:rFonts w:eastAsia="Times New Roman" w:cs="Arial"/>
          <w:sz w:val="21"/>
          <w:szCs w:val="21"/>
          <w:lang w:val="en-AU" w:eastAsia="en-AU"/>
        </w:rPr>
        <w:t xml:space="preserve">Australia’s objective </w:t>
      </w:r>
      <w:r w:rsidR="00DF558A">
        <w:rPr>
          <w:rFonts w:eastAsia="Times New Roman" w:cs="Arial"/>
          <w:sz w:val="21"/>
          <w:szCs w:val="21"/>
          <w:lang w:val="en-AU" w:eastAsia="en-AU"/>
        </w:rPr>
        <w:t xml:space="preserve">of supporting Timor-Leste to make well-informed </w:t>
      </w:r>
      <w:r w:rsidR="00DD0EA8">
        <w:rPr>
          <w:rFonts w:eastAsia="Times New Roman" w:cs="Arial"/>
          <w:sz w:val="21"/>
          <w:szCs w:val="21"/>
          <w:lang w:val="en-AU" w:eastAsia="en-AU"/>
        </w:rPr>
        <w:t xml:space="preserve">economic </w:t>
      </w:r>
      <w:r w:rsidR="00DF558A">
        <w:rPr>
          <w:rFonts w:eastAsia="Times New Roman" w:cs="Arial"/>
          <w:sz w:val="21"/>
          <w:szCs w:val="21"/>
          <w:lang w:val="en-AU" w:eastAsia="en-AU"/>
        </w:rPr>
        <w:t>decisions.</w:t>
      </w:r>
      <w:r w:rsidR="00AC6CF8">
        <w:rPr>
          <w:rFonts w:eastAsia="Times New Roman" w:cs="Arial"/>
          <w:sz w:val="21"/>
          <w:szCs w:val="21"/>
          <w:lang w:val="en-AU" w:eastAsia="en-AU"/>
        </w:rPr>
        <w:t xml:space="preserve"> </w:t>
      </w:r>
      <w:r w:rsidR="00BA76E2">
        <w:rPr>
          <w:rFonts w:eastAsia="Times New Roman" w:cs="Arial"/>
          <w:sz w:val="21"/>
          <w:szCs w:val="21"/>
          <w:lang w:val="en-AU" w:eastAsia="en-AU"/>
        </w:rPr>
        <w:t xml:space="preserve">We will look to link </w:t>
      </w:r>
      <w:r w:rsidR="00AC6CF8">
        <w:rPr>
          <w:rFonts w:eastAsia="Times New Roman" w:cs="Arial"/>
          <w:sz w:val="21"/>
          <w:szCs w:val="21"/>
          <w:lang w:val="en-AU" w:eastAsia="en-AU"/>
        </w:rPr>
        <w:t xml:space="preserve">Australia’s governance support in the infrastructure sector </w:t>
      </w:r>
      <w:r w:rsidR="00BA76E2">
        <w:rPr>
          <w:rFonts w:eastAsia="Times New Roman" w:cs="Arial"/>
          <w:sz w:val="21"/>
          <w:szCs w:val="21"/>
          <w:lang w:val="en-AU" w:eastAsia="en-AU"/>
        </w:rPr>
        <w:t>to</w:t>
      </w:r>
      <w:r w:rsidR="00AC6CF8">
        <w:rPr>
          <w:rFonts w:eastAsia="Times New Roman" w:cs="Arial"/>
          <w:sz w:val="21"/>
          <w:szCs w:val="21"/>
          <w:lang w:val="en-AU" w:eastAsia="en-AU"/>
        </w:rPr>
        <w:t xml:space="preserve"> </w:t>
      </w:r>
      <w:r w:rsidR="00AC6CF8" w:rsidRPr="00AC6CF8">
        <w:rPr>
          <w:rFonts w:eastAsia="Times New Roman" w:cs="Arial"/>
          <w:sz w:val="21"/>
          <w:szCs w:val="21"/>
          <w:lang w:val="en-AU" w:eastAsia="en-AU"/>
        </w:rPr>
        <w:t xml:space="preserve">DFAT’s Southeast Asia </w:t>
      </w:r>
      <w:r w:rsidR="00183A4A">
        <w:rPr>
          <w:rFonts w:eastAsia="Times New Roman" w:cs="Arial"/>
          <w:sz w:val="21"/>
          <w:szCs w:val="21"/>
          <w:lang w:val="en-AU" w:eastAsia="en-AU"/>
        </w:rPr>
        <w:t>Economic Governance and Infrastructure Facility (SEAEGIF</w:t>
      </w:r>
      <w:r w:rsidR="00576102">
        <w:rPr>
          <w:rFonts w:eastAsia="Times New Roman" w:cs="Arial"/>
          <w:sz w:val="21"/>
          <w:szCs w:val="21"/>
          <w:lang w:val="en-AU" w:eastAsia="en-AU"/>
        </w:rPr>
        <w:t>)</w:t>
      </w:r>
      <w:r w:rsidR="008E6111">
        <w:rPr>
          <w:rFonts w:eastAsia="Times New Roman" w:cs="Arial"/>
          <w:sz w:val="21"/>
          <w:szCs w:val="21"/>
          <w:lang w:val="en-AU" w:eastAsia="en-AU"/>
        </w:rPr>
        <w:t xml:space="preserve"> which is due to begin implementation </w:t>
      </w:r>
      <w:r w:rsidR="00183A4A">
        <w:rPr>
          <w:rFonts w:eastAsia="Times New Roman" w:cs="Arial"/>
          <w:sz w:val="21"/>
          <w:szCs w:val="21"/>
          <w:lang w:val="en-AU" w:eastAsia="en-AU"/>
        </w:rPr>
        <w:t>in late-2020</w:t>
      </w:r>
      <w:r w:rsidR="00AC6CF8">
        <w:rPr>
          <w:rFonts w:eastAsia="Times New Roman" w:cs="Arial"/>
          <w:sz w:val="21"/>
          <w:szCs w:val="21"/>
          <w:lang w:val="en-AU" w:eastAsia="en-AU"/>
        </w:rPr>
        <w:t>.</w:t>
      </w:r>
    </w:p>
    <w:p w14:paraId="79318036" w14:textId="4966C128" w:rsidR="00C84012" w:rsidRDefault="00091C29" w:rsidP="00C84012">
      <w:pPr>
        <w:tabs>
          <w:tab w:val="left" w:pos="284"/>
        </w:tabs>
        <w:suppressAutoHyphens w:val="0"/>
        <w:spacing w:before="0" w:line="280" w:lineRule="exact"/>
        <w:rPr>
          <w:rFonts w:eastAsia="Times New Roman" w:cs="Arial"/>
          <w:sz w:val="21"/>
          <w:szCs w:val="21"/>
          <w:lang w:val="en-AU" w:eastAsia="en-AU"/>
        </w:rPr>
      </w:pPr>
      <w:r w:rsidRPr="00181354">
        <w:rPr>
          <w:rFonts w:eastAsia="Times New Roman" w:cs="Arial"/>
          <w:noProof/>
          <w:sz w:val="21"/>
          <w:szCs w:val="21"/>
          <w:lang w:val="en-AU" w:eastAsia="en-AU"/>
        </w:rPr>
        <mc:AlternateContent>
          <mc:Choice Requires="wps">
            <w:drawing>
              <wp:anchor distT="45720" distB="45720" distL="114300" distR="114300" simplePos="0" relativeHeight="251669504" behindDoc="0" locked="0" layoutInCell="1" allowOverlap="1" wp14:anchorId="78A37143" wp14:editId="313D070F">
                <wp:simplePos x="0" y="0"/>
                <wp:positionH relativeFrom="margin">
                  <wp:align>left</wp:align>
                </wp:positionH>
                <wp:positionV relativeFrom="paragraph">
                  <wp:posOffset>1356995</wp:posOffset>
                </wp:positionV>
                <wp:extent cx="6076950" cy="1809750"/>
                <wp:effectExtent l="0" t="0" r="19050"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1809750"/>
                        </a:xfrm>
                        <a:prstGeom prst="rect">
                          <a:avLst/>
                        </a:prstGeom>
                        <a:solidFill>
                          <a:srgbClr val="FFFFFF"/>
                        </a:solidFill>
                        <a:ln w="9525">
                          <a:solidFill>
                            <a:srgbClr val="000000"/>
                          </a:solidFill>
                          <a:miter lim="800000"/>
                          <a:headEnd/>
                          <a:tailEnd/>
                        </a:ln>
                      </wps:spPr>
                      <wps:txbx>
                        <w:txbxContent>
                          <w:p w14:paraId="22A52DBB" w14:textId="77777777" w:rsidR="00091C29" w:rsidRDefault="00091C29" w:rsidP="001E1BCA">
                            <w:pPr>
                              <w:spacing w:after="120"/>
                              <w:jc w:val="center"/>
                              <w:rPr>
                                <w:b/>
                              </w:rPr>
                            </w:pPr>
                            <w:r>
                              <w:rPr>
                                <w:b/>
                              </w:rPr>
                              <w:t>Box 1</w:t>
                            </w:r>
                            <w:r w:rsidRPr="00965EFC">
                              <w:rPr>
                                <w:b/>
                              </w:rPr>
                              <w:t xml:space="preserve"> – </w:t>
                            </w:r>
                            <w:r>
                              <w:rPr>
                                <w:b/>
                              </w:rPr>
                              <w:t>Timor-Leste’s COVID-19 Economic Recovery Plan (ERP)</w:t>
                            </w:r>
                            <w:r w:rsidR="009A1F69">
                              <w:rPr>
                                <w:b/>
                              </w:rPr>
                              <w:t xml:space="preserve"> 2020-22</w:t>
                            </w:r>
                          </w:p>
                          <w:p w14:paraId="35D83268" w14:textId="77777777" w:rsidR="00091C29" w:rsidRPr="00965EFC" w:rsidRDefault="00091C29" w:rsidP="00FB6B65">
                            <w:pPr>
                              <w:spacing w:before="60" w:after="0"/>
                            </w:pPr>
                            <w:r>
                              <w:t xml:space="preserve">Timor-Leste’s ERP is a whole-of-government policy that </w:t>
                            </w:r>
                            <w:r w:rsidR="009A1F69">
                              <w:t>is guiding</w:t>
                            </w:r>
                            <w:r>
                              <w:t xml:space="preserve"> the country’s economic response to COVID-19. </w:t>
                            </w:r>
                            <w:r w:rsidR="009A1F69" w:rsidRPr="009A1F69">
                              <w:rPr>
                                <w:lang w:val="en-AU"/>
                              </w:rPr>
                              <w:t>GfD</w:t>
                            </w:r>
                            <w:r w:rsidR="009A1F69">
                              <w:rPr>
                                <w:lang w:val="en-AU"/>
                              </w:rPr>
                              <w:t>’</w:t>
                            </w:r>
                            <w:r w:rsidR="00C3180F">
                              <w:rPr>
                                <w:lang w:val="en-AU"/>
                              </w:rPr>
                              <w:t xml:space="preserve">s </w:t>
                            </w:r>
                            <w:r w:rsidR="009A1F69">
                              <w:rPr>
                                <w:lang w:val="en-AU"/>
                              </w:rPr>
                              <w:t>advisers in central and economic ministries</w:t>
                            </w:r>
                            <w:r w:rsidR="00A305A7">
                              <w:rPr>
                                <w:lang w:val="en-AU"/>
                              </w:rPr>
                              <w:t xml:space="preserve"> </w:t>
                            </w:r>
                            <w:r w:rsidR="009A1F69" w:rsidRPr="009A1F69">
                              <w:rPr>
                                <w:lang w:val="en-AU"/>
                              </w:rPr>
                              <w:t xml:space="preserve">provided timely, evidence-based advice to support </w:t>
                            </w:r>
                            <w:r w:rsidR="00A305A7">
                              <w:rPr>
                                <w:lang w:val="en-AU"/>
                              </w:rPr>
                              <w:t>the ERP’s development</w:t>
                            </w:r>
                            <w:r w:rsidR="009A1F69" w:rsidRPr="009A1F69">
                              <w:rPr>
                                <w:lang w:val="en-AU"/>
                              </w:rPr>
                              <w:t xml:space="preserve"> – both immediate actions as well as planning and budgeting for longer-term recovery</w:t>
                            </w:r>
                            <w:r w:rsidR="009A1F69">
                              <w:rPr>
                                <w:lang w:val="en-AU"/>
                              </w:rPr>
                              <w:t>. This advisory support was bolstered by</w:t>
                            </w:r>
                            <w:r w:rsidR="009A1F69" w:rsidRPr="009A1F69">
                              <w:rPr>
                                <w:lang w:val="en-AU"/>
                              </w:rPr>
                              <w:t xml:space="preserve"> GfD</w:t>
                            </w:r>
                            <w:r w:rsidR="009A1F69">
                              <w:rPr>
                                <w:lang w:val="en-AU"/>
                              </w:rPr>
                              <w:t>’s</w:t>
                            </w:r>
                            <w:r w:rsidR="009A1F69" w:rsidRPr="009A1F69">
                              <w:rPr>
                                <w:lang w:val="en-AU"/>
                              </w:rPr>
                              <w:t xml:space="preserve"> grant </w:t>
                            </w:r>
                            <w:r w:rsidR="009A1F69">
                              <w:rPr>
                                <w:lang w:val="en-AU"/>
                              </w:rPr>
                              <w:t xml:space="preserve">partners, including Monash University, The Asia Foundation and Oxfam, whose work was </w:t>
                            </w:r>
                            <w:r w:rsidR="009A1F69" w:rsidRPr="009A1F69">
                              <w:rPr>
                                <w:lang w:val="en-AU"/>
                              </w:rPr>
                              <w:t>refocused to undertake research</w:t>
                            </w:r>
                            <w:r w:rsidR="00FB6B65">
                              <w:rPr>
                                <w:lang w:val="en-AU"/>
                              </w:rPr>
                              <w:t xml:space="preserve"> and provide advice</w:t>
                            </w:r>
                            <w:r w:rsidR="009A1F69" w:rsidRPr="009A1F69">
                              <w:rPr>
                                <w:lang w:val="en-AU"/>
                              </w:rPr>
                              <w:t xml:space="preserve"> on the social and economic impacts of COVID-19 a</w:t>
                            </w:r>
                            <w:r w:rsidR="00A305A7">
                              <w:rPr>
                                <w:lang w:val="en-AU"/>
                              </w:rPr>
                              <w:t>nd community perceptions of</w:t>
                            </w:r>
                            <w:r w:rsidR="00113398">
                              <w:rPr>
                                <w:lang w:val="en-AU"/>
                              </w:rPr>
                              <w:t xml:space="preserve"> the</w:t>
                            </w:r>
                            <w:r w:rsidR="009A1F69" w:rsidRPr="009A1F69">
                              <w:rPr>
                                <w:lang w:val="en-AU"/>
                              </w:rPr>
                              <w:t xml:space="preserve"> response.</w:t>
                            </w:r>
                            <w:r w:rsidR="00FB6B65">
                              <w:rPr>
                                <w:lang w:val="en-AU"/>
                              </w:rPr>
                              <w:t xml:space="preserve"> The ERP is an example of </w:t>
                            </w:r>
                            <w:r w:rsidR="00C3180F">
                              <w:rPr>
                                <w:lang w:val="en-AU"/>
                              </w:rPr>
                              <w:t>how</w:t>
                            </w:r>
                            <w:r w:rsidR="00FB6B65">
                              <w:rPr>
                                <w:lang w:val="en-AU"/>
                              </w:rPr>
                              <w:t xml:space="preserve"> GfD</w:t>
                            </w:r>
                            <w:r w:rsidR="00C3180F">
                              <w:rPr>
                                <w:lang w:val="en-AU"/>
                              </w:rPr>
                              <w:t xml:space="preserve"> i</w:t>
                            </w:r>
                            <w:r w:rsidR="00EF2F9A">
                              <w:rPr>
                                <w:lang w:val="en-AU"/>
                              </w:rPr>
                              <w:t xml:space="preserve">s a vehicle to bring different skills, expertise and </w:t>
                            </w:r>
                            <w:r w:rsidR="00FB6B65">
                              <w:rPr>
                                <w:lang w:val="en-AU"/>
                              </w:rPr>
                              <w:t>partners together to support GoTL</w:t>
                            </w:r>
                            <w:r w:rsidR="00C3180F">
                              <w:rPr>
                                <w:lang w:val="en-AU"/>
                              </w:rPr>
                              <w:t>,</w:t>
                            </w:r>
                            <w:r w:rsidR="00FB6B65">
                              <w:rPr>
                                <w:lang w:val="en-AU"/>
                              </w:rPr>
                              <w:t xml:space="preserve"> and demonstrated that the program’s value is greater than its </w:t>
                            </w:r>
                            <w:r w:rsidR="002D6050">
                              <w:rPr>
                                <w:lang w:val="en-AU"/>
                              </w:rPr>
                              <w:t xml:space="preserve">individual </w:t>
                            </w:r>
                            <w:r w:rsidR="00C3180F">
                              <w:rPr>
                                <w:lang w:val="en-AU"/>
                              </w:rPr>
                              <w:t>parts.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8A37143" id="_x0000_t202" coordsize="21600,21600" o:spt="202" path="m,l,21600r21600,l21600,xe">
                <v:stroke joinstyle="miter"/>
                <v:path gradientshapeok="t" o:connecttype="rect"/>
              </v:shapetype>
              <v:shape id="Text Box 2" o:spid="_x0000_s1026" type="#_x0000_t202" style="position:absolute;margin-left:0;margin-top:106.85pt;width:478.5pt;height:142.5pt;z-index:25166950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">
                <v:textbox>
                  <w:txbxContent>
                    <w:p w14:paraId="22A52DBB" w14:textId="77777777" w:rsidR="00091C29" w:rsidRDefault="00091C29" w:rsidP="001E1BCA">
                      <w:pPr>
                        <w:spacing w:after="120"/>
                        <w:jc w:val="center"/>
                        <w:rPr>
                          <w:b/>
                        </w:rPr>
                      </w:pPr>
                      <w:r>
                        <w:rPr>
                          <w:b/>
                        </w:rPr>
                        <w:t>Box 1</w:t>
                      </w:r>
                      <w:r w:rsidRPr="00965EFC">
                        <w:rPr>
                          <w:b/>
                        </w:rPr>
                        <w:t xml:space="preserve"> – </w:t>
                      </w:r>
                      <w:r>
                        <w:rPr>
                          <w:b/>
                        </w:rPr>
                        <w:t>Timor-Leste’s COVID-19 Economic Recovery Plan (ERP)</w:t>
                      </w:r>
                      <w:r w:rsidR="009A1F69">
                        <w:rPr>
                          <w:b/>
                        </w:rPr>
                        <w:t xml:space="preserve"> 2020-22</w:t>
                      </w:r>
                    </w:p>
                    <w:p w14:paraId="35D83268" w14:textId="77777777" w:rsidR="00091C29" w:rsidRPr="00965EFC" w:rsidRDefault="00091C29" w:rsidP="00FB6B65">
                      <w:pPr>
                        <w:spacing w:before="60" w:after="0"/>
                      </w:pPr>
                      <w:r>
                        <w:t xml:space="preserve">Timor-Leste’s ERP is a whole-of-government policy that </w:t>
                      </w:r>
                      <w:r w:rsidR="009A1F69">
                        <w:t>is guiding</w:t>
                      </w:r>
                      <w:r>
                        <w:t xml:space="preserve"> the country’s economic response to COVID-19. </w:t>
                      </w:r>
                      <w:r w:rsidR="009A1F69" w:rsidRPr="009A1F69">
                        <w:rPr>
                          <w:lang w:val="en-AU"/>
                        </w:rPr>
                        <w:t>GfD</w:t>
                      </w:r>
                      <w:r w:rsidR="009A1F69">
                        <w:rPr>
                          <w:lang w:val="en-AU"/>
                        </w:rPr>
                        <w:t>’</w:t>
                      </w:r>
                      <w:r w:rsidR="00C3180F">
                        <w:rPr>
                          <w:lang w:val="en-AU"/>
                        </w:rPr>
                        <w:t xml:space="preserve">s </w:t>
                      </w:r>
                      <w:r w:rsidR="009A1F69">
                        <w:rPr>
                          <w:lang w:val="en-AU"/>
                        </w:rPr>
                        <w:t>advisers in central and economic ministries</w:t>
                      </w:r>
                      <w:r w:rsidR="00A305A7">
                        <w:rPr>
                          <w:lang w:val="en-AU"/>
                        </w:rPr>
                        <w:t xml:space="preserve"> </w:t>
                      </w:r>
                      <w:r w:rsidR="009A1F69" w:rsidRPr="009A1F69">
                        <w:rPr>
                          <w:lang w:val="en-AU"/>
                        </w:rPr>
                        <w:t xml:space="preserve">provided timely, evidence-based advice to support </w:t>
                      </w:r>
                      <w:r w:rsidR="00A305A7">
                        <w:rPr>
                          <w:lang w:val="en-AU"/>
                        </w:rPr>
                        <w:t>the ERP’s development</w:t>
                      </w:r>
                      <w:r w:rsidR="009A1F69" w:rsidRPr="009A1F69">
                        <w:rPr>
                          <w:lang w:val="en-AU"/>
                        </w:rPr>
                        <w:t xml:space="preserve"> – both immediate actions as well as planning and budgeting for longer-term recovery</w:t>
                      </w:r>
                      <w:r w:rsidR="009A1F69">
                        <w:rPr>
                          <w:lang w:val="en-AU"/>
                        </w:rPr>
                        <w:t>. This advisory support was bolstered by</w:t>
                      </w:r>
                      <w:r w:rsidR="009A1F69" w:rsidRPr="009A1F69">
                        <w:rPr>
                          <w:lang w:val="en-AU"/>
                        </w:rPr>
                        <w:t xml:space="preserve"> GfD</w:t>
                      </w:r>
                      <w:r w:rsidR="009A1F69">
                        <w:rPr>
                          <w:lang w:val="en-AU"/>
                        </w:rPr>
                        <w:t>’s</w:t>
                      </w:r>
                      <w:r w:rsidR="009A1F69" w:rsidRPr="009A1F69">
                        <w:rPr>
                          <w:lang w:val="en-AU"/>
                        </w:rPr>
                        <w:t xml:space="preserve"> grant </w:t>
                      </w:r>
                      <w:r w:rsidR="009A1F69">
                        <w:rPr>
                          <w:lang w:val="en-AU"/>
                        </w:rPr>
                        <w:t xml:space="preserve">partners, including Monash University, The Asia Foundation and Oxfam, whose work was </w:t>
                      </w:r>
                      <w:r w:rsidR="009A1F69" w:rsidRPr="009A1F69">
                        <w:rPr>
                          <w:lang w:val="en-AU"/>
                        </w:rPr>
                        <w:t>refocused to undertake research</w:t>
                      </w:r>
                      <w:r w:rsidR="00FB6B65">
                        <w:rPr>
                          <w:lang w:val="en-AU"/>
                        </w:rPr>
                        <w:t xml:space="preserve"> and provide advice</w:t>
                      </w:r>
                      <w:r w:rsidR="009A1F69" w:rsidRPr="009A1F69">
                        <w:rPr>
                          <w:lang w:val="en-AU"/>
                        </w:rPr>
                        <w:t xml:space="preserve"> on the social and economic impacts of COVID-19 a</w:t>
                      </w:r>
                      <w:r w:rsidR="00A305A7">
                        <w:rPr>
                          <w:lang w:val="en-AU"/>
                        </w:rPr>
                        <w:t>nd community perceptions of</w:t>
                      </w:r>
                      <w:r w:rsidR="00113398">
                        <w:rPr>
                          <w:lang w:val="en-AU"/>
                        </w:rPr>
                        <w:t xml:space="preserve"> the</w:t>
                      </w:r>
                      <w:r w:rsidR="009A1F69" w:rsidRPr="009A1F69">
                        <w:rPr>
                          <w:lang w:val="en-AU"/>
                        </w:rPr>
                        <w:t xml:space="preserve"> response.</w:t>
                      </w:r>
                      <w:r w:rsidR="00FB6B65">
                        <w:rPr>
                          <w:lang w:val="en-AU"/>
                        </w:rPr>
                        <w:t xml:space="preserve"> The ERP is an example of </w:t>
                      </w:r>
                      <w:r w:rsidR="00C3180F">
                        <w:rPr>
                          <w:lang w:val="en-AU"/>
                        </w:rPr>
                        <w:t>how</w:t>
                      </w:r>
                      <w:r w:rsidR="00FB6B65">
                        <w:rPr>
                          <w:lang w:val="en-AU"/>
                        </w:rPr>
                        <w:t xml:space="preserve"> GfD</w:t>
                      </w:r>
                      <w:r w:rsidR="00C3180F">
                        <w:rPr>
                          <w:lang w:val="en-AU"/>
                        </w:rPr>
                        <w:t xml:space="preserve"> i</w:t>
                      </w:r>
                      <w:r w:rsidR="00EF2F9A">
                        <w:rPr>
                          <w:lang w:val="en-AU"/>
                        </w:rPr>
                        <w:t xml:space="preserve">s a vehicle to bring different skills, expertise and </w:t>
                      </w:r>
                      <w:r w:rsidR="00FB6B65">
                        <w:rPr>
                          <w:lang w:val="en-AU"/>
                        </w:rPr>
                        <w:t>partners together to support GoTL</w:t>
                      </w:r>
                      <w:r w:rsidR="00C3180F">
                        <w:rPr>
                          <w:lang w:val="en-AU"/>
                        </w:rPr>
                        <w:t>,</w:t>
                      </w:r>
                      <w:r w:rsidR="00FB6B65">
                        <w:rPr>
                          <w:lang w:val="en-AU"/>
                        </w:rPr>
                        <w:t xml:space="preserve"> and demonstrated that the program’s value is greater than its </w:t>
                      </w:r>
                      <w:r w:rsidR="002D6050">
                        <w:rPr>
                          <w:lang w:val="en-AU"/>
                        </w:rPr>
                        <w:t xml:space="preserve">individual </w:t>
                      </w:r>
                      <w:r w:rsidR="00C3180F">
                        <w:rPr>
                          <w:lang w:val="en-AU"/>
                        </w:rPr>
                        <w:t>parts.</w:t>
                      </w:r>
                    </w:p>
                  </w:txbxContent>
                </v:textbox>
                <w10:wrap type="square" anchorx="margin"/>
              </v:shape>
            </w:pict>
          </mc:Fallback>
        </mc:AlternateContent>
      </w:r>
      <w:r w:rsidR="004659D4">
        <w:rPr>
          <w:rFonts w:eastAsia="Times New Roman" w:cs="Arial"/>
          <w:sz w:val="21"/>
          <w:szCs w:val="21"/>
          <w:lang w:val="en-AU" w:eastAsia="en-AU"/>
        </w:rPr>
        <w:t xml:space="preserve">As the 2020 independent review of </w:t>
      </w:r>
      <w:r w:rsidR="004659D4" w:rsidRPr="004659D4">
        <w:rPr>
          <w:rFonts w:eastAsia="Times New Roman" w:cs="Arial"/>
          <w:sz w:val="21"/>
          <w:szCs w:val="21"/>
          <w:lang w:val="en-AU" w:eastAsia="en-AU"/>
        </w:rPr>
        <w:t>GfD ($72 million, 2013-21)</w:t>
      </w:r>
      <w:r w:rsidR="004659D4">
        <w:rPr>
          <w:rFonts w:eastAsia="Times New Roman" w:cs="Arial"/>
          <w:sz w:val="21"/>
          <w:szCs w:val="21"/>
          <w:lang w:val="en-AU" w:eastAsia="en-AU"/>
        </w:rPr>
        <w:t xml:space="preserve"> </w:t>
      </w:r>
      <w:r w:rsidR="00D934A0">
        <w:rPr>
          <w:rFonts w:eastAsia="Times New Roman" w:cs="Arial"/>
          <w:sz w:val="21"/>
          <w:szCs w:val="21"/>
          <w:lang w:val="en-AU" w:eastAsia="en-AU"/>
        </w:rPr>
        <w:t>found</w:t>
      </w:r>
      <w:r w:rsidR="004659D4">
        <w:rPr>
          <w:rFonts w:eastAsia="Times New Roman" w:cs="Arial"/>
          <w:sz w:val="21"/>
          <w:szCs w:val="21"/>
          <w:lang w:val="en-AU" w:eastAsia="en-AU"/>
        </w:rPr>
        <w:t>, Australia’s governance program is</w:t>
      </w:r>
      <w:r w:rsidR="00162BF7">
        <w:rPr>
          <w:rFonts w:eastAsia="Times New Roman" w:cs="Arial"/>
          <w:sz w:val="21"/>
          <w:szCs w:val="21"/>
          <w:lang w:val="en-AU" w:eastAsia="en-AU"/>
        </w:rPr>
        <w:t xml:space="preserve"> relevant to Timor-Leste’s development context,</w:t>
      </w:r>
      <w:r w:rsidR="004659D4">
        <w:rPr>
          <w:rFonts w:eastAsia="Times New Roman" w:cs="Arial"/>
          <w:sz w:val="21"/>
          <w:szCs w:val="21"/>
          <w:lang w:val="en-AU" w:eastAsia="en-AU"/>
        </w:rPr>
        <w:t xml:space="preserve"> both </w:t>
      </w:r>
      <w:r w:rsidR="00162BF7">
        <w:rPr>
          <w:rFonts w:eastAsia="Times New Roman" w:cs="Arial"/>
          <w:sz w:val="21"/>
          <w:szCs w:val="21"/>
          <w:lang w:val="en-AU" w:eastAsia="en-AU"/>
        </w:rPr>
        <w:t xml:space="preserve">as </w:t>
      </w:r>
      <w:r w:rsidR="004659D4">
        <w:rPr>
          <w:rFonts w:eastAsia="Times New Roman" w:cs="Arial"/>
          <w:sz w:val="21"/>
          <w:szCs w:val="21"/>
          <w:lang w:val="en-AU" w:eastAsia="en-AU"/>
        </w:rPr>
        <w:t xml:space="preserve">a driver of progress </w:t>
      </w:r>
      <w:proofErr w:type="gramStart"/>
      <w:r w:rsidR="004659D4">
        <w:rPr>
          <w:rFonts w:eastAsia="Times New Roman" w:cs="Arial"/>
          <w:sz w:val="21"/>
          <w:szCs w:val="21"/>
          <w:lang w:val="en-AU" w:eastAsia="en-AU"/>
        </w:rPr>
        <w:t>in its own right and</w:t>
      </w:r>
      <w:proofErr w:type="gramEnd"/>
      <w:r w:rsidR="004659D4">
        <w:rPr>
          <w:rFonts w:eastAsia="Times New Roman" w:cs="Arial"/>
          <w:sz w:val="21"/>
          <w:szCs w:val="21"/>
          <w:lang w:val="en-AU" w:eastAsia="en-AU"/>
        </w:rPr>
        <w:t xml:space="preserve"> </w:t>
      </w:r>
      <w:r w:rsidR="00D934A0">
        <w:rPr>
          <w:rFonts w:eastAsia="Times New Roman" w:cs="Arial"/>
          <w:sz w:val="21"/>
          <w:szCs w:val="21"/>
          <w:lang w:val="en-AU" w:eastAsia="en-AU"/>
        </w:rPr>
        <w:t xml:space="preserve">as a coordination and support platform for the broader bilateral </w:t>
      </w:r>
      <w:r w:rsidR="00113398">
        <w:rPr>
          <w:rFonts w:eastAsia="Times New Roman" w:cs="Arial"/>
          <w:sz w:val="21"/>
          <w:szCs w:val="21"/>
          <w:lang w:val="en-AU" w:eastAsia="en-AU"/>
        </w:rPr>
        <w:t xml:space="preserve">aid </w:t>
      </w:r>
      <w:r w:rsidR="00D934A0">
        <w:rPr>
          <w:rFonts w:eastAsia="Times New Roman" w:cs="Arial"/>
          <w:sz w:val="21"/>
          <w:szCs w:val="21"/>
          <w:lang w:val="en-AU" w:eastAsia="en-AU"/>
        </w:rPr>
        <w:t xml:space="preserve">program. </w:t>
      </w:r>
      <w:r w:rsidR="00E077D5" w:rsidRPr="00E077D5">
        <w:rPr>
          <w:rFonts w:eastAsia="Times New Roman" w:cs="Arial"/>
          <w:sz w:val="21"/>
          <w:szCs w:val="21"/>
          <w:lang w:val="en-AU" w:eastAsia="en-AU"/>
        </w:rPr>
        <w:t xml:space="preserve">Given the </w:t>
      </w:r>
      <w:r w:rsidR="00A75496">
        <w:rPr>
          <w:rFonts w:eastAsia="Times New Roman" w:cs="Arial"/>
          <w:sz w:val="21"/>
          <w:szCs w:val="21"/>
          <w:lang w:val="en-AU" w:eastAsia="en-AU"/>
        </w:rPr>
        <w:t xml:space="preserve">strong </w:t>
      </w:r>
      <w:r w:rsidR="00E077D5" w:rsidRPr="00E077D5">
        <w:rPr>
          <w:rFonts w:eastAsia="Times New Roman" w:cs="Arial"/>
          <w:sz w:val="21"/>
          <w:szCs w:val="21"/>
          <w:lang w:val="en-AU" w:eastAsia="en-AU"/>
        </w:rPr>
        <w:t>connection between governance support to the centre (government and non-government) and service delivery at the local level, Australia’s development investments in Timor-Leste</w:t>
      </w:r>
      <w:r w:rsidR="00144674">
        <w:rPr>
          <w:rFonts w:eastAsia="Times New Roman" w:cs="Arial"/>
          <w:sz w:val="21"/>
          <w:szCs w:val="21"/>
          <w:lang w:val="en-AU" w:eastAsia="en-AU"/>
        </w:rPr>
        <w:t xml:space="preserve"> are well-placed to work with and support each other</w:t>
      </w:r>
      <w:r w:rsidR="00E077D5" w:rsidRPr="00E077D5">
        <w:rPr>
          <w:rFonts w:eastAsia="Times New Roman" w:cs="Arial"/>
          <w:sz w:val="21"/>
          <w:szCs w:val="21"/>
          <w:lang w:val="en-AU" w:eastAsia="en-AU"/>
        </w:rPr>
        <w:t xml:space="preserve">, </w:t>
      </w:r>
      <w:r w:rsidR="00A305A7">
        <w:rPr>
          <w:rFonts w:eastAsia="Times New Roman" w:cs="Arial"/>
          <w:sz w:val="21"/>
          <w:szCs w:val="21"/>
          <w:lang w:val="en-AU" w:eastAsia="en-AU"/>
        </w:rPr>
        <w:t>particularly</w:t>
      </w:r>
      <w:r w:rsidR="00144674">
        <w:rPr>
          <w:rFonts w:eastAsia="Times New Roman" w:cs="Arial"/>
          <w:sz w:val="21"/>
          <w:szCs w:val="21"/>
          <w:lang w:val="en-AU" w:eastAsia="en-AU"/>
        </w:rPr>
        <w:t xml:space="preserve"> GfD2, </w:t>
      </w:r>
      <w:r w:rsidR="00E077D5" w:rsidRPr="00E077D5">
        <w:rPr>
          <w:rFonts w:eastAsia="Times New Roman" w:cs="Arial"/>
          <w:sz w:val="21"/>
          <w:szCs w:val="21"/>
          <w:lang w:val="en-AU" w:eastAsia="en-AU"/>
        </w:rPr>
        <w:t xml:space="preserve">the Partnership for Human Development (health, education and social protection) and PARTISIPA (community-driven infrastructure and strengthening </w:t>
      </w:r>
      <w:r w:rsidR="00BE0841">
        <w:rPr>
          <w:rFonts w:eastAsia="Times New Roman" w:cs="Arial"/>
          <w:sz w:val="21"/>
          <w:szCs w:val="21"/>
          <w:lang w:val="en-AU" w:eastAsia="en-AU"/>
        </w:rPr>
        <w:t>municipal</w:t>
      </w:r>
      <w:r w:rsidR="00E077D5" w:rsidRPr="00E077D5">
        <w:rPr>
          <w:rFonts w:eastAsia="Times New Roman" w:cs="Arial"/>
          <w:sz w:val="21"/>
          <w:szCs w:val="21"/>
          <w:lang w:val="en-AU" w:eastAsia="en-AU"/>
        </w:rPr>
        <w:t xml:space="preserve"> government).</w:t>
      </w:r>
    </w:p>
    <w:p w14:paraId="7B10895B" w14:textId="77777777" w:rsidR="00113398" w:rsidRDefault="00113398" w:rsidP="00C84012">
      <w:pPr>
        <w:tabs>
          <w:tab w:val="left" w:pos="284"/>
        </w:tabs>
        <w:suppressAutoHyphens w:val="0"/>
        <w:spacing w:before="0" w:line="280" w:lineRule="exact"/>
        <w:rPr>
          <w:rFonts w:eastAsia="Times New Roman" w:cs="Arial"/>
          <w:sz w:val="21"/>
          <w:szCs w:val="21"/>
          <w:lang w:val="en-AU" w:eastAsia="en-AU"/>
        </w:rPr>
      </w:pPr>
    </w:p>
    <w:p w14:paraId="44725E12" w14:textId="77777777" w:rsidR="00490CDB" w:rsidRPr="00490CDB" w:rsidRDefault="00BE4DC3" w:rsidP="00490CDB">
      <w:pPr>
        <w:numPr>
          <w:ilvl w:val="0"/>
          <w:numId w:val="38"/>
        </w:numPr>
        <w:pBdr>
          <w:top w:val="single" w:sz="4" w:space="1" w:color="677370" w:themeColor="background2" w:themeShade="80"/>
          <w:left w:val="single" w:sz="4" w:space="4" w:color="677370" w:themeColor="background2" w:themeShade="80"/>
          <w:bottom w:val="single" w:sz="4" w:space="1" w:color="677370" w:themeColor="background2" w:themeShade="80"/>
          <w:right w:val="single" w:sz="4" w:space="4" w:color="677370" w:themeColor="background2" w:themeShade="80"/>
        </w:pBdr>
        <w:shd w:val="clear" w:color="auto" w:fill="E0F3EF" w:themeFill="accent1" w:themeFillTint="33"/>
        <w:spacing w:after="120"/>
        <w:ind w:left="284" w:hanging="284"/>
        <w:rPr>
          <w:rFonts w:asciiTheme="majorHAnsi" w:eastAsia="Times New Roman" w:hAnsiTheme="majorHAnsi" w:cs="Arial"/>
        </w:rPr>
      </w:pPr>
      <w:r w:rsidRPr="00490CDB">
        <w:rPr>
          <w:rFonts w:asciiTheme="majorHAnsi" w:hAnsiTheme="majorHAnsi" w:cs="Arial"/>
          <w:b/>
          <w:szCs w:val="21"/>
        </w:rPr>
        <w:t>Proposed</w:t>
      </w:r>
      <w:r w:rsidRPr="00490CDB">
        <w:rPr>
          <w:rFonts w:asciiTheme="majorHAnsi" w:hAnsiTheme="majorHAnsi" w:cs="Arial"/>
          <w:b/>
        </w:rPr>
        <w:t xml:space="preserve"> Outcomes and Investment Options </w:t>
      </w:r>
      <w:r>
        <w:rPr>
          <w:rFonts w:asciiTheme="majorHAnsi" w:hAnsiTheme="majorHAnsi" w:cs="Arial"/>
          <w:b/>
        </w:rPr>
        <w:t>(</w:t>
      </w:r>
      <w:r w:rsidR="00490CDB" w:rsidRPr="00490CDB">
        <w:rPr>
          <w:rFonts w:asciiTheme="majorHAnsi" w:hAnsiTheme="majorHAnsi" w:cs="Arial"/>
          <w:b/>
        </w:rPr>
        <w:t>What</w:t>
      </w:r>
      <w:r>
        <w:rPr>
          <w:rFonts w:asciiTheme="majorHAnsi" w:hAnsiTheme="majorHAnsi" w:cs="Arial"/>
          <w:b/>
        </w:rPr>
        <w:t>?)</w:t>
      </w:r>
    </w:p>
    <w:p w14:paraId="728FB5AC" w14:textId="77777777" w:rsidR="00592D68" w:rsidRPr="002D389C" w:rsidRDefault="00592D68" w:rsidP="00592D68">
      <w:pPr>
        <w:tabs>
          <w:tab w:val="left" w:pos="284"/>
        </w:tabs>
        <w:suppressAutoHyphens w:val="0"/>
        <w:spacing w:before="0" w:line="280" w:lineRule="exact"/>
        <w:rPr>
          <w:rFonts w:eastAsia="Times New Roman" w:cs="Arial"/>
          <w:sz w:val="21"/>
          <w:szCs w:val="21"/>
          <w:lang w:val="en-AU" w:eastAsia="en-AU"/>
        </w:rPr>
      </w:pPr>
      <w:r w:rsidRPr="002D389C">
        <w:rPr>
          <w:rFonts w:eastAsia="Times New Roman" w:cs="Arial"/>
          <w:sz w:val="21"/>
          <w:szCs w:val="21"/>
          <w:lang w:val="en-AU" w:eastAsia="en-AU"/>
        </w:rPr>
        <w:t>GfD2 will contribute to better living standards and reduced poverty in Timor-Leste through stronger GoTL service delivery and economic development. This will be achieved through two end of program outcomes (note, the design will validate/refine these EOPOs):</w:t>
      </w:r>
    </w:p>
    <w:p w14:paraId="0E397F39" w14:textId="77777777" w:rsidR="00592D68" w:rsidRPr="002D389C" w:rsidRDefault="00592D68" w:rsidP="00592D68">
      <w:pPr>
        <w:tabs>
          <w:tab w:val="left" w:pos="284"/>
        </w:tabs>
        <w:suppressAutoHyphens w:val="0"/>
        <w:spacing w:before="0" w:line="280" w:lineRule="exact"/>
        <w:rPr>
          <w:rFonts w:eastAsia="Times New Roman" w:cs="Arial"/>
          <w:b/>
          <w:sz w:val="21"/>
          <w:szCs w:val="21"/>
          <w:lang w:val="en-AU" w:eastAsia="en-AU"/>
        </w:rPr>
      </w:pPr>
      <w:r w:rsidRPr="002D389C">
        <w:rPr>
          <w:rFonts w:eastAsia="Times New Roman" w:cs="Arial"/>
          <w:b/>
          <w:sz w:val="21"/>
          <w:szCs w:val="21"/>
          <w:lang w:val="en-AU" w:eastAsia="en-AU"/>
        </w:rPr>
        <w:t>EOPO 1: GoTL central agencies and economic line ministries make evidence-based decisions and</w:t>
      </w:r>
      <w:r w:rsidR="00B11EDD" w:rsidRPr="002D389C">
        <w:rPr>
          <w:rFonts w:eastAsia="Times New Roman" w:cs="Arial"/>
          <w:b/>
          <w:sz w:val="21"/>
          <w:szCs w:val="21"/>
          <w:lang w:val="en-AU" w:eastAsia="en-AU"/>
        </w:rPr>
        <w:t xml:space="preserve"> inclusive policy</w:t>
      </w:r>
      <w:r w:rsidR="00B11D27" w:rsidRPr="002D389C">
        <w:rPr>
          <w:rFonts w:eastAsia="Times New Roman" w:cs="Arial"/>
          <w:b/>
          <w:sz w:val="21"/>
          <w:szCs w:val="21"/>
          <w:lang w:val="en-AU" w:eastAsia="en-AU"/>
        </w:rPr>
        <w:t xml:space="preserve"> </w:t>
      </w:r>
      <w:proofErr w:type="gramStart"/>
      <w:r w:rsidR="00B11D27" w:rsidRPr="002D389C">
        <w:rPr>
          <w:rFonts w:eastAsia="Times New Roman" w:cs="Arial"/>
          <w:b/>
          <w:sz w:val="21"/>
          <w:szCs w:val="21"/>
          <w:lang w:val="en-AU" w:eastAsia="en-AU"/>
        </w:rPr>
        <w:t>making</w:t>
      </w:r>
      <w:r w:rsidR="00B11EDD" w:rsidRPr="002D389C">
        <w:rPr>
          <w:rFonts w:eastAsia="Times New Roman" w:cs="Arial"/>
          <w:b/>
          <w:sz w:val="21"/>
          <w:szCs w:val="21"/>
          <w:lang w:val="en-AU" w:eastAsia="en-AU"/>
        </w:rPr>
        <w:t>, and</w:t>
      </w:r>
      <w:proofErr w:type="gramEnd"/>
      <w:r w:rsidR="00B11EDD" w:rsidRPr="002D389C">
        <w:rPr>
          <w:rFonts w:eastAsia="Times New Roman" w:cs="Arial"/>
          <w:b/>
          <w:sz w:val="21"/>
          <w:szCs w:val="21"/>
          <w:lang w:val="en-AU" w:eastAsia="en-AU"/>
        </w:rPr>
        <w:t xml:space="preserve"> </w:t>
      </w:r>
      <w:r w:rsidRPr="002D389C">
        <w:rPr>
          <w:rFonts w:eastAsia="Times New Roman" w:cs="Arial"/>
          <w:b/>
          <w:sz w:val="21"/>
          <w:szCs w:val="21"/>
          <w:lang w:val="en-AU" w:eastAsia="en-AU"/>
        </w:rPr>
        <w:t>improve i</w:t>
      </w:r>
      <w:r w:rsidR="00B11EDD" w:rsidRPr="002D389C">
        <w:rPr>
          <w:rFonts w:eastAsia="Times New Roman" w:cs="Arial"/>
          <w:b/>
          <w:sz w:val="21"/>
          <w:szCs w:val="21"/>
          <w:lang w:val="en-AU" w:eastAsia="en-AU"/>
        </w:rPr>
        <w:t xml:space="preserve">mplementation of these policies </w:t>
      </w:r>
      <w:r w:rsidR="00ED61BE" w:rsidRPr="002D389C">
        <w:rPr>
          <w:rFonts w:eastAsia="Times New Roman" w:cs="Arial"/>
          <w:b/>
          <w:sz w:val="21"/>
          <w:szCs w:val="21"/>
          <w:lang w:val="en-AU" w:eastAsia="en-AU"/>
        </w:rPr>
        <w:t>leading to better</w:t>
      </w:r>
      <w:r w:rsidR="00B11EDD" w:rsidRPr="002D389C">
        <w:rPr>
          <w:rFonts w:eastAsia="Times New Roman" w:cs="Arial"/>
          <w:b/>
          <w:sz w:val="21"/>
          <w:szCs w:val="21"/>
          <w:lang w:val="en-AU" w:eastAsia="en-AU"/>
        </w:rPr>
        <w:t xml:space="preserve"> service delivery</w:t>
      </w:r>
      <w:r w:rsidRPr="002D389C">
        <w:rPr>
          <w:rFonts w:eastAsia="Times New Roman" w:cs="Arial"/>
          <w:b/>
          <w:sz w:val="21"/>
          <w:szCs w:val="21"/>
          <w:lang w:val="en-AU" w:eastAsia="en-AU"/>
        </w:rPr>
        <w:t xml:space="preserve">. </w:t>
      </w:r>
    </w:p>
    <w:p w14:paraId="4ED26B5F" w14:textId="77777777" w:rsidR="00592D68" w:rsidRPr="002D389C" w:rsidRDefault="00592D68" w:rsidP="00592D68">
      <w:pPr>
        <w:tabs>
          <w:tab w:val="left" w:pos="284"/>
        </w:tabs>
        <w:suppressAutoHyphens w:val="0"/>
        <w:spacing w:before="0" w:line="280" w:lineRule="exact"/>
        <w:rPr>
          <w:rFonts w:eastAsia="Times New Roman" w:cs="Arial"/>
          <w:sz w:val="21"/>
          <w:szCs w:val="21"/>
          <w:lang w:val="en-AU" w:eastAsia="en-AU"/>
        </w:rPr>
      </w:pPr>
      <w:r w:rsidRPr="002D389C">
        <w:rPr>
          <w:rFonts w:eastAsia="Times New Roman" w:cs="Arial"/>
          <w:sz w:val="21"/>
          <w:szCs w:val="21"/>
          <w:lang w:val="en-AU" w:eastAsia="en-AU"/>
        </w:rPr>
        <w:t xml:space="preserve">GoTL central agencies and economic ministries will be the </w:t>
      </w:r>
      <w:r w:rsidR="00C81351">
        <w:rPr>
          <w:rFonts w:eastAsia="Times New Roman" w:cs="Arial"/>
          <w:sz w:val="21"/>
          <w:szCs w:val="21"/>
          <w:lang w:val="en-AU" w:eastAsia="en-AU"/>
        </w:rPr>
        <w:t>primary counterparts</w:t>
      </w:r>
      <w:r w:rsidRPr="002D389C">
        <w:rPr>
          <w:rFonts w:eastAsia="Times New Roman" w:cs="Arial"/>
          <w:sz w:val="21"/>
          <w:szCs w:val="21"/>
          <w:lang w:val="en-AU" w:eastAsia="en-AU"/>
        </w:rPr>
        <w:t xml:space="preserve"> under this EOPO, including </w:t>
      </w:r>
      <w:r w:rsidR="00114E4D">
        <w:rPr>
          <w:rFonts w:eastAsia="Times New Roman" w:cs="Arial"/>
          <w:sz w:val="21"/>
          <w:szCs w:val="21"/>
          <w:lang w:val="en-AU" w:eastAsia="en-AU"/>
        </w:rPr>
        <w:t xml:space="preserve">through </w:t>
      </w:r>
      <w:r w:rsidRPr="002D389C">
        <w:rPr>
          <w:rFonts w:eastAsia="Times New Roman" w:cs="Arial"/>
          <w:sz w:val="21"/>
          <w:szCs w:val="21"/>
          <w:lang w:val="en-AU" w:eastAsia="en-AU"/>
        </w:rPr>
        <w:t>strengthen</w:t>
      </w:r>
      <w:r w:rsidR="00114E4D">
        <w:rPr>
          <w:rFonts w:eastAsia="Times New Roman" w:cs="Arial"/>
          <w:sz w:val="21"/>
          <w:szCs w:val="21"/>
          <w:lang w:val="en-AU" w:eastAsia="en-AU"/>
        </w:rPr>
        <w:t>ed</w:t>
      </w:r>
      <w:r w:rsidRPr="002D389C">
        <w:rPr>
          <w:rFonts w:eastAsia="Times New Roman" w:cs="Arial"/>
          <w:sz w:val="21"/>
          <w:szCs w:val="21"/>
          <w:lang w:val="en-AU" w:eastAsia="en-AU"/>
        </w:rPr>
        <w:t xml:space="preserve"> policy development processes, </w:t>
      </w:r>
      <w:r w:rsidR="00114E4D">
        <w:rPr>
          <w:rFonts w:eastAsia="Times New Roman" w:cs="Arial"/>
          <w:sz w:val="21"/>
          <w:szCs w:val="21"/>
          <w:lang w:val="en-AU" w:eastAsia="en-AU"/>
        </w:rPr>
        <w:t xml:space="preserve">enhanced </w:t>
      </w:r>
      <w:r w:rsidRPr="002D389C">
        <w:rPr>
          <w:rFonts w:eastAsia="Times New Roman" w:cs="Arial"/>
          <w:sz w:val="21"/>
          <w:szCs w:val="21"/>
          <w:lang w:val="en-AU" w:eastAsia="en-AU"/>
        </w:rPr>
        <w:t xml:space="preserve">capacity of GoTL to demand, generate and </w:t>
      </w:r>
      <w:r w:rsidRPr="002D389C">
        <w:rPr>
          <w:rFonts w:eastAsia="Times New Roman" w:cs="Arial"/>
          <w:sz w:val="21"/>
          <w:szCs w:val="21"/>
          <w:lang w:val="en-AU" w:eastAsia="en-AU"/>
        </w:rPr>
        <w:lastRenderedPageBreak/>
        <w:t xml:space="preserve">analyse evidence, </w:t>
      </w:r>
      <w:r w:rsidR="00114E4D">
        <w:rPr>
          <w:rFonts w:eastAsia="Times New Roman" w:cs="Arial"/>
          <w:sz w:val="21"/>
          <w:szCs w:val="21"/>
          <w:lang w:val="en-AU" w:eastAsia="en-AU"/>
        </w:rPr>
        <w:t xml:space="preserve">inclusive </w:t>
      </w:r>
      <w:r w:rsidRPr="002D389C">
        <w:rPr>
          <w:rFonts w:eastAsia="Times New Roman" w:cs="Arial"/>
          <w:sz w:val="21"/>
          <w:szCs w:val="21"/>
          <w:lang w:val="en-AU" w:eastAsia="en-AU"/>
        </w:rPr>
        <w:t>policy development is inclusive, and strengthen</w:t>
      </w:r>
      <w:r w:rsidR="00114E4D">
        <w:rPr>
          <w:rFonts w:eastAsia="Times New Roman" w:cs="Arial"/>
          <w:sz w:val="21"/>
          <w:szCs w:val="21"/>
          <w:lang w:val="en-AU" w:eastAsia="en-AU"/>
        </w:rPr>
        <w:t>ed</w:t>
      </w:r>
      <w:r w:rsidRPr="002D389C">
        <w:rPr>
          <w:rFonts w:eastAsia="Times New Roman" w:cs="Arial"/>
          <w:sz w:val="21"/>
          <w:szCs w:val="21"/>
          <w:lang w:val="en-AU" w:eastAsia="en-AU"/>
        </w:rPr>
        <w:t xml:space="preserve"> planning, monitoring and evaluation of policy implementation.</w:t>
      </w:r>
      <w:r w:rsidR="00ED61BE" w:rsidRPr="002D389C">
        <w:rPr>
          <w:rFonts w:eastAsia="Times New Roman" w:cs="Arial"/>
          <w:sz w:val="21"/>
          <w:szCs w:val="21"/>
          <w:lang w:val="en-AU" w:eastAsia="en-AU"/>
        </w:rPr>
        <w:t xml:space="preserve"> Better policy and improved implementation will lead to improved service delivery</w:t>
      </w:r>
      <w:r w:rsidR="00B11D27" w:rsidRPr="002D389C">
        <w:rPr>
          <w:rFonts w:eastAsia="Times New Roman" w:cs="Arial"/>
          <w:sz w:val="21"/>
          <w:szCs w:val="21"/>
          <w:lang w:val="en-AU" w:eastAsia="en-AU"/>
        </w:rPr>
        <w:t xml:space="preserve"> and economic development</w:t>
      </w:r>
      <w:r w:rsidR="00ED61BE" w:rsidRPr="002D389C">
        <w:rPr>
          <w:rFonts w:eastAsia="Times New Roman" w:cs="Arial"/>
          <w:sz w:val="21"/>
          <w:szCs w:val="21"/>
          <w:lang w:val="en-AU" w:eastAsia="en-AU"/>
        </w:rPr>
        <w:t>.</w:t>
      </w:r>
    </w:p>
    <w:p w14:paraId="796E0828" w14:textId="77777777" w:rsidR="00592D68" w:rsidRPr="002D389C" w:rsidRDefault="00592D68" w:rsidP="00592D68">
      <w:pPr>
        <w:tabs>
          <w:tab w:val="left" w:pos="284"/>
        </w:tabs>
        <w:suppressAutoHyphens w:val="0"/>
        <w:spacing w:before="0" w:line="280" w:lineRule="exact"/>
        <w:rPr>
          <w:rFonts w:eastAsia="Times New Roman" w:cs="Arial"/>
          <w:b/>
          <w:sz w:val="21"/>
          <w:szCs w:val="21"/>
          <w:lang w:val="en-AU" w:eastAsia="en-AU"/>
        </w:rPr>
      </w:pPr>
      <w:r w:rsidRPr="002D389C">
        <w:rPr>
          <w:rFonts w:eastAsia="Times New Roman" w:cs="Arial"/>
          <w:b/>
          <w:sz w:val="21"/>
          <w:szCs w:val="21"/>
          <w:lang w:val="en-AU" w:eastAsia="en-AU"/>
        </w:rPr>
        <w:t>EOPO 2: the private sector and civil society in Timor-Leste contribute to inclusive economic policy and development</w:t>
      </w:r>
      <w:r w:rsidR="002A3EBD" w:rsidRPr="002D389C">
        <w:rPr>
          <w:rFonts w:eastAsia="Times New Roman" w:cs="Arial"/>
          <w:b/>
          <w:sz w:val="21"/>
          <w:szCs w:val="21"/>
          <w:lang w:val="en-AU" w:eastAsia="en-AU"/>
        </w:rPr>
        <w:t>, leading to better service delivery and economic diversification</w:t>
      </w:r>
      <w:r w:rsidRPr="002D389C">
        <w:rPr>
          <w:rFonts w:eastAsia="Times New Roman" w:cs="Arial"/>
          <w:b/>
          <w:sz w:val="21"/>
          <w:szCs w:val="21"/>
          <w:lang w:val="en-AU" w:eastAsia="en-AU"/>
        </w:rPr>
        <w:t xml:space="preserve">. </w:t>
      </w:r>
    </w:p>
    <w:p w14:paraId="0D3BCEE9" w14:textId="77777777" w:rsidR="00BA1F7E" w:rsidRPr="002D389C" w:rsidRDefault="00592D68" w:rsidP="00592D68">
      <w:pPr>
        <w:tabs>
          <w:tab w:val="left" w:pos="284"/>
        </w:tabs>
        <w:suppressAutoHyphens w:val="0"/>
        <w:spacing w:before="0" w:line="280" w:lineRule="exact"/>
        <w:rPr>
          <w:rFonts w:eastAsia="Times New Roman" w:cs="Arial"/>
          <w:sz w:val="21"/>
          <w:szCs w:val="21"/>
          <w:lang w:val="en-AU" w:eastAsia="en-AU"/>
        </w:rPr>
      </w:pPr>
      <w:r w:rsidRPr="002D389C">
        <w:rPr>
          <w:rFonts w:eastAsia="Times New Roman" w:cs="Arial"/>
          <w:sz w:val="21"/>
          <w:szCs w:val="21"/>
          <w:lang w:val="en-AU" w:eastAsia="en-AU"/>
        </w:rPr>
        <w:t>The private sector and civil society will be the predominant direct beneficiaries under this EOPO, through support</w:t>
      </w:r>
      <w:r w:rsidR="00114E4D">
        <w:rPr>
          <w:rFonts w:eastAsia="Times New Roman" w:cs="Arial"/>
          <w:sz w:val="21"/>
          <w:szCs w:val="21"/>
          <w:lang w:val="en-AU" w:eastAsia="en-AU"/>
        </w:rPr>
        <w:t xml:space="preserve"> </w:t>
      </w:r>
      <w:r w:rsidRPr="002D389C">
        <w:rPr>
          <w:rFonts w:eastAsia="Times New Roman" w:cs="Arial"/>
          <w:sz w:val="21"/>
          <w:szCs w:val="21"/>
          <w:lang w:val="en-AU" w:eastAsia="en-AU"/>
        </w:rPr>
        <w:t>to participate in policy development and implementation</w:t>
      </w:r>
      <w:r w:rsidR="00ED61BE" w:rsidRPr="002D389C">
        <w:rPr>
          <w:rFonts w:eastAsia="Times New Roman" w:cs="Arial"/>
          <w:sz w:val="21"/>
          <w:szCs w:val="21"/>
          <w:lang w:val="en-AU" w:eastAsia="en-AU"/>
        </w:rPr>
        <w:t xml:space="preserve"> and feedback on service delivery</w:t>
      </w:r>
      <w:r w:rsidRPr="002D389C">
        <w:rPr>
          <w:rFonts w:eastAsia="Times New Roman" w:cs="Arial"/>
          <w:sz w:val="21"/>
          <w:szCs w:val="21"/>
          <w:lang w:val="en-AU" w:eastAsia="en-AU"/>
        </w:rPr>
        <w:t xml:space="preserve">. </w:t>
      </w:r>
      <w:r w:rsidR="00DE18D5">
        <w:rPr>
          <w:rFonts w:eastAsia="Times New Roman" w:cs="Arial"/>
          <w:sz w:val="21"/>
          <w:szCs w:val="21"/>
          <w:lang w:val="en-AU" w:eastAsia="en-AU"/>
        </w:rPr>
        <w:t>Engagement with line-ministries</w:t>
      </w:r>
      <w:r w:rsidR="00602718">
        <w:rPr>
          <w:rFonts w:eastAsia="Times New Roman" w:cs="Arial"/>
          <w:sz w:val="21"/>
          <w:szCs w:val="21"/>
          <w:lang w:val="en-AU" w:eastAsia="en-AU"/>
        </w:rPr>
        <w:t>, municipal authorities</w:t>
      </w:r>
      <w:r w:rsidR="00DE18D5">
        <w:rPr>
          <w:rFonts w:eastAsia="Times New Roman" w:cs="Arial"/>
          <w:sz w:val="21"/>
          <w:szCs w:val="21"/>
          <w:lang w:val="en-AU" w:eastAsia="en-AU"/>
        </w:rPr>
        <w:t xml:space="preserve"> and feedback from Australia’s other bilateral investments, particularly PARTISIPA and PHD, will also be critical to understanding constraints to service delivery</w:t>
      </w:r>
      <w:r w:rsidR="00602718">
        <w:rPr>
          <w:rFonts w:eastAsia="Times New Roman" w:cs="Arial"/>
          <w:sz w:val="21"/>
          <w:szCs w:val="21"/>
          <w:lang w:val="en-AU" w:eastAsia="en-AU"/>
        </w:rPr>
        <w:t xml:space="preserve"> and how improvements can be made at the national-level</w:t>
      </w:r>
      <w:r w:rsidR="00DE18D5">
        <w:rPr>
          <w:rFonts w:eastAsia="Times New Roman" w:cs="Arial"/>
          <w:sz w:val="21"/>
          <w:szCs w:val="21"/>
          <w:lang w:val="en-AU" w:eastAsia="en-AU"/>
        </w:rPr>
        <w:t xml:space="preserve">. </w:t>
      </w:r>
      <w:r w:rsidRPr="002D389C">
        <w:rPr>
          <w:rFonts w:eastAsia="Times New Roman" w:cs="Arial"/>
          <w:sz w:val="21"/>
          <w:szCs w:val="21"/>
          <w:lang w:val="en-AU" w:eastAsia="en-AU"/>
        </w:rPr>
        <w:t>This will lead to a strengthened “feedback loop” between upstream policy decisions and downstream service delivery</w:t>
      </w:r>
      <w:r w:rsidR="00BA1F7E">
        <w:rPr>
          <w:rFonts w:eastAsia="Times New Roman" w:cs="Arial"/>
          <w:sz w:val="21"/>
          <w:szCs w:val="21"/>
          <w:lang w:val="en-AU" w:eastAsia="en-AU"/>
        </w:rPr>
        <w:t>, and a strong social compact by increasing accountability of GoTL to the people and communities that it delivers services to.</w:t>
      </w:r>
    </w:p>
    <w:p w14:paraId="4A7D752B" w14:textId="3C0F898F" w:rsidR="00ED61BE" w:rsidRDefault="00ED61BE" w:rsidP="00ED61BE">
      <w:pPr>
        <w:tabs>
          <w:tab w:val="left" w:pos="284"/>
        </w:tabs>
        <w:suppressAutoHyphens w:val="0"/>
        <w:spacing w:before="0" w:line="280" w:lineRule="exact"/>
        <w:rPr>
          <w:rFonts w:eastAsia="Times New Roman" w:cs="Arial"/>
          <w:sz w:val="21"/>
          <w:szCs w:val="21"/>
          <w:lang w:val="en-AU" w:eastAsia="en-AU"/>
        </w:rPr>
      </w:pPr>
      <w:r w:rsidRPr="002D389C">
        <w:rPr>
          <w:rFonts w:eastAsia="Times New Roman" w:cs="Arial"/>
          <w:sz w:val="21"/>
          <w:szCs w:val="21"/>
          <w:lang w:val="en-AU" w:eastAsia="en-AU"/>
        </w:rPr>
        <w:t>These EOPOs will be achieved through “reform pathwa</w:t>
      </w:r>
      <w:r w:rsidR="00644692" w:rsidRPr="002D389C">
        <w:rPr>
          <w:rFonts w:eastAsia="Times New Roman" w:cs="Arial"/>
          <w:sz w:val="21"/>
          <w:szCs w:val="21"/>
          <w:lang w:val="en-AU" w:eastAsia="en-AU"/>
        </w:rPr>
        <w:t xml:space="preserve">ys” that will guide activities – see </w:t>
      </w:r>
      <w:r w:rsidR="00F13E59" w:rsidRPr="002D389C">
        <w:rPr>
          <w:rFonts w:eastAsia="Times New Roman" w:cs="Arial"/>
          <w:sz w:val="21"/>
          <w:szCs w:val="21"/>
          <w:u w:val="single"/>
          <w:lang w:val="en-AU" w:eastAsia="en-AU"/>
        </w:rPr>
        <w:t>A</w:t>
      </w:r>
      <w:r w:rsidR="00D43169" w:rsidRPr="002D389C">
        <w:rPr>
          <w:rFonts w:eastAsia="Times New Roman" w:cs="Arial"/>
          <w:sz w:val="21"/>
          <w:szCs w:val="21"/>
          <w:u w:val="single"/>
          <w:lang w:val="en-AU" w:eastAsia="en-AU"/>
        </w:rPr>
        <w:t>ttachment A</w:t>
      </w:r>
      <w:r w:rsidR="00644692" w:rsidRPr="002D389C">
        <w:rPr>
          <w:rFonts w:eastAsia="Times New Roman" w:cs="Arial"/>
          <w:sz w:val="21"/>
          <w:szCs w:val="21"/>
          <w:lang w:val="en-AU" w:eastAsia="en-AU"/>
        </w:rPr>
        <w:t>.</w:t>
      </w:r>
      <w:r w:rsidR="00D43169" w:rsidRPr="002D389C">
        <w:rPr>
          <w:rFonts w:eastAsia="Times New Roman" w:cs="Arial"/>
          <w:sz w:val="21"/>
          <w:szCs w:val="21"/>
          <w:lang w:val="en-AU" w:eastAsia="en-AU"/>
        </w:rPr>
        <w:t xml:space="preserve"> </w:t>
      </w:r>
      <w:r w:rsidRPr="002D389C">
        <w:rPr>
          <w:rFonts w:eastAsia="Times New Roman" w:cs="Arial"/>
          <w:sz w:val="21"/>
          <w:szCs w:val="21"/>
          <w:lang w:val="en-AU" w:eastAsia="en-AU"/>
        </w:rPr>
        <w:t xml:space="preserve">As a facility, the design will not specify </w:t>
      </w:r>
      <w:r w:rsidR="00C81351">
        <w:rPr>
          <w:rFonts w:eastAsia="Times New Roman" w:cs="Arial"/>
          <w:sz w:val="21"/>
          <w:szCs w:val="21"/>
          <w:lang w:val="en-AU" w:eastAsia="en-AU"/>
        </w:rPr>
        <w:t xml:space="preserve">all activities </w:t>
      </w:r>
      <w:r w:rsidRPr="002D389C">
        <w:rPr>
          <w:rFonts w:eastAsia="Times New Roman" w:cs="Arial"/>
          <w:sz w:val="21"/>
          <w:szCs w:val="21"/>
          <w:lang w:val="en-AU" w:eastAsia="en-AU"/>
        </w:rPr>
        <w:t xml:space="preserve">at the outset. Instead, reform pathways </w:t>
      </w:r>
      <w:r w:rsidR="00F13E59" w:rsidRPr="002D389C">
        <w:rPr>
          <w:rFonts w:eastAsia="Times New Roman" w:cs="Arial"/>
          <w:sz w:val="21"/>
          <w:szCs w:val="21"/>
          <w:lang w:val="en-AU" w:eastAsia="en-AU"/>
        </w:rPr>
        <w:t xml:space="preserve">will be identified </w:t>
      </w:r>
      <w:r w:rsidRPr="002D389C">
        <w:rPr>
          <w:rFonts w:eastAsia="Times New Roman" w:cs="Arial"/>
          <w:sz w:val="21"/>
          <w:szCs w:val="21"/>
          <w:lang w:val="en-AU" w:eastAsia="en-AU"/>
        </w:rPr>
        <w:t>during design and then</w:t>
      </w:r>
      <w:r w:rsidR="00F13E59" w:rsidRPr="002D389C">
        <w:rPr>
          <w:rFonts w:eastAsia="Times New Roman" w:cs="Arial"/>
          <w:sz w:val="21"/>
          <w:szCs w:val="21"/>
          <w:lang w:val="en-AU" w:eastAsia="en-AU"/>
        </w:rPr>
        <w:t xml:space="preserve"> GfD2 will refine and</w:t>
      </w:r>
      <w:r w:rsidRPr="002D389C">
        <w:rPr>
          <w:rFonts w:eastAsia="Times New Roman" w:cs="Arial"/>
          <w:sz w:val="21"/>
          <w:szCs w:val="21"/>
          <w:lang w:val="en-AU" w:eastAsia="en-AU"/>
        </w:rPr>
        <w:t xml:space="preserve"> update these during implementation</w:t>
      </w:r>
      <w:r w:rsidR="00F13E59" w:rsidRPr="002D389C">
        <w:rPr>
          <w:rFonts w:eastAsia="Times New Roman" w:cs="Arial"/>
          <w:sz w:val="21"/>
          <w:szCs w:val="21"/>
          <w:lang w:val="en-AU" w:eastAsia="en-AU"/>
        </w:rPr>
        <w:t>, in consultation with stakeholders</w:t>
      </w:r>
      <w:r w:rsidRPr="002D389C">
        <w:rPr>
          <w:rFonts w:eastAsia="Times New Roman" w:cs="Arial"/>
          <w:sz w:val="21"/>
          <w:szCs w:val="21"/>
          <w:lang w:val="en-AU" w:eastAsia="en-AU"/>
        </w:rPr>
        <w:t xml:space="preserve">. This </w:t>
      </w:r>
      <w:r w:rsidR="00114E4D">
        <w:rPr>
          <w:rFonts w:eastAsia="Times New Roman" w:cs="Arial"/>
          <w:sz w:val="21"/>
          <w:szCs w:val="21"/>
          <w:lang w:val="en-AU" w:eastAsia="en-AU"/>
        </w:rPr>
        <w:t xml:space="preserve">will </w:t>
      </w:r>
      <w:r w:rsidRPr="002D389C">
        <w:rPr>
          <w:rFonts w:eastAsia="Times New Roman" w:cs="Arial"/>
          <w:sz w:val="21"/>
          <w:szCs w:val="21"/>
          <w:lang w:val="en-AU" w:eastAsia="en-AU"/>
        </w:rPr>
        <w:t>include supporting analysis and strategy to guide investment decisions</w:t>
      </w:r>
      <w:r w:rsidR="00692CFE">
        <w:rPr>
          <w:rFonts w:eastAsia="Times New Roman" w:cs="Arial"/>
          <w:sz w:val="21"/>
          <w:szCs w:val="21"/>
          <w:lang w:val="en-AU" w:eastAsia="en-AU"/>
        </w:rPr>
        <w:t xml:space="preserve"> and that linkages between GfD2 and Australia’s other investments are </w:t>
      </w:r>
      <w:r w:rsidR="007E19CD">
        <w:rPr>
          <w:rFonts w:eastAsia="Times New Roman" w:cs="Arial"/>
          <w:sz w:val="21"/>
          <w:szCs w:val="21"/>
          <w:lang w:val="en-AU" w:eastAsia="en-AU"/>
        </w:rPr>
        <w:t>considered</w:t>
      </w:r>
      <w:r w:rsidRPr="002D389C">
        <w:rPr>
          <w:rFonts w:eastAsia="Times New Roman" w:cs="Arial"/>
          <w:sz w:val="21"/>
          <w:szCs w:val="21"/>
          <w:lang w:val="en-AU" w:eastAsia="en-AU"/>
        </w:rPr>
        <w:t>. The design will consider the right balance between medium-term activities and options for flexibility that enable DFAT to respond to emerging priorities.</w:t>
      </w:r>
    </w:p>
    <w:p w14:paraId="4A04D91F" w14:textId="77777777" w:rsidR="00ED61BE" w:rsidRDefault="00ED61BE" w:rsidP="00ED61BE">
      <w:pPr>
        <w:tabs>
          <w:tab w:val="left" w:pos="284"/>
        </w:tabs>
        <w:suppressAutoHyphens w:val="0"/>
        <w:spacing w:before="0" w:line="280" w:lineRule="exact"/>
        <w:rPr>
          <w:rFonts w:eastAsia="Times New Roman" w:cs="Arial"/>
          <w:sz w:val="21"/>
          <w:szCs w:val="21"/>
          <w:lang w:val="en-AU" w:eastAsia="en-AU"/>
        </w:rPr>
      </w:pPr>
      <w:r>
        <w:rPr>
          <w:rFonts w:eastAsia="Times New Roman" w:cs="Arial"/>
          <w:sz w:val="21"/>
          <w:szCs w:val="21"/>
          <w:lang w:val="en-AU" w:eastAsia="en-AU"/>
        </w:rPr>
        <w:t>While GfD2’s reform pathways will be confirmed during the design process, it is anticipated that they will address the following bilateral priorities for Australia’s governance assistance:</w:t>
      </w:r>
    </w:p>
    <w:p w14:paraId="370A66AF" w14:textId="04E9BB44" w:rsidR="00ED61BE" w:rsidRDefault="00ED61BE" w:rsidP="00ED61BE">
      <w:pPr>
        <w:pStyle w:val="ListParagraph"/>
        <w:numPr>
          <w:ilvl w:val="0"/>
          <w:numId w:val="46"/>
        </w:numPr>
        <w:tabs>
          <w:tab w:val="left" w:pos="284"/>
        </w:tabs>
        <w:suppressAutoHyphens w:val="0"/>
        <w:spacing w:before="0" w:line="280" w:lineRule="exact"/>
        <w:rPr>
          <w:rFonts w:eastAsia="Times New Roman" w:cs="Arial"/>
          <w:sz w:val="21"/>
          <w:szCs w:val="21"/>
          <w:lang w:val="en-AU" w:eastAsia="en-AU"/>
        </w:rPr>
      </w:pPr>
      <w:r>
        <w:rPr>
          <w:rFonts w:eastAsia="Times New Roman" w:cs="Arial"/>
          <w:b/>
          <w:sz w:val="21"/>
          <w:szCs w:val="21"/>
          <w:lang w:val="en-AU" w:eastAsia="en-AU"/>
        </w:rPr>
        <w:t>Improved</w:t>
      </w:r>
      <w:r>
        <w:rPr>
          <w:rFonts w:eastAsia="Times New Roman" w:cs="Arial"/>
          <w:sz w:val="21"/>
          <w:szCs w:val="21"/>
          <w:lang w:val="en-AU" w:eastAsia="en-AU"/>
        </w:rPr>
        <w:t xml:space="preserve"> </w:t>
      </w:r>
      <w:r>
        <w:rPr>
          <w:rFonts w:eastAsia="Times New Roman" w:cs="Arial"/>
          <w:b/>
          <w:sz w:val="21"/>
          <w:szCs w:val="21"/>
          <w:lang w:val="en-AU" w:eastAsia="en-AU"/>
        </w:rPr>
        <w:t>public financial management</w:t>
      </w:r>
      <w:r w:rsidR="009647A9">
        <w:rPr>
          <w:rFonts w:eastAsia="Times New Roman" w:cs="Arial"/>
          <w:sz w:val="21"/>
          <w:szCs w:val="21"/>
          <w:lang w:val="en-AU" w:eastAsia="en-AU"/>
        </w:rPr>
        <w:t xml:space="preserve"> (</w:t>
      </w:r>
      <w:r w:rsidR="00DC6E80">
        <w:rPr>
          <w:rFonts w:eastAsia="Times New Roman" w:cs="Arial"/>
          <w:sz w:val="21"/>
          <w:szCs w:val="21"/>
          <w:lang w:val="en-AU" w:eastAsia="en-AU"/>
        </w:rPr>
        <w:t>contributes to EOPO1</w:t>
      </w:r>
      <w:r>
        <w:rPr>
          <w:rFonts w:eastAsia="Times New Roman" w:cs="Arial"/>
          <w:sz w:val="21"/>
          <w:szCs w:val="21"/>
          <w:lang w:val="en-AU" w:eastAsia="en-AU"/>
        </w:rPr>
        <w:t xml:space="preserve">): including strengthening Timor-Leste’s systems and processes used to develop, approve and execute the national budget, and increasing budget transparency and effectiveness. </w:t>
      </w:r>
      <w:r w:rsidR="00650A60">
        <w:rPr>
          <w:rFonts w:eastAsia="Times New Roman" w:cs="Arial"/>
          <w:sz w:val="21"/>
          <w:szCs w:val="21"/>
          <w:lang w:val="en-AU" w:eastAsia="en-AU"/>
        </w:rPr>
        <w:t xml:space="preserve">The link between national PFM systems led by MoF, and line-ministries is critical for effective reform. </w:t>
      </w:r>
      <w:r>
        <w:rPr>
          <w:rFonts w:eastAsia="Times New Roman" w:cs="Arial"/>
          <w:sz w:val="21"/>
          <w:szCs w:val="21"/>
          <w:lang w:val="en-AU" w:eastAsia="en-AU"/>
        </w:rPr>
        <w:t>GfD2 will build on the earmarked direct budget support (DBS) recently provided to GoTL in response to COVID-19, and support future DBS opportunities.</w:t>
      </w:r>
    </w:p>
    <w:p w14:paraId="25121B0C" w14:textId="77777777" w:rsidR="009647A9" w:rsidRDefault="00ED61BE" w:rsidP="003A1F1A">
      <w:pPr>
        <w:pStyle w:val="ListParagraph"/>
        <w:tabs>
          <w:tab w:val="left" w:pos="284"/>
        </w:tabs>
        <w:suppressAutoHyphens w:val="0"/>
        <w:spacing w:before="0" w:line="280" w:lineRule="exact"/>
        <w:ind w:left="765"/>
        <w:rPr>
          <w:rFonts w:eastAsia="Times New Roman" w:cs="Arial"/>
          <w:i/>
          <w:sz w:val="21"/>
          <w:szCs w:val="21"/>
          <w:lang w:val="en-AU" w:eastAsia="en-AU"/>
        </w:rPr>
      </w:pPr>
      <w:r>
        <w:rPr>
          <w:rFonts w:eastAsia="Times New Roman" w:cs="Arial"/>
          <w:i/>
          <w:sz w:val="21"/>
          <w:szCs w:val="21"/>
          <w:lang w:val="en-AU" w:eastAsia="en-AU"/>
        </w:rPr>
        <w:t>Example activities: preparation of national budget; budget classifications and tracking; gender-responsive budgeting; preparation of a medium-term expenditure framework</w:t>
      </w:r>
      <w:r w:rsidR="009647A9">
        <w:rPr>
          <w:rFonts w:eastAsia="Times New Roman" w:cs="Arial"/>
          <w:i/>
          <w:sz w:val="21"/>
          <w:szCs w:val="21"/>
          <w:lang w:val="en-AU" w:eastAsia="en-AU"/>
        </w:rPr>
        <w:t xml:space="preserve">; program based budgeting; supporting future direct budget support opportunities (which are likely to be </w:t>
      </w:r>
      <w:r w:rsidR="00151B70">
        <w:rPr>
          <w:rFonts w:eastAsia="Times New Roman" w:cs="Arial"/>
          <w:i/>
          <w:sz w:val="21"/>
          <w:szCs w:val="21"/>
          <w:lang w:val="en-AU" w:eastAsia="en-AU"/>
        </w:rPr>
        <w:t>earmarked/</w:t>
      </w:r>
      <w:r w:rsidR="00692CFE">
        <w:rPr>
          <w:rFonts w:eastAsia="Times New Roman" w:cs="Arial"/>
          <w:i/>
          <w:sz w:val="21"/>
          <w:szCs w:val="21"/>
          <w:lang w:val="en-AU" w:eastAsia="en-AU"/>
        </w:rPr>
        <w:t>sectoral-</w:t>
      </w:r>
      <w:r w:rsidR="009647A9">
        <w:rPr>
          <w:rFonts w:eastAsia="Times New Roman" w:cs="Arial"/>
          <w:i/>
          <w:sz w:val="21"/>
          <w:szCs w:val="21"/>
          <w:lang w:val="en-AU" w:eastAsia="en-AU"/>
        </w:rPr>
        <w:t>based</w:t>
      </w:r>
      <w:r w:rsidR="00B11D27">
        <w:rPr>
          <w:rFonts w:eastAsia="Times New Roman" w:cs="Arial"/>
          <w:i/>
          <w:sz w:val="21"/>
          <w:szCs w:val="21"/>
          <w:lang w:val="en-AU" w:eastAsia="en-AU"/>
        </w:rPr>
        <w:t xml:space="preserve"> </w:t>
      </w:r>
      <w:r w:rsidR="008E7158">
        <w:rPr>
          <w:rFonts w:eastAsia="Times New Roman" w:cs="Arial"/>
          <w:i/>
          <w:sz w:val="21"/>
          <w:szCs w:val="21"/>
          <w:lang w:val="en-AU" w:eastAsia="en-AU"/>
        </w:rPr>
        <w:t>rather than general budget support</w:t>
      </w:r>
      <w:r w:rsidR="009647A9">
        <w:rPr>
          <w:rFonts w:eastAsia="Times New Roman" w:cs="Arial"/>
          <w:i/>
          <w:sz w:val="21"/>
          <w:szCs w:val="21"/>
          <w:lang w:val="en-AU" w:eastAsia="en-AU"/>
        </w:rPr>
        <w:t>)</w:t>
      </w:r>
      <w:r w:rsidR="00973F75">
        <w:rPr>
          <w:rFonts w:eastAsia="Times New Roman" w:cs="Arial"/>
          <w:i/>
          <w:sz w:val="21"/>
          <w:szCs w:val="21"/>
          <w:lang w:val="en-AU" w:eastAsia="en-AU"/>
        </w:rPr>
        <w:t>; targeting barriers identified by stakeholders</w:t>
      </w:r>
      <w:r w:rsidR="00692CFE">
        <w:rPr>
          <w:rFonts w:eastAsia="Times New Roman" w:cs="Arial"/>
          <w:i/>
          <w:sz w:val="21"/>
          <w:szCs w:val="21"/>
          <w:lang w:val="en-AU" w:eastAsia="en-AU"/>
        </w:rPr>
        <w:t xml:space="preserve"> (e.g. PARTISIPA and PHD)</w:t>
      </w:r>
      <w:r w:rsidR="00973F75">
        <w:rPr>
          <w:rFonts w:eastAsia="Times New Roman" w:cs="Arial"/>
          <w:i/>
          <w:sz w:val="21"/>
          <w:szCs w:val="21"/>
          <w:lang w:val="en-AU" w:eastAsia="en-AU"/>
        </w:rPr>
        <w:t xml:space="preserve"> downstream (e.g. procurement</w:t>
      </w:r>
      <w:r w:rsidR="00B11D27">
        <w:rPr>
          <w:rFonts w:eastAsia="Times New Roman" w:cs="Arial"/>
          <w:i/>
          <w:sz w:val="21"/>
          <w:szCs w:val="21"/>
          <w:lang w:val="en-AU" w:eastAsia="en-AU"/>
        </w:rPr>
        <w:t xml:space="preserve"> and disbursement</w:t>
      </w:r>
      <w:r w:rsidR="00973F75">
        <w:rPr>
          <w:rFonts w:eastAsia="Times New Roman" w:cs="Arial"/>
          <w:i/>
          <w:sz w:val="21"/>
          <w:szCs w:val="21"/>
          <w:lang w:val="en-AU" w:eastAsia="en-AU"/>
        </w:rPr>
        <w:t>)</w:t>
      </w:r>
    </w:p>
    <w:p w14:paraId="42A45C2C" w14:textId="77777777" w:rsidR="00E368FE" w:rsidRDefault="00E368FE" w:rsidP="003A1F1A">
      <w:pPr>
        <w:pStyle w:val="ListParagraph"/>
        <w:tabs>
          <w:tab w:val="left" w:pos="284"/>
        </w:tabs>
        <w:suppressAutoHyphens w:val="0"/>
        <w:spacing w:before="0" w:line="280" w:lineRule="exact"/>
        <w:ind w:left="765"/>
        <w:rPr>
          <w:rFonts w:eastAsia="Times New Roman" w:cs="Arial"/>
          <w:i/>
          <w:sz w:val="21"/>
          <w:szCs w:val="21"/>
          <w:lang w:val="en-AU" w:eastAsia="en-AU"/>
        </w:rPr>
      </w:pPr>
    </w:p>
    <w:p w14:paraId="3670E265" w14:textId="63D0C398" w:rsidR="00ED61BE" w:rsidRDefault="00ED61BE" w:rsidP="00ED61BE">
      <w:pPr>
        <w:pStyle w:val="ListParagraph"/>
        <w:numPr>
          <w:ilvl w:val="0"/>
          <w:numId w:val="46"/>
        </w:numPr>
        <w:tabs>
          <w:tab w:val="left" w:pos="284"/>
        </w:tabs>
        <w:suppressAutoHyphens w:val="0"/>
        <w:spacing w:before="0" w:line="280" w:lineRule="exact"/>
        <w:rPr>
          <w:rFonts w:eastAsia="Times New Roman" w:cs="Arial"/>
          <w:sz w:val="21"/>
          <w:szCs w:val="21"/>
          <w:lang w:val="en-AU" w:eastAsia="en-AU"/>
        </w:rPr>
      </w:pPr>
      <w:r>
        <w:rPr>
          <w:rFonts w:eastAsia="Times New Roman" w:cs="Arial"/>
          <w:b/>
          <w:sz w:val="21"/>
          <w:szCs w:val="21"/>
          <w:lang w:val="en-AU" w:eastAsia="en-AU"/>
        </w:rPr>
        <w:t>Inclusive economic policy and development</w:t>
      </w:r>
      <w:r w:rsidR="009647A9">
        <w:rPr>
          <w:rFonts w:eastAsia="Times New Roman" w:cs="Arial"/>
          <w:sz w:val="21"/>
          <w:szCs w:val="21"/>
          <w:lang w:val="en-AU" w:eastAsia="en-AU"/>
        </w:rPr>
        <w:t xml:space="preserve"> (</w:t>
      </w:r>
      <w:r w:rsidR="00DC6E80">
        <w:rPr>
          <w:rFonts w:eastAsia="Times New Roman" w:cs="Arial"/>
          <w:sz w:val="21"/>
          <w:szCs w:val="21"/>
          <w:lang w:val="en-AU" w:eastAsia="en-AU"/>
        </w:rPr>
        <w:t>contributes to EOPO1 and 2</w:t>
      </w:r>
      <w:r>
        <w:rPr>
          <w:rFonts w:eastAsia="Times New Roman" w:cs="Arial"/>
          <w:sz w:val="21"/>
          <w:szCs w:val="21"/>
          <w:lang w:val="en-AU" w:eastAsia="en-AU"/>
        </w:rPr>
        <w:t>): support to implement COVID-19 ERP</w:t>
      </w:r>
      <w:r w:rsidR="00EC77EA">
        <w:rPr>
          <w:rFonts w:eastAsia="Times New Roman" w:cs="Arial"/>
          <w:sz w:val="21"/>
          <w:szCs w:val="21"/>
          <w:lang w:val="en-AU" w:eastAsia="en-AU"/>
        </w:rPr>
        <w:t xml:space="preserve"> objectives</w:t>
      </w:r>
      <w:r>
        <w:rPr>
          <w:rFonts w:eastAsia="Times New Roman" w:cs="Arial"/>
          <w:sz w:val="21"/>
          <w:szCs w:val="21"/>
          <w:lang w:val="en-AU" w:eastAsia="en-AU"/>
        </w:rPr>
        <w:t xml:space="preserve"> to diversify the economy, as well as Timor-Leste’s broader economic policy priorities</w:t>
      </w:r>
      <w:r w:rsidR="009647A9">
        <w:rPr>
          <w:rFonts w:eastAsia="Times New Roman" w:cs="Arial"/>
          <w:sz w:val="21"/>
          <w:szCs w:val="21"/>
          <w:lang w:val="en-AU" w:eastAsia="en-AU"/>
        </w:rPr>
        <w:t xml:space="preserve"> under the SDP</w:t>
      </w:r>
      <w:r>
        <w:rPr>
          <w:rFonts w:eastAsia="Times New Roman" w:cs="Arial"/>
          <w:sz w:val="21"/>
          <w:szCs w:val="21"/>
          <w:lang w:val="en-AU" w:eastAsia="en-AU"/>
        </w:rPr>
        <w:t xml:space="preserve">, such as </w:t>
      </w:r>
      <w:r w:rsidR="009647A9">
        <w:rPr>
          <w:rFonts w:eastAsia="Times New Roman" w:cs="Arial"/>
          <w:sz w:val="21"/>
          <w:szCs w:val="21"/>
          <w:lang w:val="en-AU" w:eastAsia="en-AU"/>
        </w:rPr>
        <w:t xml:space="preserve">ASEAN and </w:t>
      </w:r>
      <w:r>
        <w:rPr>
          <w:rFonts w:eastAsia="Times New Roman" w:cs="Arial"/>
          <w:sz w:val="21"/>
          <w:szCs w:val="21"/>
          <w:lang w:val="en-AU" w:eastAsia="en-AU"/>
        </w:rPr>
        <w:t xml:space="preserve">WTO accession and </w:t>
      </w:r>
      <w:r w:rsidR="009647A9">
        <w:rPr>
          <w:rFonts w:eastAsia="Times New Roman" w:cs="Arial"/>
          <w:sz w:val="21"/>
          <w:szCs w:val="21"/>
          <w:lang w:val="en-AU" w:eastAsia="en-AU"/>
        </w:rPr>
        <w:t xml:space="preserve">improvements to the </w:t>
      </w:r>
      <w:r>
        <w:rPr>
          <w:rFonts w:eastAsia="Times New Roman" w:cs="Arial"/>
          <w:sz w:val="21"/>
          <w:szCs w:val="21"/>
          <w:lang w:val="en-AU" w:eastAsia="en-AU"/>
        </w:rPr>
        <w:t>business enabling environment. This also includes support t</w:t>
      </w:r>
      <w:r w:rsidR="00151B70">
        <w:rPr>
          <w:rFonts w:eastAsia="Times New Roman" w:cs="Arial"/>
          <w:sz w:val="21"/>
          <w:szCs w:val="21"/>
          <w:lang w:val="en-AU" w:eastAsia="en-AU"/>
        </w:rPr>
        <w:t xml:space="preserve">o the private sector, </w:t>
      </w:r>
      <w:r>
        <w:rPr>
          <w:rFonts w:eastAsia="Times New Roman" w:cs="Arial"/>
          <w:sz w:val="21"/>
          <w:szCs w:val="21"/>
          <w:lang w:val="en-AU" w:eastAsia="en-AU"/>
        </w:rPr>
        <w:t>civil society</w:t>
      </w:r>
      <w:r w:rsidR="00151B70">
        <w:rPr>
          <w:rFonts w:eastAsia="Times New Roman" w:cs="Arial"/>
          <w:sz w:val="21"/>
          <w:szCs w:val="21"/>
          <w:lang w:val="en-AU" w:eastAsia="en-AU"/>
        </w:rPr>
        <w:t xml:space="preserve"> and multilateral partners</w:t>
      </w:r>
      <w:r>
        <w:rPr>
          <w:rFonts w:eastAsia="Times New Roman" w:cs="Arial"/>
          <w:sz w:val="21"/>
          <w:szCs w:val="21"/>
          <w:lang w:val="en-AU" w:eastAsia="en-AU"/>
        </w:rPr>
        <w:t xml:space="preserve">. </w:t>
      </w:r>
      <w:r w:rsidR="00E368FE">
        <w:rPr>
          <w:rFonts w:eastAsia="Times New Roman" w:cs="Arial"/>
          <w:sz w:val="21"/>
          <w:szCs w:val="21"/>
          <w:lang w:val="en-AU" w:eastAsia="en-AU"/>
        </w:rPr>
        <w:t>Given the broad nature of this reform pathway, the design will help identify</w:t>
      </w:r>
      <w:r w:rsidR="00B270D6">
        <w:rPr>
          <w:rFonts w:eastAsia="Times New Roman" w:cs="Arial"/>
          <w:sz w:val="21"/>
          <w:szCs w:val="21"/>
          <w:lang w:val="en-AU" w:eastAsia="en-AU"/>
        </w:rPr>
        <w:t xml:space="preserve"> </w:t>
      </w:r>
      <w:r w:rsidR="00EC77EA">
        <w:rPr>
          <w:rFonts w:eastAsia="Times New Roman" w:cs="Arial"/>
          <w:sz w:val="21"/>
          <w:szCs w:val="21"/>
          <w:lang w:val="en-AU" w:eastAsia="en-AU"/>
        </w:rPr>
        <w:t>priority</w:t>
      </w:r>
      <w:r w:rsidR="00E368FE">
        <w:rPr>
          <w:rFonts w:eastAsia="Times New Roman" w:cs="Arial"/>
          <w:sz w:val="21"/>
          <w:szCs w:val="21"/>
          <w:lang w:val="en-AU" w:eastAsia="en-AU"/>
        </w:rPr>
        <w:t xml:space="preserve"> sectors and partners to work with, drawing on GfD’s experience and the lessons from the independent review of GfD.</w:t>
      </w:r>
    </w:p>
    <w:p w14:paraId="23AA1170" w14:textId="77777777" w:rsidR="009647A9" w:rsidRDefault="00ED61BE" w:rsidP="003A1F1A">
      <w:pPr>
        <w:pStyle w:val="ListParagraph"/>
        <w:tabs>
          <w:tab w:val="left" w:pos="284"/>
        </w:tabs>
        <w:suppressAutoHyphens w:val="0"/>
        <w:spacing w:before="0" w:line="280" w:lineRule="exact"/>
        <w:ind w:left="765"/>
        <w:rPr>
          <w:rFonts w:eastAsia="Times New Roman" w:cs="Arial"/>
          <w:i/>
          <w:sz w:val="21"/>
          <w:szCs w:val="21"/>
          <w:lang w:val="en-AU" w:eastAsia="en-AU"/>
        </w:rPr>
      </w:pPr>
      <w:r>
        <w:rPr>
          <w:rFonts w:eastAsia="Times New Roman" w:cs="Arial"/>
          <w:i/>
          <w:sz w:val="21"/>
          <w:szCs w:val="21"/>
          <w:lang w:val="en-AU" w:eastAsia="en-AU"/>
        </w:rPr>
        <w:t>Example activities: grants to civil society partners</w:t>
      </w:r>
      <w:r w:rsidR="002D389C">
        <w:rPr>
          <w:rFonts w:eastAsia="Times New Roman" w:cs="Arial"/>
          <w:i/>
          <w:sz w:val="21"/>
          <w:szCs w:val="21"/>
          <w:lang w:val="en-AU" w:eastAsia="en-AU"/>
        </w:rPr>
        <w:t xml:space="preserve"> for research and advocacy</w:t>
      </w:r>
      <w:r>
        <w:rPr>
          <w:rFonts w:eastAsia="Times New Roman" w:cs="Arial"/>
          <w:i/>
          <w:sz w:val="21"/>
          <w:szCs w:val="21"/>
          <w:lang w:val="en-AU" w:eastAsia="en-AU"/>
        </w:rPr>
        <w:t>; legislation on business enabling environment</w:t>
      </w:r>
      <w:r w:rsidR="009647A9">
        <w:rPr>
          <w:rFonts w:eastAsia="Times New Roman" w:cs="Arial"/>
          <w:i/>
          <w:sz w:val="21"/>
          <w:szCs w:val="21"/>
          <w:lang w:val="en-AU" w:eastAsia="en-AU"/>
        </w:rPr>
        <w:t xml:space="preserve">; trade facilitation; </w:t>
      </w:r>
      <w:r>
        <w:rPr>
          <w:rFonts w:eastAsia="Times New Roman" w:cs="Arial"/>
          <w:i/>
          <w:sz w:val="21"/>
          <w:szCs w:val="21"/>
          <w:lang w:val="en-AU" w:eastAsia="en-AU"/>
        </w:rPr>
        <w:t xml:space="preserve">publication of economic statistics; </w:t>
      </w:r>
      <w:r w:rsidR="002D389C">
        <w:rPr>
          <w:rFonts w:eastAsia="Times New Roman" w:cs="Arial"/>
          <w:i/>
          <w:sz w:val="21"/>
          <w:szCs w:val="21"/>
          <w:lang w:val="en-AU" w:eastAsia="en-AU"/>
        </w:rPr>
        <w:t xml:space="preserve">financial inclusion such as </w:t>
      </w:r>
      <w:r>
        <w:rPr>
          <w:rFonts w:eastAsia="Times New Roman" w:cs="Arial"/>
          <w:i/>
          <w:sz w:val="21"/>
          <w:szCs w:val="21"/>
          <w:lang w:val="en-AU" w:eastAsia="en-AU"/>
        </w:rPr>
        <w:t>support to agent and mobile banking</w:t>
      </w:r>
      <w:r w:rsidR="00983692">
        <w:rPr>
          <w:rFonts w:eastAsia="Times New Roman" w:cs="Arial"/>
          <w:i/>
          <w:sz w:val="21"/>
          <w:szCs w:val="21"/>
          <w:lang w:val="en-AU" w:eastAsia="en-AU"/>
        </w:rPr>
        <w:t>; e-commerce</w:t>
      </w:r>
      <w:r w:rsidR="008601A7">
        <w:rPr>
          <w:rFonts w:eastAsia="Times New Roman" w:cs="Arial"/>
          <w:i/>
          <w:sz w:val="21"/>
          <w:szCs w:val="21"/>
          <w:lang w:val="en-AU" w:eastAsia="en-AU"/>
        </w:rPr>
        <w:t>; aviation security and safety</w:t>
      </w:r>
      <w:r w:rsidR="002D389C">
        <w:rPr>
          <w:rFonts w:eastAsia="Times New Roman" w:cs="Arial"/>
          <w:i/>
          <w:sz w:val="21"/>
          <w:szCs w:val="21"/>
          <w:lang w:val="en-AU" w:eastAsia="en-AU"/>
        </w:rPr>
        <w:t xml:space="preserve">; </w:t>
      </w:r>
      <w:r w:rsidR="002D389C" w:rsidRPr="002D389C">
        <w:rPr>
          <w:rFonts w:eastAsia="Times New Roman" w:cs="Arial"/>
          <w:i/>
          <w:sz w:val="21"/>
          <w:szCs w:val="21"/>
          <w:lang w:val="en-AU" w:eastAsia="en-AU"/>
        </w:rPr>
        <w:t xml:space="preserve">targeting </w:t>
      </w:r>
      <w:r w:rsidR="00692CFE">
        <w:rPr>
          <w:rFonts w:eastAsia="Times New Roman" w:cs="Arial"/>
          <w:i/>
          <w:sz w:val="21"/>
          <w:szCs w:val="21"/>
          <w:lang w:val="en-AU" w:eastAsia="en-AU"/>
        </w:rPr>
        <w:t xml:space="preserve">downstream </w:t>
      </w:r>
      <w:r w:rsidR="002D389C" w:rsidRPr="002D389C">
        <w:rPr>
          <w:rFonts w:eastAsia="Times New Roman" w:cs="Arial"/>
          <w:i/>
          <w:sz w:val="21"/>
          <w:szCs w:val="21"/>
          <w:lang w:val="en-AU" w:eastAsia="en-AU"/>
        </w:rPr>
        <w:t>barriers identi</w:t>
      </w:r>
      <w:r w:rsidR="00692CFE">
        <w:rPr>
          <w:rFonts w:eastAsia="Times New Roman" w:cs="Arial"/>
          <w:i/>
          <w:sz w:val="21"/>
          <w:szCs w:val="21"/>
          <w:lang w:val="en-AU" w:eastAsia="en-AU"/>
        </w:rPr>
        <w:t xml:space="preserve">fied by stakeholders </w:t>
      </w:r>
      <w:r w:rsidR="002D389C" w:rsidRPr="002D389C">
        <w:rPr>
          <w:rFonts w:eastAsia="Times New Roman" w:cs="Arial"/>
          <w:i/>
          <w:sz w:val="21"/>
          <w:szCs w:val="21"/>
          <w:lang w:val="en-AU" w:eastAsia="en-AU"/>
        </w:rPr>
        <w:t>(e.g.</w:t>
      </w:r>
      <w:r w:rsidR="002D389C">
        <w:rPr>
          <w:rFonts w:eastAsia="Times New Roman" w:cs="Arial"/>
          <w:i/>
          <w:sz w:val="21"/>
          <w:szCs w:val="21"/>
          <w:lang w:val="en-AU" w:eastAsia="en-AU"/>
        </w:rPr>
        <w:t xml:space="preserve"> improved business licencing</w:t>
      </w:r>
      <w:r w:rsidR="002D389C" w:rsidRPr="002D389C">
        <w:rPr>
          <w:rFonts w:eastAsia="Times New Roman" w:cs="Arial"/>
          <w:i/>
          <w:sz w:val="21"/>
          <w:szCs w:val="21"/>
          <w:lang w:val="en-AU" w:eastAsia="en-AU"/>
        </w:rPr>
        <w:t>)</w:t>
      </w:r>
    </w:p>
    <w:p w14:paraId="4E6BB9DF" w14:textId="77777777" w:rsidR="00E368FE" w:rsidRDefault="00E368FE" w:rsidP="003A1F1A">
      <w:pPr>
        <w:pStyle w:val="ListParagraph"/>
        <w:tabs>
          <w:tab w:val="left" w:pos="284"/>
        </w:tabs>
        <w:suppressAutoHyphens w:val="0"/>
        <w:spacing w:before="0" w:line="280" w:lineRule="exact"/>
        <w:ind w:left="765"/>
        <w:rPr>
          <w:rFonts w:eastAsia="Times New Roman" w:cs="Arial"/>
          <w:i/>
          <w:sz w:val="21"/>
          <w:szCs w:val="21"/>
          <w:lang w:val="en-AU" w:eastAsia="en-AU"/>
        </w:rPr>
      </w:pPr>
    </w:p>
    <w:p w14:paraId="15C68518" w14:textId="2F373047" w:rsidR="009647A9" w:rsidRDefault="009647A9" w:rsidP="009647A9">
      <w:pPr>
        <w:pStyle w:val="ListParagraph"/>
        <w:numPr>
          <w:ilvl w:val="0"/>
          <w:numId w:val="46"/>
        </w:numPr>
        <w:tabs>
          <w:tab w:val="left" w:pos="284"/>
        </w:tabs>
        <w:suppressAutoHyphens w:val="0"/>
        <w:spacing w:before="0" w:line="280" w:lineRule="exact"/>
        <w:rPr>
          <w:rFonts w:eastAsia="Times New Roman" w:cs="Arial"/>
          <w:sz w:val="21"/>
          <w:szCs w:val="21"/>
          <w:lang w:val="en-AU" w:eastAsia="en-AU"/>
        </w:rPr>
      </w:pPr>
      <w:r>
        <w:rPr>
          <w:rFonts w:eastAsia="Times New Roman" w:cs="Arial"/>
          <w:b/>
          <w:sz w:val="21"/>
          <w:szCs w:val="21"/>
          <w:lang w:val="en-AU" w:eastAsia="en-AU"/>
        </w:rPr>
        <w:t>Governance support for national economic infrastructure</w:t>
      </w:r>
      <w:r>
        <w:rPr>
          <w:rFonts w:eastAsia="Times New Roman" w:cs="Arial"/>
          <w:sz w:val="21"/>
          <w:szCs w:val="21"/>
          <w:lang w:val="en-AU" w:eastAsia="en-AU"/>
        </w:rPr>
        <w:t xml:space="preserve"> (</w:t>
      </w:r>
      <w:r w:rsidR="00DC6E80">
        <w:rPr>
          <w:rFonts w:eastAsia="Times New Roman" w:cs="Arial"/>
          <w:sz w:val="21"/>
          <w:szCs w:val="21"/>
          <w:lang w:val="en-AU" w:eastAsia="en-AU"/>
        </w:rPr>
        <w:t>contributes to EOPO1 and 2</w:t>
      </w:r>
      <w:r>
        <w:rPr>
          <w:rFonts w:eastAsia="Times New Roman" w:cs="Arial"/>
          <w:sz w:val="21"/>
          <w:szCs w:val="21"/>
          <w:lang w:val="en-AU" w:eastAsia="en-AU"/>
        </w:rPr>
        <w:t>): this includes investments under AIFFP and linkages with SE</w:t>
      </w:r>
      <w:r w:rsidR="00A65716">
        <w:rPr>
          <w:rFonts w:eastAsia="Times New Roman" w:cs="Arial"/>
          <w:sz w:val="21"/>
          <w:szCs w:val="21"/>
          <w:lang w:val="en-AU" w:eastAsia="en-AU"/>
        </w:rPr>
        <w:t>AGIF.</w:t>
      </w:r>
      <w:r>
        <w:rPr>
          <w:rFonts w:eastAsia="Times New Roman" w:cs="Arial"/>
          <w:sz w:val="21"/>
          <w:szCs w:val="21"/>
          <w:lang w:val="en-AU" w:eastAsia="en-AU"/>
        </w:rPr>
        <w:t xml:space="preserve"> While the technical aspects of infrastructure design, procurement and implementation are likely to be supported under AIFFP, the high-risk nature of critical infrastructure projects demands additional oversight and advisory support to relevant agencies. This support is best delivered </w:t>
      </w:r>
      <w:r w:rsidR="00732D59">
        <w:rPr>
          <w:rFonts w:eastAsia="Times New Roman" w:cs="Arial"/>
          <w:sz w:val="21"/>
          <w:szCs w:val="21"/>
          <w:lang w:val="en-AU" w:eastAsia="en-AU"/>
        </w:rPr>
        <w:t>through</w:t>
      </w:r>
      <w:r>
        <w:rPr>
          <w:rFonts w:eastAsia="Times New Roman" w:cs="Arial"/>
          <w:sz w:val="21"/>
          <w:szCs w:val="21"/>
          <w:lang w:val="en-AU" w:eastAsia="en-AU"/>
        </w:rPr>
        <w:t xml:space="preserve"> a bilateral, rather than regional, program in order to ensure advice is tailored to the Timor-Leste context. </w:t>
      </w:r>
    </w:p>
    <w:p w14:paraId="7BEC9E77" w14:textId="77777777" w:rsidR="009647A9" w:rsidRDefault="009647A9" w:rsidP="003A1F1A">
      <w:pPr>
        <w:pStyle w:val="ListParagraph"/>
        <w:tabs>
          <w:tab w:val="left" w:pos="284"/>
        </w:tabs>
        <w:suppressAutoHyphens w:val="0"/>
        <w:spacing w:before="0" w:line="280" w:lineRule="exact"/>
        <w:ind w:left="765"/>
        <w:rPr>
          <w:rFonts w:eastAsia="Times New Roman" w:cs="Arial"/>
          <w:i/>
          <w:sz w:val="21"/>
          <w:szCs w:val="21"/>
          <w:lang w:val="en-AU" w:eastAsia="en-AU"/>
        </w:rPr>
      </w:pPr>
      <w:r>
        <w:rPr>
          <w:rFonts w:eastAsia="Times New Roman" w:cs="Arial"/>
          <w:i/>
          <w:sz w:val="21"/>
          <w:szCs w:val="21"/>
          <w:lang w:val="en-AU" w:eastAsia="en-AU"/>
        </w:rPr>
        <w:lastRenderedPageBreak/>
        <w:t>Example activities: advisory support to complement investments in a new submarine fibre optic cable and Dili airport upgrades</w:t>
      </w:r>
      <w:r w:rsidR="00B11D27">
        <w:rPr>
          <w:rFonts w:eastAsia="Times New Roman" w:cs="Arial"/>
          <w:i/>
          <w:sz w:val="21"/>
          <w:szCs w:val="21"/>
          <w:lang w:val="en-AU" w:eastAsia="en-AU"/>
        </w:rPr>
        <w:t>, advice on the oil and gas sector</w:t>
      </w:r>
      <w:r w:rsidR="00486FF1">
        <w:rPr>
          <w:rFonts w:eastAsia="Times New Roman" w:cs="Arial"/>
          <w:i/>
          <w:sz w:val="21"/>
          <w:szCs w:val="21"/>
          <w:lang w:val="en-AU" w:eastAsia="en-AU"/>
        </w:rPr>
        <w:t xml:space="preserve"> could be </w:t>
      </w:r>
      <w:r w:rsidR="00E02674">
        <w:rPr>
          <w:rFonts w:eastAsia="Times New Roman" w:cs="Arial"/>
          <w:i/>
          <w:sz w:val="21"/>
          <w:szCs w:val="21"/>
          <w:lang w:val="en-AU" w:eastAsia="en-AU"/>
        </w:rPr>
        <w:t>provided through the World Bank</w:t>
      </w:r>
    </w:p>
    <w:p w14:paraId="3F8836A3" w14:textId="77777777" w:rsidR="00E02674" w:rsidRPr="003A1F1A" w:rsidRDefault="00E02674" w:rsidP="003A1F1A">
      <w:pPr>
        <w:pStyle w:val="ListParagraph"/>
        <w:tabs>
          <w:tab w:val="left" w:pos="284"/>
        </w:tabs>
        <w:suppressAutoHyphens w:val="0"/>
        <w:spacing w:before="0" w:line="280" w:lineRule="exact"/>
        <w:ind w:left="765"/>
        <w:rPr>
          <w:rFonts w:eastAsia="Times New Roman" w:cs="Arial"/>
          <w:i/>
          <w:sz w:val="21"/>
          <w:szCs w:val="21"/>
          <w:lang w:val="en-AU" w:eastAsia="en-AU"/>
        </w:rPr>
      </w:pPr>
    </w:p>
    <w:p w14:paraId="67A4EB59" w14:textId="7CDFA111" w:rsidR="00ED61BE" w:rsidRDefault="00ED61BE" w:rsidP="00ED61BE">
      <w:pPr>
        <w:pStyle w:val="ListParagraph"/>
        <w:numPr>
          <w:ilvl w:val="0"/>
          <w:numId w:val="46"/>
        </w:numPr>
        <w:tabs>
          <w:tab w:val="left" w:pos="284"/>
        </w:tabs>
        <w:suppressAutoHyphens w:val="0"/>
        <w:spacing w:before="0" w:line="280" w:lineRule="exact"/>
        <w:rPr>
          <w:rFonts w:eastAsia="Times New Roman" w:cs="Arial"/>
          <w:sz w:val="21"/>
          <w:szCs w:val="21"/>
          <w:lang w:val="en-AU" w:eastAsia="en-AU"/>
        </w:rPr>
      </w:pPr>
      <w:r>
        <w:rPr>
          <w:rFonts w:eastAsia="Times New Roman" w:cs="Arial"/>
          <w:b/>
          <w:sz w:val="21"/>
          <w:szCs w:val="21"/>
          <w:lang w:val="en-AU" w:eastAsia="en-AU"/>
        </w:rPr>
        <w:t>Public administration reform and strengthening</w:t>
      </w:r>
      <w:r w:rsidR="009647A9">
        <w:rPr>
          <w:rFonts w:eastAsia="Times New Roman" w:cs="Arial"/>
          <w:sz w:val="21"/>
          <w:szCs w:val="21"/>
          <w:lang w:val="en-AU" w:eastAsia="en-AU"/>
        </w:rPr>
        <w:t xml:space="preserve"> (</w:t>
      </w:r>
      <w:r w:rsidR="00DC6E80">
        <w:rPr>
          <w:rFonts w:eastAsia="Times New Roman" w:cs="Arial"/>
          <w:sz w:val="21"/>
          <w:szCs w:val="21"/>
          <w:lang w:val="en-AU" w:eastAsia="en-AU"/>
        </w:rPr>
        <w:t>contributes to EOPO1</w:t>
      </w:r>
      <w:r>
        <w:rPr>
          <w:rFonts w:eastAsia="Times New Roman" w:cs="Arial"/>
          <w:sz w:val="21"/>
          <w:szCs w:val="21"/>
          <w:lang w:val="en-AU" w:eastAsia="en-AU"/>
        </w:rPr>
        <w:t>): limited and targeted support for strengthening the policies and processes that govern the civil service to make it more efficient and effective.</w:t>
      </w:r>
      <w:r w:rsidR="00743A90">
        <w:rPr>
          <w:rFonts w:eastAsia="Times New Roman" w:cs="Arial"/>
          <w:sz w:val="21"/>
          <w:szCs w:val="21"/>
          <w:lang w:val="en-AU" w:eastAsia="en-AU"/>
        </w:rPr>
        <w:t xml:space="preserve"> </w:t>
      </w:r>
    </w:p>
    <w:p w14:paraId="3CE590E5" w14:textId="7739142B" w:rsidR="003E322E" w:rsidRPr="00DC6E80" w:rsidRDefault="00ED61BE" w:rsidP="00DC6E80">
      <w:pPr>
        <w:pStyle w:val="ListParagraph"/>
        <w:tabs>
          <w:tab w:val="left" w:pos="284"/>
        </w:tabs>
        <w:suppressAutoHyphens w:val="0"/>
        <w:spacing w:before="0" w:line="280" w:lineRule="exact"/>
        <w:ind w:left="765"/>
        <w:rPr>
          <w:rFonts w:eastAsia="Times New Roman" w:cs="Arial"/>
          <w:sz w:val="21"/>
          <w:szCs w:val="21"/>
          <w:lang w:val="en-AU" w:eastAsia="en-AU"/>
        </w:rPr>
      </w:pPr>
      <w:r>
        <w:rPr>
          <w:rFonts w:eastAsia="Times New Roman" w:cs="Arial"/>
          <w:i/>
          <w:sz w:val="21"/>
          <w:szCs w:val="21"/>
          <w:lang w:val="en-AU" w:eastAsia="en-AU"/>
        </w:rPr>
        <w:t xml:space="preserve">Example activities: civil service workforce planning and performance management; </w:t>
      </w:r>
      <w:r w:rsidR="007E19CD">
        <w:rPr>
          <w:rFonts w:eastAsia="Times New Roman" w:cs="Arial"/>
          <w:i/>
          <w:sz w:val="21"/>
          <w:szCs w:val="21"/>
          <w:lang w:val="en-AU" w:eastAsia="en-AU"/>
        </w:rPr>
        <w:t>merit-based</w:t>
      </w:r>
      <w:r>
        <w:rPr>
          <w:rFonts w:eastAsia="Times New Roman" w:cs="Arial"/>
          <w:i/>
          <w:sz w:val="21"/>
          <w:szCs w:val="21"/>
          <w:lang w:val="en-AU" w:eastAsia="en-AU"/>
        </w:rPr>
        <w:t xml:space="preserve"> recruitment and promotion; salary policy</w:t>
      </w:r>
      <w:r w:rsidR="00983692">
        <w:rPr>
          <w:rFonts w:eastAsia="Times New Roman" w:cs="Arial"/>
          <w:i/>
          <w:sz w:val="21"/>
          <w:szCs w:val="21"/>
          <w:lang w:val="en-AU" w:eastAsia="en-AU"/>
        </w:rPr>
        <w:t>; connecting GoTL’s HR and finance systems; e-governance</w:t>
      </w:r>
    </w:p>
    <w:p w14:paraId="4DF479AE" w14:textId="77777777" w:rsidR="003A1F1A" w:rsidRDefault="00074771" w:rsidP="008B4B3A">
      <w:pPr>
        <w:tabs>
          <w:tab w:val="left" w:pos="284"/>
        </w:tabs>
        <w:suppressAutoHyphens w:val="0"/>
        <w:spacing w:before="0" w:line="280" w:lineRule="exact"/>
        <w:rPr>
          <w:rFonts w:eastAsia="Times New Roman" w:cs="Arial"/>
          <w:sz w:val="21"/>
          <w:szCs w:val="21"/>
          <w:lang w:eastAsia="en-AU"/>
        </w:rPr>
      </w:pPr>
      <w:r w:rsidRPr="00074771">
        <w:rPr>
          <w:rFonts w:eastAsia="Times New Roman" w:cs="Arial"/>
          <w:sz w:val="21"/>
          <w:szCs w:val="21"/>
          <w:lang w:eastAsia="en-AU"/>
        </w:rPr>
        <w:t xml:space="preserve">In addition to the four bilateral priorities above, gender and social inclusion will be a specific priority and mainstreamed across all program activities. </w:t>
      </w:r>
      <w:r w:rsidR="003A1F1A" w:rsidRPr="00074771">
        <w:rPr>
          <w:rFonts w:eastAsia="Times New Roman" w:cs="Arial"/>
          <w:sz w:val="21"/>
          <w:szCs w:val="21"/>
          <w:lang w:eastAsia="en-AU"/>
        </w:rPr>
        <w:t>This could, for example, include continued support for gender-responsive budgeting.</w:t>
      </w:r>
      <w:r w:rsidR="003A1F1A">
        <w:rPr>
          <w:rFonts w:eastAsia="Times New Roman" w:cs="Arial"/>
          <w:sz w:val="21"/>
          <w:szCs w:val="21"/>
          <w:lang w:eastAsia="en-AU"/>
        </w:rPr>
        <w:t xml:space="preserve"> A</w:t>
      </w:r>
      <w:r w:rsidR="003A1F1A" w:rsidRPr="003A1F1A">
        <w:rPr>
          <w:rFonts w:eastAsia="Times New Roman" w:cs="Arial"/>
          <w:sz w:val="21"/>
          <w:szCs w:val="21"/>
          <w:lang w:eastAsia="en-AU"/>
        </w:rPr>
        <w:t xml:space="preserve">ctivities targeting women can be </w:t>
      </w:r>
      <w:proofErr w:type="gramStart"/>
      <w:r w:rsidR="003A1F1A" w:rsidRPr="003A1F1A">
        <w:rPr>
          <w:rFonts w:eastAsia="Times New Roman" w:cs="Arial"/>
          <w:sz w:val="21"/>
          <w:szCs w:val="21"/>
          <w:lang w:eastAsia="en-AU"/>
        </w:rPr>
        <w:t>beneficial in their own right</w:t>
      </w:r>
      <w:r w:rsidR="003A1F1A">
        <w:rPr>
          <w:rFonts w:eastAsia="Times New Roman" w:cs="Arial"/>
          <w:sz w:val="21"/>
          <w:szCs w:val="21"/>
          <w:lang w:eastAsia="en-AU"/>
        </w:rPr>
        <w:t>, for</w:t>
      </w:r>
      <w:proofErr w:type="gramEnd"/>
      <w:r w:rsidR="003A1F1A">
        <w:rPr>
          <w:rFonts w:eastAsia="Times New Roman" w:cs="Arial"/>
          <w:sz w:val="21"/>
          <w:szCs w:val="21"/>
          <w:lang w:eastAsia="en-AU"/>
        </w:rPr>
        <w:t xml:space="preserve"> example </w:t>
      </w:r>
      <w:r w:rsidR="003A1F1A" w:rsidRPr="00074771">
        <w:rPr>
          <w:rFonts w:eastAsia="Times New Roman" w:cs="Arial"/>
          <w:sz w:val="21"/>
          <w:szCs w:val="21"/>
          <w:lang w:eastAsia="en-AU"/>
        </w:rPr>
        <w:t>women’s economic empowerment</w:t>
      </w:r>
      <w:r w:rsidR="003A1F1A">
        <w:rPr>
          <w:rFonts w:eastAsia="Times New Roman" w:cs="Arial"/>
          <w:sz w:val="21"/>
          <w:szCs w:val="21"/>
          <w:lang w:eastAsia="en-AU"/>
        </w:rPr>
        <w:t xml:space="preserve"> under point two above.</w:t>
      </w:r>
      <w:r w:rsidR="003A1F1A" w:rsidRPr="00074771">
        <w:rPr>
          <w:rFonts w:eastAsia="Times New Roman" w:cs="Arial"/>
          <w:sz w:val="21"/>
          <w:szCs w:val="21"/>
          <w:lang w:eastAsia="en-AU"/>
        </w:rPr>
        <w:t xml:space="preserve"> </w:t>
      </w:r>
      <w:r w:rsidRPr="00074771">
        <w:rPr>
          <w:rFonts w:eastAsia="Times New Roman" w:cs="Arial"/>
          <w:sz w:val="21"/>
          <w:szCs w:val="21"/>
          <w:lang w:eastAsia="en-AU"/>
        </w:rPr>
        <w:t>Where it makes sense and complements Australia’s other bilateral programs, GfD2 could lead on some gender and social inclusion issues.</w:t>
      </w:r>
    </w:p>
    <w:p w14:paraId="3BA29C20" w14:textId="77777777" w:rsidR="00E02674" w:rsidRDefault="00E02674" w:rsidP="00E02674">
      <w:pPr>
        <w:tabs>
          <w:tab w:val="left" w:pos="284"/>
        </w:tabs>
        <w:suppressAutoHyphens w:val="0"/>
        <w:spacing w:before="0" w:line="280" w:lineRule="exact"/>
        <w:rPr>
          <w:rFonts w:eastAsia="Times New Roman" w:cs="Arial"/>
          <w:sz w:val="21"/>
          <w:szCs w:val="21"/>
          <w:lang w:eastAsia="en-AU"/>
        </w:rPr>
      </w:pPr>
      <w:r w:rsidRPr="00E02674">
        <w:rPr>
          <w:rFonts w:eastAsia="Times New Roman" w:cs="Arial"/>
          <w:sz w:val="21"/>
          <w:szCs w:val="21"/>
          <w:lang w:eastAsia="en-AU"/>
        </w:rPr>
        <w:t xml:space="preserve">Civil society, including national organisations, are active in Timor-Leste, although the sector is thin in areas of relevance to GfD2, such as public financial management, infrastructure and public administration. GfD2 will look for opportunities to </w:t>
      </w:r>
      <w:r w:rsidR="00AA3435">
        <w:rPr>
          <w:rFonts w:eastAsia="Times New Roman" w:cs="Arial"/>
          <w:sz w:val="21"/>
          <w:szCs w:val="21"/>
          <w:lang w:eastAsia="en-AU"/>
        </w:rPr>
        <w:t>include</w:t>
      </w:r>
      <w:r w:rsidRPr="00E02674">
        <w:rPr>
          <w:rFonts w:eastAsia="Times New Roman" w:cs="Arial"/>
          <w:sz w:val="21"/>
          <w:szCs w:val="21"/>
          <w:lang w:eastAsia="en-AU"/>
        </w:rPr>
        <w:t xml:space="preserve"> civil society organisations in </w:t>
      </w:r>
      <w:r w:rsidR="00AA3435">
        <w:rPr>
          <w:rFonts w:eastAsia="Times New Roman" w:cs="Arial"/>
          <w:sz w:val="21"/>
          <w:szCs w:val="21"/>
          <w:lang w:eastAsia="en-AU"/>
        </w:rPr>
        <w:t xml:space="preserve">economic </w:t>
      </w:r>
      <w:r w:rsidRPr="00E02674">
        <w:rPr>
          <w:rFonts w:eastAsia="Times New Roman" w:cs="Arial"/>
          <w:sz w:val="21"/>
          <w:szCs w:val="21"/>
          <w:lang w:eastAsia="en-AU"/>
        </w:rPr>
        <w:t xml:space="preserve">policy development and implementation, and as a partner for monitoring GoTL service </w:t>
      </w:r>
      <w:r w:rsidRPr="00732D59">
        <w:rPr>
          <w:rFonts w:eastAsia="Times New Roman" w:cs="Arial"/>
          <w:sz w:val="21"/>
          <w:szCs w:val="21"/>
          <w:lang w:eastAsia="en-AU"/>
        </w:rPr>
        <w:t xml:space="preserve">delivery. Partnering with civil society </w:t>
      </w:r>
      <w:r w:rsidR="00732D59" w:rsidRPr="00732D59">
        <w:rPr>
          <w:rFonts w:eastAsia="Times New Roman" w:cs="Arial"/>
          <w:sz w:val="21"/>
          <w:szCs w:val="21"/>
          <w:lang w:eastAsia="en-AU"/>
        </w:rPr>
        <w:t>also strengthens</w:t>
      </w:r>
      <w:r w:rsidRPr="00732D59">
        <w:rPr>
          <w:rFonts w:eastAsia="Times New Roman" w:cs="Arial"/>
          <w:sz w:val="21"/>
          <w:szCs w:val="21"/>
          <w:lang w:eastAsia="en-AU"/>
        </w:rPr>
        <w:t xml:space="preserve"> the sector</w:t>
      </w:r>
      <w:r w:rsidR="00A45A56" w:rsidRPr="00732D59">
        <w:rPr>
          <w:rFonts w:eastAsia="Times New Roman" w:cs="Arial"/>
          <w:sz w:val="21"/>
          <w:szCs w:val="21"/>
          <w:lang w:eastAsia="en-AU"/>
        </w:rPr>
        <w:t xml:space="preserve"> </w:t>
      </w:r>
      <w:r w:rsidRPr="00732D59">
        <w:rPr>
          <w:rFonts w:eastAsia="Times New Roman" w:cs="Arial"/>
          <w:sz w:val="21"/>
          <w:szCs w:val="21"/>
          <w:lang w:eastAsia="en-AU"/>
        </w:rPr>
        <w:t>more generally</w:t>
      </w:r>
      <w:r w:rsidR="00A45A56" w:rsidRPr="00732D59">
        <w:rPr>
          <w:rFonts w:eastAsia="Times New Roman" w:cs="Arial"/>
          <w:sz w:val="21"/>
          <w:szCs w:val="21"/>
          <w:lang w:eastAsia="en-AU"/>
        </w:rPr>
        <w:t>,</w:t>
      </w:r>
      <w:r w:rsidR="00214C37" w:rsidRPr="00732D59">
        <w:rPr>
          <w:rFonts w:eastAsia="Times New Roman" w:cs="Arial"/>
          <w:sz w:val="21"/>
          <w:szCs w:val="21"/>
          <w:lang w:eastAsia="en-AU"/>
        </w:rPr>
        <w:t xml:space="preserve"> and GfD2 will consider whether and how the program can </w:t>
      </w:r>
      <w:r w:rsidR="00A45A56" w:rsidRPr="00732D59">
        <w:rPr>
          <w:rFonts w:eastAsia="Times New Roman" w:cs="Arial"/>
          <w:sz w:val="21"/>
          <w:szCs w:val="21"/>
          <w:lang w:eastAsia="en-AU"/>
        </w:rPr>
        <w:t>support</w:t>
      </w:r>
      <w:r w:rsidR="00214C37" w:rsidRPr="00732D59">
        <w:rPr>
          <w:rFonts w:eastAsia="Times New Roman" w:cs="Arial"/>
          <w:sz w:val="21"/>
          <w:szCs w:val="21"/>
          <w:lang w:eastAsia="en-AU"/>
        </w:rPr>
        <w:t xml:space="preserve"> this</w:t>
      </w:r>
      <w:r w:rsidR="00AA3435" w:rsidRPr="00732D59">
        <w:rPr>
          <w:rFonts w:eastAsia="Times New Roman" w:cs="Arial"/>
          <w:sz w:val="21"/>
          <w:szCs w:val="21"/>
          <w:lang w:eastAsia="en-AU"/>
        </w:rPr>
        <w:t xml:space="preserve"> goal</w:t>
      </w:r>
      <w:r w:rsidR="00214C37" w:rsidRPr="00732D59">
        <w:rPr>
          <w:rFonts w:eastAsia="Times New Roman" w:cs="Arial"/>
          <w:sz w:val="21"/>
          <w:szCs w:val="21"/>
          <w:lang w:eastAsia="en-AU"/>
        </w:rPr>
        <w:t>.</w:t>
      </w:r>
      <w:r w:rsidR="00214C37">
        <w:rPr>
          <w:rFonts w:eastAsia="Times New Roman" w:cs="Arial"/>
          <w:sz w:val="21"/>
          <w:szCs w:val="21"/>
          <w:lang w:eastAsia="en-AU"/>
        </w:rPr>
        <w:t xml:space="preserve"> </w:t>
      </w:r>
    </w:p>
    <w:p w14:paraId="684C3F1B" w14:textId="77777777" w:rsidR="00E02674" w:rsidRPr="00E02674" w:rsidRDefault="00E02674" w:rsidP="00E02674">
      <w:pPr>
        <w:tabs>
          <w:tab w:val="left" w:pos="284"/>
        </w:tabs>
        <w:suppressAutoHyphens w:val="0"/>
        <w:spacing w:before="0" w:line="280" w:lineRule="exact"/>
        <w:rPr>
          <w:rFonts w:eastAsia="Times New Roman" w:cs="Arial"/>
          <w:sz w:val="21"/>
          <w:szCs w:val="21"/>
          <w:lang w:eastAsia="en-AU"/>
        </w:rPr>
      </w:pPr>
      <w:r w:rsidRPr="00E02674">
        <w:rPr>
          <w:rFonts w:eastAsia="Times New Roman" w:cs="Arial"/>
          <w:sz w:val="21"/>
          <w:szCs w:val="21"/>
          <w:lang w:eastAsia="en-AU"/>
        </w:rPr>
        <w:t>Drawing on lessons</w:t>
      </w:r>
      <w:r w:rsidR="002A6CF9">
        <w:rPr>
          <w:rFonts w:eastAsia="Times New Roman" w:cs="Arial"/>
          <w:sz w:val="21"/>
          <w:szCs w:val="21"/>
          <w:lang w:eastAsia="en-AU"/>
        </w:rPr>
        <w:t xml:space="preserve"> learnt</w:t>
      </w:r>
      <w:r w:rsidRPr="00E02674">
        <w:rPr>
          <w:rFonts w:eastAsia="Times New Roman" w:cs="Arial"/>
          <w:sz w:val="21"/>
          <w:szCs w:val="21"/>
          <w:lang w:eastAsia="en-AU"/>
        </w:rPr>
        <w:t xml:space="preserve"> and our broader understanding of the bilateral context, some of Australia’s existing partnerships through GfD could continue. Where they are performing well and align with GfD2’s reform pathways, the design will take a critical look at existing activities while examining </w:t>
      </w:r>
      <w:r w:rsidR="002A6CF9">
        <w:rPr>
          <w:rFonts w:eastAsia="Times New Roman" w:cs="Arial"/>
          <w:sz w:val="21"/>
          <w:szCs w:val="21"/>
          <w:lang w:eastAsia="en-AU"/>
        </w:rPr>
        <w:t xml:space="preserve">potential </w:t>
      </w:r>
      <w:r w:rsidRPr="00E02674">
        <w:rPr>
          <w:rFonts w:eastAsia="Times New Roman" w:cs="Arial"/>
          <w:sz w:val="21"/>
          <w:szCs w:val="21"/>
          <w:lang w:eastAsia="en-AU"/>
        </w:rPr>
        <w:t xml:space="preserve">partnerships with other institutions working on priority issues. The design will pay </w:t>
      </w:r>
      <w:proofErr w:type="gramStart"/>
      <w:r w:rsidRPr="00E02674">
        <w:rPr>
          <w:rFonts w:eastAsia="Times New Roman" w:cs="Arial"/>
          <w:sz w:val="21"/>
          <w:szCs w:val="21"/>
          <w:lang w:eastAsia="en-AU"/>
        </w:rPr>
        <w:t>particular attention</w:t>
      </w:r>
      <w:proofErr w:type="gramEnd"/>
      <w:r w:rsidRPr="00E02674">
        <w:rPr>
          <w:rFonts w:eastAsia="Times New Roman" w:cs="Arial"/>
          <w:sz w:val="21"/>
          <w:szCs w:val="21"/>
          <w:lang w:eastAsia="en-AU"/>
        </w:rPr>
        <w:t xml:space="preserve"> to those gender and social inclusion activities that were impactful under GfD.</w:t>
      </w:r>
    </w:p>
    <w:p w14:paraId="501DD396" w14:textId="77777777" w:rsidR="00E02674" w:rsidRDefault="00E02674" w:rsidP="00E02674">
      <w:pPr>
        <w:tabs>
          <w:tab w:val="left" w:pos="284"/>
        </w:tabs>
        <w:suppressAutoHyphens w:val="0"/>
        <w:spacing w:before="0" w:line="280" w:lineRule="exact"/>
        <w:rPr>
          <w:rFonts w:eastAsia="Times New Roman" w:cs="Arial"/>
          <w:sz w:val="21"/>
          <w:szCs w:val="21"/>
          <w:lang w:eastAsia="en-AU"/>
        </w:rPr>
      </w:pPr>
      <w:r w:rsidRPr="00E02674">
        <w:rPr>
          <w:rFonts w:eastAsia="Times New Roman" w:cs="Arial"/>
          <w:sz w:val="21"/>
          <w:szCs w:val="21"/>
          <w:lang w:eastAsia="en-AU"/>
        </w:rPr>
        <w:t xml:space="preserve">GfD2 will not be able to invest in every opportunity, nor should it. As agreed in DFAT’s management response to the 2020 independent review of GfD, investments in the security and justice sectors will not be continued, and the program will need to be selective with the size and scope of grant-funded activities. Having clear criteria for assessing possible activities will help with these decisions, </w:t>
      </w:r>
      <w:r w:rsidR="002A6CF9">
        <w:rPr>
          <w:rFonts w:eastAsia="Times New Roman" w:cs="Arial"/>
          <w:sz w:val="21"/>
          <w:szCs w:val="21"/>
          <w:lang w:eastAsia="en-AU"/>
        </w:rPr>
        <w:t>complemented by analysis</w:t>
      </w:r>
      <w:r w:rsidRPr="00E02674">
        <w:rPr>
          <w:rFonts w:eastAsia="Times New Roman" w:cs="Arial"/>
          <w:sz w:val="21"/>
          <w:szCs w:val="21"/>
          <w:lang w:eastAsia="en-AU"/>
        </w:rPr>
        <w:t xml:space="preserve"> and strategy documents. </w:t>
      </w:r>
      <w:proofErr w:type="gramStart"/>
      <w:r w:rsidRPr="00E02674">
        <w:rPr>
          <w:rFonts w:eastAsia="Times New Roman" w:cs="Arial"/>
          <w:sz w:val="21"/>
          <w:szCs w:val="21"/>
          <w:lang w:eastAsia="en-AU"/>
        </w:rPr>
        <w:t>A number of</w:t>
      </w:r>
      <w:proofErr w:type="gramEnd"/>
      <w:r w:rsidRPr="00E02674">
        <w:rPr>
          <w:rFonts w:eastAsia="Times New Roman" w:cs="Arial"/>
          <w:sz w:val="21"/>
          <w:szCs w:val="21"/>
          <w:lang w:eastAsia="en-AU"/>
        </w:rPr>
        <w:t xml:space="preserve"> analytical pieces to support GfD2 are underway, including a review of Australia’s assistance in public administration reform in Timor-Leste, and preparation of an economic development strategy. An Assessment of National Systems to support direct budget support, and an analysis of barriers to service delivery are planned for 2021. GfD is also preparing a private sector engagement strategy and an updated gender and social inclusion strategy that will help guide GfD2. The design will also take account of the 2020 independent review of GfD, which included a range of relevant findings and recommendations for GfD2.</w:t>
      </w:r>
    </w:p>
    <w:p w14:paraId="234B0719" w14:textId="77777777" w:rsidR="00983692" w:rsidRPr="003A1F1A" w:rsidRDefault="00983692" w:rsidP="008B4B3A">
      <w:pPr>
        <w:tabs>
          <w:tab w:val="left" w:pos="284"/>
        </w:tabs>
        <w:suppressAutoHyphens w:val="0"/>
        <w:spacing w:before="0" w:line="280" w:lineRule="exact"/>
        <w:rPr>
          <w:rFonts w:eastAsia="Times New Roman" w:cs="Arial"/>
          <w:sz w:val="21"/>
          <w:szCs w:val="21"/>
          <w:lang w:eastAsia="en-AU"/>
        </w:rPr>
      </w:pPr>
      <w:r w:rsidRPr="00983692">
        <w:rPr>
          <w:rFonts w:eastAsia="Times New Roman" w:cs="Arial"/>
          <w:noProof/>
          <w:sz w:val="21"/>
          <w:szCs w:val="21"/>
          <w:lang w:val="en-AU" w:eastAsia="en-AU"/>
        </w:rPr>
        <w:lastRenderedPageBreak/>
        <mc:AlternateContent>
          <mc:Choice Requires="wps">
            <w:drawing>
              <wp:anchor distT="45720" distB="45720" distL="114300" distR="114300" simplePos="0" relativeHeight="251659264" behindDoc="0" locked="0" layoutInCell="1" allowOverlap="1" wp14:anchorId="0D449DB3" wp14:editId="1C6287F0">
                <wp:simplePos x="0" y="0"/>
                <wp:positionH relativeFrom="margin">
                  <wp:align>right</wp:align>
                </wp:positionH>
                <wp:positionV relativeFrom="paragraph">
                  <wp:posOffset>585470</wp:posOffset>
                </wp:positionV>
                <wp:extent cx="6096000" cy="577215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5772150"/>
                        </a:xfrm>
                        <a:prstGeom prst="rect">
                          <a:avLst/>
                        </a:prstGeom>
                        <a:solidFill>
                          <a:srgbClr val="FFFFFF"/>
                        </a:solidFill>
                        <a:ln w="9525">
                          <a:solidFill>
                            <a:srgbClr val="000000"/>
                          </a:solidFill>
                          <a:miter lim="800000"/>
                          <a:headEnd/>
                          <a:tailEnd/>
                        </a:ln>
                      </wps:spPr>
                      <wps:txbx>
                        <w:txbxContent>
                          <w:p w14:paraId="5ADC25A1" w14:textId="77777777" w:rsidR="00A902AC" w:rsidRPr="00A902AC" w:rsidRDefault="00965EFC" w:rsidP="00A902AC">
                            <w:pPr>
                              <w:jc w:val="center"/>
                              <w:rPr>
                                <w:b/>
                                <w:lang w:val="en-AU"/>
                              </w:rPr>
                            </w:pPr>
                            <w:r>
                              <w:rPr>
                                <w:b/>
                                <w:lang w:val="en-AU"/>
                              </w:rPr>
                              <w:t>Box 2</w:t>
                            </w:r>
                            <w:r w:rsidR="00A902AC">
                              <w:rPr>
                                <w:b/>
                                <w:lang w:val="en-AU"/>
                              </w:rPr>
                              <w:t xml:space="preserve"> – Governance for Development (AUD72 million, 2013-21)</w:t>
                            </w:r>
                          </w:p>
                          <w:p w14:paraId="4A9C663B" w14:textId="77777777" w:rsidR="00CA1DCD" w:rsidRDefault="00CA1DCD" w:rsidP="00CA1DCD">
                            <w:pPr>
                              <w:rPr>
                                <w:lang w:val="en-AU"/>
                              </w:rPr>
                            </w:pPr>
                            <w:r w:rsidRPr="00CA1DCD">
                              <w:rPr>
                                <w:lang w:val="en-AU"/>
                              </w:rPr>
                              <w:t xml:space="preserve">The </w:t>
                            </w:r>
                            <w:r w:rsidR="00ED7B51">
                              <w:rPr>
                                <w:lang w:val="en-AU"/>
                              </w:rPr>
                              <w:t xml:space="preserve">2020 </w:t>
                            </w:r>
                            <w:r w:rsidRPr="00CA1DCD">
                              <w:rPr>
                                <w:lang w:val="en-AU"/>
                              </w:rPr>
                              <w:t>independ</w:t>
                            </w:r>
                            <w:r w:rsidR="00ED7B51">
                              <w:rPr>
                                <w:lang w:val="en-AU"/>
                              </w:rPr>
                              <w:t xml:space="preserve">ent review </w:t>
                            </w:r>
                            <w:r w:rsidR="00A902AC">
                              <w:rPr>
                                <w:lang w:val="en-AU"/>
                              </w:rPr>
                              <w:t xml:space="preserve">of GfD </w:t>
                            </w:r>
                            <w:r w:rsidRPr="00CA1DCD">
                              <w:rPr>
                                <w:lang w:val="en-AU"/>
                              </w:rPr>
                              <w:t xml:space="preserve">found that </w:t>
                            </w:r>
                            <w:r w:rsidR="00BF29BD">
                              <w:rPr>
                                <w:lang w:val="en-AU"/>
                              </w:rPr>
                              <w:t>the program was (and is) relevant in the Timor-Leste context. W</w:t>
                            </w:r>
                            <w:r w:rsidRPr="00CA1DCD">
                              <w:rPr>
                                <w:lang w:val="en-AU"/>
                              </w:rPr>
                              <w:t xml:space="preserve">hile </w:t>
                            </w:r>
                            <w:r w:rsidR="00BF29BD">
                              <w:rPr>
                                <w:lang w:val="en-AU"/>
                              </w:rPr>
                              <w:t>GfD</w:t>
                            </w:r>
                            <w:r w:rsidRPr="00CA1DCD">
                              <w:rPr>
                                <w:lang w:val="en-AU"/>
                              </w:rPr>
                              <w:t xml:space="preserve"> had made achievements in developing new laws, policies and systems, it had been less effective on their implementation. </w:t>
                            </w:r>
                            <w:r w:rsidR="00ED7B51">
                              <w:rPr>
                                <w:lang w:val="en-AU"/>
                              </w:rPr>
                              <w:t>The program was designed</w:t>
                            </w:r>
                            <w:r w:rsidRPr="00CA1DCD">
                              <w:rPr>
                                <w:lang w:val="en-AU"/>
                              </w:rPr>
                              <w:t xml:space="preserve"> to be adaptive and responsive, </w:t>
                            </w:r>
                            <w:r w:rsidR="00ED7B51">
                              <w:rPr>
                                <w:lang w:val="en-AU"/>
                              </w:rPr>
                              <w:t xml:space="preserve">though </w:t>
                            </w:r>
                            <w:r w:rsidRPr="00CA1DCD">
                              <w:rPr>
                                <w:lang w:val="en-AU"/>
                              </w:rPr>
                              <w:t>the review found that GfD’s approach was sometime</w:t>
                            </w:r>
                            <w:r>
                              <w:rPr>
                                <w:lang w:val="en-AU"/>
                              </w:rPr>
                              <w:t xml:space="preserve">s more reactive, and management decisions could have been bolstered by additional </w:t>
                            </w:r>
                            <w:r w:rsidR="00A902AC">
                              <w:rPr>
                                <w:lang w:val="en-AU"/>
                              </w:rPr>
                              <w:t xml:space="preserve">analysis, including more use </w:t>
                            </w:r>
                            <w:r w:rsidR="00ED7B51">
                              <w:rPr>
                                <w:lang w:val="en-AU"/>
                              </w:rPr>
                              <w:t xml:space="preserve">of formal </w:t>
                            </w:r>
                            <w:r w:rsidR="00A902AC">
                              <w:rPr>
                                <w:lang w:val="en-AU"/>
                              </w:rPr>
                              <w:t>political economy analysis.</w:t>
                            </w:r>
                          </w:p>
                          <w:p w14:paraId="6D0ACFFB" w14:textId="77777777" w:rsidR="00A902AC" w:rsidRDefault="00CA1DCD" w:rsidP="00CA1DCD">
                            <w:pPr>
                              <w:rPr>
                                <w:lang w:val="en-AU"/>
                              </w:rPr>
                            </w:pPr>
                            <w:r w:rsidRPr="00CA1DCD">
                              <w:rPr>
                                <w:lang w:val="en-AU"/>
                              </w:rPr>
                              <w:t xml:space="preserve">A significant success factor </w:t>
                            </w:r>
                            <w:r w:rsidR="00A902AC">
                              <w:rPr>
                                <w:lang w:val="en-AU"/>
                              </w:rPr>
                              <w:t>was</w:t>
                            </w:r>
                            <w:r w:rsidRPr="00CA1DCD">
                              <w:rPr>
                                <w:lang w:val="en-AU"/>
                              </w:rPr>
                              <w:t xml:space="preserve"> the quality of relationships and trust between GfD advisers and their GoTL counterparts, while it also used grant partners effectively to complement direct technical assistance. However, the review also found that GfD attempted to progress too many reforms simultaneously</w:t>
                            </w:r>
                            <w:r w:rsidR="00A902AC">
                              <w:rPr>
                                <w:lang w:val="en-AU"/>
                              </w:rPr>
                              <w:t xml:space="preserve"> and was often too optimistic regarding timeframes for success</w:t>
                            </w:r>
                            <w:r w:rsidR="00BF29BD">
                              <w:rPr>
                                <w:lang w:val="en-AU"/>
                              </w:rPr>
                              <w:t>. Additionally,</w:t>
                            </w:r>
                            <w:r w:rsidRPr="00CA1DCD">
                              <w:rPr>
                                <w:lang w:val="en-AU"/>
                              </w:rPr>
                              <w:t xml:space="preserve"> </w:t>
                            </w:r>
                            <w:r w:rsidR="00BF29BD">
                              <w:rPr>
                                <w:lang w:val="en-AU"/>
                              </w:rPr>
                              <w:t xml:space="preserve">the program </w:t>
                            </w:r>
                            <w:r w:rsidR="00D5602B">
                              <w:rPr>
                                <w:lang w:val="en-AU"/>
                              </w:rPr>
                              <w:t>w</w:t>
                            </w:r>
                            <w:r w:rsidRPr="00CA1DCD">
                              <w:rPr>
                                <w:lang w:val="en-AU"/>
                              </w:rPr>
                              <w:t>ould have benefited from a stronger strategic framework for prioritising reforms and activities.</w:t>
                            </w:r>
                            <w:r w:rsidR="00ED7B51">
                              <w:rPr>
                                <w:lang w:val="en-AU"/>
                              </w:rPr>
                              <w:t xml:space="preserve"> </w:t>
                            </w:r>
                            <w:r w:rsidR="00A902AC">
                              <w:rPr>
                                <w:lang w:val="en-AU"/>
                              </w:rPr>
                              <w:t xml:space="preserve">The review provided recommendations around </w:t>
                            </w:r>
                            <w:r w:rsidR="002A2BCD">
                              <w:rPr>
                                <w:lang w:val="en-AU"/>
                              </w:rPr>
                              <w:t xml:space="preserve">the resourcing and skills required to manage a </w:t>
                            </w:r>
                            <w:r w:rsidR="00BF29BD">
                              <w:rPr>
                                <w:lang w:val="en-AU"/>
                              </w:rPr>
                              <w:t xml:space="preserve">facility, and pointed to </w:t>
                            </w:r>
                            <w:r w:rsidR="002A2BCD">
                              <w:rPr>
                                <w:lang w:val="en-AU"/>
                              </w:rPr>
                              <w:t>recent improvements in</w:t>
                            </w:r>
                            <w:r w:rsidR="00AA4241">
                              <w:rPr>
                                <w:lang w:val="en-AU"/>
                              </w:rPr>
                              <w:t xml:space="preserve"> strategy, stakeholder engagement and</w:t>
                            </w:r>
                            <w:r w:rsidR="002A2BCD">
                              <w:rPr>
                                <w:lang w:val="en-AU"/>
                              </w:rPr>
                              <w:t xml:space="preserve"> monitoring and evaluation</w:t>
                            </w:r>
                            <w:r w:rsidR="00AA4241">
                              <w:rPr>
                                <w:lang w:val="en-AU"/>
                              </w:rPr>
                              <w:t>, including due to DFAT’s decision to bolster the size and skills of the program’s management team</w:t>
                            </w:r>
                            <w:r w:rsidR="002A2BCD">
                              <w:rPr>
                                <w:lang w:val="en-AU"/>
                              </w:rPr>
                              <w:t>.</w:t>
                            </w:r>
                          </w:p>
                          <w:p w14:paraId="52D9B543" w14:textId="63C7BE4A" w:rsidR="008601A7" w:rsidRDefault="008601A7" w:rsidP="00CA1DCD">
                            <w:pPr>
                              <w:rPr>
                                <w:lang w:val="en-AU"/>
                              </w:rPr>
                            </w:pPr>
                            <w:r>
                              <w:rPr>
                                <w:lang w:val="en-AU"/>
                              </w:rPr>
                              <w:t xml:space="preserve">On specific reform areas, the review found that GfD’s approach on </w:t>
                            </w:r>
                            <w:r w:rsidRPr="00B82A19">
                              <w:rPr>
                                <w:b/>
                                <w:lang w:val="en-AU"/>
                              </w:rPr>
                              <w:t>public financial management (PFM)</w:t>
                            </w:r>
                            <w:r>
                              <w:rPr>
                                <w:lang w:val="en-AU"/>
                              </w:rPr>
                              <w:t xml:space="preserve"> with the Prime Minister’s Office was appropriate given past bilateral sensitivities, however effort should </w:t>
                            </w:r>
                            <w:r w:rsidR="00D45758">
                              <w:rPr>
                                <w:lang w:val="en-AU"/>
                              </w:rPr>
                              <w:t>be made to advance</w:t>
                            </w:r>
                            <w:r>
                              <w:rPr>
                                <w:lang w:val="en-AU"/>
                              </w:rPr>
                              <w:t xml:space="preserve"> these gains while re-engaging more directly with the Ministry of Finance as the lead agency on PFM.</w:t>
                            </w:r>
                            <w:r w:rsidR="003A3D7A">
                              <w:rPr>
                                <w:lang w:val="en-AU"/>
                              </w:rPr>
                              <w:t xml:space="preserve"> This work would be </w:t>
                            </w:r>
                            <w:r w:rsidR="00B82A19">
                              <w:rPr>
                                <w:lang w:val="en-AU"/>
                              </w:rPr>
                              <w:t>strengthened by working more closely with Australia’s other bilateral programs</w:t>
                            </w:r>
                            <w:r w:rsidR="00D45758">
                              <w:rPr>
                                <w:lang w:val="en-AU"/>
                              </w:rPr>
                              <w:t>, particularly PARTISIPA and PHD,</w:t>
                            </w:r>
                            <w:r w:rsidR="00B82A19">
                              <w:rPr>
                                <w:lang w:val="en-AU"/>
                              </w:rPr>
                              <w:t xml:space="preserve"> and undertaking an updated study on “barriers to service delivery”. </w:t>
                            </w:r>
                            <w:r>
                              <w:rPr>
                                <w:lang w:val="en-AU"/>
                              </w:rPr>
                              <w:t xml:space="preserve">On </w:t>
                            </w:r>
                            <w:r w:rsidRPr="00B82A19">
                              <w:rPr>
                                <w:b/>
                                <w:lang w:val="en-AU"/>
                              </w:rPr>
                              <w:t>economic policy development and implementation</w:t>
                            </w:r>
                            <w:r>
                              <w:rPr>
                                <w:lang w:val="en-AU"/>
                              </w:rPr>
                              <w:t xml:space="preserve">, the review found that GfD targeted too many reform areas and would benefit from </w:t>
                            </w:r>
                            <w:r w:rsidR="003A3D7A">
                              <w:rPr>
                                <w:lang w:val="en-AU"/>
                              </w:rPr>
                              <w:t>a clearer strategic framework to help guide investment decision</w:t>
                            </w:r>
                            <w:r w:rsidR="00D5602B">
                              <w:rPr>
                                <w:lang w:val="en-AU"/>
                              </w:rPr>
                              <w:t>s</w:t>
                            </w:r>
                            <w:r w:rsidR="003A3D7A">
                              <w:rPr>
                                <w:lang w:val="en-AU"/>
                              </w:rPr>
                              <w:t xml:space="preserve"> in this area. The review highlighted some particularly effective activities, including the Australian Bureau of Statistics “twinning” with its GoTL counterpart, the influence of Monash University’s economic research on GoTL, the private sector and civil society, and improvements in Timor-Leste’s management of the aviation sector, including on safety and security.</w:t>
                            </w:r>
                          </w:p>
                          <w:p w14:paraId="050BA688" w14:textId="77777777" w:rsidR="003A3D7A" w:rsidRPr="00ED7B51" w:rsidRDefault="003A3D7A" w:rsidP="00CA1DCD">
                            <w:pPr>
                              <w:rPr>
                                <w:lang w:val="en-AU"/>
                              </w:rPr>
                            </w:pPr>
                            <w:r>
                              <w:rPr>
                                <w:lang w:val="en-AU"/>
                              </w:rPr>
                              <w:t>Australia’s long-standing relationship</w:t>
                            </w:r>
                            <w:r w:rsidR="0028651C">
                              <w:rPr>
                                <w:lang w:val="en-AU"/>
                              </w:rPr>
                              <w:t xml:space="preserve"> with Timor-Leste</w:t>
                            </w:r>
                            <w:r>
                              <w:rPr>
                                <w:lang w:val="en-AU"/>
                              </w:rPr>
                              <w:t xml:space="preserve"> in </w:t>
                            </w:r>
                            <w:r w:rsidRPr="00B82A19">
                              <w:rPr>
                                <w:b/>
                                <w:lang w:val="en-AU"/>
                              </w:rPr>
                              <w:t>public administration reform</w:t>
                            </w:r>
                            <w:r>
                              <w:rPr>
                                <w:lang w:val="en-AU"/>
                              </w:rPr>
                              <w:t xml:space="preserve"> was found to be an area that could consolidate in the future, particularly as GoTL policies and systems are maturing. The review recommended that gains be protected, and a more targeted review of Australia’s support in this area be completed to help guide GfD2.</w:t>
                            </w:r>
                            <w:r w:rsidR="00B82A19">
                              <w:rPr>
                                <w:lang w:val="en-AU"/>
                              </w:rPr>
                              <w:t xml:space="preserve"> </w:t>
                            </w:r>
                            <w:r>
                              <w:rPr>
                                <w:lang w:val="en-AU"/>
                              </w:rPr>
                              <w:t xml:space="preserve">Finally, the review complemented </w:t>
                            </w:r>
                            <w:r w:rsidR="00AB6C5E">
                              <w:rPr>
                                <w:lang w:val="en-AU"/>
                              </w:rPr>
                              <w:t xml:space="preserve">GfD’s </w:t>
                            </w:r>
                            <w:r w:rsidR="00F5521F">
                              <w:rPr>
                                <w:lang w:val="en-AU"/>
                              </w:rPr>
                              <w:t xml:space="preserve">efforts to strengthen its consideration of </w:t>
                            </w:r>
                            <w:r w:rsidR="00383480">
                              <w:rPr>
                                <w:b/>
                                <w:lang w:val="en-AU"/>
                              </w:rPr>
                              <w:t>gender and social inclusion</w:t>
                            </w:r>
                            <w:r w:rsidR="00F5521F">
                              <w:rPr>
                                <w:lang w:val="en-AU"/>
                              </w:rPr>
                              <w:t xml:space="preserve"> across all activities, and as a priority in inclusive policy development. </w:t>
                            </w:r>
                            <w:r w:rsidR="00B82A19">
                              <w:rPr>
                                <w:lang w:val="en-AU"/>
                              </w:rPr>
                              <w:t>GfD2 should continue this approach.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449DB3" id="_x0000_s1027" type="#_x0000_t202" style="position:absolute;margin-left:428.8pt;margin-top:46.1pt;width:480pt;height:454.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">
                <v:textbox>
                  <w:txbxContent>
                    <w:p w14:paraId="5ADC25A1" w14:textId="77777777" w:rsidR="00A902AC" w:rsidRPr="00A902AC" w:rsidRDefault="00965EFC" w:rsidP="00A902AC">
                      <w:pPr>
                        <w:jc w:val="center"/>
                        <w:rPr>
                          <w:b/>
                          <w:lang w:val="en-AU"/>
                        </w:rPr>
                      </w:pPr>
                      <w:r>
                        <w:rPr>
                          <w:b/>
                          <w:lang w:val="en-AU"/>
                        </w:rPr>
                        <w:t>Box 2</w:t>
                      </w:r>
                      <w:r w:rsidR="00A902AC">
                        <w:rPr>
                          <w:b/>
                          <w:lang w:val="en-AU"/>
                        </w:rPr>
                        <w:t xml:space="preserve"> – Governance for Development (AUD72 million, 2013-21)</w:t>
                      </w:r>
                    </w:p>
                    <w:p w14:paraId="4A9C663B" w14:textId="77777777" w:rsidR="00CA1DCD" w:rsidRDefault="00CA1DCD" w:rsidP="00CA1DCD">
                      <w:pPr>
                        <w:rPr>
                          <w:lang w:val="en-AU"/>
                        </w:rPr>
                      </w:pPr>
                      <w:r w:rsidRPr="00CA1DCD">
                        <w:rPr>
                          <w:lang w:val="en-AU"/>
                        </w:rPr>
                        <w:t xml:space="preserve">The </w:t>
                      </w:r>
                      <w:r w:rsidR="00ED7B51">
                        <w:rPr>
                          <w:lang w:val="en-AU"/>
                        </w:rPr>
                        <w:t xml:space="preserve">2020 </w:t>
                      </w:r>
                      <w:r w:rsidRPr="00CA1DCD">
                        <w:rPr>
                          <w:lang w:val="en-AU"/>
                        </w:rPr>
                        <w:t>independ</w:t>
                      </w:r>
                      <w:r w:rsidR="00ED7B51">
                        <w:rPr>
                          <w:lang w:val="en-AU"/>
                        </w:rPr>
                        <w:t xml:space="preserve">ent review </w:t>
                      </w:r>
                      <w:r w:rsidR="00A902AC">
                        <w:rPr>
                          <w:lang w:val="en-AU"/>
                        </w:rPr>
                        <w:t xml:space="preserve">of GfD </w:t>
                      </w:r>
                      <w:r w:rsidRPr="00CA1DCD">
                        <w:rPr>
                          <w:lang w:val="en-AU"/>
                        </w:rPr>
                        <w:t xml:space="preserve">found that </w:t>
                      </w:r>
                      <w:r w:rsidR="00BF29BD">
                        <w:rPr>
                          <w:lang w:val="en-AU"/>
                        </w:rPr>
                        <w:t>the program was (and is) relevant in the Timor-Leste context. W</w:t>
                      </w:r>
                      <w:r w:rsidRPr="00CA1DCD">
                        <w:rPr>
                          <w:lang w:val="en-AU"/>
                        </w:rPr>
                        <w:t xml:space="preserve">hile </w:t>
                      </w:r>
                      <w:r w:rsidR="00BF29BD">
                        <w:rPr>
                          <w:lang w:val="en-AU"/>
                        </w:rPr>
                        <w:t>GfD</w:t>
                      </w:r>
                      <w:r w:rsidRPr="00CA1DCD">
                        <w:rPr>
                          <w:lang w:val="en-AU"/>
                        </w:rPr>
                        <w:t xml:space="preserve"> had made achievements in developing new laws, policies and systems, it had been less effective on their implementation. </w:t>
                      </w:r>
                      <w:r w:rsidR="00ED7B51">
                        <w:rPr>
                          <w:lang w:val="en-AU"/>
                        </w:rPr>
                        <w:t>The program was designed</w:t>
                      </w:r>
                      <w:r w:rsidRPr="00CA1DCD">
                        <w:rPr>
                          <w:lang w:val="en-AU"/>
                        </w:rPr>
                        <w:t xml:space="preserve"> to be adaptive and responsive, </w:t>
                      </w:r>
                      <w:r w:rsidR="00ED7B51">
                        <w:rPr>
                          <w:lang w:val="en-AU"/>
                        </w:rPr>
                        <w:t xml:space="preserve">though </w:t>
                      </w:r>
                      <w:r w:rsidRPr="00CA1DCD">
                        <w:rPr>
                          <w:lang w:val="en-AU"/>
                        </w:rPr>
                        <w:t>the review found that GfD’s approach was sometime</w:t>
                      </w:r>
                      <w:r>
                        <w:rPr>
                          <w:lang w:val="en-AU"/>
                        </w:rPr>
                        <w:t xml:space="preserve">s more reactive, and management decisions could have been bolstered by additional </w:t>
                      </w:r>
                      <w:r w:rsidR="00A902AC">
                        <w:rPr>
                          <w:lang w:val="en-AU"/>
                        </w:rPr>
                        <w:t xml:space="preserve">analysis, including more use </w:t>
                      </w:r>
                      <w:r w:rsidR="00ED7B51">
                        <w:rPr>
                          <w:lang w:val="en-AU"/>
                        </w:rPr>
                        <w:t xml:space="preserve">of formal </w:t>
                      </w:r>
                      <w:r w:rsidR="00A902AC">
                        <w:rPr>
                          <w:lang w:val="en-AU"/>
                        </w:rPr>
                        <w:t>political economy analysis.</w:t>
                      </w:r>
                    </w:p>
                    <w:p w14:paraId="6D0ACFFB" w14:textId="77777777" w:rsidR="00A902AC" w:rsidRDefault="00CA1DCD" w:rsidP="00CA1DCD">
                      <w:pPr>
                        <w:rPr>
                          <w:lang w:val="en-AU"/>
                        </w:rPr>
                      </w:pPr>
                      <w:r w:rsidRPr="00CA1DCD">
                        <w:rPr>
                          <w:lang w:val="en-AU"/>
                        </w:rPr>
                        <w:t xml:space="preserve">A significant success factor </w:t>
                      </w:r>
                      <w:r w:rsidR="00A902AC">
                        <w:rPr>
                          <w:lang w:val="en-AU"/>
                        </w:rPr>
                        <w:t>was</w:t>
                      </w:r>
                      <w:r w:rsidRPr="00CA1DCD">
                        <w:rPr>
                          <w:lang w:val="en-AU"/>
                        </w:rPr>
                        <w:t xml:space="preserve"> the quality of relationships and trust between GfD advisers and their GoTL counterparts, while it also used grant partners effectively to complement direct technical assistance. However, the review also found that GfD attempted to progress too many reforms simultaneously</w:t>
                      </w:r>
                      <w:r w:rsidR="00A902AC">
                        <w:rPr>
                          <w:lang w:val="en-AU"/>
                        </w:rPr>
                        <w:t xml:space="preserve"> and was often too optimistic regarding timeframes for success</w:t>
                      </w:r>
                      <w:r w:rsidR="00BF29BD">
                        <w:rPr>
                          <w:lang w:val="en-AU"/>
                        </w:rPr>
                        <w:t>. Additionally,</w:t>
                      </w:r>
                      <w:r w:rsidRPr="00CA1DCD">
                        <w:rPr>
                          <w:lang w:val="en-AU"/>
                        </w:rPr>
                        <w:t xml:space="preserve"> </w:t>
                      </w:r>
                      <w:r w:rsidR="00BF29BD">
                        <w:rPr>
                          <w:lang w:val="en-AU"/>
                        </w:rPr>
                        <w:t xml:space="preserve">the program </w:t>
                      </w:r>
                      <w:r w:rsidR="00D5602B">
                        <w:rPr>
                          <w:lang w:val="en-AU"/>
                        </w:rPr>
                        <w:t>w</w:t>
                      </w:r>
                      <w:r w:rsidRPr="00CA1DCD">
                        <w:rPr>
                          <w:lang w:val="en-AU"/>
                        </w:rPr>
                        <w:t>ould have benefited from a stronger strategic framework for prioritising reforms and activities.</w:t>
                      </w:r>
                      <w:r w:rsidR="00ED7B51">
                        <w:rPr>
                          <w:lang w:val="en-AU"/>
                        </w:rPr>
                        <w:t xml:space="preserve"> </w:t>
                      </w:r>
                      <w:r w:rsidR="00A902AC">
                        <w:rPr>
                          <w:lang w:val="en-AU"/>
                        </w:rPr>
                        <w:t xml:space="preserve">The review provided recommendations around </w:t>
                      </w:r>
                      <w:r w:rsidR="002A2BCD">
                        <w:rPr>
                          <w:lang w:val="en-AU"/>
                        </w:rPr>
                        <w:t xml:space="preserve">the resourcing and skills required to manage a </w:t>
                      </w:r>
                      <w:r w:rsidR="00BF29BD">
                        <w:rPr>
                          <w:lang w:val="en-AU"/>
                        </w:rPr>
                        <w:t xml:space="preserve">facility, and pointed to </w:t>
                      </w:r>
                      <w:r w:rsidR="002A2BCD">
                        <w:rPr>
                          <w:lang w:val="en-AU"/>
                        </w:rPr>
                        <w:t>recent improvements in</w:t>
                      </w:r>
                      <w:r w:rsidR="00AA4241">
                        <w:rPr>
                          <w:lang w:val="en-AU"/>
                        </w:rPr>
                        <w:t xml:space="preserve"> strategy, stakeholder engagement and</w:t>
                      </w:r>
                      <w:r w:rsidR="002A2BCD">
                        <w:rPr>
                          <w:lang w:val="en-AU"/>
                        </w:rPr>
                        <w:t xml:space="preserve"> monitoring and evaluation</w:t>
                      </w:r>
                      <w:r w:rsidR="00AA4241">
                        <w:rPr>
                          <w:lang w:val="en-AU"/>
                        </w:rPr>
                        <w:t>, including due to DFAT’s decision to bolster the size and skills of the program’s management team</w:t>
                      </w:r>
                      <w:r w:rsidR="002A2BCD">
                        <w:rPr>
                          <w:lang w:val="en-AU"/>
                        </w:rPr>
                        <w:t>.</w:t>
                      </w:r>
                    </w:p>
                    <w:p w14:paraId="52D9B543" w14:textId="63C7BE4A" w:rsidR="008601A7" w:rsidRDefault="008601A7" w:rsidP="00CA1DCD">
                      <w:pPr>
                        <w:rPr>
                          <w:lang w:val="en-AU"/>
                        </w:rPr>
                      </w:pPr>
                      <w:r>
                        <w:rPr>
                          <w:lang w:val="en-AU"/>
                        </w:rPr>
                        <w:t xml:space="preserve">On specific reform areas, the review found that GfD’s approach on </w:t>
                      </w:r>
                      <w:r w:rsidRPr="00B82A19">
                        <w:rPr>
                          <w:b/>
                          <w:lang w:val="en-AU"/>
                        </w:rPr>
                        <w:t>public financial management (PFM)</w:t>
                      </w:r>
                      <w:r>
                        <w:rPr>
                          <w:lang w:val="en-AU"/>
                        </w:rPr>
                        <w:t xml:space="preserve"> with the Prime Minister’s Office was appropriate given past bilateral sensitivities, however effort should </w:t>
                      </w:r>
                      <w:r w:rsidR="00D45758">
                        <w:rPr>
                          <w:lang w:val="en-AU"/>
                        </w:rPr>
                        <w:t>be made to advance</w:t>
                      </w:r>
                      <w:r>
                        <w:rPr>
                          <w:lang w:val="en-AU"/>
                        </w:rPr>
                        <w:t xml:space="preserve"> these gains while re-engaging more directly with the Ministry of Finance as the lead agency on PFM.</w:t>
                      </w:r>
                      <w:r w:rsidR="003A3D7A">
                        <w:rPr>
                          <w:lang w:val="en-AU"/>
                        </w:rPr>
                        <w:t xml:space="preserve"> This work would be </w:t>
                      </w:r>
                      <w:r w:rsidR="00B82A19">
                        <w:rPr>
                          <w:lang w:val="en-AU"/>
                        </w:rPr>
                        <w:t>strengthened by working more closely with Australia’s other bilateral programs</w:t>
                      </w:r>
                      <w:r w:rsidR="00D45758">
                        <w:rPr>
                          <w:lang w:val="en-AU"/>
                        </w:rPr>
                        <w:t>, particularly PARTISIPA and PHD,</w:t>
                      </w:r>
                      <w:r w:rsidR="00B82A19">
                        <w:rPr>
                          <w:lang w:val="en-AU"/>
                        </w:rPr>
                        <w:t xml:space="preserve"> and undertaking an updated study on “barriers to service delivery”. </w:t>
                      </w:r>
                      <w:r>
                        <w:rPr>
                          <w:lang w:val="en-AU"/>
                        </w:rPr>
                        <w:t xml:space="preserve">On </w:t>
                      </w:r>
                      <w:r w:rsidRPr="00B82A19">
                        <w:rPr>
                          <w:b/>
                          <w:lang w:val="en-AU"/>
                        </w:rPr>
                        <w:t>economic policy development and implementation</w:t>
                      </w:r>
                      <w:r>
                        <w:rPr>
                          <w:lang w:val="en-AU"/>
                        </w:rPr>
                        <w:t xml:space="preserve">, the review found that GfD targeted too many reform areas and would benefit from </w:t>
                      </w:r>
                      <w:r w:rsidR="003A3D7A">
                        <w:rPr>
                          <w:lang w:val="en-AU"/>
                        </w:rPr>
                        <w:t>a clearer strategic framework to help guide investment decision</w:t>
                      </w:r>
                      <w:r w:rsidR="00D5602B">
                        <w:rPr>
                          <w:lang w:val="en-AU"/>
                        </w:rPr>
                        <w:t>s</w:t>
                      </w:r>
                      <w:r w:rsidR="003A3D7A">
                        <w:rPr>
                          <w:lang w:val="en-AU"/>
                        </w:rPr>
                        <w:t xml:space="preserve"> in this area. The review highlighted some particularly effective activities, including the Australian Bureau of Statistics “twinning” with its GoTL counterpart, the influence of Monash University’s economic research on GoTL, the private sector and civil society, and improvements in Timor-Leste’s management of the aviation sector, including on safety and security.</w:t>
                      </w:r>
                    </w:p>
                    <w:p w14:paraId="050BA688" w14:textId="77777777" w:rsidR="003A3D7A" w:rsidRPr="00ED7B51" w:rsidRDefault="003A3D7A" w:rsidP="00CA1DCD">
                      <w:pPr>
                        <w:rPr>
                          <w:lang w:val="en-AU"/>
                        </w:rPr>
                      </w:pPr>
                      <w:r>
                        <w:rPr>
                          <w:lang w:val="en-AU"/>
                        </w:rPr>
                        <w:t>Australia’s long-standing relationship</w:t>
                      </w:r>
                      <w:r w:rsidR="0028651C">
                        <w:rPr>
                          <w:lang w:val="en-AU"/>
                        </w:rPr>
                        <w:t xml:space="preserve"> with Timor-Leste</w:t>
                      </w:r>
                      <w:r>
                        <w:rPr>
                          <w:lang w:val="en-AU"/>
                        </w:rPr>
                        <w:t xml:space="preserve"> in </w:t>
                      </w:r>
                      <w:r w:rsidRPr="00B82A19">
                        <w:rPr>
                          <w:b/>
                          <w:lang w:val="en-AU"/>
                        </w:rPr>
                        <w:t>public administration reform</w:t>
                      </w:r>
                      <w:r>
                        <w:rPr>
                          <w:lang w:val="en-AU"/>
                        </w:rPr>
                        <w:t xml:space="preserve"> was found to be an area that could consolidate in the future, particularly as GoTL policies and systems are maturing. The review recommended that gains be protected, and a more targeted review of Australia’s support in this area be completed to help guide GfD2.</w:t>
                      </w:r>
                      <w:r w:rsidR="00B82A19">
                        <w:rPr>
                          <w:lang w:val="en-AU"/>
                        </w:rPr>
                        <w:t xml:space="preserve"> </w:t>
                      </w:r>
                      <w:r>
                        <w:rPr>
                          <w:lang w:val="en-AU"/>
                        </w:rPr>
                        <w:t xml:space="preserve">Finally, the review complemented </w:t>
                      </w:r>
                      <w:r w:rsidR="00AB6C5E">
                        <w:rPr>
                          <w:lang w:val="en-AU"/>
                        </w:rPr>
                        <w:t xml:space="preserve">GfD’s </w:t>
                      </w:r>
                      <w:r w:rsidR="00F5521F">
                        <w:rPr>
                          <w:lang w:val="en-AU"/>
                        </w:rPr>
                        <w:t xml:space="preserve">efforts to strengthen its consideration of </w:t>
                      </w:r>
                      <w:r w:rsidR="00383480">
                        <w:rPr>
                          <w:b/>
                          <w:lang w:val="en-AU"/>
                        </w:rPr>
                        <w:t>gender and social inclusion</w:t>
                      </w:r>
                      <w:r w:rsidR="00F5521F">
                        <w:rPr>
                          <w:lang w:val="en-AU"/>
                        </w:rPr>
                        <w:t xml:space="preserve"> across all activities, and as a priority in inclusive policy development. </w:t>
                      </w:r>
                      <w:r w:rsidR="00B82A19">
                        <w:rPr>
                          <w:lang w:val="en-AU"/>
                        </w:rPr>
                        <w:t>GfD2 should continue this approach.</w:t>
                      </w:r>
                    </w:p>
                  </w:txbxContent>
                </v:textbox>
                <w10:wrap type="square" anchorx="margin"/>
              </v:shape>
            </w:pict>
          </mc:Fallback>
        </mc:AlternateContent>
      </w:r>
      <w:r w:rsidR="00A44191">
        <w:rPr>
          <w:rFonts w:eastAsia="Times New Roman" w:cs="Arial"/>
          <w:sz w:val="21"/>
          <w:szCs w:val="21"/>
          <w:lang w:val="en-AU" w:eastAsia="en-AU"/>
        </w:rPr>
        <w:t>GfD2</w:t>
      </w:r>
      <w:r w:rsidR="000674F5" w:rsidRPr="000674F5">
        <w:rPr>
          <w:rFonts w:eastAsia="Times New Roman" w:cs="Arial"/>
          <w:sz w:val="21"/>
          <w:szCs w:val="21"/>
          <w:lang w:val="en-AU" w:eastAsia="en-AU"/>
        </w:rPr>
        <w:t xml:space="preserve"> will </w:t>
      </w:r>
      <w:r w:rsidR="00D0367B">
        <w:rPr>
          <w:rFonts w:eastAsia="Times New Roman" w:cs="Arial"/>
          <w:sz w:val="21"/>
          <w:szCs w:val="21"/>
          <w:lang w:val="en-AU" w:eastAsia="en-AU"/>
        </w:rPr>
        <w:t xml:space="preserve">also </w:t>
      </w:r>
      <w:r w:rsidR="000674F5" w:rsidRPr="000674F5">
        <w:rPr>
          <w:rFonts w:eastAsia="Times New Roman" w:cs="Arial"/>
          <w:sz w:val="21"/>
          <w:szCs w:val="21"/>
          <w:lang w:val="en-AU" w:eastAsia="en-AU"/>
        </w:rPr>
        <w:t xml:space="preserve">build on </w:t>
      </w:r>
      <w:r w:rsidR="00A44191">
        <w:rPr>
          <w:rFonts w:eastAsia="Times New Roman" w:cs="Arial"/>
          <w:sz w:val="21"/>
          <w:szCs w:val="21"/>
          <w:lang w:val="en-AU" w:eastAsia="en-AU"/>
        </w:rPr>
        <w:t>Australia’</w:t>
      </w:r>
      <w:r w:rsidR="00C334EA">
        <w:rPr>
          <w:rFonts w:eastAsia="Times New Roman" w:cs="Arial"/>
          <w:sz w:val="21"/>
          <w:szCs w:val="21"/>
          <w:lang w:val="en-AU" w:eastAsia="en-AU"/>
        </w:rPr>
        <w:t>s previous governance support</w:t>
      </w:r>
      <w:r w:rsidR="00B12DE1">
        <w:rPr>
          <w:rFonts w:eastAsia="Times New Roman" w:cs="Arial"/>
          <w:sz w:val="21"/>
          <w:szCs w:val="21"/>
          <w:lang w:val="en-AU" w:eastAsia="en-AU"/>
        </w:rPr>
        <w:t>, including what we have l</w:t>
      </w:r>
      <w:r w:rsidR="00951CEC">
        <w:rPr>
          <w:rFonts w:eastAsia="Times New Roman" w:cs="Arial"/>
          <w:sz w:val="21"/>
          <w:szCs w:val="21"/>
          <w:lang w:val="en-AU" w:eastAsia="en-AU"/>
        </w:rPr>
        <w:t>earnt and achieved through GfD</w:t>
      </w:r>
      <w:r w:rsidR="00CE24DC">
        <w:rPr>
          <w:rFonts w:eastAsia="Times New Roman" w:cs="Arial"/>
          <w:sz w:val="21"/>
          <w:szCs w:val="21"/>
          <w:lang w:val="en-AU" w:eastAsia="en-AU"/>
        </w:rPr>
        <w:t xml:space="preserve"> – see Box </w:t>
      </w:r>
      <w:r w:rsidR="00A45A56">
        <w:rPr>
          <w:rFonts w:eastAsia="Times New Roman" w:cs="Arial"/>
          <w:sz w:val="21"/>
          <w:szCs w:val="21"/>
          <w:lang w:val="en-AU" w:eastAsia="en-AU"/>
        </w:rPr>
        <w:t>2</w:t>
      </w:r>
      <w:r w:rsidR="00CE24DC">
        <w:rPr>
          <w:rFonts w:eastAsia="Times New Roman" w:cs="Arial"/>
          <w:sz w:val="21"/>
          <w:szCs w:val="21"/>
          <w:lang w:val="en-AU" w:eastAsia="en-AU"/>
        </w:rPr>
        <w:t xml:space="preserve"> below</w:t>
      </w:r>
      <w:r w:rsidR="00951CEC">
        <w:rPr>
          <w:rFonts w:eastAsia="Times New Roman" w:cs="Arial"/>
          <w:sz w:val="21"/>
          <w:szCs w:val="21"/>
          <w:lang w:val="en-AU" w:eastAsia="en-AU"/>
        </w:rPr>
        <w:t>.</w:t>
      </w:r>
    </w:p>
    <w:p w14:paraId="105C0940" w14:textId="77777777" w:rsidR="00A4569F" w:rsidRDefault="00D349EF" w:rsidP="008B4B3A">
      <w:pPr>
        <w:tabs>
          <w:tab w:val="left" w:pos="284"/>
        </w:tabs>
        <w:suppressAutoHyphens w:val="0"/>
        <w:spacing w:before="0" w:line="280" w:lineRule="exact"/>
        <w:rPr>
          <w:rFonts w:eastAsia="Times New Roman" w:cs="Arial"/>
          <w:sz w:val="21"/>
          <w:szCs w:val="21"/>
          <w:lang w:val="en-AU" w:eastAsia="en-AU"/>
        </w:rPr>
      </w:pPr>
      <w:r>
        <w:rPr>
          <w:rFonts w:eastAsia="Times New Roman" w:cs="Arial"/>
          <w:sz w:val="21"/>
          <w:szCs w:val="21"/>
          <w:lang w:val="en-AU" w:eastAsia="en-AU"/>
        </w:rPr>
        <w:t>In addition to identifying reform pathways, the program will</w:t>
      </w:r>
      <w:r w:rsidR="00DF0AD5">
        <w:rPr>
          <w:rFonts w:eastAsia="Times New Roman" w:cs="Arial"/>
          <w:sz w:val="21"/>
          <w:szCs w:val="21"/>
          <w:lang w:val="en-AU" w:eastAsia="en-AU"/>
        </w:rPr>
        <w:t xml:space="preserve"> </w:t>
      </w:r>
      <w:r w:rsidR="00BE1B4F">
        <w:rPr>
          <w:rFonts w:eastAsia="Times New Roman" w:cs="Arial"/>
          <w:sz w:val="21"/>
          <w:szCs w:val="21"/>
          <w:lang w:val="en-AU" w:eastAsia="en-AU"/>
        </w:rPr>
        <w:t>consider “value for money”</w:t>
      </w:r>
      <w:r w:rsidR="00D04B48">
        <w:rPr>
          <w:rFonts w:eastAsia="Times New Roman" w:cs="Arial"/>
          <w:sz w:val="21"/>
          <w:szCs w:val="21"/>
          <w:lang w:val="en-AU" w:eastAsia="en-AU"/>
        </w:rPr>
        <w:t xml:space="preserve"> (VfM)</w:t>
      </w:r>
      <w:r w:rsidR="00BE1B4F">
        <w:rPr>
          <w:rFonts w:eastAsia="Times New Roman" w:cs="Arial"/>
          <w:sz w:val="21"/>
          <w:szCs w:val="21"/>
          <w:lang w:val="en-AU" w:eastAsia="en-AU"/>
        </w:rPr>
        <w:t xml:space="preserve"> when assessing spending decisions. Given the nature of the program and the complex development environment, GfD</w:t>
      </w:r>
      <w:r w:rsidR="00A75496">
        <w:rPr>
          <w:rFonts w:eastAsia="Times New Roman" w:cs="Arial"/>
          <w:sz w:val="21"/>
          <w:szCs w:val="21"/>
          <w:lang w:val="en-AU" w:eastAsia="en-AU"/>
        </w:rPr>
        <w:t>2</w:t>
      </w:r>
      <w:r w:rsidR="00BE1B4F">
        <w:rPr>
          <w:rFonts w:eastAsia="Times New Roman" w:cs="Arial"/>
          <w:sz w:val="21"/>
          <w:szCs w:val="21"/>
          <w:lang w:val="en-AU" w:eastAsia="en-AU"/>
        </w:rPr>
        <w:t xml:space="preserve"> will also</w:t>
      </w:r>
      <w:r>
        <w:rPr>
          <w:rFonts w:eastAsia="Times New Roman" w:cs="Arial"/>
          <w:sz w:val="21"/>
          <w:szCs w:val="21"/>
          <w:lang w:val="en-AU" w:eastAsia="en-AU"/>
        </w:rPr>
        <w:t xml:space="preserve"> “think and work politically”</w:t>
      </w:r>
      <w:r w:rsidR="00E501B2">
        <w:rPr>
          <w:rFonts w:eastAsia="Times New Roman" w:cs="Arial"/>
          <w:sz w:val="21"/>
          <w:szCs w:val="21"/>
          <w:lang w:val="en-AU" w:eastAsia="en-AU"/>
        </w:rPr>
        <w:t xml:space="preserve"> (TWP)</w:t>
      </w:r>
      <w:r w:rsidR="00BE1B4F">
        <w:rPr>
          <w:rFonts w:eastAsia="Times New Roman" w:cs="Arial"/>
          <w:sz w:val="21"/>
          <w:szCs w:val="21"/>
          <w:lang w:val="en-AU" w:eastAsia="en-AU"/>
        </w:rPr>
        <w:t xml:space="preserve"> by reviewing spending</w:t>
      </w:r>
      <w:r w:rsidR="00817436">
        <w:rPr>
          <w:rFonts w:eastAsia="Times New Roman" w:cs="Arial"/>
          <w:sz w:val="21"/>
          <w:szCs w:val="21"/>
          <w:lang w:val="en-AU" w:eastAsia="en-AU"/>
        </w:rPr>
        <w:t xml:space="preserve"> decisions through the lens of </w:t>
      </w:r>
      <w:r w:rsidR="00BE1B4F">
        <w:rPr>
          <w:rFonts w:eastAsia="Times New Roman" w:cs="Arial"/>
          <w:sz w:val="21"/>
          <w:szCs w:val="21"/>
          <w:lang w:val="en-AU" w:eastAsia="en-AU"/>
        </w:rPr>
        <w:t>what is</w:t>
      </w:r>
      <w:r>
        <w:rPr>
          <w:rFonts w:eastAsia="Times New Roman" w:cs="Arial"/>
          <w:sz w:val="21"/>
          <w:szCs w:val="21"/>
          <w:lang w:val="en-AU" w:eastAsia="en-AU"/>
        </w:rPr>
        <w:t xml:space="preserve"> </w:t>
      </w:r>
      <w:r w:rsidR="003A04E3">
        <w:rPr>
          <w:rFonts w:eastAsia="Times New Roman" w:cs="Arial"/>
          <w:sz w:val="21"/>
          <w:szCs w:val="21"/>
          <w:lang w:val="en-AU" w:eastAsia="en-AU"/>
        </w:rPr>
        <w:t xml:space="preserve">both </w:t>
      </w:r>
      <w:r>
        <w:rPr>
          <w:rFonts w:eastAsia="Times New Roman" w:cs="Arial"/>
          <w:sz w:val="21"/>
          <w:szCs w:val="21"/>
          <w:lang w:val="en-AU" w:eastAsia="en-AU"/>
        </w:rPr>
        <w:t>politically pos</w:t>
      </w:r>
      <w:r w:rsidR="00CC6720">
        <w:rPr>
          <w:rFonts w:eastAsia="Times New Roman" w:cs="Arial"/>
          <w:sz w:val="21"/>
          <w:szCs w:val="21"/>
          <w:lang w:val="en-AU" w:eastAsia="en-AU"/>
        </w:rPr>
        <w:t>sible and technically feasible.</w:t>
      </w:r>
      <w:r w:rsidR="00E501B2">
        <w:rPr>
          <w:rFonts w:eastAsia="Times New Roman" w:cs="Arial"/>
          <w:sz w:val="21"/>
          <w:szCs w:val="21"/>
          <w:lang w:val="en-AU" w:eastAsia="en-AU"/>
        </w:rPr>
        <w:t xml:space="preserve"> The program will draw on the experience of GfD to ensure TWP is mainstreamed into program governance arrangements, including appropriate contestability of decisions. </w:t>
      </w:r>
      <w:r w:rsidR="00162BF7">
        <w:rPr>
          <w:rFonts w:eastAsia="Times New Roman" w:cs="Arial"/>
          <w:sz w:val="21"/>
          <w:szCs w:val="21"/>
          <w:lang w:val="en-AU" w:eastAsia="en-AU"/>
        </w:rPr>
        <w:t>The program will be strategically opportunistic to support potential high impact reforms that deliver economic growth and diversification</w:t>
      </w:r>
      <w:r w:rsidR="00E6103A">
        <w:rPr>
          <w:rFonts w:eastAsia="Times New Roman" w:cs="Arial"/>
          <w:sz w:val="21"/>
          <w:szCs w:val="21"/>
          <w:lang w:val="en-AU" w:eastAsia="en-AU"/>
        </w:rPr>
        <w:t xml:space="preserve"> that are politically feasible</w:t>
      </w:r>
      <w:r w:rsidR="00162BF7">
        <w:rPr>
          <w:rFonts w:eastAsia="Times New Roman" w:cs="Arial"/>
          <w:sz w:val="21"/>
          <w:szCs w:val="21"/>
          <w:lang w:val="en-AU" w:eastAsia="en-AU"/>
        </w:rPr>
        <w:t>.</w:t>
      </w:r>
    </w:p>
    <w:p w14:paraId="35DB9472" w14:textId="77777777" w:rsidR="001E5C75" w:rsidRDefault="001E5C75" w:rsidP="008B4B3A">
      <w:pPr>
        <w:tabs>
          <w:tab w:val="left" w:pos="284"/>
        </w:tabs>
        <w:suppressAutoHyphens w:val="0"/>
        <w:spacing w:before="0" w:line="280" w:lineRule="exact"/>
        <w:rPr>
          <w:rFonts w:eastAsia="Times New Roman" w:cs="Arial"/>
          <w:sz w:val="21"/>
          <w:szCs w:val="21"/>
          <w:lang w:val="en-AU" w:eastAsia="en-AU"/>
        </w:rPr>
      </w:pPr>
    </w:p>
    <w:p w14:paraId="43DABC18" w14:textId="77777777" w:rsidR="00490CDB" w:rsidRPr="00490CDB" w:rsidRDefault="00BE4DC3" w:rsidP="00490CDB">
      <w:pPr>
        <w:numPr>
          <w:ilvl w:val="0"/>
          <w:numId w:val="38"/>
        </w:numPr>
        <w:pBdr>
          <w:top w:val="single" w:sz="4" w:space="1" w:color="677370" w:themeColor="background2" w:themeShade="80"/>
          <w:left w:val="single" w:sz="4" w:space="4" w:color="677370" w:themeColor="background2" w:themeShade="80"/>
          <w:bottom w:val="single" w:sz="4" w:space="1" w:color="677370" w:themeColor="background2" w:themeShade="80"/>
          <w:right w:val="single" w:sz="4" w:space="4" w:color="677370" w:themeColor="background2" w:themeShade="80"/>
        </w:pBdr>
        <w:shd w:val="clear" w:color="auto" w:fill="E0F3EF" w:themeFill="accent1" w:themeFillTint="33"/>
        <w:spacing w:after="120"/>
        <w:ind w:left="284" w:hanging="284"/>
        <w:rPr>
          <w:rFonts w:asciiTheme="majorHAnsi" w:eastAsia="Times New Roman" w:hAnsiTheme="majorHAnsi" w:cs="Arial"/>
        </w:rPr>
      </w:pPr>
      <w:r w:rsidRPr="00490CDB">
        <w:rPr>
          <w:rFonts w:asciiTheme="majorHAnsi" w:hAnsiTheme="majorHAnsi" w:cs="Arial"/>
          <w:b/>
          <w:szCs w:val="21"/>
        </w:rPr>
        <w:t>Implementation</w:t>
      </w:r>
      <w:r w:rsidRPr="00490CDB">
        <w:rPr>
          <w:rFonts w:asciiTheme="majorHAnsi" w:hAnsiTheme="majorHAnsi" w:cs="Arial"/>
          <w:b/>
        </w:rPr>
        <w:t xml:space="preserve"> Arrangements and Delivery Approach </w:t>
      </w:r>
      <w:r>
        <w:rPr>
          <w:rFonts w:asciiTheme="majorHAnsi" w:hAnsiTheme="majorHAnsi" w:cs="Arial"/>
          <w:b/>
        </w:rPr>
        <w:t>(</w:t>
      </w:r>
      <w:r w:rsidR="00490CDB" w:rsidRPr="00490CDB">
        <w:rPr>
          <w:rFonts w:asciiTheme="majorHAnsi" w:hAnsiTheme="majorHAnsi" w:cs="Arial"/>
          <w:b/>
        </w:rPr>
        <w:t xml:space="preserve">How will DFAT </w:t>
      </w:r>
      <w:r w:rsidR="00971FA2">
        <w:rPr>
          <w:rFonts w:asciiTheme="majorHAnsi" w:hAnsiTheme="majorHAnsi" w:cs="Arial"/>
          <w:b/>
        </w:rPr>
        <w:t xml:space="preserve">deliver it and </w:t>
      </w:r>
      <w:r w:rsidR="00490CDB" w:rsidRPr="00490CDB">
        <w:rPr>
          <w:rFonts w:asciiTheme="majorHAnsi" w:hAnsiTheme="majorHAnsi" w:cs="Arial"/>
          <w:b/>
        </w:rPr>
        <w:t>engage?</w:t>
      </w:r>
      <w:r>
        <w:rPr>
          <w:rFonts w:asciiTheme="majorHAnsi" w:hAnsiTheme="majorHAnsi" w:cs="Arial"/>
          <w:b/>
        </w:rPr>
        <w:t>)</w:t>
      </w:r>
    </w:p>
    <w:p w14:paraId="396EC707" w14:textId="38484882" w:rsidR="008D0F14" w:rsidRPr="005D1526" w:rsidRDefault="00D84C36" w:rsidP="008D0F14">
      <w:pPr>
        <w:tabs>
          <w:tab w:val="left" w:pos="284"/>
        </w:tabs>
        <w:suppressAutoHyphens w:val="0"/>
        <w:spacing w:before="0" w:line="280" w:lineRule="exact"/>
        <w:rPr>
          <w:rFonts w:eastAsia="Times New Roman" w:cs="Arial"/>
          <w:sz w:val="21"/>
          <w:szCs w:val="21"/>
          <w:lang w:val="en-AU" w:eastAsia="en-AU"/>
        </w:rPr>
      </w:pPr>
      <w:r>
        <w:rPr>
          <w:rFonts w:eastAsia="Times New Roman" w:cs="Arial"/>
          <w:sz w:val="21"/>
          <w:szCs w:val="21"/>
          <w:lang w:val="en-AU" w:eastAsia="en-AU"/>
        </w:rPr>
        <w:t xml:space="preserve">GfD2 will be </w:t>
      </w:r>
      <w:r w:rsidRPr="002A6CF9">
        <w:rPr>
          <w:rFonts w:eastAsia="Times New Roman" w:cs="Arial"/>
          <w:sz w:val="21"/>
          <w:szCs w:val="21"/>
          <w:lang w:val="en-AU" w:eastAsia="en-AU"/>
        </w:rPr>
        <w:t>designed as a $60 million</w:t>
      </w:r>
      <w:r w:rsidR="004042B7" w:rsidRPr="002A6CF9">
        <w:rPr>
          <w:rFonts w:eastAsia="Times New Roman" w:cs="Arial"/>
          <w:sz w:val="21"/>
          <w:szCs w:val="21"/>
          <w:lang w:val="en-AU" w:eastAsia="en-AU"/>
        </w:rPr>
        <w:t xml:space="preserve"> </w:t>
      </w:r>
      <w:r w:rsidR="000A4440" w:rsidRPr="002A6CF9">
        <w:rPr>
          <w:rFonts w:eastAsia="Times New Roman" w:cs="Arial"/>
          <w:sz w:val="21"/>
          <w:szCs w:val="21"/>
          <w:lang w:val="en-AU" w:eastAsia="en-AU"/>
        </w:rPr>
        <w:t>program</w:t>
      </w:r>
      <w:r w:rsidR="004042B7" w:rsidRPr="002A6CF9">
        <w:rPr>
          <w:rFonts w:eastAsia="Times New Roman" w:cs="Arial"/>
          <w:sz w:val="21"/>
          <w:szCs w:val="21"/>
          <w:lang w:val="en-AU" w:eastAsia="en-AU"/>
        </w:rPr>
        <w:t xml:space="preserve"> to be implemented over</w:t>
      </w:r>
      <w:r w:rsidRPr="002A6CF9">
        <w:rPr>
          <w:rFonts w:eastAsia="Times New Roman" w:cs="Arial"/>
          <w:sz w:val="21"/>
          <w:szCs w:val="21"/>
          <w:lang w:val="en-AU" w:eastAsia="en-AU"/>
        </w:rPr>
        <w:t xml:space="preserve"> eight year</w:t>
      </w:r>
      <w:r w:rsidR="004042B7" w:rsidRPr="002A6CF9">
        <w:rPr>
          <w:rFonts w:eastAsia="Times New Roman" w:cs="Arial"/>
          <w:sz w:val="21"/>
          <w:szCs w:val="21"/>
          <w:lang w:val="en-AU" w:eastAsia="en-AU"/>
        </w:rPr>
        <w:t>s</w:t>
      </w:r>
      <w:r w:rsidRPr="002A6CF9">
        <w:rPr>
          <w:rFonts w:eastAsia="Times New Roman" w:cs="Arial"/>
          <w:sz w:val="21"/>
          <w:szCs w:val="21"/>
          <w:lang w:val="en-AU" w:eastAsia="en-AU"/>
        </w:rPr>
        <w:t xml:space="preserve"> (four plus four) fr</w:t>
      </w:r>
      <w:r w:rsidR="004042B7" w:rsidRPr="002A6CF9">
        <w:rPr>
          <w:rFonts w:eastAsia="Times New Roman" w:cs="Arial"/>
          <w:sz w:val="21"/>
          <w:szCs w:val="21"/>
          <w:lang w:val="en-AU" w:eastAsia="en-AU"/>
        </w:rPr>
        <w:t xml:space="preserve">om </w:t>
      </w:r>
      <w:r w:rsidR="009440BB" w:rsidRPr="002A6CF9">
        <w:rPr>
          <w:rFonts w:eastAsia="Times New Roman" w:cs="Arial"/>
          <w:sz w:val="21"/>
          <w:szCs w:val="21"/>
          <w:lang w:val="en-AU" w:eastAsia="en-AU"/>
        </w:rPr>
        <w:br/>
      </w:r>
      <w:r w:rsidR="004042B7" w:rsidRPr="002A6CF9">
        <w:rPr>
          <w:rFonts w:eastAsia="Times New Roman" w:cs="Arial"/>
          <w:sz w:val="21"/>
          <w:szCs w:val="21"/>
          <w:lang w:val="en-AU" w:eastAsia="en-AU"/>
        </w:rPr>
        <w:t xml:space="preserve">1 </w:t>
      </w:r>
      <w:r w:rsidR="00E03116">
        <w:rPr>
          <w:rFonts w:eastAsia="Times New Roman" w:cs="Arial"/>
          <w:sz w:val="21"/>
          <w:szCs w:val="21"/>
          <w:lang w:val="en-AU" w:eastAsia="en-AU"/>
        </w:rPr>
        <w:t>January 2022</w:t>
      </w:r>
      <w:r w:rsidR="004042B7" w:rsidRPr="002A6CF9">
        <w:rPr>
          <w:rFonts w:eastAsia="Times New Roman" w:cs="Arial"/>
          <w:sz w:val="21"/>
          <w:szCs w:val="21"/>
          <w:lang w:val="en-AU" w:eastAsia="en-AU"/>
        </w:rPr>
        <w:t xml:space="preserve"> to </w:t>
      </w:r>
      <w:r w:rsidR="00E03116">
        <w:rPr>
          <w:rFonts w:eastAsia="Times New Roman" w:cs="Arial"/>
          <w:sz w:val="21"/>
          <w:szCs w:val="21"/>
          <w:lang w:val="en-AU" w:eastAsia="en-AU"/>
        </w:rPr>
        <w:t xml:space="preserve">31 December </w:t>
      </w:r>
      <w:r w:rsidR="004042B7" w:rsidRPr="002A6CF9">
        <w:rPr>
          <w:rFonts w:eastAsia="Times New Roman" w:cs="Arial"/>
          <w:sz w:val="21"/>
          <w:szCs w:val="21"/>
          <w:lang w:val="en-AU" w:eastAsia="en-AU"/>
        </w:rPr>
        <w:t>2029.</w:t>
      </w:r>
      <w:r w:rsidR="008D0F14" w:rsidRPr="002A6CF9">
        <w:rPr>
          <w:rFonts w:eastAsia="Times New Roman" w:cs="Arial"/>
          <w:sz w:val="21"/>
          <w:szCs w:val="21"/>
          <w:lang w:val="en-AU" w:eastAsia="en-AU"/>
        </w:rPr>
        <w:t xml:space="preserve"> </w:t>
      </w:r>
      <w:r w:rsidR="00481B7A" w:rsidRPr="002A6CF9">
        <w:rPr>
          <w:rFonts w:eastAsia="Times New Roman" w:cs="Arial"/>
          <w:sz w:val="21"/>
          <w:szCs w:val="21"/>
          <w:lang w:val="en-AU" w:eastAsia="en-AU"/>
        </w:rPr>
        <w:t xml:space="preserve">An independent review will be scheduled in the first </w:t>
      </w:r>
      <w:proofErr w:type="gramStart"/>
      <w:r w:rsidR="00481B7A" w:rsidRPr="002A6CF9">
        <w:rPr>
          <w:rFonts w:eastAsia="Times New Roman" w:cs="Arial"/>
          <w:sz w:val="21"/>
          <w:szCs w:val="21"/>
          <w:lang w:val="en-AU" w:eastAsia="en-AU"/>
        </w:rPr>
        <w:t>four year</w:t>
      </w:r>
      <w:proofErr w:type="gramEnd"/>
      <w:r w:rsidR="00481B7A" w:rsidRPr="002A6CF9">
        <w:rPr>
          <w:rFonts w:eastAsia="Times New Roman" w:cs="Arial"/>
          <w:sz w:val="21"/>
          <w:szCs w:val="21"/>
          <w:lang w:val="en-AU" w:eastAsia="en-AU"/>
        </w:rPr>
        <w:t xml:space="preserve"> phase to help inform DFAT’s “stop/go” decision on whether to implement the</w:t>
      </w:r>
      <w:r w:rsidR="00E03116">
        <w:rPr>
          <w:rFonts w:eastAsia="Times New Roman" w:cs="Arial"/>
          <w:sz w:val="21"/>
          <w:szCs w:val="21"/>
          <w:lang w:val="en-AU" w:eastAsia="en-AU"/>
        </w:rPr>
        <w:t xml:space="preserve"> optional</w:t>
      </w:r>
      <w:r w:rsidR="00481B7A" w:rsidRPr="002A6CF9">
        <w:rPr>
          <w:rFonts w:eastAsia="Times New Roman" w:cs="Arial"/>
          <w:sz w:val="21"/>
          <w:szCs w:val="21"/>
          <w:lang w:val="en-AU" w:eastAsia="en-AU"/>
        </w:rPr>
        <w:t xml:space="preserve"> second four year phase. </w:t>
      </w:r>
      <w:r w:rsidR="008D0F14" w:rsidRPr="005D1526">
        <w:rPr>
          <w:rFonts w:eastAsia="Times New Roman" w:cs="Arial"/>
          <w:sz w:val="21"/>
          <w:szCs w:val="21"/>
          <w:lang w:val="en-AU" w:eastAsia="en-AU"/>
        </w:rPr>
        <w:t xml:space="preserve">This </w:t>
      </w:r>
      <w:r w:rsidR="008D0F14" w:rsidRPr="005D1526">
        <w:rPr>
          <w:rFonts w:eastAsia="Times New Roman" w:cs="Arial"/>
          <w:sz w:val="21"/>
          <w:szCs w:val="21"/>
          <w:lang w:val="en-AU" w:eastAsia="en-AU"/>
        </w:rPr>
        <w:lastRenderedPageBreak/>
        <w:t xml:space="preserve">funding level allows GfD2 to pursue core reform priorities with the flexibility to respond to an evolving bilateral context with GoTL: </w:t>
      </w:r>
    </w:p>
    <w:p w14:paraId="69D61701" w14:textId="77777777" w:rsidR="008D0F14" w:rsidRPr="005D1526" w:rsidRDefault="008D0F14" w:rsidP="008D0F14">
      <w:pPr>
        <w:numPr>
          <w:ilvl w:val="1"/>
          <w:numId w:val="39"/>
        </w:numPr>
        <w:tabs>
          <w:tab w:val="left" w:pos="284"/>
        </w:tabs>
        <w:suppressAutoHyphens w:val="0"/>
        <w:spacing w:before="0" w:line="280" w:lineRule="exact"/>
        <w:ind w:left="567" w:hanging="283"/>
        <w:rPr>
          <w:rFonts w:eastAsia="Times New Roman" w:cs="Arial"/>
          <w:sz w:val="21"/>
          <w:szCs w:val="21"/>
          <w:lang w:val="en-AU" w:eastAsia="en-AU"/>
        </w:rPr>
      </w:pPr>
      <w:r w:rsidRPr="005D1526">
        <w:rPr>
          <w:rFonts w:eastAsia="Times New Roman" w:cs="Arial"/>
          <w:sz w:val="21"/>
          <w:szCs w:val="21"/>
          <w:lang w:val="en-AU" w:eastAsia="en-AU"/>
        </w:rPr>
        <w:t>approximately 20 per cent of activity funds will be flexible and allocated annually;</w:t>
      </w:r>
    </w:p>
    <w:p w14:paraId="553D7BCC" w14:textId="017F0D0F" w:rsidR="008D0F14" w:rsidRPr="005D1526" w:rsidRDefault="008D0F14" w:rsidP="008D0F14">
      <w:pPr>
        <w:numPr>
          <w:ilvl w:val="1"/>
          <w:numId w:val="39"/>
        </w:numPr>
        <w:tabs>
          <w:tab w:val="left" w:pos="284"/>
        </w:tabs>
        <w:suppressAutoHyphens w:val="0"/>
        <w:spacing w:before="0" w:line="280" w:lineRule="exact"/>
        <w:ind w:left="567" w:hanging="283"/>
        <w:rPr>
          <w:rFonts w:eastAsia="Times New Roman" w:cs="Arial"/>
          <w:sz w:val="21"/>
          <w:szCs w:val="21"/>
          <w:lang w:val="en-AU" w:eastAsia="en-AU"/>
        </w:rPr>
      </w:pPr>
      <w:r w:rsidRPr="005D1526">
        <w:rPr>
          <w:rFonts w:eastAsia="Times New Roman" w:cs="Arial"/>
          <w:sz w:val="21"/>
          <w:szCs w:val="21"/>
          <w:lang w:val="en-AU" w:eastAsia="en-AU"/>
        </w:rPr>
        <w:t>this funding level is appropriate given the bilateral budget and the relative size of DFAT’s other bilateral investments (GfD2 will be medium sized for the Timor-Leste program).</w:t>
      </w:r>
    </w:p>
    <w:p w14:paraId="4E31BDCF" w14:textId="0A76C375" w:rsidR="009A74B1" w:rsidRPr="002A6CF9" w:rsidRDefault="00EF18BA" w:rsidP="00EF18BA">
      <w:pPr>
        <w:tabs>
          <w:tab w:val="left" w:pos="284"/>
        </w:tabs>
        <w:suppressAutoHyphens w:val="0"/>
        <w:spacing w:before="0" w:line="280" w:lineRule="exact"/>
        <w:rPr>
          <w:rFonts w:eastAsia="Times New Roman" w:cs="Arial"/>
          <w:sz w:val="21"/>
          <w:szCs w:val="21"/>
          <w:lang w:val="en-AU" w:eastAsia="en-AU"/>
        </w:rPr>
      </w:pPr>
      <w:r>
        <w:rPr>
          <w:rFonts w:eastAsia="Times New Roman" w:cs="Arial"/>
          <w:sz w:val="21"/>
          <w:szCs w:val="21"/>
          <w:lang w:val="en-AU" w:eastAsia="en-AU"/>
        </w:rPr>
        <w:t xml:space="preserve">Based on </w:t>
      </w:r>
      <w:r w:rsidR="00BD3D15">
        <w:rPr>
          <w:rFonts w:eastAsia="Times New Roman" w:cs="Arial"/>
          <w:sz w:val="21"/>
          <w:szCs w:val="21"/>
          <w:lang w:val="en-AU" w:eastAsia="en-AU"/>
        </w:rPr>
        <w:t>a review of possible implementation models</w:t>
      </w:r>
      <w:r>
        <w:rPr>
          <w:rFonts w:eastAsia="Times New Roman" w:cs="Arial"/>
          <w:sz w:val="21"/>
          <w:szCs w:val="21"/>
          <w:lang w:val="en-AU" w:eastAsia="en-AU"/>
        </w:rPr>
        <w:t xml:space="preserve">, and the relative DFAT resources required, the preferred option is for GfD2 to be </w:t>
      </w:r>
      <w:r w:rsidR="007F3724" w:rsidRPr="00EF18BA">
        <w:rPr>
          <w:rFonts w:eastAsia="Times New Roman" w:cs="Arial"/>
          <w:sz w:val="21"/>
          <w:szCs w:val="21"/>
          <w:lang w:val="en-AU" w:eastAsia="en-AU"/>
        </w:rPr>
        <w:t>implemented</w:t>
      </w:r>
      <w:r w:rsidR="009A74B1" w:rsidRPr="00EF18BA">
        <w:rPr>
          <w:rFonts w:eastAsia="Times New Roman" w:cs="Arial"/>
          <w:sz w:val="21"/>
          <w:szCs w:val="21"/>
          <w:lang w:val="en-AU" w:eastAsia="en-AU"/>
        </w:rPr>
        <w:t xml:space="preserve"> </w:t>
      </w:r>
      <w:r w:rsidR="00C333A6">
        <w:rPr>
          <w:rFonts w:eastAsia="Times New Roman" w:cs="Arial"/>
          <w:sz w:val="21"/>
          <w:szCs w:val="21"/>
          <w:lang w:val="en-AU" w:eastAsia="en-AU"/>
        </w:rPr>
        <w:t xml:space="preserve">as a facility </w:t>
      </w:r>
      <w:r w:rsidR="009A74B1" w:rsidRPr="00EF18BA">
        <w:rPr>
          <w:rFonts w:eastAsia="Times New Roman" w:cs="Arial"/>
          <w:sz w:val="21"/>
          <w:szCs w:val="21"/>
          <w:lang w:val="en-AU" w:eastAsia="en-AU"/>
        </w:rPr>
        <w:t>by a contractor</w:t>
      </w:r>
      <w:r w:rsidR="00C333A6">
        <w:rPr>
          <w:rFonts w:eastAsia="Times New Roman" w:cs="Arial"/>
          <w:sz w:val="21"/>
          <w:szCs w:val="21"/>
          <w:lang w:val="en-AU" w:eastAsia="en-AU"/>
        </w:rPr>
        <w:t>, including shared responsibility for strategy and stakeholder engagement</w:t>
      </w:r>
      <w:r w:rsidR="009A74B1" w:rsidRPr="00EF18BA">
        <w:rPr>
          <w:rFonts w:eastAsia="Times New Roman" w:cs="Arial"/>
          <w:sz w:val="21"/>
          <w:szCs w:val="21"/>
          <w:lang w:val="en-AU" w:eastAsia="en-AU"/>
        </w:rPr>
        <w:t>.</w:t>
      </w:r>
      <w:r w:rsidR="002751D4">
        <w:rPr>
          <w:rFonts w:eastAsia="Times New Roman" w:cs="Arial"/>
          <w:sz w:val="21"/>
          <w:szCs w:val="21"/>
          <w:lang w:val="en-AU" w:eastAsia="en-AU"/>
        </w:rPr>
        <w:t xml:space="preserve"> This approach provides the greatest likelihood of meeting Australia’s objectives in </w:t>
      </w:r>
      <w:r w:rsidR="00FD6F6D">
        <w:rPr>
          <w:rFonts w:eastAsia="Times New Roman" w:cs="Arial"/>
          <w:sz w:val="21"/>
          <w:szCs w:val="21"/>
          <w:lang w:val="en-AU" w:eastAsia="en-AU"/>
        </w:rPr>
        <w:t>providing governance support to Timor-Leste</w:t>
      </w:r>
      <w:r w:rsidR="008E7158">
        <w:rPr>
          <w:rFonts w:eastAsia="Times New Roman" w:cs="Arial"/>
          <w:sz w:val="21"/>
          <w:szCs w:val="21"/>
          <w:lang w:val="en-AU" w:eastAsia="en-AU"/>
        </w:rPr>
        <w:t xml:space="preserve"> that is timely, effective and complements DFAT’s broader bilateral objectives</w:t>
      </w:r>
      <w:r w:rsidR="00992407">
        <w:rPr>
          <w:rFonts w:eastAsia="Times New Roman" w:cs="Arial"/>
          <w:sz w:val="21"/>
          <w:szCs w:val="21"/>
          <w:lang w:val="en-AU" w:eastAsia="en-AU"/>
        </w:rPr>
        <w:t xml:space="preserve">. </w:t>
      </w:r>
      <w:r w:rsidR="002751D4">
        <w:rPr>
          <w:rFonts w:eastAsia="Times New Roman" w:cs="Arial"/>
          <w:sz w:val="21"/>
          <w:szCs w:val="21"/>
          <w:lang w:val="en-AU" w:eastAsia="en-AU"/>
        </w:rPr>
        <w:t xml:space="preserve">Furthermore, it provides the greatest opportunity to influence GoTL and respond to emerging needs, as recently </w:t>
      </w:r>
      <w:r w:rsidR="00FD6F6D">
        <w:rPr>
          <w:rFonts w:eastAsia="Times New Roman" w:cs="Arial"/>
          <w:sz w:val="21"/>
          <w:szCs w:val="21"/>
          <w:lang w:val="en-AU" w:eastAsia="en-AU"/>
        </w:rPr>
        <w:t>seen</w:t>
      </w:r>
      <w:r w:rsidR="002751D4">
        <w:rPr>
          <w:rFonts w:eastAsia="Times New Roman" w:cs="Arial"/>
          <w:sz w:val="21"/>
          <w:szCs w:val="21"/>
          <w:lang w:val="en-AU" w:eastAsia="en-AU"/>
        </w:rPr>
        <w:t xml:space="preserve"> in</w:t>
      </w:r>
      <w:r w:rsidR="00FD6F6D">
        <w:rPr>
          <w:rFonts w:eastAsia="Times New Roman" w:cs="Arial"/>
          <w:sz w:val="21"/>
          <w:szCs w:val="21"/>
          <w:lang w:val="en-AU" w:eastAsia="en-AU"/>
        </w:rPr>
        <w:t xml:space="preserve"> GfD’s </w:t>
      </w:r>
      <w:r w:rsidR="00666C09" w:rsidRPr="002A6CF9">
        <w:rPr>
          <w:rFonts w:eastAsia="Times New Roman" w:cs="Arial"/>
          <w:sz w:val="21"/>
          <w:szCs w:val="21"/>
          <w:lang w:val="en-AU" w:eastAsia="en-AU"/>
        </w:rPr>
        <w:t xml:space="preserve">wide-ranging </w:t>
      </w:r>
      <w:r w:rsidR="00FD6F6D" w:rsidRPr="002A6CF9">
        <w:rPr>
          <w:rFonts w:eastAsia="Times New Roman" w:cs="Arial"/>
          <w:sz w:val="21"/>
          <w:szCs w:val="21"/>
          <w:lang w:val="en-AU" w:eastAsia="en-AU"/>
        </w:rPr>
        <w:t xml:space="preserve">support to GoTL in developing the country’s economic </w:t>
      </w:r>
      <w:r w:rsidR="002751D4" w:rsidRPr="002A6CF9">
        <w:rPr>
          <w:rFonts w:eastAsia="Times New Roman" w:cs="Arial"/>
          <w:sz w:val="21"/>
          <w:szCs w:val="21"/>
          <w:lang w:val="en-AU" w:eastAsia="en-AU"/>
        </w:rPr>
        <w:t xml:space="preserve">response to COVID-19. </w:t>
      </w:r>
    </w:p>
    <w:p w14:paraId="654B8424" w14:textId="64FEED5D" w:rsidR="00B75DFF" w:rsidRPr="002A6CF9" w:rsidRDefault="00EA6CB6" w:rsidP="00594981">
      <w:pPr>
        <w:tabs>
          <w:tab w:val="left" w:pos="284"/>
        </w:tabs>
        <w:suppressAutoHyphens w:val="0"/>
        <w:spacing w:before="0" w:line="280" w:lineRule="exact"/>
        <w:rPr>
          <w:rFonts w:eastAsia="Times New Roman" w:cs="Arial"/>
          <w:sz w:val="21"/>
          <w:szCs w:val="21"/>
          <w:lang w:val="en-AU" w:eastAsia="en-AU"/>
        </w:rPr>
      </w:pPr>
      <w:r w:rsidRPr="002A6CF9">
        <w:rPr>
          <w:rFonts w:eastAsia="Times New Roman" w:cs="Arial"/>
          <w:sz w:val="21"/>
          <w:szCs w:val="21"/>
          <w:lang w:val="en-AU" w:eastAsia="en-AU"/>
        </w:rPr>
        <w:t>GfD2’s</w:t>
      </w:r>
      <w:r w:rsidR="00B75DFF" w:rsidRPr="002A6CF9">
        <w:rPr>
          <w:rFonts w:eastAsia="Times New Roman" w:cs="Arial"/>
          <w:sz w:val="21"/>
          <w:szCs w:val="21"/>
          <w:lang w:val="en-AU" w:eastAsia="en-AU"/>
        </w:rPr>
        <w:t xml:space="preserve"> design will</w:t>
      </w:r>
      <w:r w:rsidR="00654D81" w:rsidRPr="002A6CF9">
        <w:rPr>
          <w:rFonts w:eastAsia="Times New Roman" w:cs="Arial"/>
          <w:sz w:val="21"/>
          <w:szCs w:val="21"/>
          <w:lang w:val="en-AU" w:eastAsia="en-AU"/>
        </w:rPr>
        <w:t xml:space="preserve"> draw on the lessons learned from GfD, as well as those from recent reviews of governance facilities. The design will also</w:t>
      </w:r>
      <w:r w:rsidR="00B75DFF" w:rsidRPr="002A6CF9">
        <w:rPr>
          <w:rFonts w:eastAsia="Times New Roman" w:cs="Arial"/>
          <w:sz w:val="21"/>
          <w:szCs w:val="21"/>
          <w:lang w:val="en-AU" w:eastAsia="en-AU"/>
        </w:rPr>
        <w:t xml:space="preserve"> </w:t>
      </w:r>
      <w:r w:rsidR="007E19CD" w:rsidRPr="002A6CF9">
        <w:rPr>
          <w:rFonts w:eastAsia="Times New Roman" w:cs="Arial"/>
          <w:sz w:val="21"/>
          <w:szCs w:val="21"/>
          <w:lang w:val="en-AU" w:eastAsia="en-AU"/>
        </w:rPr>
        <w:t>consider</w:t>
      </w:r>
      <w:r w:rsidR="00B75DFF" w:rsidRPr="002A6CF9">
        <w:rPr>
          <w:rFonts w:eastAsia="Times New Roman" w:cs="Arial"/>
          <w:sz w:val="21"/>
          <w:szCs w:val="21"/>
          <w:lang w:val="en-AU" w:eastAsia="en-AU"/>
        </w:rPr>
        <w:t>:</w:t>
      </w:r>
    </w:p>
    <w:p w14:paraId="1D194008" w14:textId="77777777" w:rsidR="00B75DFF" w:rsidRPr="002A6CF9" w:rsidRDefault="00B94DCF" w:rsidP="00B94DCF">
      <w:pPr>
        <w:numPr>
          <w:ilvl w:val="1"/>
          <w:numId w:val="39"/>
        </w:numPr>
        <w:tabs>
          <w:tab w:val="left" w:pos="284"/>
        </w:tabs>
        <w:suppressAutoHyphens w:val="0"/>
        <w:spacing w:before="0" w:line="280" w:lineRule="exact"/>
        <w:ind w:left="567" w:hanging="283"/>
        <w:rPr>
          <w:rFonts w:eastAsia="Times New Roman" w:cs="Arial"/>
          <w:sz w:val="21"/>
          <w:szCs w:val="21"/>
          <w:lang w:val="en-AU" w:eastAsia="en-AU"/>
        </w:rPr>
      </w:pPr>
      <w:r w:rsidRPr="002A6CF9">
        <w:rPr>
          <w:rFonts w:eastAsia="Times New Roman" w:cs="Arial"/>
          <w:sz w:val="21"/>
          <w:szCs w:val="21"/>
          <w:lang w:val="en-AU" w:eastAsia="en-AU"/>
        </w:rPr>
        <w:t>Timor-Leste’s Strategic Development Plan 2011-2030;</w:t>
      </w:r>
    </w:p>
    <w:p w14:paraId="6CBA3C69" w14:textId="77777777" w:rsidR="00B94DCF" w:rsidRPr="002A6CF9" w:rsidRDefault="00B94DCF" w:rsidP="00B94DCF">
      <w:pPr>
        <w:numPr>
          <w:ilvl w:val="1"/>
          <w:numId w:val="39"/>
        </w:numPr>
        <w:tabs>
          <w:tab w:val="left" w:pos="284"/>
        </w:tabs>
        <w:suppressAutoHyphens w:val="0"/>
        <w:spacing w:before="0" w:line="280" w:lineRule="exact"/>
        <w:ind w:left="567" w:hanging="283"/>
        <w:rPr>
          <w:rFonts w:eastAsia="Times New Roman" w:cs="Arial"/>
          <w:sz w:val="21"/>
          <w:szCs w:val="21"/>
          <w:lang w:val="en-AU" w:eastAsia="en-AU"/>
        </w:rPr>
      </w:pPr>
      <w:r w:rsidRPr="002A6CF9">
        <w:rPr>
          <w:rFonts w:eastAsia="Times New Roman" w:cs="Arial"/>
          <w:sz w:val="21"/>
          <w:szCs w:val="21"/>
          <w:lang w:val="en-AU" w:eastAsia="en-AU"/>
        </w:rPr>
        <w:t>Timor-Leste’s COVID-19 Economic Recovery Plan (2020);</w:t>
      </w:r>
    </w:p>
    <w:p w14:paraId="3FAC6940" w14:textId="77777777" w:rsidR="00B94DCF" w:rsidRPr="002A6CF9" w:rsidRDefault="005C1108" w:rsidP="00B94DCF">
      <w:pPr>
        <w:numPr>
          <w:ilvl w:val="1"/>
          <w:numId w:val="39"/>
        </w:numPr>
        <w:tabs>
          <w:tab w:val="left" w:pos="284"/>
        </w:tabs>
        <w:suppressAutoHyphens w:val="0"/>
        <w:spacing w:before="0" w:line="280" w:lineRule="exact"/>
        <w:ind w:left="567" w:hanging="283"/>
        <w:rPr>
          <w:rFonts w:eastAsia="Times New Roman" w:cs="Arial"/>
          <w:sz w:val="21"/>
          <w:szCs w:val="21"/>
          <w:lang w:val="en-AU" w:eastAsia="en-AU"/>
        </w:rPr>
      </w:pPr>
      <w:r w:rsidRPr="002A6CF9">
        <w:rPr>
          <w:rFonts w:eastAsia="Times New Roman" w:cs="Arial"/>
          <w:sz w:val="21"/>
          <w:szCs w:val="21"/>
          <w:lang w:eastAsia="en-AU"/>
        </w:rPr>
        <w:t>Australia - Timor-Leste Strategic Planning Agreement for Development</w:t>
      </w:r>
      <w:r w:rsidR="00426467" w:rsidRPr="002A6CF9">
        <w:rPr>
          <w:rFonts w:eastAsia="Times New Roman" w:cs="Arial"/>
          <w:sz w:val="21"/>
          <w:szCs w:val="21"/>
          <w:lang w:eastAsia="en-AU"/>
        </w:rPr>
        <w:t xml:space="preserve"> (2011</w:t>
      </w:r>
      <w:r w:rsidRPr="002A6CF9">
        <w:rPr>
          <w:rFonts w:eastAsia="Times New Roman" w:cs="Arial"/>
          <w:sz w:val="21"/>
          <w:szCs w:val="21"/>
          <w:lang w:eastAsia="en-AU"/>
        </w:rPr>
        <w:t>);</w:t>
      </w:r>
    </w:p>
    <w:p w14:paraId="544EA5AC" w14:textId="77777777" w:rsidR="005C1108" w:rsidRPr="002A6CF9" w:rsidRDefault="008C189F" w:rsidP="00B94DCF">
      <w:pPr>
        <w:numPr>
          <w:ilvl w:val="1"/>
          <w:numId w:val="39"/>
        </w:numPr>
        <w:tabs>
          <w:tab w:val="left" w:pos="284"/>
        </w:tabs>
        <w:suppressAutoHyphens w:val="0"/>
        <w:spacing w:before="0" w:line="280" w:lineRule="exact"/>
        <w:ind w:left="567" w:hanging="283"/>
        <w:rPr>
          <w:rFonts w:eastAsia="Times New Roman" w:cs="Arial"/>
          <w:sz w:val="21"/>
          <w:szCs w:val="21"/>
          <w:lang w:val="en-AU" w:eastAsia="en-AU"/>
        </w:rPr>
      </w:pPr>
      <w:r w:rsidRPr="002A6CF9">
        <w:rPr>
          <w:rFonts w:eastAsia="Times New Roman" w:cs="Arial"/>
          <w:sz w:val="21"/>
          <w:szCs w:val="21"/>
          <w:lang w:val="en-AU" w:eastAsia="en-AU"/>
        </w:rPr>
        <w:t xml:space="preserve">Australia’s </w:t>
      </w:r>
      <w:r w:rsidR="005C1108" w:rsidRPr="002A6CF9">
        <w:rPr>
          <w:rFonts w:eastAsia="Times New Roman" w:cs="Arial"/>
          <w:sz w:val="21"/>
          <w:szCs w:val="21"/>
          <w:lang w:val="en-AU" w:eastAsia="en-AU"/>
        </w:rPr>
        <w:t>Timor-Leste COVID-19 Development Response Plan 2020-22;</w:t>
      </w:r>
    </w:p>
    <w:p w14:paraId="6836A720" w14:textId="77777777" w:rsidR="008C189F" w:rsidRPr="002A6CF9" w:rsidRDefault="000168BE" w:rsidP="00B94DCF">
      <w:pPr>
        <w:numPr>
          <w:ilvl w:val="1"/>
          <w:numId w:val="39"/>
        </w:numPr>
        <w:tabs>
          <w:tab w:val="left" w:pos="284"/>
        </w:tabs>
        <w:suppressAutoHyphens w:val="0"/>
        <w:spacing w:before="0" w:line="280" w:lineRule="exact"/>
        <w:ind w:left="567" w:hanging="283"/>
        <w:rPr>
          <w:rFonts w:eastAsia="Times New Roman" w:cs="Arial"/>
          <w:sz w:val="21"/>
          <w:szCs w:val="21"/>
          <w:lang w:val="en-AU" w:eastAsia="en-AU"/>
        </w:rPr>
      </w:pPr>
      <w:r w:rsidRPr="002A6CF9">
        <w:rPr>
          <w:rFonts w:eastAsia="Times New Roman" w:cs="Arial"/>
          <w:sz w:val="21"/>
          <w:szCs w:val="21"/>
          <w:lang w:val="en-AU" w:eastAsia="en-AU"/>
        </w:rPr>
        <w:t>The i</w:t>
      </w:r>
      <w:r w:rsidR="008C189F" w:rsidRPr="002A6CF9">
        <w:rPr>
          <w:rFonts w:eastAsia="Times New Roman" w:cs="Arial"/>
          <w:sz w:val="21"/>
          <w:szCs w:val="21"/>
          <w:lang w:val="en-AU" w:eastAsia="en-AU"/>
        </w:rPr>
        <w:t>ndependent review of GfD</w:t>
      </w:r>
      <w:r w:rsidR="00426467" w:rsidRPr="002A6CF9">
        <w:rPr>
          <w:rFonts w:eastAsia="Times New Roman" w:cs="Arial"/>
          <w:sz w:val="21"/>
          <w:szCs w:val="21"/>
          <w:lang w:val="en-AU" w:eastAsia="en-AU"/>
        </w:rPr>
        <w:t xml:space="preserve"> and DFAT’s management response</w:t>
      </w:r>
      <w:r w:rsidR="008C189F" w:rsidRPr="002A6CF9">
        <w:rPr>
          <w:rFonts w:eastAsia="Times New Roman" w:cs="Arial"/>
          <w:sz w:val="21"/>
          <w:szCs w:val="21"/>
          <w:lang w:val="en-AU" w:eastAsia="en-AU"/>
        </w:rPr>
        <w:t xml:space="preserve"> (2020)</w:t>
      </w:r>
      <w:r w:rsidR="00420EF2" w:rsidRPr="002A6CF9">
        <w:rPr>
          <w:rFonts w:eastAsia="Times New Roman" w:cs="Arial"/>
          <w:sz w:val="21"/>
          <w:szCs w:val="21"/>
          <w:lang w:val="en-AU" w:eastAsia="en-AU"/>
        </w:rPr>
        <w:t>;</w:t>
      </w:r>
    </w:p>
    <w:p w14:paraId="13B66932" w14:textId="77777777" w:rsidR="00B75DFF" w:rsidRPr="002A6CF9" w:rsidRDefault="00B75DFF" w:rsidP="00B75DFF">
      <w:pPr>
        <w:numPr>
          <w:ilvl w:val="1"/>
          <w:numId w:val="39"/>
        </w:numPr>
        <w:tabs>
          <w:tab w:val="left" w:pos="284"/>
        </w:tabs>
        <w:suppressAutoHyphens w:val="0"/>
        <w:spacing w:before="0" w:line="280" w:lineRule="exact"/>
        <w:ind w:left="567" w:hanging="283"/>
        <w:rPr>
          <w:rFonts w:eastAsia="Times New Roman" w:cs="Arial"/>
          <w:sz w:val="21"/>
          <w:szCs w:val="21"/>
          <w:lang w:val="en-AU" w:eastAsia="en-AU"/>
        </w:rPr>
      </w:pPr>
      <w:r w:rsidRPr="002A6CF9">
        <w:rPr>
          <w:rFonts w:eastAsia="Times New Roman" w:cs="Arial"/>
          <w:sz w:val="21"/>
          <w:szCs w:val="21"/>
          <w:lang w:val="en-AU" w:eastAsia="en-AU"/>
        </w:rPr>
        <w:t>DFAT’s Effective Governance: Strategy for Australia’s Aid Investments</w:t>
      </w:r>
      <w:r w:rsidR="005C1108" w:rsidRPr="002A6CF9">
        <w:rPr>
          <w:rFonts w:eastAsia="Times New Roman" w:cs="Arial"/>
          <w:sz w:val="21"/>
          <w:szCs w:val="21"/>
          <w:lang w:val="en-AU" w:eastAsia="en-AU"/>
        </w:rPr>
        <w:t xml:space="preserve"> (2015)</w:t>
      </w:r>
      <w:r w:rsidRPr="002A6CF9">
        <w:rPr>
          <w:rFonts w:eastAsia="Times New Roman" w:cs="Arial"/>
          <w:sz w:val="21"/>
          <w:szCs w:val="21"/>
          <w:lang w:val="en-AU" w:eastAsia="en-AU"/>
        </w:rPr>
        <w:t>;</w:t>
      </w:r>
    </w:p>
    <w:p w14:paraId="57EE4C39" w14:textId="77777777" w:rsidR="00031ECF" w:rsidRPr="002A6CF9" w:rsidRDefault="00BE0841" w:rsidP="00B75DFF">
      <w:pPr>
        <w:numPr>
          <w:ilvl w:val="1"/>
          <w:numId w:val="39"/>
        </w:numPr>
        <w:tabs>
          <w:tab w:val="left" w:pos="284"/>
        </w:tabs>
        <w:suppressAutoHyphens w:val="0"/>
        <w:spacing w:before="0" w:line="280" w:lineRule="exact"/>
        <w:ind w:left="567" w:hanging="283"/>
        <w:rPr>
          <w:rFonts w:eastAsia="Times New Roman" w:cs="Arial"/>
          <w:sz w:val="21"/>
          <w:szCs w:val="21"/>
          <w:lang w:val="en-AU" w:eastAsia="en-AU"/>
        </w:rPr>
      </w:pPr>
      <w:r w:rsidRPr="002A6CF9">
        <w:rPr>
          <w:rFonts w:eastAsia="Times New Roman" w:cs="Arial"/>
          <w:sz w:val="21"/>
          <w:szCs w:val="21"/>
          <w:lang w:eastAsia="en-AU"/>
        </w:rPr>
        <w:t>DFAT’s 2016 Gender and Women’s Empowerment Strategy, and GoTL’s Maubisse Declaration (2018-23)</w:t>
      </w:r>
      <w:r w:rsidR="00031ECF" w:rsidRPr="002A6CF9">
        <w:rPr>
          <w:rFonts w:eastAsia="Times New Roman" w:cs="Arial"/>
          <w:sz w:val="21"/>
          <w:szCs w:val="21"/>
          <w:lang w:val="en-AU" w:eastAsia="en-AU"/>
        </w:rPr>
        <w:t>;</w:t>
      </w:r>
    </w:p>
    <w:p w14:paraId="6BEF1539" w14:textId="77777777" w:rsidR="00B75DFF" w:rsidRPr="002A6CF9" w:rsidRDefault="00B75DFF" w:rsidP="00B75DFF">
      <w:pPr>
        <w:numPr>
          <w:ilvl w:val="1"/>
          <w:numId w:val="39"/>
        </w:numPr>
        <w:tabs>
          <w:tab w:val="left" w:pos="284"/>
        </w:tabs>
        <w:suppressAutoHyphens w:val="0"/>
        <w:spacing w:before="0" w:line="280" w:lineRule="exact"/>
        <w:ind w:left="567" w:hanging="283"/>
        <w:rPr>
          <w:rFonts w:eastAsia="Times New Roman" w:cs="Arial"/>
          <w:sz w:val="21"/>
          <w:szCs w:val="21"/>
          <w:lang w:val="en-AU" w:eastAsia="en-AU"/>
        </w:rPr>
      </w:pPr>
      <w:r w:rsidRPr="002A6CF9">
        <w:rPr>
          <w:rFonts w:eastAsia="Times New Roman" w:cs="Arial"/>
          <w:sz w:val="21"/>
          <w:szCs w:val="21"/>
          <w:lang w:val="en-AU" w:eastAsia="en-AU"/>
        </w:rPr>
        <w:t>DFAT’s Framework for Engaging on Public Financial Management: Increase the Impact of Your Program (2017); and</w:t>
      </w:r>
    </w:p>
    <w:p w14:paraId="4E0E28D6" w14:textId="77777777" w:rsidR="00B75DFF" w:rsidRPr="002A6CF9" w:rsidRDefault="005C1108" w:rsidP="00B75DFF">
      <w:pPr>
        <w:numPr>
          <w:ilvl w:val="1"/>
          <w:numId w:val="39"/>
        </w:numPr>
        <w:tabs>
          <w:tab w:val="left" w:pos="284"/>
        </w:tabs>
        <w:suppressAutoHyphens w:val="0"/>
        <w:spacing w:before="0" w:line="280" w:lineRule="exact"/>
        <w:ind w:left="567" w:hanging="283"/>
        <w:rPr>
          <w:rFonts w:eastAsia="Times New Roman" w:cs="Arial"/>
          <w:sz w:val="21"/>
          <w:szCs w:val="21"/>
          <w:lang w:val="en-AU" w:eastAsia="en-AU"/>
        </w:rPr>
      </w:pPr>
      <w:r w:rsidRPr="002A6CF9">
        <w:rPr>
          <w:rFonts w:eastAsia="Times New Roman" w:cs="Arial"/>
          <w:sz w:val="21"/>
          <w:szCs w:val="21"/>
          <w:lang w:val="en-AU" w:eastAsia="en-AU"/>
        </w:rPr>
        <w:t>DFAT’s</w:t>
      </w:r>
      <w:r w:rsidR="00B75DFF" w:rsidRPr="002A6CF9">
        <w:rPr>
          <w:rFonts w:eastAsia="Times New Roman" w:cs="Arial"/>
          <w:sz w:val="21"/>
          <w:szCs w:val="21"/>
          <w:lang w:val="en-AU" w:eastAsia="en-AU"/>
        </w:rPr>
        <w:t xml:space="preserve"> Review of Selected DFAT Facilities</w:t>
      </w:r>
      <w:r w:rsidR="00852BD4" w:rsidRPr="002A6CF9">
        <w:rPr>
          <w:rFonts w:eastAsia="Times New Roman" w:cs="Arial"/>
          <w:sz w:val="21"/>
          <w:szCs w:val="21"/>
          <w:lang w:val="en-AU" w:eastAsia="en-AU"/>
        </w:rPr>
        <w:t xml:space="preserve"> and </w:t>
      </w:r>
      <w:r w:rsidR="00C33972" w:rsidRPr="002A6CF9">
        <w:rPr>
          <w:rFonts w:eastAsia="Times New Roman" w:cs="Arial"/>
          <w:sz w:val="21"/>
          <w:szCs w:val="21"/>
          <w:lang w:val="en-AU" w:eastAsia="en-AU"/>
        </w:rPr>
        <w:t>DFAT’s management response</w:t>
      </w:r>
      <w:r w:rsidR="00B75DFF" w:rsidRPr="002A6CF9">
        <w:rPr>
          <w:rFonts w:eastAsia="Times New Roman" w:cs="Arial"/>
          <w:sz w:val="21"/>
          <w:szCs w:val="21"/>
          <w:lang w:val="en-AU" w:eastAsia="en-AU"/>
        </w:rPr>
        <w:t xml:space="preserve"> (2018)</w:t>
      </w:r>
      <w:r w:rsidR="00C02181" w:rsidRPr="002A6CF9">
        <w:rPr>
          <w:rFonts w:eastAsia="Times New Roman" w:cs="Arial"/>
          <w:sz w:val="21"/>
          <w:szCs w:val="21"/>
          <w:lang w:val="en-AU" w:eastAsia="en-AU"/>
        </w:rPr>
        <w:t>, plus DFAT’s Performance Assessment Framework Guidance Note for Facilities (2020)</w:t>
      </w:r>
      <w:r w:rsidR="00B75DFF" w:rsidRPr="002A6CF9">
        <w:rPr>
          <w:rFonts w:eastAsia="Times New Roman" w:cs="Arial"/>
          <w:sz w:val="21"/>
          <w:szCs w:val="21"/>
          <w:lang w:val="en-AU" w:eastAsia="en-AU"/>
        </w:rPr>
        <w:t>.</w:t>
      </w:r>
    </w:p>
    <w:p w14:paraId="104180C6" w14:textId="3FF610E7" w:rsidR="009A74B1" w:rsidRPr="002A6CF9" w:rsidRDefault="009A74B1" w:rsidP="00594981">
      <w:pPr>
        <w:tabs>
          <w:tab w:val="left" w:pos="284"/>
        </w:tabs>
        <w:suppressAutoHyphens w:val="0"/>
        <w:spacing w:before="0" w:line="280" w:lineRule="exact"/>
        <w:rPr>
          <w:rFonts w:eastAsia="Times New Roman" w:cs="Arial"/>
          <w:sz w:val="21"/>
          <w:szCs w:val="21"/>
          <w:lang w:val="en-AU" w:eastAsia="en-AU"/>
        </w:rPr>
      </w:pPr>
      <w:r w:rsidRPr="002A6CF9">
        <w:rPr>
          <w:rFonts w:eastAsia="Times New Roman" w:cs="Arial"/>
          <w:sz w:val="21"/>
          <w:szCs w:val="21"/>
          <w:lang w:val="en-AU" w:eastAsia="en-AU"/>
        </w:rPr>
        <w:t xml:space="preserve">DFAT at Post will have primary oversight of the program, with support from Desk and thematic teams in Canberra. This team will provide oversight of GfD2, working in close partnership with the implementing partner. </w:t>
      </w:r>
      <w:r w:rsidR="00DF5842" w:rsidRPr="002A6CF9">
        <w:rPr>
          <w:rFonts w:eastAsia="Times New Roman" w:cs="Arial"/>
          <w:sz w:val="21"/>
          <w:szCs w:val="21"/>
          <w:lang w:val="en-AU" w:eastAsia="en-AU"/>
        </w:rPr>
        <w:t xml:space="preserve">The team will include governance and economic expertise. </w:t>
      </w:r>
      <w:r w:rsidRPr="002A6CF9">
        <w:rPr>
          <w:rFonts w:eastAsia="Times New Roman" w:cs="Arial"/>
          <w:sz w:val="21"/>
          <w:szCs w:val="21"/>
          <w:lang w:val="en-AU" w:eastAsia="en-AU"/>
        </w:rPr>
        <w:t>The size of DFAT’s team reflects learnings from other facilities that DFAT must adequately resource programs of this nature to help mitigate implementation risks.</w:t>
      </w:r>
    </w:p>
    <w:p w14:paraId="3BF5D60A" w14:textId="77777777" w:rsidR="005D738F" w:rsidRPr="002A6CF9" w:rsidRDefault="005D738F" w:rsidP="00594981">
      <w:pPr>
        <w:tabs>
          <w:tab w:val="left" w:pos="284"/>
        </w:tabs>
        <w:suppressAutoHyphens w:val="0"/>
        <w:spacing w:before="0" w:line="280" w:lineRule="exact"/>
        <w:rPr>
          <w:rFonts w:eastAsia="Times New Roman" w:cs="Arial"/>
          <w:sz w:val="21"/>
          <w:szCs w:val="21"/>
          <w:lang w:val="en-AU" w:eastAsia="en-AU"/>
        </w:rPr>
      </w:pPr>
      <w:r w:rsidRPr="002A6CF9">
        <w:rPr>
          <w:rFonts w:eastAsia="Times New Roman" w:cs="Arial"/>
          <w:sz w:val="21"/>
          <w:szCs w:val="21"/>
          <w:lang w:val="en-AU" w:eastAsia="en-AU"/>
        </w:rPr>
        <w:t xml:space="preserve">One lesson from GfD is to ensure that </w:t>
      </w:r>
      <w:r w:rsidR="00F15389" w:rsidRPr="002A6CF9">
        <w:rPr>
          <w:rFonts w:eastAsia="Times New Roman" w:cs="Arial"/>
          <w:sz w:val="21"/>
          <w:szCs w:val="21"/>
          <w:lang w:val="en-AU" w:eastAsia="en-AU"/>
        </w:rPr>
        <w:t xml:space="preserve">the </w:t>
      </w:r>
      <w:r w:rsidRPr="002A6CF9">
        <w:rPr>
          <w:rFonts w:eastAsia="Times New Roman" w:cs="Arial"/>
          <w:sz w:val="21"/>
          <w:szCs w:val="21"/>
          <w:lang w:val="en-AU" w:eastAsia="en-AU"/>
        </w:rPr>
        <w:t xml:space="preserve">staffing capacity, skills and experience of the implementing partner team </w:t>
      </w:r>
      <w:r w:rsidR="00446025" w:rsidRPr="002A6CF9">
        <w:rPr>
          <w:rFonts w:eastAsia="Times New Roman" w:cs="Arial"/>
          <w:sz w:val="21"/>
          <w:szCs w:val="21"/>
          <w:lang w:val="en-AU" w:eastAsia="en-AU"/>
        </w:rPr>
        <w:t>are appropriate for running a facility. Getting resourcing right will be critical from GfD2’s outset, and the design will take this into account</w:t>
      </w:r>
      <w:r w:rsidR="00BF6983" w:rsidRPr="002A6CF9">
        <w:rPr>
          <w:rFonts w:eastAsia="Times New Roman" w:cs="Arial"/>
          <w:sz w:val="21"/>
          <w:szCs w:val="21"/>
          <w:lang w:val="en-AU" w:eastAsia="en-AU"/>
        </w:rPr>
        <w:t>.</w:t>
      </w:r>
    </w:p>
    <w:p w14:paraId="61211A9E" w14:textId="197CD2F5" w:rsidR="009A74B1" w:rsidRPr="002A6CF9" w:rsidRDefault="009A74B1" w:rsidP="00594981">
      <w:pPr>
        <w:tabs>
          <w:tab w:val="left" w:pos="284"/>
        </w:tabs>
        <w:suppressAutoHyphens w:val="0"/>
        <w:spacing w:before="0" w:line="280" w:lineRule="exact"/>
        <w:rPr>
          <w:rFonts w:eastAsia="Times New Roman" w:cs="Arial"/>
          <w:sz w:val="21"/>
          <w:szCs w:val="21"/>
          <w:lang w:val="en-AU" w:eastAsia="en-AU"/>
        </w:rPr>
      </w:pPr>
      <w:r w:rsidRPr="002A6CF9">
        <w:rPr>
          <w:rFonts w:eastAsia="Times New Roman" w:cs="Arial"/>
          <w:sz w:val="21"/>
          <w:szCs w:val="21"/>
          <w:lang w:val="en-AU" w:eastAsia="en-AU"/>
        </w:rPr>
        <w:t>Strategy and stakeholder engagement will be jointly undertaken by DFAT and the implementing partner</w:t>
      </w:r>
      <w:r w:rsidR="006A0C0B">
        <w:rPr>
          <w:rFonts w:eastAsia="Times New Roman" w:cs="Arial"/>
          <w:sz w:val="21"/>
          <w:szCs w:val="21"/>
          <w:lang w:val="en-AU" w:eastAsia="en-AU"/>
        </w:rPr>
        <w:t>/contractor</w:t>
      </w:r>
      <w:r w:rsidRPr="002A6CF9">
        <w:rPr>
          <w:rFonts w:eastAsia="Times New Roman" w:cs="Arial"/>
          <w:sz w:val="21"/>
          <w:szCs w:val="21"/>
          <w:lang w:val="en-AU" w:eastAsia="en-AU"/>
        </w:rPr>
        <w:t xml:space="preserve">. The program requires an implementing partner that has proven capability to work closely and effectively with GoTL, </w:t>
      </w:r>
      <w:r w:rsidR="00F15389" w:rsidRPr="002A6CF9">
        <w:rPr>
          <w:rFonts w:eastAsia="Times New Roman" w:cs="Arial"/>
          <w:sz w:val="21"/>
          <w:szCs w:val="21"/>
          <w:lang w:val="en-AU" w:eastAsia="en-AU"/>
        </w:rPr>
        <w:t xml:space="preserve">that </w:t>
      </w:r>
      <w:r w:rsidRPr="002A6CF9">
        <w:rPr>
          <w:rFonts w:eastAsia="Times New Roman" w:cs="Arial"/>
          <w:sz w:val="21"/>
          <w:szCs w:val="21"/>
          <w:lang w:val="en-AU" w:eastAsia="en-AU"/>
        </w:rPr>
        <w:t xml:space="preserve">can operate under DFAT direction to deliver effective support in challenging environments, </w:t>
      </w:r>
      <w:r w:rsidR="00F15389" w:rsidRPr="002A6CF9">
        <w:rPr>
          <w:rFonts w:eastAsia="Times New Roman" w:cs="Arial"/>
          <w:sz w:val="21"/>
          <w:szCs w:val="21"/>
          <w:lang w:val="en-AU" w:eastAsia="en-AU"/>
        </w:rPr>
        <w:t xml:space="preserve">that </w:t>
      </w:r>
      <w:r w:rsidRPr="002A6CF9">
        <w:rPr>
          <w:rFonts w:eastAsia="Times New Roman" w:cs="Arial"/>
          <w:sz w:val="21"/>
          <w:szCs w:val="21"/>
          <w:lang w:val="en-AU" w:eastAsia="en-AU"/>
        </w:rPr>
        <w:t>promote</w:t>
      </w:r>
      <w:r w:rsidR="00F15389" w:rsidRPr="002A6CF9">
        <w:rPr>
          <w:rFonts w:eastAsia="Times New Roman" w:cs="Arial"/>
          <w:sz w:val="21"/>
          <w:szCs w:val="21"/>
          <w:lang w:val="en-AU" w:eastAsia="en-AU"/>
        </w:rPr>
        <w:t>s</w:t>
      </w:r>
      <w:r w:rsidRPr="002A6CF9">
        <w:rPr>
          <w:rFonts w:eastAsia="Times New Roman" w:cs="Arial"/>
          <w:sz w:val="21"/>
          <w:szCs w:val="21"/>
          <w:lang w:val="en-AU" w:eastAsia="en-AU"/>
        </w:rPr>
        <w:t xml:space="preserve"> strong relationships at senior levels between Timorese and Australian officials, and </w:t>
      </w:r>
      <w:r w:rsidR="00F15389" w:rsidRPr="002A6CF9">
        <w:rPr>
          <w:rFonts w:eastAsia="Times New Roman" w:cs="Arial"/>
          <w:sz w:val="21"/>
          <w:szCs w:val="21"/>
          <w:lang w:val="en-AU" w:eastAsia="en-AU"/>
        </w:rPr>
        <w:t xml:space="preserve">that </w:t>
      </w:r>
      <w:r w:rsidRPr="002A6CF9">
        <w:rPr>
          <w:rFonts w:eastAsia="Times New Roman" w:cs="Arial"/>
          <w:sz w:val="21"/>
          <w:szCs w:val="21"/>
          <w:lang w:val="en-AU" w:eastAsia="en-AU"/>
        </w:rPr>
        <w:t>can respon</w:t>
      </w:r>
      <w:r w:rsidR="00F15389" w:rsidRPr="002A6CF9">
        <w:rPr>
          <w:rFonts w:eastAsia="Times New Roman" w:cs="Arial"/>
          <w:sz w:val="21"/>
          <w:szCs w:val="21"/>
          <w:lang w:val="en-AU" w:eastAsia="en-AU"/>
        </w:rPr>
        <w:t>d</w:t>
      </w:r>
      <w:r w:rsidRPr="002A6CF9">
        <w:rPr>
          <w:rFonts w:eastAsia="Times New Roman" w:cs="Arial"/>
          <w:sz w:val="21"/>
          <w:szCs w:val="21"/>
          <w:lang w:val="en-AU" w:eastAsia="en-AU"/>
        </w:rPr>
        <w:t xml:space="preserve"> to shifts in the operating environment to support the bilateral relationship.</w:t>
      </w:r>
    </w:p>
    <w:p w14:paraId="4E070932" w14:textId="2BA8029C" w:rsidR="004042B7" w:rsidRDefault="009A74B1" w:rsidP="00594981">
      <w:pPr>
        <w:tabs>
          <w:tab w:val="left" w:pos="284"/>
        </w:tabs>
        <w:suppressAutoHyphens w:val="0"/>
        <w:spacing w:before="0" w:line="280" w:lineRule="exact"/>
        <w:rPr>
          <w:rFonts w:eastAsia="Times New Roman" w:cs="Arial"/>
          <w:sz w:val="21"/>
          <w:szCs w:val="21"/>
          <w:lang w:val="en-AU" w:eastAsia="en-AU"/>
        </w:rPr>
      </w:pPr>
      <w:r w:rsidRPr="002A6CF9">
        <w:rPr>
          <w:rFonts w:eastAsia="Times New Roman" w:cs="Arial"/>
          <w:sz w:val="21"/>
          <w:szCs w:val="21"/>
          <w:lang w:val="en-AU" w:eastAsia="en-AU"/>
        </w:rPr>
        <w:t>The design will consider and recommend the best mix of aid modalities to deliver GfD2.</w:t>
      </w:r>
      <w:r w:rsidR="007B2AB2" w:rsidRPr="002A6CF9">
        <w:rPr>
          <w:rFonts w:eastAsia="Times New Roman" w:cs="Arial"/>
          <w:sz w:val="21"/>
          <w:szCs w:val="21"/>
          <w:lang w:val="en-AU" w:eastAsia="en-AU"/>
        </w:rPr>
        <w:t xml:space="preserve"> This combination of </w:t>
      </w:r>
      <w:r w:rsidR="00654D81" w:rsidRPr="002A6CF9">
        <w:rPr>
          <w:rFonts w:eastAsia="Times New Roman" w:cs="Arial"/>
          <w:sz w:val="21"/>
          <w:szCs w:val="21"/>
          <w:lang w:val="en-AU" w:eastAsia="en-AU"/>
        </w:rPr>
        <w:t>modalities will help inform the resources required from a contractor and feed</w:t>
      </w:r>
      <w:r w:rsidR="002A6CF9">
        <w:rPr>
          <w:rFonts w:eastAsia="Times New Roman" w:cs="Arial"/>
          <w:sz w:val="21"/>
          <w:szCs w:val="21"/>
          <w:lang w:val="en-AU" w:eastAsia="en-AU"/>
        </w:rPr>
        <w:t xml:space="preserve"> </w:t>
      </w:r>
      <w:r w:rsidR="00654D81" w:rsidRPr="002A6CF9">
        <w:rPr>
          <w:rFonts w:eastAsia="Times New Roman" w:cs="Arial"/>
          <w:sz w:val="21"/>
          <w:szCs w:val="21"/>
          <w:lang w:val="en-AU" w:eastAsia="en-AU"/>
        </w:rPr>
        <w:t>into defining the role of the development facility</w:t>
      </w:r>
      <w:r w:rsidR="00701F44" w:rsidRPr="002A6CF9">
        <w:rPr>
          <w:rFonts w:eastAsia="Times New Roman" w:cs="Arial"/>
          <w:sz w:val="21"/>
          <w:szCs w:val="21"/>
          <w:lang w:val="en-AU" w:eastAsia="en-AU"/>
        </w:rPr>
        <w:t xml:space="preserve"> and DFAT’s oversight</w:t>
      </w:r>
      <w:r w:rsidR="00654D81" w:rsidRPr="002A6CF9">
        <w:rPr>
          <w:rFonts w:eastAsia="Times New Roman" w:cs="Arial"/>
          <w:sz w:val="21"/>
          <w:szCs w:val="21"/>
          <w:lang w:val="en-AU" w:eastAsia="en-AU"/>
        </w:rPr>
        <w:t>.</w:t>
      </w:r>
      <w:r w:rsidRPr="002A6CF9">
        <w:rPr>
          <w:rFonts w:eastAsia="Times New Roman" w:cs="Arial"/>
          <w:sz w:val="21"/>
          <w:szCs w:val="21"/>
          <w:lang w:val="en-AU" w:eastAsia="en-AU"/>
        </w:rPr>
        <w:t xml:space="preserve"> </w:t>
      </w:r>
      <w:r w:rsidR="004042B7" w:rsidRPr="002A6CF9">
        <w:rPr>
          <w:rFonts w:eastAsia="Times New Roman" w:cs="Arial"/>
          <w:sz w:val="21"/>
          <w:szCs w:val="21"/>
          <w:lang w:val="en-AU" w:eastAsia="en-AU"/>
        </w:rPr>
        <w:t xml:space="preserve">It is anticipated </w:t>
      </w:r>
      <w:r w:rsidRPr="002A6CF9">
        <w:rPr>
          <w:rFonts w:eastAsia="Times New Roman" w:cs="Arial"/>
          <w:sz w:val="21"/>
          <w:szCs w:val="21"/>
          <w:lang w:val="en-AU" w:eastAsia="en-AU"/>
        </w:rPr>
        <w:t>that</w:t>
      </w:r>
      <w:r w:rsidR="004042B7" w:rsidRPr="002A6CF9">
        <w:rPr>
          <w:rFonts w:eastAsia="Times New Roman" w:cs="Arial"/>
          <w:sz w:val="21"/>
          <w:szCs w:val="21"/>
          <w:lang w:val="en-AU" w:eastAsia="en-AU"/>
        </w:rPr>
        <w:t xml:space="preserve"> grants (including administrative and performance aspects) will be channelled through, and managed by the </w:t>
      </w:r>
      <w:r w:rsidR="007B2AB2">
        <w:rPr>
          <w:rFonts w:eastAsia="Times New Roman" w:cs="Arial"/>
          <w:sz w:val="21"/>
          <w:szCs w:val="21"/>
          <w:lang w:val="en-AU" w:eastAsia="en-AU"/>
        </w:rPr>
        <w:t>contractor</w:t>
      </w:r>
      <w:r w:rsidR="004042B7" w:rsidRPr="004042B7">
        <w:rPr>
          <w:rFonts w:eastAsia="Times New Roman" w:cs="Arial"/>
          <w:sz w:val="21"/>
          <w:szCs w:val="21"/>
          <w:lang w:val="en-AU" w:eastAsia="en-AU"/>
        </w:rPr>
        <w:t xml:space="preserve">, unless otherwise directed by DFAT (for example, grants to multilateral banks will be managed directly by DFAT). </w:t>
      </w:r>
      <w:r w:rsidR="00F81283">
        <w:rPr>
          <w:rFonts w:eastAsia="Times New Roman" w:cs="Arial"/>
          <w:sz w:val="21"/>
          <w:szCs w:val="21"/>
          <w:lang w:val="en-AU" w:eastAsia="en-AU"/>
        </w:rPr>
        <w:t>Working with the contractor, DFAT will also play a “hands-on” role in any direct budget support opportunities, including policy dialogue and performance benchmarks</w:t>
      </w:r>
      <w:r w:rsidR="00E6103A">
        <w:rPr>
          <w:rFonts w:eastAsia="Times New Roman" w:cs="Arial"/>
          <w:sz w:val="21"/>
          <w:szCs w:val="21"/>
          <w:lang w:val="en-AU" w:eastAsia="en-AU"/>
        </w:rPr>
        <w:t xml:space="preserve"> in agreed sectors</w:t>
      </w:r>
      <w:r w:rsidR="00F81283">
        <w:rPr>
          <w:rFonts w:eastAsia="Times New Roman" w:cs="Arial"/>
          <w:sz w:val="21"/>
          <w:szCs w:val="21"/>
          <w:lang w:val="en-AU" w:eastAsia="en-AU"/>
        </w:rPr>
        <w:t xml:space="preserve">. </w:t>
      </w:r>
      <w:r w:rsidR="007F3724">
        <w:rPr>
          <w:rFonts w:eastAsia="Times New Roman" w:cs="Arial"/>
          <w:sz w:val="21"/>
          <w:szCs w:val="21"/>
          <w:lang w:val="en-AU" w:eastAsia="en-AU"/>
        </w:rPr>
        <w:t xml:space="preserve">The </w:t>
      </w:r>
      <w:r w:rsidR="00F15389">
        <w:rPr>
          <w:rFonts w:eastAsia="Times New Roman" w:cs="Arial"/>
          <w:sz w:val="21"/>
          <w:szCs w:val="21"/>
          <w:lang w:val="en-AU" w:eastAsia="en-AU"/>
        </w:rPr>
        <w:t>implementing partner</w:t>
      </w:r>
      <w:r w:rsidR="007F3724">
        <w:rPr>
          <w:rFonts w:eastAsia="Times New Roman" w:cs="Arial"/>
          <w:sz w:val="21"/>
          <w:szCs w:val="21"/>
          <w:lang w:val="en-AU" w:eastAsia="en-AU"/>
        </w:rPr>
        <w:t xml:space="preserve"> will be responsible for contracting advisors and delivering other modalities of support (for example training and capacity building activities). </w:t>
      </w:r>
      <w:r w:rsidR="004042B7">
        <w:rPr>
          <w:rFonts w:eastAsia="Times New Roman" w:cs="Arial"/>
          <w:sz w:val="21"/>
          <w:szCs w:val="21"/>
          <w:lang w:val="en-AU" w:eastAsia="en-AU"/>
        </w:rPr>
        <w:t xml:space="preserve">Depending on the </w:t>
      </w:r>
      <w:r w:rsidR="004042B7">
        <w:rPr>
          <w:rFonts w:eastAsia="Times New Roman" w:cs="Arial"/>
          <w:sz w:val="21"/>
          <w:szCs w:val="21"/>
          <w:lang w:val="en-AU" w:eastAsia="en-AU"/>
        </w:rPr>
        <w:lastRenderedPageBreak/>
        <w:t xml:space="preserve">final design, the </w:t>
      </w:r>
      <w:r w:rsidR="00F15389">
        <w:rPr>
          <w:rFonts w:eastAsia="Times New Roman" w:cs="Arial"/>
          <w:sz w:val="21"/>
          <w:szCs w:val="21"/>
          <w:lang w:val="en-AU" w:eastAsia="en-AU"/>
        </w:rPr>
        <w:t>implementing par</w:t>
      </w:r>
      <w:r w:rsidR="00F81283">
        <w:rPr>
          <w:rFonts w:eastAsia="Times New Roman" w:cs="Arial"/>
          <w:sz w:val="21"/>
          <w:szCs w:val="21"/>
          <w:lang w:val="en-AU" w:eastAsia="en-AU"/>
        </w:rPr>
        <w:t>tner</w:t>
      </w:r>
      <w:r w:rsidR="00F15389">
        <w:rPr>
          <w:rFonts w:eastAsia="Times New Roman" w:cs="Arial"/>
          <w:sz w:val="21"/>
          <w:szCs w:val="21"/>
          <w:lang w:val="en-AU" w:eastAsia="en-AU"/>
        </w:rPr>
        <w:t xml:space="preserve"> </w:t>
      </w:r>
      <w:r w:rsidR="004042B7">
        <w:rPr>
          <w:rFonts w:eastAsia="Times New Roman" w:cs="Arial"/>
          <w:sz w:val="21"/>
          <w:szCs w:val="21"/>
          <w:lang w:val="en-AU" w:eastAsia="en-AU"/>
        </w:rPr>
        <w:t xml:space="preserve">can </w:t>
      </w:r>
      <w:r w:rsidR="004042B7" w:rsidRPr="004042B7">
        <w:rPr>
          <w:rFonts w:eastAsia="Times New Roman" w:cs="Arial"/>
          <w:sz w:val="21"/>
          <w:szCs w:val="21"/>
          <w:lang w:val="en-AU" w:eastAsia="en-AU"/>
        </w:rPr>
        <w:t>be expected to</w:t>
      </w:r>
      <w:r w:rsidR="004042B7">
        <w:rPr>
          <w:rFonts w:eastAsia="Times New Roman" w:cs="Arial"/>
          <w:sz w:val="21"/>
          <w:szCs w:val="21"/>
          <w:lang w:val="en-AU" w:eastAsia="en-AU"/>
        </w:rPr>
        <w:t xml:space="preserve"> </w:t>
      </w:r>
      <w:r w:rsidR="006A0C0B">
        <w:rPr>
          <w:rFonts w:eastAsia="Times New Roman" w:cs="Arial"/>
          <w:sz w:val="21"/>
          <w:szCs w:val="21"/>
          <w:lang w:val="en-AU" w:eastAsia="en-AU"/>
        </w:rPr>
        <w:t xml:space="preserve">consider </w:t>
      </w:r>
      <w:r w:rsidR="004042B7">
        <w:rPr>
          <w:rFonts w:eastAsia="Times New Roman" w:cs="Arial"/>
          <w:sz w:val="21"/>
          <w:szCs w:val="21"/>
          <w:lang w:val="en-AU" w:eastAsia="en-AU"/>
        </w:rPr>
        <w:t>some advisory personnel currently embedded in GoTL central agencies and economic ministries.</w:t>
      </w:r>
    </w:p>
    <w:p w14:paraId="7EF8AF48" w14:textId="77777777" w:rsidR="00951CEC" w:rsidRPr="00951CEC" w:rsidRDefault="00951CEC" w:rsidP="00951CEC">
      <w:pPr>
        <w:tabs>
          <w:tab w:val="left" w:pos="284"/>
        </w:tabs>
        <w:suppressAutoHyphens w:val="0"/>
        <w:spacing w:before="0" w:line="280" w:lineRule="exact"/>
        <w:rPr>
          <w:rFonts w:eastAsia="Times New Roman" w:cs="Arial"/>
          <w:sz w:val="21"/>
          <w:szCs w:val="21"/>
          <w:lang w:val="en-AU" w:eastAsia="en-AU"/>
        </w:rPr>
      </w:pPr>
      <w:r w:rsidRPr="00951CEC">
        <w:rPr>
          <w:rFonts w:eastAsia="Times New Roman" w:cs="Arial"/>
          <w:sz w:val="21"/>
          <w:szCs w:val="21"/>
          <w:lang w:val="en-AU" w:eastAsia="en-AU"/>
        </w:rPr>
        <w:t>GfD2 will establish fit-for-purpose governance arrangements, including adequate oversight and engagement with GoTL throughout program inception, implementation and review. As a program that will “think and work politically”, GfD2 will include robust planning, review and analytical arrangements to support DFAT’s strategic oversight of the program and ensure GoTL’s views and priorities are reflected in implementation. As a flexible facility, GfD2 is likely to receive more requests than it can effectively support with the resources available. The design will develop governance mechanisms that prioritise program coherence and mitigate the risks of fr</w:t>
      </w:r>
      <w:r w:rsidR="00CE5A24">
        <w:rPr>
          <w:rFonts w:eastAsia="Times New Roman" w:cs="Arial"/>
          <w:sz w:val="21"/>
          <w:szCs w:val="21"/>
          <w:lang w:val="en-AU" w:eastAsia="en-AU"/>
        </w:rPr>
        <w:t xml:space="preserve">agmentation and mission creep. The design will recommend how joint prioritising of GfD2’s limited resources can be made by </w:t>
      </w:r>
      <w:r w:rsidRPr="00951CEC">
        <w:rPr>
          <w:rFonts w:eastAsia="Times New Roman" w:cs="Arial"/>
          <w:sz w:val="21"/>
          <w:szCs w:val="21"/>
          <w:lang w:val="en-AU" w:eastAsia="en-AU"/>
        </w:rPr>
        <w:t>Australia and GoTL</w:t>
      </w:r>
      <w:r w:rsidR="00654D81">
        <w:rPr>
          <w:rFonts w:eastAsia="Times New Roman" w:cs="Arial"/>
          <w:sz w:val="21"/>
          <w:szCs w:val="21"/>
          <w:lang w:val="en-AU" w:eastAsia="en-AU"/>
        </w:rPr>
        <w:t xml:space="preserve">, </w:t>
      </w:r>
      <w:r w:rsidR="00D24053">
        <w:rPr>
          <w:rFonts w:eastAsia="Times New Roman" w:cs="Arial"/>
          <w:sz w:val="21"/>
          <w:szCs w:val="21"/>
          <w:lang w:val="en-AU" w:eastAsia="en-AU"/>
        </w:rPr>
        <w:t>reflecting the Ministry of Finance’s responsibility for donor coordination,</w:t>
      </w:r>
      <w:r w:rsidRPr="00951CEC">
        <w:rPr>
          <w:rFonts w:eastAsia="Times New Roman" w:cs="Arial"/>
          <w:sz w:val="21"/>
          <w:szCs w:val="21"/>
          <w:lang w:val="en-AU" w:eastAsia="en-AU"/>
        </w:rPr>
        <w:t xml:space="preserve"> and will agree to transparent and consistent criteria for assessing </w:t>
      </w:r>
      <w:r w:rsidR="006224EE">
        <w:rPr>
          <w:rFonts w:eastAsia="Times New Roman" w:cs="Arial"/>
          <w:sz w:val="21"/>
          <w:szCs w:val="21"/>
          <w:lang w:val="en-AU" w:eastAsia="en-AU"/>
        </w:rPr>
        <w:t xml:space="preserve">implementation </w:t>
      </w:r>
      <w:r w:rsidRPr="00951CEC">
        <w:rPr>
          <w:rFonts w:eastAsia="Times New Roman" w:cs="Arial"/>
          <w:sz w:val="21"/>
          <w:szCs w:val="21"/>
          <w:lang w:val="en-AU" w:eastAsia="en-AU"/>
        </w:rPr>
        <w:t xml:space="preserve">priorities. </w:t>
      </w:r>
    </w:p>
    <w:p w14:paraId="2569617B" w14:textId="77777777" w:rsidR="008D3282" w:rsidRPr="008D3282" w:rsidRDefault="00DF5842" w:rsidP="006F157B">
      <w:pPr>
        <w:tabs>
          <w:tab w:val="left" w:pos="284"/>
        </w:tabs>
        <w:suppressAutoHyphens w:val="0"/>
        <w:spacing w:before="0" w:line="280" w:lineRule="exact"/>
        <w:rPr>
          <w:rFonts w:eastAsia="Times New Roman" w:cs="Arial"/>
          <w:sz w:val="21"/>
          <w:szCs w:val="21"/>
          <w:lang w:val="en-AU" w:eastAsia="en-AU"/>
        </w:rPr>
      </w:pPr>
      <w:r>
        <w:rPr>
          <w:rFonts w:eastAsia="Times New Roman" w:cs="Arial"/>
          <w:sz w:val="21"/>
          <w:szCs w:val="21"/>
          <w:lang w:val="en-AU" w:eastAsia="en-AU"/>
        </w:rPr>
        <w:t>Part of GfD2’s role will be to partner with and assist Australia’s o</w:t>
      </w:r>
      <w:r w:rsidR="00F13879">
        <w:rPr>
          <w:rFonts w:eastAsia="Times New Roman" w:cs="Arial"/>
          <w:sz w:val="21"/>
          <w:szCs w:val="21"/>
          <w:lang w:val="en-AU" w:eastAsia="en-AU"/>
        </w:rPr>
        <w:t>ther investments in Timor-Leste and t</w:t>
      </w:r>
      <w:r>
        <w:rPr>
          <w:rFonts w:eastAsia="Times New Roman" w:cs="Arial"/>
          <w:sz w:val="21"/>
          <w:szCs w:val="21"/>
          <w:lang w:val="en-AU" w:eastAsia="en-AU"/>
        </w:rPr>
        <w:t>he design will consider opportunities to pursue shared priorities.</w:t>
      </w:r>
      <w:r w:rsidR="006224EE">
        <w:rPr>
          <w:rFonts w:eastAsia="Times New Roman" w:cs="Arial"/>
          <w:sz w:val="21"/>
          <w:szCs w:val="21"/>
          <w:lang w:val="en-AU" w:eastAsia="en-AU"/>
        </w:rPr>
        <w:t xml:space="preserve"> This includes testing the link between central agency policy development</w:t>
      </w:r>
      <w:r w:rsidR="008D3282">
        <w:rPr>
          <w:rFonts w:eastAsia="Times New Roman" w:cs="Arial"/>
          <w:sz w:val="21"/>
          <w:szCs w:val="21"/>
          <w:lang w:val="en-AU" w:eastAsia="en-AU"/>
        </w:rPr>
        <w:t xml:space="preserve"> and service delivery outcomes</w:t>
      </w:r>
      <w:r w:rsidR="008D3282" w:rsidRPr="008D3282">
        <w:rPr>
          <w:rFonts w:eastAsia="Times New Roman" w:cs="Arial"/>
          <w:sz w:val="21"/>
          <w:szCs w:val="21"/>
          <w:lang w:val="en-AU" w:eastAsia="en-AU"/>
        </w:rPr>
        <w:t>.</w:t>
      </w:r>
      <w:r w:rsidR="008D3282" w:rsidRPr="008D3282">
        <w:rPr>
          <w:iCs/>
          <w:color w:val="auto"/>
          <w:lang w:val="en-AU"/>
        </w:rPr>
        <w:t xml:space="preserve"> </w:t>
      </w:r>
      <w:r w:rsidR="008D3282">
        <w:rPr>
          <w:rFonts w:eastAsia="Times New Roman" w:cs="Arial"/>
          <w:iCs/>
          <w:sz w:val="21"/>
          <w:szCs w:val="21"/>
          <w:lang w:val="en-AU" w:eastAsia="en-AU"/>
        </w:rPr>
        <w:t>It is critical that GfD2</w:t>
      </w:r>
      <w:r w:rsidR="008D3282" w:rsidRPr="008D3282">
        <w:rPr>
          <w:rFonts w:eastAsia="Times New Roman" w:cs="Arial"/>
          <w:iCs/>
          <w:sz w:val="21"/>
          <w:szCs w:val="21"/>
          <w:lang w:val="en-AU" w:eastAsia="en-AU"/>
        </w:rPr>
        <w:t xml:space="preserve"> partner in this effort with other key Australian investments in Timor-Leste, namely </w:t>
      </w:r>
      <w:r w:rsidR="008D3282">
        <w:rPr>
          <w:rFonts w:eastAsia="Times New Roman" w:cs="Arial"/>
          <w:iCs/>
          <w:sz w:val="21"/>
          <w:szCs w:val="21"/>
          <w:lang w:val="en-AU" w:eastAsia="en-AU"/>
        </w:rPr>
        <w:t>PHD</w:t>
      </w:r>
      <w:r w:rsidR="008D3282" w:rsidRPr="008D3282">
        <w:rPr>
          <w:rFonts w:eastAsia="Times New Roman" w:cs="Arial"/>
          <w:iCs/>
          <w:sz w:val="21"/>
          <w:szCs w:val="21"/>
          <w:lang w:val="en-AU" w:eastAsia="en-AU"/>
        </w:rPr>
        <w:t xml:space="preserve"> and PARTISIPA</w:t>
      </w:r>
      <w:r w:rsidR="008D3282">
        <w:rPr>
          <w:rFonts w:eastAsia="Times New Roman" w:cs="Arial"/>
          <w:iCs/>
          <w:sz w:val="21"/>
          <w:szCs w:val="21"/>
          <w:lang w:val="en-AU" w:eastAsia="en-AU"/>
        </w:rPr>
        <w:t>. This will involve drawing on</w:t>
      </w:r>
      <w:r w:rsidR="008D3282" w:rsidRPr="008D3282">
        <w:rPr>
          <w:rFonts w:eastAsia="Times New Roman" w:cs="Arial"/>
          <w:iCs/>
          <w:sz w:val="21"/>
          <w:szCs w:val="21"/>
          <w:lang w:val="en-AU" w:eastAsia="en-AU"/>
        </w:rPr>
        <w:t xml:space="preserve"> the connection between the servi</w:t>
      </w:r>
      <w:r w:rsidR="008D3282">
        <w:rPr>
          <w:rFonts w:eastAsia="Times New Roman" w:cs="Arial"/>
          <w:iCs/>
          <w:sz w:val="21"/>
          <w:szCs w:val="21"/>
          <w:lang w:val="en-AU" w:eastAsia="en-AU"/>
        </w:rPr>
        <w:t xml:space="preserve">ce delivery unit and </w:t>
      </w:r>
      <w:r w:rsidR="008D3282" w:rsidRPr="008D3282">
        <w:rPr>
          <w:rFonts w:eastAsia="Times New Roman" w:cs="Arial"/>
          <w:iCs/>
          <w:sz w:val="21"/>
          <w:szCs w:val="21"/>
          <w:lang w:val="en-AU" w:eastAsia="en-AU"/>
        </w:rPr>
        <w:t xml:space="preserve">municipalities, </w:t>
      </w:r>
      <w:r w:rsidR="00692CFE">
        <w:rPr>
          <w:rFonts w:eastAsia="Times New Roman" w:cs="Arial"/>
          <w:iCs/>
          <w:sz w:val="21"/>
          <w:szCs w:val="21"/>
          <w:lang w:val="en-AU" w:eastAsia="en-AU"/>
        </w:rPr>
        <w:t>administrative posts and villages (sukus)</w:t>
      </w:r>
      <w:r w:rsidR="008D3282" w:rsidRPr="008D3282">
        <w:rPr>
          <w:rFonts w:eastAsia="Times New Roman" w:cs="Arial"/>
          <w:iCs/>
          <w:sz w:val="21"/>
          <w:szCs w:val="21"/>
          <w:lang w:val="en-AU" w:eastAsia="en-AU"/>
        </w:rPr>
        <w:t xml:space="preserve"> through PARTISIPA</w:t>
      </w:r>
      <w:r w:rsidR="008D3282">
        <w:rPr>
          <w:rFonts w:eastAsia="Times New Roman" w:cs="Arial"/>
          <w:iCs/>
          <w:sz w:val="21"/>
          <w:szCs w:val="21"/>
          <w:lang w:val="en-AU" w:eastAsia="en-AU"/>
        </w:rPr>
        <w:t xml:space="preserve">, and linking with </w:t>
      </w:r>
      <w:r w:rsidR="008D3282" w:rsidRPr="008D3282">
        <w:rPr>
          <w:rFonts w:eastAsia="Times New Roman" w:cs="Arial"/>
          <w:iCs/>
          <w:sz w:val="21"/>
          <w:szCs w:val="21"/>
          <w:lang w:val="en-AU" w:eastAsia="en-AU"/>
        </w:rPr>
        <w:t>GfD</w:t>
      </w:r>
      <w:r w:rsidR="008D3282">
        <w:rPr>
          <w:rFonts w:eastAsia="Times New Roman" w:cs="Arial"/>
          <w:iCs/>
          <w:sz w:val="21"/>
          <w:szCs w:val="21"/>
          <w:lang w:val="en-AU" w:eastAsia="en-AU"/>
        </w:rPr>
        <w:t>2</w:t>
      </w:r>
      <w:r w:rsidR="008D3282" w:rsidRPr="008D3282">
        <w:rPr>
          <w:rFonts w:eastAsia="Times New Roman" w:cs="Arial"/>
          <w:iCs/>
          <w:sz w:val="21"/>
          <w:szCs w:val="21"/>
          <w:lang w:val="en-AU" w:eastAsia="en-AU"/>
        </w:rPr>
        <w:t xml:space="preserve"> on key constraints to service delivery that are within the remit of central </w:t>
      </w:r>
      <w:r w:rsidR="008D3282">
        <w:rPr>
          <w:rFonts w:eastAsia="Times New Roman" w:cs="Arial"/>
          <w:iCs/>
          <w:sz w:val="21"/>
          <w:szCs w:val="21"/>
          <w:lang w:val="en-AU" w:eastAsia="en-AU"/>
        </w:rPr>
        <w:t>ministries</w:t>
      </w:r>
      <w:r w:rsidR="008D3282" w:rsidRPr="008D3282">
        <w:rPr>
          <w:rFonts w:eastAsia="Times New Roman" w:cs="Arial"/>
          <w:iCs/>
          <w:sz w:val="21"/>
          <w:szCs w:val="21"/>
          <w:lang w:val="en-AU" w:eastAsia="en-AU"/>
        </w:rPr>
        <w:t xml:space="preserve">. PHD will also help to inform the policy priorities addressed by </w:t>
      </w:r>
      <w:r w:rsidR="008D3282">
        <w:rPr>
          <w:rFonts w:eastAsia="Times New Roman" w:cs="Arial"/>
          <w:iCs/>
          <w:sz w:val="21"/>
          <w:szCs w:val="21"/>
          <w:lang w:val="en-AU" w:eastAsia="en-AU"/>
        </w:rPr>
        <w:t>GfD2</w:t>
      </w:r>
      <w:r w:rsidR="008D3282" w:rsidRPr="008D3282">
        <w:rPr>
          <w:rFonts w:eastAsia="Times New Roman" w:cs="Arial"/>
          <w:iCs/>
          <w:sz w:val="21"/>
          <w:szCs w:val="21"/>
          <w:lang w:val="en-AU" w:eastAsia="en-AU"/>
        </w:rPr>
        <w:t xml:space="preserve"> at national and municipal levels so that they are grounded in the reality of challenges at the service delivery frontline.</w:t>
      </w:r>
    </w:p>
    <w:p w14:paraId="56CD7D21" w14:textId="215B6628" w:rsidR="006F157B" w:rsidRDefault="00973F75" w:rsidP="006F157B">
      <w:pPr>
        <w:tabs>
          <w:tab w:val="left" w:pos="284"/>
        </w:tabs>
        <w:suppressAutoHyphens w:val="0"/>
        <w:spacing w:before="0" w:line="280" w:lineRule="exact"/>
        <w:rPr>
          <w:rFonts w:eastAsia="Times New Roman" w:cs="Arial"/>
          <w:sz w:val="21"/>
          <w:szCs w:val="21"/>
          <w:lang w:val="en-AU" w:eastAsia="en-AU"/>
        </w:rPr>
      </w:pPr>
      <w:r>
        <w:rPr>
          <w:rFonts w:eastAsia="Times New Roman" w:cs="Arial"/>
          <w:sz w:val="21"/>
          <w:szCs w:val="21"/>
          <w:lang w:val="en-AU" w:eastAsia="en-AU"/>
        </w:rPr>
        <w:t>A priority will be aligning the design of GfD2 with PARTISIPA (currently being designed to begin implementation in July 2021)</w:t>
      </w:r>
      <w:r w:rsidR="00880B04">
        <w:rPr>
          <w:rFonts w:eastAsia="Times New Roman" w:cs="Arial"/>
          <w:sz w:val="21"/>
          <w:szCs w:val="21"/>
          <w:lang w:val="en-AU" w:eastAsia="en-AU"/>
        </w:rPr>
        <w:t>. The design process is an opportunity to ensure</w:t>
      </w:r>
      <w:r>
        <w:rPr>
          <w:rFonts w:eastAsia="Times New Roman" w:cs="Arial"/>
          <w:sz w:val="21"/>
          <w:szCs w:val="21"/>
          <w:lang w:val="en-AU" w:eastAsia="en-AU"/>
        </w:rPr>
        <w:t xml:space="preserve"> GfD2’s governance support to the centre complements and does not overlap with PARTISIPA’s governance support to municipalities</w:t>
      </w:r>
      <w:r w:rsidR="00880B04">
        <w:rPr>
          <w:rFonts w:eastAsia="Times New Roman" w:cs="Arial"/>
          <w:sz w:val="21"/>
          <w:szCs w:val="21"/>
          <w:lang w:val="en-AU" w:eastAsia="en-AU"/>
        </w:rPr>
        <w:t xml:space="preserve"> (note, PARTISIPA will lead engagement on decentralisation, though </w:t>
      </w:r>
      <w:r w:rsidR="00E267BE">
        <w:rPr>
          <w:rFonts w:eastAsia="Times New Roman" w:cs="Arial"/>
          <w:sz w:val="21"/>
          <w:szCs w:val="21"/>
          <w:lang w:val="en-AU" w:eastAsia="en-AU"/>
        </w:rPr>
        <w:t>the design will consider whether and how</w:t>
      </w:r>
      <w:r w:rsidR="00880B04">
        <w:rPr>
          <w:rFonts w:eastAsia="Times New Roman" w:cs="Arial"/>
          <w:sz w:val="21"/>
          <w:szCs w:val="21"/>
          <w:lang w:val="en-AU" w:eastAsia="en-AU"/>
        </w:rPr>
        <w:t xml:space="preserve"> GfD2 will have a role to play in this sector)</w:t>
      </w:r>
      <w:r>
        <w:rPr>
          <w:rFonts w:eastAsia="Times New Roman" w:cs="Arial"/>
          <w:sz w:val="21"/>
          <w:szCs w:val="21"/>
          <w:lang w:val="en-AU" w:eastAsia="en-AU"/>
        </w:rPr>
        <w:t xml:space="preserve">. </w:t>
      </w:r>
      <w:r w:rsidR="009A74B1">
        <w:rPr>
          <w:rFonts w:eastAsia="Times New Roman" w:cs="Arial"/>
          <w:sz w:val="21"/>
          <w:szCs w:val="21"/>
          <w:lang w:val="en-AU" w:eastAsia="en-AU"/>
        </w:rPr>
        <w:t xml:space="preserve">The design will </w:t>
      </w:r>
      <w:r w:rsidR="00DF5842">
        <w:rPr>
          <w:rFonts w:eastAsia="Times New Roman" w:cs="Arial"/>
          <w:sz w:val="21"/>
          <w:szCs w:val="21"/>
          <w:lang w:val="en-AU" w:eastAsia="en-AU"/>
        </w:rPr>
        <w:t xml:space="preserve">also </w:t>
      </w:r>
      <w:r w:rsidR="009A74B1">
        <w:rPr>
          <w:rFonts w:eastAsia="Times New Roman" w:cs="Arial"/>
          <w:sz w:val="21"/>
          <w:szCs w:val="21"/>
          <w:lang w:val="en-AU" w:eastAsia="en-AU"/>
        </w:rPr>
        <w:t xml:space="preserve">consider the donor landscape and opportunities to work with other donors </w:t>
      </w:r>
      <w:r w:rsidR="004A21B9">
        <w:rPr>
          <w:rFonts w:eastAsia="Times New Roman" w:cs="Arial"/>
          <w:sz w:val="21"/>
          <w:szCs w:val="21"/>
          <w:lang w:val="en-AU" w:eastAsia="en-AU"/>
        </w:rPr>
        <w:t xml:space="preserve">and partners </w:t>
      </w:r>
      <w:r w:rsidR="009A74B1">
        <w:rPr>
          <w:rFonts w:eastAsia="Times New Roman" w:cs="Arial"/>
          <w:sz w:val="21"/>
          <w:szCs w:val="21"/>
          <w:lang w:val="en-AU" w:eastAsia="en-AU"/>
        </w:rPr>
        <w:t xml:space="preserve">on specific </w:t>
      </w:r>
      <w:r w:rsidR="00B734DF">
        <w:rPr>
          <w:rFonts w:eastAsia="Times New Roman" w:cs="Arial"/>
          <w:sz w:val="21"/>
          <w:szCs w:val="21"/>
          <w:lang w:val="en-AU" w:eastAsia="en-AU"/>
        </w:rPr>
        <w:t>governance reform priorities.</w:t>
      </w:r>
    </w:p>
    <w:p w14:paraId="4A6ACBB2" w14:textId="77777777" w:rsidR="0063057E" w:rsidRDefault="0063057E" w:rsidP="006F157B">
      <w:pPr>
        <w:tabs>
          <w:tab w:val="left" w:pos="284"/>
        </w:tabs>
        <w:suppressAutoHyphens w:val="0"/>
        <w:spacing w:before="0" w:line="280" w:lineRule="exact"/>
        <w:rPr>
          <w:rFonts w:eastAsia="Times New Roman" w:cs="Arial"/>
          <w:sz w:val="21"/>
          <w:szCs w:val="21"/>
          <w:lang w:val="en-AU" w:eastAsia="en-AU"/>
        </w:rPr>
      </w:pPr>
    </w:p>
    <w:p w14:paraId="244645D7" w14:textId="77777777" w:rsidR="00490CDB" w:rsidRPr="00490CDB" w:rsidRDefault="00971FA2" w:rsidP="00490CDB">
      <w:pPr>
        <w:numPr>
          <w:ilvl w:val="0"/>
          <w:numId w:val="38"/>
        </w:numPr>
        <w:pBdr>
          <w:top w:val="single" w:sz="4" w:space="1" w:color="677370" w:themeColor="background2" w:themeShade="80"/>
          <w:left w:val="single" w:sz="4" w:space="4" w:color="677370" w:themeColor="background2" w:themeShade="80"/>
          <w:bottom w:val="single" w:sz="4" w:space="1" w:color="677370" w:themeColor="background2" w:themeShade="80"/>
          <w:right w:val="single" w:sz="4" w:space="4" w:color="677370" w:themeColor="background2" w:themeShade="80"/>
        </w:pBdr>
        <w:shd w:val="clear" w:color="auto" w:fill="E0F3EF" w:themeFill="accent1" w:themeFillTint="33"/>
        <w:spacing w:after="120"/>
        <w:ind w:left="284" w:hanging="284"/>
        <w:rPr>
          <w:rFonts w:asciiTheme="majorHAnsi" w:eastAsia="Times New Roman" w:hAnsiTheme="majorHAnsi" w:cs="Arial"/>
        </w:rPr>
      </w:pPr>
      <w:r>
        <w:rPr>
          <w:rFonts w:asciiTheme="majorHAnsi" w:hAnsiTheme="majorHAnsi" w:cs="Arial"/>
          <w:b/>
        </w:rPr>
        <w:t>Risks</w:t>
      </w:r>
    </w:p>
    <w:p w14:paraId="36F1FD55" w14:textId="22E4ECAB" w:rsidR="00EA6B52" w:rsidRDefault="00EA6B52" w:rsidP="00EA6B52">
      <w:pPr>
        <w:tabs>
          <w:tab w:val="left" w:pos="284"/>
        </w:tabs>
        <w:suppressAutoHyphens w:val="0"/>
        <w:spacing w:before="0" w:line="280" w:lineRule="exact"/>
        <w:rPr>
          <w:rFonts w:eastAsia="Times New Roman" w:cs="Arial"/>
          <w:sz w:val="21"/>
          <w:szCs w:val="21"/>
          <w:lang w:val="en-AU" w:eastAsia="en-AU"/>
        </w:rPr>
      </w:pPr>
      <w:r>
        <w:rPr>
          <w:rFonts w:eastAsia="Times New Roman" w:cs="Arial"/>
          <w:sz w:val="21"/>
          <w:szCs w:val="21"/>
          <w:lang w:val="en-AU" w:eastAsia="en-AU"/>
        </w:rPr>
        <w:t>GfD2 will be designed and developed in a complex environment – Timor-Leste is a young state in which governance systems</w:t>
      </w:r>
      <w:r w:rsidR="00791B60">
        <w:rPr>
          <w:rFonts w:eastAsia="Times New Roman" w:cs="Arial"/>
          <w:sz w:val="21"/>
          <w:szCs w:val="21"/>
          <w:lang w:val="en-AU" w:eastAsia="en-AU"/>
        </w:rPr>
        <w:t xml:space="preserve"> and institutions</w:t>
      </w:r>
      <w:r>
        <w:rPr>
          <w:rFonts w:eastAsia="Times New Roman" w:cs="Arial"/>
          <w:sz w:val="21"/>
          <w:szCs w:val="21"/>
          <w:lang w:val="en-AU" w:eastAsia="en-AU"/>
        </w:rPr>
        <w:t xml:space="preserve"> are still being developed. </w:t>
      </w:r>
      <w:r w:rsidR="00AC1D0B">
        <w:rPr>
          <w:rFonts w:eastAsia="Times New Roman" w:cs="Arial"/>
          <w:sz w:val="21"/>
          <w:szCs w:val="21"/>
          <w:lang w:val="en-AU" w:eastAsia="en-AU"/>
        </w:rPr>
        <w:t>While the bilateral relationship is strengthening, some sensitivities remain</w:t>
      </w:r>
      <w:r>
        <w:rPr>
          <w:rFonts w:eastAsia="Times New Roman" w:cs="Arial"/>
          <w:sz w:val="21"/>
          <w:szCs w:val="21"/>
          <w:lang w:val="en-AU" w:eastAsia="en-AU"/>
        </w:rPr>
        <w:t xml:space="preserve">. </w:t>
      </w:r>
      <w:r w:rsidR="00F17A12">
        <w:rPr>
          <w:rFonts w:eastAsia="Times New Roman" w:cs="Arial"/>
          <w:sz w:val="21"/>
          <w:szCs w:val="21"/>
          <w:lang w:val="en-AU" w:eastAsia="en-AU"/>
        </w:rPr>
        <w:t>And</w:t>
      </w:r>
      <w:r w:rsidRPr="00EA6B52">
        <w:rPr>
          <w:rFonts w:eastAsia="Times New Roman" w:cs="Arial"/>
          <w:sz w:val="21"/>
          <w:szCs w:val="21"/>
          <w:lang w:val="en-AU" w:eastAsia="en-AU"/>
        </w:rPr>
        <w:t xml:space="preserve"> </w:t>
      </w:r>
      <w:r w:rsidR="00B3721A">
        <w:rPr>
          <w:rFonts w:eastAsia="Times New Roman" w:cs="Arial"/>
          <w:sz w:val="21"/>
          <w:szCs w:val="21"/>
          <w:lang w:val="en-AU" w:eastAsia="en-AU"/>
        </w:rPr>
        <w:t xml:space="preserve">COVID-19 will continue to </w:t>
      </w:r>
      <w:r w:rsidR="0012513C">
        <w:rPr>
          <w:rFonts w:eastAsia="Times New Roman" w:cs="Arial"/>
          <w:sz w:val="21"/>
          <w:szCs w:val="21"/>
          <w:lang w:val="en-AU" w:eastAsia="en-AU"/>
        </w:rPr>
        <w:t>cause uncertainty</w:t>
      </w:r>
      <w:r w:rsidR="00E2161C">
        <w:rPr>
          <w:rFonts w:eastAsia="Times New Roman" w:cs="Arial"/>
          <w:sz w:val="21"/>
          <w:szCs w:val="21"/>
          <w:lang w:val="en-AU" w:eastAsia="en-AU"/>
        </w:rPr>
        <w:t xml:space="preserve"> across all the program’s activities</w:t>
      </w:r>
      <w:r w:rsidR="00B3721A">
        <w:rPr>
          <w:rFonts w:eastAsia="Times New Roman" w:cs="Arial"/>
          <w:sz w:val="21"/>
          <w:szCs w:val="21"/>
          <w:lang w:val="en-AU" w:eastAsia="en-AU"/>
        </w:rPr>
        <w:t xml:space="preserve">. </w:t>
      </w:r>
      <w:r>
        <w:rPr>
          <w:rFonts w:eastAsia="Times New Roman" w:cs="Arial"/>
          <w:sz w:val="21"/>
          <w:szCs w:val="21"/>
          <w:lang w:val="en-AU" w:eastAsia="en-AU"/>
        </w:rPr>
        <w:t xml:space="preserve">The </w:t>
      </w:r>
      <w:r w:rsidR="00F00C44">
        <w:rPr>
          <w:rFonts w:eastAsia="Times New Roman" w:cs="Arial"/>
          <w:sz w:val="21"/>
          <w:szCs w:val="21"/>
          <w:lang w:val="en-AU" w:eastAsia="en-AU"/>
        </w:rPr>
        <w:t>d</w:t>
      </w:r>
      <w:r>
        <w:rPr>
          <w:rFonts w:eastAsia="Times New Roman" w:cs="Arial"/>
          <w:sz w:val="21"/>
          <w:szCs w:val="21"/>
          <w:lang w:val="en-AU" w:eastAsia="en-AU"/>
        </w:rPr>
        <w:t>esign will explore these risks</w:t>
      </w:r>
      <w:r w:rsidR="00800485">
        <w:rPr>
          <w:rFonts w:eastAsia="Times New Roman" w:cs="Arial"/>
          <w:sz w:val="21"/>
          <w:szCs w:val="21"/>
          <w:lang w:val="en-AU" w:eastAsia="en-AU"/>
        </w:rPr>
        <w:t xml:space="preserve"> to GfD2</w:t>
      </w:r>
      <w:r w:rsidR="0031209E">
        <w:rPr>
          <w:rFonts w:eastAsia="Times New Roman" w:cs="Arial"/>
          <w:sz w:val="21"/>
          <w:szCs w:val="21"/>
          <w:lang w:val="en-AU" w:eastAsia="en-AU"/>
        </w:rPr>
        <w:t xml:space="preserve"> in detail</w:t>
      </w:r>
      <w:r>
        <w:rPr>
          <w:rFonts w:eastAsia="Times New Roman" w:cs="Arial"/>
          <w:sz w:val="21"/>
          <w:szCs w:val="21"/>
          <w:lang w:val="en-AU" w:eastAsia="en-AU"/>
        </w:rPr>
        <w:t xml:space="preserve"> and the strategies required to </w:t>
      </w:r>
      <w:r w:rsidR="00DE2073">
        <w:rPr>
          <w:rFonts w:eastAsia="Times New Roman" w:cs="Arial"/>
          <w:sz w:val="21"/>
          <w:szCs w:val="21"/>
          <w:lang w:val="en-AU" w:eastAsia="en-AU"/>
        </w:rPr>
        <w:t>manage</w:t>
      </w:r>
      <w:r>
        <w:rPr>
          <w:rFonts w:eastAsia="Times New Roman" w:cs="Arial"/>
          <w:sz w:val="21"/>
          <w:szCs w:val="21"/>
          <w:lang w:val="en-AU" w:eastAsia="en-AU"/>
        </w:rPr>
        <w:t xml:space="preserve"> them</w:t>
      </w:r>
      <w:r w:rsidR="0031209E">
        <w:rPr>
          <w:rFonts w:eastAsia="Times New Roman" w:cs="Arial"/>
          <w:sz w:val="21"/>
          <w:szCs w:val="21"/>
          <w:lang w:val="en-AU" w:eastAsia="en-AU"/>
        </w:rPr>
        <w:t>, including:</w:t>
      </w:r>
    </w:p>
    <w:p w14:paraId="7C907081" w14:textId="77777777" w:rsidR="0031209E" w:rsidRDefault="00791B60" w:rsidP="00490CDB">
      <w:pPr>
        <w:numPr>
          <w:ilvl w:val="1"/>
          <w:numId w:val="39"/>
        </w:numPr>
        <w:tabs>
          <w:tab w:val="left" w:pos="284"/>
        </w:tabs>
        <w:suppressAutoHyphens w:val="0"/>
        <w:spacing w:before="0" w:line="280" w:lineRule="exact"/>
        <w:ind w:left="567" w:hanging="283"/>
        <w:rPr>
          <w:rFonts w:eastAsia="Times New Roman" w:cs="Arial"/>
          <w:sz w:val="21"/>
          <w:szCs w:val="21"/>
          <w:lang w:val="en-AU" w:eastAsia="en-AU"/>
        </w:rPr>
      </w:pPr>
      <w:r>
        <w:rPr>
          <w:rFonts w:eastAsia="Times New Roman" w:cs="Arial"/>
          <w:sz w:val="21"/>
          <w:szCs w:val="21"/>
          <w:u w:val="single"/>
          <w:lang w:val="en-AU" w:eastAsia="en-AU"/>
        </w:rPr>
        <w:t>Political risk</w:t>
      </w:r>
      <w:r w:rsidR="00800485">
        <w:rPr>
          <w:rFonts w:eastAsia="Times New Roman" w:cs="Arial"/>
          <w:sz w:val="21"/>
          <w:szCs w:val="21"/>
          <w:u w:val="single"/>
          <w:lang w:val="en-AU" w:eastAsia="en-AU"/>
        </w:rPr>
        <w:t>:</w:t>
      </w:r>
      <w:r w:rsidR="00800485">
        <w:rPr>
          <w:rFonts w:eastAsia="Times New Roman" w:cs="Arial"/>
          <w:sz w:val="21"/>
          <w:szCs w:val="21"/>
          <w:lang w:val="en-AU" w:eastAsia="en-AU"/>
        </w:rPr>
        <w:t xml:space="preserve"> political changes across GoT</w:t>
      </w:r>
      <w:r w:rsidR="007949C3">
        <w:rPr>
          <w:rFonts w:eastAsia="Times New Roman" w:cs="Arial"/>
          <w:sz w:val="21"/>
          <w:szCs w:val="21"/>
          <w:lang w:val="en-AU" w:eastAsia="en-AU"/>
        </w:rPr>
        <w:t>L could</w:t>
      </w:r>
      <w:r w:rsidR="00800485">
        <w:rPr>
          <w:rFonts w:eastAsia="Times New Roman" w:cs="Arial"/>
          <w:sz w:val="21"/>
          <w:szCs w:val="21"/>
          <w:lang w:val="en-AU" w:eastAsia="en-AU"/>
        </w:rPr>
        <w:t xml:space="preserve"> lead to a lack of politically possible interventions and disagreement or conflict on priorities across the coalition government. Furthermore, political decisions in the bilateral relationship</w:t>
      </w:r>
      <w:r w:rsidR="007949C3">
        <w:rPr>
          <w:rFonts w:eastAsia="Times New Roman" w:cs="Arial"/>
          <w:sz w:val="21"/>
          <w:szCs w:val="21"/>
          <w:lang w:val="en-AU" w:eastAsia="en-AU"/>
        </w:rPr>
        <w:t xml:space="preserve"> could</w:t>
      </w:r>
      <w:r w:rsidR="00800485">
        <w:rPr>
          <w:rFonts w:eastAsia="Times New Roman" w:cs="Arial"/>
          <w:sz w:val="21"/>
          <w:szCs w:val="21"/>
          <w:lang w:val="en-AU" w:eastAsia="en-AU"/>
        </w:rPr>
        <w:t xml:space="preserve"> impact on GfD</w:t>
      </w:r>
      <w:r w:rsidR="007949C3">
        <w:rPr>
          <w:rFonts w:eastAsia="Times New Roman" w:cs="Arial"/>
          <w:sz w:val="21"/>
          <w:szCs w:val="21"/>
          <w:lang w:val="en-AU" w:eastAsia="en-AU"/>
        </w:rPr>
        <w:t>2</w:t>
      </w:r>
      <w:r w:rsidR="00800485">
        <w:rPr>
          <w:rFonts w:eastAsia="Times New Roman" w:cs="Arial"/>
          <w:sz w:val="21"/>
          <w:szCs w:val="21"/>
          <w:lang w:val="en-AU" w:eastAsia="en-AU"/>
        </w:rPr>
        <w:t>’s engagement with GoTL</w:t>
      </w:r>
      <w:r w:rsidR="00ED727D">
        <w:rPr>
          <w:rFonts w:eastAsia="Times New Roman" w:cs="Arial"/>
          <w:sz w:val="21"/>
          <w:szCs w:val="21"/>
          <w:lang w:val="en-AU" w:eastAsia="en-AU"/>
        </w:rPr>
        <w:t xml:space="preserve"> and/or GfD2 could be politicised impacting advisory support and grant partners</w:t>
      </w:r>
      <w:r w:rsidR="00800485">
        <w:rPr>
          <w:rFonts w:eastAsia="Times New Roman" w:cs="Arial"/>
          <w:sz w:val="21"/>
          <w:szCs w:val="21"/>
          <w:lang w:val="en-AU" w:eastAsia="en-AU"/>
        </w:rPr>
        <w:t>.</w:t>
      </w:r>
      <w:r w:rsidR="007949C3">
        <w:rPr>
          <w:rFonts w:eastAsia="Times New Roman" w:cs="Arial"/>
          <w:sz w:val="21"/>
          <w:szCs w:val="21"/>
          <w:lang w:val="en-AU" w:eastAsia="en-AU"/>
        </w:rPr>
        <w:t xml:space="preserve"> GfD2 will </w:t>
      </w:r>
      <w:r w:rsidR="00F841F9">
        <w:rPr>
          <w:rFonts w:eastAsia="Times New Roman" w:cs="Arial"/>
          <w:sz w:val="21"/>
          <w:szCs w:val="21"/>
          <w:lang w:val="en-AU" w:eastAsia="en-AU"/>
        </w:rPr>
        <w:t xml:space="preserve">need to think and work politically, with systematic analysis of </w:t>
      </w:r>
      <w:r w:rsidR="00AB44C0">
        <w:rPr>
          <w:rFonts w:eastAsia="Times New Roman" w:cs="Arial"/>
          <w:sz w:val="21"/>
          <w:szCs w:val="21"/>
          <w:lang w:val="en-AU" w:eastAsia="en-AU"/>
        </w:rPr>
        <w:t xml:space="preserve">risks, </w:t>
      </w:r>
      <w:r w:rsidR="00F841F9">
        <w:rPr>
          <w:rFonts w:eastAsia="Times New Roman" w:cs="Arial"/>
          <w:sz w:val="21"/>
          <w:szCs w:val="21"/>
          <w:lang w:val="en-AU" w:eastAsia="en-AU"/>
        </w:rPr>
        <w:t>opportunities and interventions.</w:t>
      </w:r>
    </w:p>
    <w:p w14:paraId="4C3901C5" w14:textId="77777777" w:rsidR="002D558B" w:rsidRDefault="002D558B" w:rsidP="00490CDB">
      <w:pPr>
        <w:numPr>
          <w:ilvl w:val="1"/>
          <w:numId w:val="39"/>
        </w:numPr>
        <w:tabs>
          <w:tab w:val="left" w:pos="284"/>
        </w:tabs>
        <w:suppressAutoHyphens w:val="0"/>
        <w:spacing w:before="0" w:line="280" w:lineRule="exact"/>
        <w:ind w:left="567" w:hanging="283"/>
        <w:rPr>
          <w:rFonts w:eastAsia="Times New Roman" w:cs="Arial"/>
          <w:sz w:val="21"/>
          <w:szCs w:val="21"/>
          <w:lang w:val="en-AU" w:eastAsia="en-AU"/>
        </w:rPr>
      </w:pPr>
      <w:r>
        <w:rPr>
          <w:rFonts w:eastAsia="Times New Roman" w:cs="Arial"/>
          <w:sz w:val="21"/>
          <w:szCs w:val="21"/>
          <w:u w:val="single"/>
          <w:lang w:val="en-AU" w:eastAsia="en-AU"/>
        </w:rPr>
        <w:t>Partner capacity and relations:</w:t>
      </w:r>
      <w:r>
        <w:rPr>
          <w:rFonts w:eastAsia="Times New Roman" w:cs="Arial"/>
          <w:sz w:val="21"/>
          <w:szCs w:val="21"/>
          <w:lang w:val="en-AU" w:eastAsia="en-AU"/>
        </w:rPr>
        <w:t xml:space="preserve"> </w:t>
      </w:r>
      <w:r w:rsidR="007949C3">
        <w:rPr>
          <w:rFonts w:eastAsia="Times New Roman" w:cs="Arial"/>
          <w:sz w:val="21"/>
          <w:szCs w:val="21"/>
          <w:lang w:val="en-AU" w:eastAsia="en-AU"/>
        </w:rPr>
        <w:t xml:space="preserve">reforms must take account of the variable capacity of GoTL </w:t>
      </w:r>
      <w:r w:rsidR="0043643E">
        <w:rPr>
          <w:rFonts w:eastAsia="Times New Roman" w:cs="Arial"/>
          <w:sz w:val="21"/>
          <w:szCs w:val="21"/>
          <w:lang w:val="en-AU" w:eastAsia="en-AU"/>
        </w:rPr>
        <w:t>and its agencies</w:t>
      </w:r>
      <w:r w:rsidR="007949C3">
        <w:rPr>
          <w:rFonts w:eastAsia="Times New Roman" w:cs="Arial"/>
          <w:sz w:val="21"/>
          <w:szCs w:val="21"/>
          <w:lang w:val="en-AU" w:eastAsia="en-AU"/>
        </w:rPr>
        <w:t xml:space="preserve">. </w:t>
      </w:r>
      <w:r w:rsidR="0043643E">
        <w:rPr>
          <w:rFonts w:eastAsia="Times New Roman" w:cs="Arial"/>
          <w:sz w:val="21"/>
          <w:szCs w:val="21"/>
          <w:lang w:val="en-AU" w:eastAsia="en-AU"/>
        </w:rPr>
        <w:t xml:space="preserve">The </w:t>
      </w:r>
      <w:r w:rsidR="007949C3">
        <w:rPr>
          <w:rFonts w:eastAsia="Times New Roman" w:cs="Arial"/>
          <w:sz w:val="21"/>
          <w:szCs w:val="21"/>
          <w:lang w:val="en-AU" w:eastAsia="en-AU"/>
        </w:rPr>
        <w:t xml:space="preserve">capacity </w:t>
      </w:r>
      <w:r w:rsidR="0043643E">
        <w:rPr>
          <w:rFonts w:eastAsia="Times New Roman" w:cs="Arial"/>
          <w:sz w:val="21"/>
          <w:szCs w:val="21"/>
          <w:lang w:val="en-AU" w:eastAsia="en-AU"/>
        </w:rPr>
        <w:t>of</w:t>
      </w:r>
      <w:r w:rsidR="0004312D">
        <w:rPr>
          <w:rFonts w:eastAsia="Times New Roman" w:cs="Arial"/>
          <w:sz w:val="21"/>
          <w:szCs w:val="21"/>
          <w:lang w:val="en-AU" w:eastAsia="en-AU"/>
        </w:rPr>
        <w:t xml:space="preserve"> </w:t>
      </w:r>
      <w:r w:rsidR="007949C3">
        <w:rPr>
          <w:rFonts w:eastAsia="Times New Roman" w:cs="Arial"/>
          <w:sz w:val="21"/>
          <w:szCs w:val="21"/>
          <w:lang w:val="en-AU" w:eastAsia="en-AU"/>
        </w:rPr>
        <w:t>grant partners, including local civil society organisations, will need to be assessed and managed.</w:t>
      </w:r>
      <w:r w:rsidR="00F841F9">
        <w:rPr>
          <w:rFonts w:eastAsia="Times New Roman" w:cs="Arial"/>
          <w:sz w:val="21"/>
          <w:szCs w:val="21"/>
          <w:lang w:val="en-AU" w:eastAsia="en-AU"/>
        </w:rPr>
        <w:t xml:space="preserve"> In many instances it will be appropriate to include capacity development as part of GfD2’s partnerships, particularly with local partners.</w:t>
      </w:r>
    </w:p>
    <w:p w14:paraId="4205B49D" w14:textId="212D321B" w:rsidR="007949C3" w:rsidRDefault="007949C3" w:rsidP="00490CDB">
      <w:pPr>
        <w:numPr>
          <w:ilvl w:val="1"/>
          <w:numId w:val="39"/>
        </w:numPr>
        <w:tabs>
          <w:tab w:val="left" w:pos="284"/>
        </w:tabs>
        <w:suppressAutoHyphens w:val="0"/>
        <w:spacing w:before="0" w:line="280" w:lineRule="exact"/>
        <w:ind w:left="567" w:hanging="283"/>
        <w:rPr>
          <w:rFonts w:eastAsia="Times New Roman" w:cs="Arial"/>
          <w:sz w:val="21"/>
          <w:szCs w:val="21"/>
          <w:lang w:val="en-AU" w:eastAsia="en-AU"/>
        </w:rPr>
      </w:pPr>
      <w:r>
        <w:rPr>
          <w:rFonts w:eastAsia="Times New Roman" w:cs="Arial"/>
          <w:sz w:val="21"/>
          <w:szCs w:val="21"/>
          <w:u w:val="single"/>
          <w:lang w:val="en-AU" w:eastAsia="en-AU"/>
        </w:rPr>
        <w:t>Fiduciary:</w:t>
      </w:r>
      <w:r>
        <w:rPr>
          <w:rFonts w:eastAsia="Times New Roman" w:cs="Arial"/>
          <w:sz w:val="21"/>
          <w:szCs w:val="21"/>
          <w:lang w:val="en-AU" w:eastAsia="en-AU"/>
        </w:rPr>
        <w:t xml:space="preserve"> misappropriation of funds is possible</w:t>
      </w:r>
      <w:r w:rsidR="00F841F9">
        <w:rPr>
          <w:rFonts w:eastAsia="Times New Roman" w:cs="Arial"/>
          <w:sz w:val="21"/>
          <w:szCs w:val="21"/>
          <w:lang w:val="en-AU" w:eastAsia="en-AU"/>
        </w:rPr>
        <w:t>. Robust oversight,</w:t>
      </w:r>
      <w:r>
        <w:rPr>
          <w:rFonts w:eastAsia="Times New Roman" w:cs="Arial"/>
          <w:sz w:val="21"/>
          <w:szCs w:val="21"/>
          <w:lang w:val="en-AU" w:eastAsia="en-AU"/>
        </w:rPr>
        <w:t xml:space="preserve"> controls and checks-and-balances will be required.</w:t>
      </w:r>
      <w:r w:rsidR="00B933AF">
        <w:rPr>
          <w:rFonts w:eastAsia="Times New Roman" w:cs="Arial"/>
          <w:sz w:val="21"/>
          <w:szCs w:val="21"/>
          <w:lang w:val="en-AU" w:eastAsia="en-AU"/>
        </w:rPr>
        <w:t xml:space="preserve"> Weak GoTL financial systems pose risks to further direct budget support – appropriate diagnostics and analysis will be required, including a separate assessment of national systems and </w:t>
      </w:r>
      <w:r w:rsidR="00B933AF" w:rsidRPr="00B933AF">
        <w:rPr>
          <w:rFonts w:eastAsia="Times New Roman" w:cs="Arial"/>
          <w:sz w:val="21"/>
          <w:szCs w:val="21"/>
          <w:lang w:val="en-AU" w:eastAsia="en-AU"/>
        </w:rPr>
        <w:t xml:space="preserve">additional </w:t>
      </w:r>
      <w:r w:rsidR="00B933AF">
        <w:rPr>
          <w:rFonts w:eastAsia="Times New Roman" w:cs="Arial"/>
          <w:sz w:val="21"/>
          <w:szCs w:val="21"/>
          <w:lang w:val="en-AU" w:eastAsia="en-AU"/>
        </w:rPr>
        <w:t>PFM and procurement analysis of GoTL sectoral ministries.</w:t>
      </w:r>
    </w:p>
    <w:p w14:paraId="6FEEC0E6" w14:textId="77777777" w:rsidR="007949C3" w:rsidRDefault="007949C3" w:rsidP="00490CDB">
      <w:pPr>
        <w:numPr>
          <w:ilvl w:val="1"/>
          <w:numId w:val="39"/>
        </w:numPr>
        <w:tabs>
          <w:tab w:val="left" w:pos="284"/>
        </w:tabs>
        <w:suppressAutoHyphens w:val="0"/>
        <w:spacing w:before="0" w:line="280" w:lineRule="exact"/>
        <w:ind w:left="567" w:hanging="283"/>
        <w:rPr>
          <w:rFonts w:eastAsia="Times New Roman" w:cs="Arial"/>
          <w:sz w:val="21"/>
          <w:szCs w:val="21"/>
          <w:lang w:val="en-AU" w:eastAsia="en-AU"/>
        </w:rPr>
      </w:pPr>
      <w:r>
        <w:rPr>
          <w:rFonts w:eastAsia="Times New Roman" w:cs="Arial"/>
          <w:sz w:val="21"/>
          <w:szCs w:val="21"/>
          <w:u w:val="single"/>
          <w:lang w:val="en-AU" w:eastAsia="en-AU"/>
        </w:rPr>
        <w:t>Resources, management and planning:</w:t>
      </w:r>
      <w:r>
        <w:rPr>
          <w:rFonts w:eastAsia="Times New Roman" w:cs="Arial"/>
          <w:sz w:val="21"/>
          <w:szCs w:val="21"/>
          <w:lang w:val="en-AU" w:eastAsia="en-AU"/>
        </w:rPr>
        <w:t xml:space="preserve"> </w:t>
      </w:r>
      <w:r w:rsidR="0018050C">
        <w:rPr>
          <w:rFonts w:eastAsia="Times New Roman" w:cs="Arial"/>
          <w:sz w:val="21"/>
          <w:szCs w:val="21"/>
          <w:lang w:val="en-AU" w:eastAsia="en-AU"/>
        </w:rPr>
        <w:t xml:space="preserve">GfD2’s effectiveness </w:t>
      </w:r>
      <w:r w:rsidR="0043643E">
        <w:rPr>
          <w:rFonts w:eastAsia="Times New Roman" w:cs="Arial"/>
          <w:sz w:val="21"/>
          <w:szCs w:val="21"/>
          <w:lang w:val="en-AU" w:eastAsia="en-AU"/>
        </w:rPr>
        <w:t xml:space="preserve">will be </w:t>
      </w:r>
      <w:r w:rsidR="0018050C">
        <w:rPr>
          <w:rFonts w:eastAsia="Times New Roman" w:cs="Arial"/>
          <w:sz w:val="21"/>
          <w:szCs w:val="21"/>
          <w:lang w:val="en-AU" w:eastAsia="en-AU"/>
        </w:rPr>
        <w:t xml:space="preserve">at risk if it does not work in partnership with DFAT’s other investments and does not provide coordinated support to GoTL. </w:t>
      </w:r>
      <w:r>
        <w:rPr>
          <w:rFonts w:eastAsia="Times New Roman" w:cs="Arial"/>
          <w:sz w:val="21"/>
          <w:szCs w:val="21"/>
          <w:lang w:val="en-AU" w:eastAsia="en-AU"/>
        </w:rPr>
        <w:t xml:space="preserve">GfD2 will </w:t>
      </w:r>
      <w:r w:rsidR="0018050C">
        <w:rPr>
          <w:rFonts w:eastAsia="Times New Roman" w:cs="Arial"/>
          <w:sz w:val="21"/>
          <w:szCs w:val="21"/>
          <w:lang w:val="en-AU" w:eastAsia="en-AU"/>
        </w:rPr>
        <w:t>need to work</w:t>
      </w:r>
      <w:r>
        <w:rPr>
          <w:rFonts w:eastAsia="Times New Roman" w:cs="Arial"/>
          <w:sz w:val="21"/>
          <w:szCs w:val="21"/>
          <w:lang w:val="en-AU" w:eastAsia="en-AU"/>
        </w:rPr>
        <w:t xml:space="preserve"> </w:t>
      </w:r>
      <w:r>
        <w:rPr>
          <w:rFonts w:eastAsia="Times New Roman" w:cs="Arial"/>
          <w:sz w:val="21"/>
          <w:szCs w:val="21"/>
          <w:lang w:val="en-AU" w:eastAsia="en-AU"/>
        </w:rPr>
        <w:lastRenderedPageBreak/>
        <w:t>in partnership with DFAT’</w:t>
      </w:r>
      <w:r w:rsidR="00F841F9">
        <w:rPr>
          <w:rFonts w:eastAsia="Times New Roman" w:cs="Arial"/>
          <w:sz w:val="21"/>
          <w:szCs w:val="21"/>
          <w:lang w:val="en-AU" w:eastAsia="en-AU"/>
        </w:rPr>
        <w:t xml:space="preserve">s other investments, particularly its sister </w:t>
      </w:r>
      <w:r w:rsidR="00B933AF">
        <w:rPr>
          <w:rFonts w:eastAsia="Times New Roman" w:cs="Arial"/>
          <w:sz w:val="21"/>
          <w:szCs w:val="21"/>
          <w:lang w:val="en-AU" w:eastAsia="en-AU"/>
        </w:rPr>
        <w:t xml:space="preserve">governance </w:t>
      </w:r>
      <w:r w:rsidR="00F841F9">
        <w:rPr>
          <w:rFonts w:eastAsia="Times New Roman" w:cs="Arial"/>
          <w:sz w:val="21"/>
          <w:szCs w:val="21"/>
          <w:lang w:val="en-AU" w:eastAsia="en-AU"/>
        </w:rPr>
        <w:t>program PARTISIPA</w:t>
      </w:r>
      <w:r w:rsidR="0018050C">
        <w:rPr>
          <w:rFonts w:eastAsia="Times New Roman" w:cs="Arial"/>
          <w:sz w:val="21"/>
          <w:szCs w:val="21"/>
          <w:lang w:val="en-AU" w:eastAsia="en-AU"/>
        </w:rPr>
        <w:t>, and those working with</w:t>
      </w:r>
      <w:r w:rsidR="00F841F9">
        <w:rPr>
          <w:rFonts w:eastAsia="Times New Roman" w:cs="Arial"/>
          <w:sz w:val="21"/>
          <w:szCs w:val="21"/>
          <w:lang w:val="en-AU" w:eastAsia="en-AU"/>
        </w:rPr>
        <w:t xml:space="preserve"> service delivery</w:t>
      </w:r>
      <w:r w:rsidR="0018050C">
        <w:rPr>
          <w:rFonts w:eastAsia="Times New Roman" w:cs="Arial"/>
          <w:sz w:val="21"/>
          <w:szCs w:val="21"/>
          <w:lang w:val="en-AU" w:eastAsia="en-AU"/>
        </w:rPr>
        <w:t xml:space="preserve"> line ministries</w:t>
      </w:r>
      <w:r w:rsidR="005F41A0">
        <w:rPr>
          <w:rFonts w:eastAsia="Times New Roman" w:cs="Arial"/>
          <w:sz w:val="21"/>
          <w:szCs w:val="21"/>
          <w:lang w:val="en-AU" w:eastAsia="en-AU"/>
        </w:rPr>
        <w:t xml:space="preserve">, such as </w:t>
      </w:r>
      <w:r w:rsidR="0043643E">
        <w:rPr>
          <w:rFonts w:eastAsia="Times New Roman" w:cs="Arial"/>
          <w:sz w:val="21"/>
          <w:szCs w:val="21"/>
          <w:lang w:val="en-AU" w:eastAsia="en-AU"/>
        </w:rPr>
        <w:t xml:space="preserve">the </w:t>
      </w:r>
      <w:r w:rsidR="005F41A0">
        <w:rPr>
          <w:rFonts w:eastAsia="Times New Roman" w:cs="Arial"/>
          <w:sz w:val="21"/>
          <w:szCs w:val="21"/>
          <w:lang w:val="en-AU" w:eastAsia="en-AU"/>
        </w:rPr>
        <w:t>Partnership for Human Development</w:t>
      </w:r>
      <w:r w:rsidR="0018050C">
        <w:rPr>
          <w:rFonts w:eastAsia="Times New Roman" w:cs="Arial"/>
          <w:sz w:val="21"/>
          <w:szCs w:val="21"/>
          <w:lang w:val="en-AU" w:eastAsia="en-AU"/>
        </w:rPr>
        <w:t>.</w:t>
      </w:r>
    </w:p>
    <w:p w14:paraId="356B3DE7" w14:textId="77777777" w:rsidR="005F41A0" w:rsidRDefault="005F41A0" w:rsidP="00490CDB">
      <w:pPr>
        <w:numPr>
          <w:ilvl w:val="1"/>
          <w:numId w:val="39"/>
        </w:numPr>
        <w:tabs>
          <w:tab w:val="left" w:pos="284"/>
        </w:tabs>
        <w:suppressAutoHyphens w:val="0"/>
        <w:spacing w:before="0" w:line="280" w:lineRule="exact"/>
        <w:ind w:left="567" w:hanging="283"/>
        <w:rPr>
          <w:rFonts w:eastAsia="Times New Roman" w:cs="Arial"/>
          <w:sz w:val="21"/>
          <w:szCs w:val="21"/>
          <w:lang w:val="en-AU" w:eastAsia="en-AU"/>
        </w:rPr>
      </w:pPr>
      <w:r>
        <w:rPr>
          <w:rFonts w:eastAsia="Times New Roman" w:cs="Arial"/>
          <w:sz w:val="21"/>
          <w:szCs w:val="21"/>
          <w:u w:val="single"/>
          <w:lang w:val="en-AU" w:eastAsia="en-AU"/>
        </w:rPr>
        <w:t>Gender and social inclusion:</w:t>
      </w:r>
      <w:r>
        <w:rPr>
          <w:rFonts w:eastAsia="Times New Roman" w:cs="Arial"/>
          <w:sz w:val="21"/>
          <w:szCs w:val="21"/>
          <w:lang w:val="en-AU" w:eastAsia="en-AU"/>
        </w:rPr>
        <w:t xml:space="preserve"> GfD2 </w:t>
      </w:r>
      <w:r w:rsidR="00D259E0">
        <w:rPr>
          <w:rFonts w:eastAsia="Times New Roman" w:cs="Arial"/>
          <w:sz w:val="21"/>
          <w:szCs w:val="21"/>
          <w:lang w:val="en-AU" w:eastAsia="en-AU"/>
        </w:rPr>
        <w:t>may not</w:t>
      </w:r>
      <w:r>
        <w:rPr>
          <w:rFonts w:eastAsia="Times New Roman" w:cs="Arial"/>
          <w:sz w:val="21"/>
          <w:szCs w:val="21"/>
          <w:lang w:val="en-AU" w:eastAsia="en-AU"/>
        </w:rPr>
        <w:t xml:space="preserve"> adequately address gender and social inclusion in design and implementation. </w:t>
      </w:r>
      <w:r w:rsidR="00D259E0">
        <w:rPr>
          <w:rFonts w:eastAsia="Times New Roman" w:cs="Arial"/>
          <w:sz w:val="21"/>
          <w:szCs w:val="21"/>
          <w:lang w:val="en-AU" w:eastAsia="en-AU"/>
        </w:rPr>
        <w:t>The design</w:t>
      </w:r>
      <w:r w:rsidR="00775042">
        <w:rPr>
          <w:rFonts w:eastAsia="Times New Roman" w:cs="Arial"/>
          <w:sz w:val="21"/>
          <w:szCs w:val="21"/>
          <w:lang w:val="en-AU" w:eastAsia="en-AU"/>
        </w:rPr>
        <w:t xml:space="preserve"> team</w:t>
      </w:r>
      <w:r w:rsidR="00D259E0">
        <w:rPr>
          <w:rFonts w:eastAsia="Times New Roman" w:cs="Arial"/>
          <w:sz w:val="21"/>
          <w:szCs w:val="21"/>
          <w:lang w:val="en-AU" w:eastAsia="en-AU"/>
        </w:rPr>
        <w:t xml:space="preserve"> will include</w:t>
      </w:r>
      <w:r w:rsidR="00775042">
        <w:rPr>
          <w:rFonts w:eastAsia="Times New Roman" w:cs="Arial"/>
          <w:sz w:val="21"/>
          <w:szCs w:val="21"/>
          <w:lang w:val="en-AU" w:eastAsia="en-AU"/>
        </w:rPr>
        <w:t xml:space="preserve"> gender expertise, and the design will examine</w:t>
      </w:r>
      <w:r w:rsidR="00D259E0">
        <w:rPr>
          <w:rFonts w:eastAsia="Times New Roman" w:cs="Arial"/>
          <w:sz w:val="21"/>
          <w:szCs w:val="21"/>
          <w:lang w:val="en-AU" w:eastAsia="en-AU"/>
        </w:rPr>
        <w:t xml:space="preserve"> gender and social inclusion as its own objective and as a cross-cutting theme.</w:t>
      </w:r>
      <w:r w:rsidR="00894E5C">
        <w:rPr>
          <w:rFonts w:eastAsia="Times New Roman" w:cs="Arial"/>
          <w:sz w:val="21"/>
          <w:szCs w:val="21"/>
          <w:lang w:val="en-AU" w:eastAsia="en-AU"/>
        </w:rPr>
        <w:t xml:space="preserve"> </w:t>
      </w:r>
      <w:r w:rsidR="00894E5C">
        <w:rPr>
          <w:rFonts w:eastAsia="Times New Roman" w:cs="Arial"/>
          <w:sz w:val="21"/>
          <w:szCs w:val="21"/>
          <w:lang w:eastAsia="en-AU"/>
        </w:rPr>
        <w:t>The design will</w:t>
      </w:r>
      <w:r w:rsidR="00894E5C" w:rsidRPr="00894E5C">
        <w:rPr>
          <w:rFonts w:eastAsia="Times New Roman" w:cs="Arial"/>
          <w:sz w:val="21"/>
          <w:szCs w:val="21"/>
          <w:lang w:eastAsia="en-AU"/>
        </w:rPr>
        <w:t xml:space="preserve"> consider what</w:t>
      </w:r>
      <w:r w:rsidR="00894E5C">
        <w:rPr>
          <w:rFonts w:eastAsia="Times New Roman" w:cs="Arial"/>
          <w:sz w:val="21"/>
          <w:szCs w:val="21"/>
          <w:lang w:eastAsia="en-AU"/>
        </w:rPr>
        <w:t xml:space="preserve"> success will like in terms of</w:t>
      </w:r>
      <w:r w:rsidR="00894E5C" w:rsidRPr="00894E5C">
        <w:rPr>
          <w:rFonts w:eastAsia="Times New Roman" w:cs="Arial"/>
          <w:sz w:val="21"/>
          <w:szCs w:val="21"/>
          <w:lang w:eastAsia="en-AU"/>
        </w:rPr>
        <w:t xml:space="preserve"> </w:t>
      </w:r>
      <w:r w:rsidR="00894E5C">
        <w:rPr>
          <w:rFonts w:eastAsia="Times New Roman" w:cs="Arial"/>
          <w:sz w:val="21"/>
          <w:szCs w:val="21"/>
          <w:lang w:eastAsia="en-AU"/>
        </w:rPr>
        <w:t>ge</w:t>
      </w:r>
      <w:r w:rsidR="00732FF2">
        <w:rPr>
          <w:rFonts w:eastAsia="Times New Roman" w:cs="Arial"/>
          <w:sz w:val="21"/>
          <w:szCs w:val="21"/>
          <w:lang w:eastAsia="en-AU"/>
        </w:rPr>
        <w:t>nder and social inclusion.</w:t>
      </w:r>
    </w:p>
    <w:p w14:paraId="6E32949E" w14:textId="29E6CDE7" w:rsidR="0018050C" w:rsidRDefault="0018050C" w:rsidP="00490CDB">
      <w:pPr>
        <w:numPr>
          <w:ilvl w:val="1"/>
          <w:numId w:val="39"/>
        </w:numPr>
        <w:tabs>
          <w:tab w:val="left" w:pos="284"/>
        </w:tabs>
        <w:suppressAutoHyphens w:val="0"/>
        <w:spacing w:before="0" w:line="280" w:lineRule="exact"/>
        <w:ind w:left="567" w:hanging="283"/>
        <w:rPr>
          <w:rFonts w:eastAsia="Times New Roman" w:cs="Arial"/>
          <w:sz w:val="21"/>
          <w:szCs w:val="21"/>
          <w:lang w:val="en-AU" w:eastAsia="en-AU"/>
        </w:rPr>
      </w:pPr>
      <w:r>
        <w:rPr>
          <w:rFonts w:eastAsia="Times New Roman" w:cs="Arial"/>
          <w:sz w:val="21"/>
          <w:szCs w:val="21"/>
          <w:u w:val="single"/>
          <w:lang w:val="en-AU" w:eastAsia="en-AU"/>
        </w:rPr>
        <w:t>COVID-</w:t>
      </w:r>
      <w:r w:rsidRPr="00F00C44">
        <w:rPr>
          <w:rFonts w:eastAsia="Times New Roman" w:cs="Arial"/>
          <w:sz w:val="21"/>
          <w:szCs w:val="21"/>
          <w:u w:val="single"/>
          <w:lang w:val="en-AU" w:eastAsia="en-AU"/>
        </w:rPr>
        <w:t>19:</w:t>
      </w:r>
      <w:r>
        <w:rPr>
          <w:rFonts w:eastAsia="Times New Roman" w:cs="Arial"/>
          <w:sz w:val="21"/>
          <w:szCs w:val="21"/>
          <w:lang w:val="en-AU" w:eastAsia="en-AU"/>
        </w:rPr>
        <w:t xml:space="preserve"> </w:t>
      </w:r>
      <w:r w:rsidR="00F00C44">
        <w:rPr>
          <w:rFonts w:eastAsia="Times New Roman" w:cs="Arial"/>
          <w:sz w:val="21"/>
          <w:szCs w:val="21"/>
          <w:lang w:val="en-AU" w:eastAsia="en-AU"/>
        </w:rPr>
        <w:t xml:space="preserve">the pandemic could impact </w:t>
      </w:r>
      <w:r w:rsidR="0012513C">
        <w:rPr>
          <w:rFonts w:eastAsia="Times New Roman" w:cs="Arial"/>
          <w:sz w:val="21"/>
          <w:szCs w:val="21"/>
          <w:lang w:val="en-AU" w:eastAsia="en-AU"/>
        </w:rPr>
        <w:t xml:space="preserve">program mobilisation and implementation of GfD2. While the design will consider this risk in the context of achieving GfD’s objectives, DFAT is actively managing the risk to the completion of this design and ensuring mobilisation will allow for implementation to begin </w:t>
      </w:r>
      <w:r w:rsidR="00BF084A">
        <w:rPr>
          <w:rFonts w:eastAsia="Times New Roman" w:cs="Arial"/>
          <w:sz w:val="21"/>
          <w:szCs w:val="21"/>
          <w:lang w:val="en-AU" w:eastAsia="en-AU"/>
        </w:rPr>
        <w:t>from January 2022 onwards</w:t>
      </w:r>
      <w:r w:rsidR="0012513C">
        <w:rPr>
          <w:rFonts w:eastAsia="Times New Roman" w:cs="Arial"/>
          <w:sz w:val="21"/>
          <w:szCs w:val="21"/>
          <w:lang w:val="en-AU" w:eastAsia="en-AU"/>
        </w:rPr>
        <w:t>.</w:t>
      </w:r>
    </w:p>
    <w:p w14:paraId="257C591A" w14:textId="77777777" w:rsidR="009C7005" w:rsidRDefault="00F52917" w:rsidP="00374E24">
      <w:pPr>
        <w:tabs>
          <w:tab w:val="left" w:pos="284"/>
        </w:tabs>
        <w:suppressAutoHyphens w:val="0"/>
        <w:spacing w:before="0" w:line="280" w:lineRule="exact"/>
        <w:rPr>
          <w:rFonts w:eastAsia="Times New Roman" w:cs="Arial"/>
          <w:sz w:val="21"/>
          <w:szCs w:val="21"/>
          <w:lang w:val="en-AU" w:eastAsia="en-AU"/>
        </w:rPr>
      </w:pPr>
      <w:r>
        <w:rPr>
          <w:rFonts w:eastAsia="Times New Roman" w:cs="Arial"/>
          <w:sz w:val="21"/>
          <w:szCs w:val="21"/>
          <w:lang w:val="en-AU" w:eastAsia="en-AU"/>
        </w:rPr>
        <w:t>In addition, t</w:t>
      </w:r>
      <w:r w:rsidR="009C7005">
        <w:rPr>
          <w:rFonts w:eastAsia="Times New Roman" w:cs="Arial"/>
          <w:sz w:val="21"/>
          <w:szCs w:val="21"/>
          <w:lang w:val="en-AU" w:eastAsia="en-AU"/>
        </w:rPr>
        <w:t xml:space="preserve">he 2018 independent </w:t>
      </w:r>
      <w:r w:rsidR="009C7005" w:rsidRPr="009C7005">
        <w:rPr>
          <w:rFonts w:eastAsia="Times New Roman" w:cs="Arial"/>
          <w:i/>
          <w:sz w:val="21"/>
          <w:szCs w:val="21"/>
          <w:lang w:val="en-AU" w:eastAsia="en-AU"/>
        </w:rPr>
        <w:t>Review of Selected DFAT Facilities</w:t>
      </w:r>
      <w:r w:rsidR="009C7005">
        <w:rPr>
          <w:rFonts w:eastAsia="Times New Roman" w:cs="Arial"/>
          <w:sz w:val="21"/>
          <w:szCs w:val="21"/>
          <w:lang w:val="en-AU" w:eastAsia="en-AU"/>
        </w:rPr>
        <w:t xml:space="preserve"> and associated management response address the benefits and risks of delivering through a facility. GfD2’s design will take account of the following</w:t>
      </w:r>
      <w:r w:rsidR="007813CD">
        <w:rPr>
          <w:rFonts w:eastAsia="Times New Roman" w:cs="Arial"/>
          <w:sz w:val="21"/>
          <w:szCs w:val="21"/>
          <w:lang w:val="en-AU" w:eastAsia="en-AU"/>
        </w:rPr>
        <w:t xml:space="preserve"> risk</w:t>
      </w:r>
      <w:r>
        <w:rPr>
          <w:rFonts w:eastAsia="Times New Roman" w:cs="Arial"/>
          <w:sz w:val="21"/>
          <w:szCs w:val="21"/>
          <w:lang w:val="en-AU" w:eastAsia="en-AU"/>
        </w:rPr>
        <w:t>s</w:t>
      </w:r>
      <w:r w:rsidR="007813CD">
        <w:rPr>
          <w:rFonts w:eastAsia="Times New Roman" w:cs="Arial"/>
          <w:sz w:val="21"/>
          <w:szCs w:val="21"/>
          <w:lang w:val="en-AU" w:eastAsia="en-AU"/>
        </w:rPr>
        <w:t xml:space="preserve"> </w:t>
      </w:r>
      <w:r w:rsidR="00C33972">
        <w:rPr>
          <w:rFonts w:eastAsia="Times New Roman" w:cs="Arial"/>
          <w:sz w:val="21"/>
          <w:szCs w:val="21"/>
          <w:lang w:val="en-AU" w:eastAsia="en-AU"/>
        </w:rPr>
        <w:t xml:space="preserve">associated with </w:t>
      </w:r>
      <w:r>
        <w:rPr>
          <w:rFonts w:eastAsia="Times New Roman" w:cs="Arial"/>
          <w:sz w:val="21"/>
          <w:szCs w:val="21"/>
          <w:lang w:val="en-AU" w:eastAsia="en-AU"/>
        </w:rPr>
        <w:t>a facility</w:t>
      </w:r>
      <w:r w:rsidR="007813CD">
        <w:rPr>
          <w:rFonts w:eastAsia="Times New Roman" w:cs="Arial"/>
          <w:sz w:val="21"/>
          <w:szCs w:val="21"/>
          <w:lang w:val="en-AU" w:eastAsia="en-AU"/>
        </w:rPr>
        <w:t>:</w:t>
      </w:r>
    </w:p>
    <w:p w14:paraId="2E72FCE8" w14:textId="77777777" w:rsidR="009D2145" w:rsidRDefault="00C33972" w:rsidP="007813CD">
      <w:pPr>
        <w:numPr>
          <w:ilvl w:val="1"/>
          <w:numId w:val="39"/>
        </w:numPr>
        <w:tabs>
          <w:tab w:val="left" w:pos="284"/>
        </w:tabs>
        <w:suppressAutoHyphens w:val="0"/>
        <w:spacing w:before="0" w:line="280" w:lineRule="exact"/>
        <w:ind w:left="567" w:hanging="283"/>
        <w:rPr>
          <w:rFonts w:eastAsia="Times New Roman" w:cs="Arial"/>
          <w:sz w:val="21"/>
          <w:szCs w:val="21"/>
          <w:lang w:val="en-AU" w:eastAsia="en-AU"/>
        </w:rPr>
      </w:pPr>
      <w:r>
        <w:rPr>
          <w:rFonts w:eastAsia="Times New Roman" w:cs="Arial"/>
          <w:sz w:val="21"/>
          <w:szCs w:val="21"/>
          <w:u w:val="single"/>
          <w:lang w:val="en-AU" w:eastAsia="en-AU"/>
        </w:rPr>
        <w:t>Facility effectiveness</w:t>
      </w:r>
      <w:r w:rsidR="009D2145">
        <w:rPr>
          <w:rFonts w:eastAsia="Times New Roman" w:cs="Arial"/>
          <w:sz w:val="21"/>
          <w:szCs w:val="21"/>
          <w:u w:val="single"/>
          <w:lang w:val="en-AU" w:eastAsia="en-AU"/>
        </w:rPr>
        <w:t>:</w:t>
      </w:r>
      <w:r w:rsidR="009D2145">
        <w:rPr>
          <w:rFonts w:eastAsia="Times New Roman" w:cs="Arial"/>
          <w:sz w:val="21"/>
          <w:szCs w:val="21"/>
          <w:lang w:val="en-AU" w:eastAsia="en-AU"/>
        </w:rPr>
        <w:t xml:space="preserve"> GfD2 will have continuous independent monitoring and evaluation measures in place, including through </w:t>
      </w:r>
      <w:r w:rsidR="00BF6983">
        <w:rPr>
          <w:rFonts w:eastAsia="Times New Roman" w:cs="Arial"/>
          <w:sz w:val="21"/>
          <w:szCs w:val="21"/>
          <w:lang w:val="en-AU" w:eastAsia="en-AU"/>
        </w:rPr>
        <w:t xml:space="preserve">allocating adequate budget to M&amp;E, </w:t>
      </w:r>
      <w:r w:rsidR="009D2145">
        <w:rPr>
          <w:rFonts w:eastAsia="Times New Roman" w:cs="Arial"/>
          <w:sz w:val="21"/>
          <w:szCs w:val="21"/>
          <w:lang w:val="en-AU" w:eastAsia="en-AU"/>
        </w:rPr>
        <w:t>establishing a Strategic Advisory Group</w:t>
      </w:r>
      <w:r w:rsidR="00BF6983">
        <w:rPr>
          <w:rFonts w:eastAsia="Times New Roman" w:cs="Arial"/>
          <w:sz w:val="21"/>
          <w:szCs w:val="21"/>
          <w:lang w:val="en-AU" w:eastAsia="en-AU"/>
        </w:rPr>
        <w:t>, and working with DFAT’s new cross-program</w:t>
      </w:r>
      <w:r w:rsidR="00AC17FD">
        <w:rPr>
          <w:rFonts w:eastAsia="Times New Roman" w:cs="Arial"/>
          <w:sz w:val="21"/>
          <w:szCs w:val="21"/>
          <w:lang w:val="en-AU" w:eastAsia="en-AU"/>
        </w:rPr>
        <w:t xml:space="preserve"> facility</w:t>
      </w:r>
      <w:r w:rsidR="00BF6983">
        <w:rPr>
          <w:rFonts w:eastAsia="Times New Roman" w:cs="Arial"/>
          <w:sz w:val="21"/>
          <w:szCs w:val="21"/>
          <w:lang w:val="en-AU" w:eastAsia="en-AU"/>
        </w:rPr>
        <w:t xml:space="preserve"> M&amp;E mechanism (currently under development)</w:t>
      </w:r>
      <w:r w:rsidR="009D2145">
        <w:rPr>
          <w:rFonts w:eastAsia="Times New Roman" w:cs="Arial"/>
          <w:sz w:val="21"/>
          <w:szCs w:val="21"/>
          <w:lang w:val="en-AU" w:eastAsia="en-AU"/>
        </w:rPr>
        <w:t>.</w:t>
      </w:r>
    </w:p>
    <w:p w14:paraId="0C5D2E8B" w14:textId="77777777" w:rsidR="00D04B48" w:rsidRDefault="009D2145" w:rsidP="007813CD">
      <w:pPr>
        <w:numPr>
          <w:ilvl w:val="1"/>
          <w:numId w:val="39"/>
        </w:numPr>
        <w:tabs>
          <w:tab w:val="left" w:pos="284"/>
        </w:tabs>
        <w:suppressAutoHyphens w:val="0"/>
        <w:spacing w:before="0" w:line="280" w:lineRule="exact"/>
        <w:ind w:left="567" w:hanging="283"/>
        <w:rPr>
          <w:rFonts w:eastAsia="Times New Roman" w:cs="Arial"/>
          <w:sz w:val="21"/>
          <w:szCs w:val="21"/>
          <w:lang w:val="en-AU" w:eastAsia="en-AU"/>
        </w:rPr>
      </w:pPr>
      <w:r>
        <w:rPr>
          <w:rFonts w:eastAsia="Times New Roman" w:cs="Arial"/>
          <w:sz w:val="21"/>
          <w:szCs w:val="21"/>
          <w:u w:val="single"/>
          <w:lang w:val="en-AU" w:eastAsia="en-AU"/>
        </w:rPr>
        <w:t>Facility efficiency:</w:t>
      </w:r>
      <w:r w:rsidR="00D04B48">
        <w:rPr>
          <w:rFonts w:eastAsia="Times New Roman" w:cs="Arial"/>
          <w:sz w:val="21"/>
          <w:szCs w:val="21"/>
          <w:lang w:val="en-AU" w:eastAsia="en-AU"/>
        </w:rPr>
        <w:t xml:space="preserve"> GfD2 will generate</w:t>
      </w:r>
      <w:r>
        <w:rPr>
          <w:rFonts w:eastAsia="Times New Roman" w:cs="Arial"/>
          <w:sz w:val="21"/>
          <w:szCs w:val="21"/>
          <w:lang w:val="en-AU" w:eastAsia="en-AU"/>
        </w:rPr>
        <w:t xml:space="preserve"> </w:t>
      </w:r>
      <w:r w:rsidR="00D04B48">
        <w:rPr>
          <w:rFonts w:eastAsia="Times New Roman" w:cs="Arial"/>
          <w:sz w:val="21"/>
          <w:szCs w:val="21"/>
          <w:lang w:val="en-AU" w:eastAsia="en-AU"/>
        </w:rPr>
        <w:t xml:space="preserve">a </w:t>
      </w:r>
      <w:r>
        <w:rPr>
          <w:rFonts w:eastAsia="Times New Roman" w:cs="Arial"/>
          <w:sz w:val="21"/>
          <w:szCs w:val="21"/>
          <w:lang w:val="en-AU" w:eastAsia="en-AU"/>
        </w:rPr>
        <w:t xml:space="preserve">robust financial </w:t>
      </w:r>
      <w:r w:rsidR="00BF6983">
        <w:rPr>
          <w:rFonts w:eastAsia="Times New Roman" w:cs="Arial"/>
          <w:sz w:val="21"/>
          <w:szCs w:val="21"/>
          <w:lang w:val="en-AU" w:eastAsia="en-AU"/>
        </w:rPr>
        <w:t xml:space="preserve">evidence base for DFAT to </w:t>
      </w:r>
      <w:r w:rsidR="00D04B48">
        <w:rPr>
          <w:rFonts w:eastAsia="Times New Roman" w:cs="Arial"/>
          <w:sz w:val="21"/>
          <w:szCs w:val="21"/>
          <w:lang w:val="en-AU" w:eastAsia="en-AU"/>
        </w:rPr>
        <w:t>overs</w:t>
      </w:r>
      <w:r w:rsidR="0043643E">
        <w:rPr>
          <w:rFonts w:eastAsia="Times New Roman" w:cs="Arial"/>
          <w:sz w:val="21"/>
          <w:szCs w:val="21"/>
          <w:lang w:val="en-AU" w:eastAsia="en-AU"/>
        </w:rPr>
        <w:t>ee</w:t>
      </w:r>
      <w:r w:rsidR="00D04B48">
        <w:rPr>
          <w:rFonts w:eastAsia="Times New Roman" w:cs="Arial"/>
          <w:sz w:val="21"/>
          <w:szCs w:val="21"/>
          <w:lang w:val="en-AU" w:eastAsia="en-AU"/>
        </w:rPr>
        <w:t xml:space="preserve"> facility management, and for comparing VfM of program activities.</w:t>
      </w:r>
      <w:r w:rsidR="00BF6983">
        <w:rPr>
          <w:rFonts w:eastAsia="Times New Roman" w:cs="Arial"/>
          <w:sz w:val="21"/>
          <w:szCs w:val="21"/>
          <w:lang w:val="en-AU" w:eastAsia="en-AU"/>
        </w:rPr>
        <w:t xml:space="preserve"> </w:t>
      </w:r>
    </w:p>
    <w:p w14:paraId="6DCF514D" w14:textId="77777777" w:rsidR="00D04B48" w:rsidRPr="00D04B48" w:rsidRDefault="00D04B48" w:rsidP="00D04B48">
      <w:pPr>
        <w:numPr>
          <w:ilvl w:val="1"/>
          <w:numId w:val="39"/>
        </w:numPr>
        <w:tabs>
          <w:tab w:val="left" w:pos="284"/>
        </w:tabs>
        <w:suppressAutoHyphens w:val="0"/>
        <w:spacing w:before="0" w:line="280" w:lineRule="exact"/>
        <w:ind w:left="567" w:hanging="283"/>
        <w:rPr>
          <w:rFonts w:eastAsia="Times New Roman" w:cs="Arial"/>
          <w:sz w:val="21"/>
          <w:szCs w:val="21"/>
          <w:lang w:val="en-AU" w:eastAsia="en-AU"/>
        </w:rPr>
      </w:pPr>
      <w:r w:rsidRPr="00D04B48">
        <w:rPr>
          <w:rFonts w:eastAsia="Times New Roman" w:cs="Arial"/>
          <w:sz w:val="21"/>
          <w:szCs w:val="21"/>
          <w:u w:val="single"/>
          <w:lang w:val="en-AU" w:eastAsia="en-AU"/>
        </w:rPr>
        <w:t>Staff capabilities:</w:t>
      </w:r>
      <w:r>
        <w:rPr>
          <w:rFonts w:eastAsia="Times New Roman" w:cs="Arial"/>
          <w:sz w:val="21"/>
          <w:szCs w:val="21"/>
          <w:lang w:val="en-AU" w:eastAsia="en-AU"/>
        </w:rPr>
        <w:t xml:space="preserve"> GfD2 will be led by a senior officer at Post (Counsellor Development), with commensurate A-based and LE resourcing.</w:t>
      </w:r>
      <w:r w:rsidR="00BF6983">
        <w:rPr>
          <w:rFonts w:eastAsia="Times New Roman" w:cs="Arial"/>
          <w:sz w:val="21"/>
          <w:szCs w:val="21"/>
          <w:lang w:val="en-AU" w:eastAsia="en-AU"/>
        </w:rPr>
        <w:t xml:space="preserve"> As mentioned earlier, a strong team in the implementing partner will also be required. </w:t>
      </w:r>
    </w:p>
    <w:p w14:paraId="456EE9C3" w14:textId="04B907A4" w:rsidR="009C7005" w:rsidRDefault="00D04B48" w:rsidP="007813CD">
      <w:pPr>
        <w:numPr>
          <w:ilvl w:val="1"/>
          <w:numId w:val="39"/>
        </w:numPr>
        <w:tabs>
          <w:tab w:val="left" w:pos="284"/>
        </w:tabs>
        <w:suppressAutoHyphens w:val="0"/>
        <w:spacing w:before="0" w:line="280" w:lineRule="exact"/>
        <w:ind w:left="567" w:hanging="283"/>
        <w:rPr>
          <w:rFonts w:eastAsia="Times New Roman" w:cs="Arial"/>
          <w:sz w:val="21"/>
          <w:szCs w:val="21"/>
          <w:lang w:val="en-AU" w:eastAsia="en-AU"/>
        </w:rPr>
      </w:pPr>
      <w:r>
        <w:rPr>
          <w:rFonts w:eastAsia="Times New Roman" w:cs="Arial"/>
          <w:sz w:val="21"/>
          <w:szCs w:val="21"/>
          <w:u w:val="single"/>
          <w:lang w:val="en-AU" w:eastAsia="en-AU"/>
        </w:rPr>
        <w:t>Flexibility and coherence:</w:t>
      </w:r>
      <w:r>
        <w:rPr>
          <w:rFonts w:eastAsia="Times New Roman" w:cs="Arial"/>
          <w:sz w:val="21"/>
          <w:szCs w:val="21"/>
          <w:lang w:val="en-AU" w:eastAsia="en-AU"/>
        </w:rPr>
        <w:t xml:space="preserve"> GfD2 will have</w:t>
      </w:r>
      <w:r w:rsidR="009C7005" w:rsidRPr="009C7005">
        <w:rPr>
          <w:rFonts w:eastAsia="Times New Roman" w:cs="Arial"/>
          <w:sz w:val="21"/>
          <w:szCs w:val="21"/>
          <w:lang w:val="en-AU" w:eastAsia="en-AU"/>
        </w:rPr>
        <w:t xml:space="preserve"> robust program governance mechanisms and adequate DFAT oversight</w:t>
      </w:r>
      <w:r>
        <w:rPr>
          <w:rFonts w:eastAsia="Times New Roman" w:cs="Arial"/>
          <w:sz w:val="21"/>
          <w:szCs w:val="21"/>
          <w:lang w:val="en-AU" w:eastAsia="en-AU"/>
        </w:rPr>
        <w:t xml:space="preserve"> to ensure strategic coherence and mitigate mandate creep</w:t>
      </w:r>
      <w:r w:rsidR="009C7005" w:rsidRPr="009C7005">
        <w:rPr>
          <w:rFonts w:eastAsia="Times New Roman" w:cs="Arial"/>
          <w:sz w:val="21"/>
          <w:szCs w:val="21"/>
          <w:lang w:val="en-AU" w:eastAsia="en-AU"/>
        </w:rPr>
        <w:t>.</w:t>
      </w:r>
      <w:r w:rsidR="00AC17FD">
        <w:rPr>
          <w:rFonts w:eastAsia="Times New Roman" w:cs="Arial"/>
          <w:sz w:val="21"/>
          <w:szCs w:val="21"/>
          <w:lang w:val="en-AU" w:eastAsia="en-AU"/>
        </w:rPr>
        <w:t xml:space="preserve"> To ensure the program stays tightly focused on the most critical constraints to growth and service delivery, the design will examine how to embed</w:t>
      </w:r>
      <w:r w:rsidR="008E7158">
        <w:rPr>
          <w:rFonts w:eastAsia="Times New Roman" w:cs="Arial"/>
          <w:sz w:val="21"/>
          <w:szCs w:val="21"/>
          <w:lang w:val="en-AU" w:eastAsia="en-AU"/>
        </w:rPr>
        <w:t xml:space="preserve"> timely</w:t>
      </w:r>
      <w:r w:rsidR="00AC17FD">
        <w:rPr>
          <w:rFonts w:eastAsia="Times New Roman" w:cs="Arial"/>
          <w:sz w:val="21"/>
          <w:szCs w:val="21"/>
          <w:lang w:val="en-AU" w:eastAsia="en-AU"/>
        </w:rPr>
        <w:t xml:space="preserve"> </w:t>
      </w:r>
      <w:r w:rsidR="007E19CD" w:rsidRPr="00AC17FD">
        <w:rPr>
          <w:rFonts w:eastAsia="Times New Roman" w:cs="Arial"/>
          <w:sz w:val="21"/>
          <w:szCs w:val="21"/>
          <w:lang w:eastAsia="en-AU"/>
        </w:rPr>
        <w:t>high</w:t>
      </w:r>
      <w:r w:rsidR="007E19CD">
        <w:rPr>
          <w:rFonts w:eastAsia="Times New Roman" w:cs="Arial"/>
          <w:sz w:val="21"/>
          <w:szCs w:val="21"/>
          <w:lang w:eastAsia="en-AU"/>
        </w:rPr>
        <w:t>-quality</w:t>
      </w:r>
      <w:r w:rsidR="00AC17FD">
        <w:rPr>
          <w:rFonts w:eastAsia="Times New Roman" w:cs="Arial"/>
          <w:sz w:val="21"/>
          <w:szCs w:val="21"/>
          <w:lang w:eastAsia="en-AU"/>
        </w:rPr>
        <w:t xml:space="preserve"> analysis into the program.</w:t>
      </w:r>
    </w:p>
    <w:p w14:paraId="4B0AC22B" w14:textId="7E1555B9" w:rsidR="00374E24" w:rsidRDefault="008066D4" w:rsidP="00374E24">
      <w:pPr>
        <w:tabs>
          <w:tab w:val="left" w:pos="284"/>
        </w:tabs>
        <w:suppressAutoHyphens w:val="0"/>
        <w:spacing w:before="0" w:line="280" w:lineRule="exact"/>
        <w:rPr>
          <w:rFonts w:eastAsia="Times New Roman" w:cs="Arial"/>
          <w:sz w:val="21"/>
          <w:szCs w:val="21"/>
          <w:lang w:val="en-AU" w:eastAsia="en-AU"/>
        </w:rPr>
      </w:pPr>
      <w:r>
        <w:rPr>
          <w:rFonts w:eastAsia="Times New Roman" w:cs="Arial"/>
          <w:sz w:val="21"/>
          <w:szCs w:val="21"/>
          <w:lang w:val="en-AU" w:eastAsia="en-AU"/>
        </w:rPr>
        <w:t>DFAT’s</w:t>
      </w:r>
      <w:r w:rsidR="00374E24">
        <w:rPr>
          <w:rFonts w:eastAsia="Times New Roman" w:cs="Arial"/>
          <w:sz w:val="21"/>
          <w:szCs w:val="21"/>
          <w:lang w:val="en-AU" w:eastAsia="en-AU"/>
        </w:rPr>
        <w:t xml:space="preserve"> Risk an</w:t>
      </w:r>
      <w:r w:rsidR="002D558B">
        <w:rPr>
          <w:rFonts w:eastAsia="Times New Roman" w:cs="Arial"/>
          <w:sz w:val="21"/>
          <w:szCs w:val="21"/>
          <w:lang w:val="en-AU" w:eastAsia="en-AU"/>
        </w:rPr>
        <w:t>d</w:t>
      </w:r>
      <w:r w:rsidR="00374E24">
        <w:rPr>
          <w:rFonts w:eastAsia="Times New Roman" w:cs="Arial"/>
          <w:sz w:val="21"/>
          <w:szCs w:val="21"/>
          <w:lang w:val="en-AU" w:eastAsia="en-AU"/>
        </w:rPr>
        <w:t xml:space="preserve"> Safeguard Screening Tool</w:t>
      </w:r>
      <w:r w:rsidR="00800485">
        <w:rPr>
          <w:rFonts w:eastAsia="Times New Roman" w:cs="Arial"/>
          <w:sz w:val="21"/>
          <w:szCs w:val="21"/>
          <w:lang w:val="en-AU" w:eastAsia="en-AU"/>
        </w:rPr>
        <w:t xml:space="preserve"> has been completed and overall</w:t>
      </w:r>
      <w:r w:rsidR="00374E24">
        <w:rPr>
          <w:rFonts w:eastAsia="Times New Roman" w:cs="Arial"/>
          <w:sz w:val="21"/>
          <w:szCs w:val="21"/>
          <w:lang w:val="en-AU" w:eastAsia="en-AU"/>
        </w:rPr>
        <w:t xml:space="preserve"> GfD2 is</w:t>
      </w:r>
      <w:r w:rsidR="002D558B">
        <w:rPr>
          <w:rFonts w:eastAsia="Times New Roman" w:cs="Arial"/>
          <w:sz w:val="21"/>
          <w:szCs w:val="21"/>
          <w:lang w:val="en-AU" w:eastAsia="en-AU"/>
        </w:rPr>
        <w:t xml:space="preserve"> assessed as</w:t>
      </w:r>
      <w:r w:rsidR="00374E24">
        <w:rPr>
          <w:rFonts w:eastAsia="Times New Roman" w:cs="Arial"/>
          <w:sz w:val="21"/>
          <w:szCs w:val="21"/>
          <w:lang w:val="en-AU" w:eastAsia="en-AU"/>
        </w:rPr>
        <w:t xml:space="preserve"> </w:t>
      </w:r>
      <w:r w:rsidR="00374E24" w:rsidRPr="0070182F">
        <w:rPr>
          <w:rFonts w:eastAsia="Times New Roman" w:cs="Arial"/>
          <w:b/>
          <w:sz w:val="21"/>
          <w:szCs w:val="21"/>
          <w:lang w:val="en-AU" w:eastAsia="en-AU"/>
        </w:rPr>
        <w:t>medium risk</w:t>
      </w:r>
      <w:r w:rsidR="00374E24">
        <w:rPr>
          <w:rFonts w:eastAsia="Times New Roman" w:cs="Arial"/>
          <w:sz w:val="21"/>
          <w:szCs w:val="21"/>
          <w:lang w:val="en-AU" w:eastAsia="en-AU"/>
        </w:rPr>
        <w:t>.</w:t>
      </w:r>
    </w:p>
    <w:p w14:paraId="13868B80" w14:textId="77777777" w:rsidR="0063057E" w:rsidRPr="00BE4DC3" w:rsidRDefault="0063057E" w:rsidP="00374E24">
      <w:pPr>
        <w:tabs>
          <w:tab w:val="left" w:pos="284"/>
        </w:tabs>
        <w:suppressAutoHyphens w:val="0"/>
        <w:spacing w:before="0" w:line="280" w:lineRule="exact"/>
        <w:rPr>
          <w:rFonts w:eastAsia="Times New Roman" w:cs="Arial"/>
          <w:sz w:val="21"/>
          <w:szCs w:val="21"/>
          <w:lang w:val="en-AU" w:eastAsia="en-AU"/>
        </w:rPr>
      </w:pPr>
    </w:p>
    <w:p w14:paraId="76C7CDC6" w14:textId="77777777" w:rsidR="00490CDB" w:rsidRPr="00490CDB" w:rsidRDefault="00490CDB" w:rsidP="00490CDB">
      <w:pPr>
        <w:numPr>
          <w:ilvl w:val="0"/>
          <w:numId w:val="38"/>
        </w:numPr>
        <w:pBdr>
          <w:top w:val="single" w:sz="4" w:space="1" w:color="677370" w:themeColor="background2" w:themeShade="80"/>
          <w:left w:val="single" w:sz="4" w:space="4" w:color="677370" w:themeColor="background2" w:themeShade="80"/>
          <w:bottom w:val="single" w:sz="4" w:space="1" w:color="677370" w:themeColor="background2" w:themeShade="80"/>
          <w:right w:val="single" w:sz="4" w:space="4" w:color="677370" w:themeColor="background2" w:themeShade="80"/>
        </w:pBdr>
        <w:shd w:val="clear" w:color="auto" w:fill="E0F3EF" w:themeFill="accent1" w:themeFillTint="33"/>
        <w:spacing w:after="120"/>
        <w:ind w:left="284" w:hanging="284"/>
        <w:rPr>
          <w:rFonts w:asciiTheme="majorHAnsi" w:eastAsia="Times New Roman" w:hAnsiTheme="majorHAnsi" w:cs="Arial"/>
        </w:rPr>
      </w:pPr>
      <w:r w:rsidRPr="00490CDB">
        <w:rPr>
          <w:rFonts w:asciiTheme="majorHAnsi" w:hAnsiTheme="majorHAnsi" w:cs="Arial"/>
          <w:b/>
        </w:rPr>
        <w:t>What are the next steps?</w:t>
      </w:r>
    </w:p>
    <w:p w14:paraId="6A2E232E" w14:textId="77777777" w:rsidR="00B44B70" w:rsidRPr="00F77C06" w:rsidRDefault="00E03A47" w:rsidP="00E03A47">
      <w:pPr>
        <w:tabs>
          <w:tab w:val="left" w:pos="284"/>
        </w:tabs>
        <w:suppressAutoHyphens w:val="0"/>
        <w:spacing w:before="0" w:line="280" w:lineRule="exact"/>
        <w:rPr>
          <w:rFonts w:eastAsia="Times New Roman" w:cs="Times New Roman"/>
          <w:sz w:val="21"/>
          <w:szCs w:val="21"/>
          <w:lang w:val="en-AU"/>
        </w:rPr>
      </w:pPr>
      <w:r w:rsidRPr="000F24A4">
        <w:rPr>
          <w:rFonts w:eastAsia="Times New Roman" w:cs="Times New Roman"/>
          <w:sz w:val="21"/>
          <w:szCs w:val="21"/>
          <w:lang w:val="en-AU"/>
        </w:rPr>
        <w:t xml:space="preserve">DFAT at Post will lead and manage the design </w:t>
      </w:r>
      <w:r w:rsidR="00F44FF5">
        <w:rPr>
          <w:rFonts w:eastAsia="Times New Roman" w:cs="Times New Roman"/>
          <w:sz w:val="21"/>
          <w:szCs w:val="21"/>
          <w:lang w:val="en-AU"/>
        </w:rPr>
        <w:t>i</w:t>
      </w:r>
      <w:r w:rsidR="00CC2C1F" w:rsidRPr="00ED7658">
        <w:rPr>
          <w:rFonts w:eastAsia="Times New Roman" w:cs="Arial"/>
          <w:bCs/>
          <w:sz w:val="21"/>
          <w:szCs w:val="21"/>
          <w:lang w:eastAsia="en-AU"/>
        </w:rPr>
        <w:t>n consultation with Desk and thematic areas in Canberra</w:t>
      </w:r>
      <w:r w:rsidR="00CC2C1F">
        <w:rPr>
          <w:rFonts w:eastAsia="Times New Roman" w:cs="Arial"/>
          <w:bCs/>
          <w:sz w:val="21"/>
          <w:szCs w:val="21"/>
          <w:lang w:eastAsia="en-AU"/>
        </w:rPr>
        <w:t xml:space="preserve">. </w:t>
      </w:r>
      <w:r w:rsidR="00CC2C1F">
        <w:rPr>
          <w:rFonts w:eastAsia="Times New Roman" w:cs="Times New Roman"/>
          <w:sz w:val="21"/>
          <w:szCs w:val="21"/>
          <w:lang w:val="en-AU"/>
        </w:rPr>
        <w:t xml:space="preserve">A contracted specialist </w:t>
      </w:r>
      <w:r w:rsidRPr="000F24A4">
        <w:rPr>
          <w:rFonts w:eastAsia="Times New Roman" w:cs="Times New Roman"/>
          <w:sz w:val="21"/>
          <w:szCs w:val="21"/>
          <w:lang w:val="en-AU"/>
        </w:rPr>
        <w:t>design team</w:t>
      </w:r>
      <w:r>
        <w:rPr>
          <w:rFonts w:eastAsia="Times New Roman" w:cs="Times New Roman"/>
          <w:sz w:val="21"/>
          <w:szCs w:val="21"/>
          <w:lang w:val="en-AU"/>
        </w:rPr>
        <w:t xml:space="preserve"> with expe</w:t>
      </w:r>
      <w:r w:rsidR="00764C99">
        <w:rPr>
          <w:rFonts w:eastAsia="Times New Roman" w:cs="Times New Roman"/>
          <w:sz w:val="21"/>
          <w:szCs w:val="21"/>
          <w:lang w:val="en-AU"/>
        </w:rPr>
        <w:t xml:space="preserve">rtise in design, governance, </w:t>
      </w:r>
      <w:r>
        <w:rPr>
          <w:rFonts w:eastAsia="Times New Roman" w:cs="Times New Roman"/>
          <w:sz w:val="21"/>
          <w:szCs w:val="21"/>
          <w:lang w:val="en-AU"/>
        </w:rPr>
        <w:t xml:space="preserve">public financial management, and </w:t>
      </w:r>
      <w:r w:rsidR="00BB399A">
        <w:rPr>
          <w:rFonts w:eastAsia="Times New Roman" w:cs="Times New Roman"/>
          <w:sz w:val="21"/>
          <w:szCs w:val="21"/>
          <w:lang w:val="en-AU"/>
        </w:rPr>
        <w:t>gender</w:t>
      </w:r>
      <w:r w:rsidR="00CC2C1F">
        <w:rPr>
          <w:rFonts w:eastAsia="Times New Roman" w:cs="Times New Roman"/>
          <w:sz w:val="21"/>
          <w:szCs w:val="21"/>
          <w:lang w:val="en-AU"/>
        </w:rPr>
        <w:t xml:space="preserve"> will be engaged to prepare the design</w:t>
      </w:r>
      <w:r w:rsidRPr="000F24A4">
        <w:rPr>
          <w:rFonts w:eastAsia="Times New Roman" w:cs="Times New Roman"/>
          <w:sz w:val="21"/>
          <w:szCs w:val="21"/>
          <w:lang w:val="en-AU"/>
        </w:rPr>
        <w:t>.</w:t>
      </w:r>
      <w:r>
        <w:rPr>
          <w:rFonts w:eastAsia="Times New Roman" w:cs="Times New Roman"/>
          <w:sz w:val="21"/>
          <w:szCs w:val="21"/>
          <w:lang w:val="en-AU"/>
        </w:rPr>
        <w:t xml:space="preserve"> </w:t>
      </w:r>
      <w:r w:rsidRPr="00F77C06">
        <w:rPr>
          <w:rFonts w:eastAsia="Times New Roman" w:cs="Times New Roman"/>
          <w:sz w:val="21"/>
          <w:szCs w:val="21"/>
          <w:lang w:val="en-AU"/>
        </w:rPr>
        <w:t xml:space="preserve">Gender and social inclusion will be a specific priority and mainstreamed across all </w:t>
      </w:r>
      <w:r w:rsidR="00AF7C0B" w:rsidRPr="00F77C06">
        <w:rPr>
          <w:rFonts w:eastAsia="Times New Roman" w:cs="Times New Roman"/>
          <w:sz w:val="21"/>
          <w:szCs w:val="21"/>
          <w:lang w:val="en-AU"/>
        </w:rPr>
        <w:t>program activities</w:t>
      </w:r>
      <w:r w:rsidRPr="00F77C06">
        <w:rPr>
          <w:rFonts w:eastAsia="Times New Roman" w:cs="Times New Roman"/>
          <w:sz w:val="21"/>
          <w:szCs w:val="21"/>
          <w:lang w:val="en-AU"/>
        </w:rPr>
        <w:t>.</w:t>
      </w:r>
      <w:r w:rsidR="00764C99" w:rsidRPr="00F77C06">
        <w:rPr>
          <w:rFonts w:eastAsia="Times New Roman" w:cs="Times New Roman"/>
          <w:sz w:val="21"/>
          <w:szCs w:val="21"/>
          <w:lang w:val="en-AU"/>
        </w:rPr>
        <w:t xml:space="preserve"> </w:t>
      </w:r>
      <w:r w:rsidRPr="00F77C06">
        <w:rPr>
          <w:rFonts w:eastAsia="Times New Roman" w:cs="Times New Roman"/>
          <w:sz w:val="21"/>
          <w:szCs w:val="21"/>
          <w:lang w:val="en-AU"/>
        </w:rPr>
        <w:t>The design wil</w:t>
      </w:r>
      <w:r w:rsidR="00B44B70" w:rsidRPr="00F77C06">
        <w:rPr>
          <w:rFonts w:eastAsia="Times New Roman" w:cs="Times New Roman"/>
          <w:sz w:val="21"/>
          <w:szCs w:val="21"/>
          <w:lang w:val="en-AU"/>
        </w:rPr>
        <w:t xml:space="preserve">l be delivered by </w:t>
      </w:r>
      <w:r w:rsidR="0057679B" w:rsidRPr="00F77C06">
        <w:rPr>
          <w:rFonts w:eastAsia="Times New Roman" w:cs="Times New Roman"/>
          <w:sz w:val="21"/>
          <w:szCs w:val="21"/>
          <w:lang w:val="en-AU"/>
        </w:rPr>
        <w:t>end-April</w:t>
      </w:r>
      <w:r w:rsidR="00B44B70" w:rsidRPr="00F77C06">
        <w:rPr>
          <w:rFonts w:eastAsia="Times New Roman" w:cs="Times New Roman"/>
          <w:sz w:val="21"/>
          <w:szCs w:val="21"/>
          <w:lang w:val="en-AU"/>
        </w:rPr>
        <w:t xml:space="preserve"> 2021 ahead of </w:t>
      </w:r>
      <w:r w:rsidR="00A714A9" w:rsidRPr="00F77C06">
        <w:rPr>
          <w:rFonts w:eastAsia="Times New Roman" w:cs="Times New Roman"/>
          <w:sz w:val="21"/>
          <w:szCs w:val="21"/>
          <w:lang w:val="en-AU"/>
        </w:rPr>
        <w:t xml:space="preserve">an independent appraisal and </w:t>
      </w:r>
      <w:r w:rsidR="00B44B70" w:rsidRPr="00F77C06">
        <w:rPr>
          <w:rFonts w:eastAsia="Times New Roman" w:cs="Times New Roman"/>
          <w:sz w:val="21"/>
          <w:szCs w:val="21"/>
          <w:lang w:val="en-AU"/>
        </w:rPr>
        <w:t>an internal DFAT peer-review</w:t>
      </w:r>
      <w:r w:rsidR="008A4E72" w:rsidRPr="00F77C06">
        <w:rPr>
          <w:rFonts w:eastAsia="Times New Roman" w:cs="Times New Roman"/>
          <w:sz w:val="21"/>
          <w:szCs w:val="21"/>
          <w:lang w:val="en-AU"/>
        </w:rPr>
        <w:t xml:space="preserve"> (note: see comment below)</w:t>
      </w:r>
      <w:r w:rsidR="00B44B70" w:rsidRPr="00F77C06">
        <w:rPr>
          <w:rFonts w:eastAsia="Times New Roman" w:cs="Times New Roman"/>
          <w:sz w:val="21"/>
          <w:szCs w:val="21"/>
          <w:lang w:val="en-AU"/>
        </w:rPr>
        <w:t>.</w:t>
      </w:r>
      <w:r w:rsidR="008A4E72" w:rsidRPr="00F77C06">
        <w:rPr>
          <w:rFonts w:eastAsia="Times New Roman" w:cs="Times New Roman"/>
          <w:sz w:val="21"/>
          <w:szCs w:val="21"/>
          <w:lang w:val="en-AU"/>
        </w:rPr>
        <w:t xml:space="preserve"> </w:t>
      </w:r>
      <w:r w:rsidR="0057679B" w:rsidRPr="00F77C06">
        <w:rPr>
          <w:rFonts w:eastAsia="Times New Roman" w:cs="Times New Roman"/>
          <w:sz w:val="21"/>
          <w:szCs w:val="21"/>
          <w:lang w:val="en-AU"/>
        </w:rPr>
        <w:t xml:space="preserve">The Aid Governance Board </w:t>
      </w:r>
      <w:r w:rsidR="003E0DC2">
        <w:rPr>
          <w:rFonts w:eastAsia="Times New Roman" w:cs="Times New Roman"/>
          <w:sz w:val="21"/>
          <w:szCs w:val="21"/>
          <w:lang w:val="en-AU"/>
        </w:rPr>
        <w:t>is expected to</w:t>
      </w:r>
      <w:r w:rsidR="0057679B" w:rsidRPr="00F77C06">
        <w:rPr>
          <w:rFonts w:eastAsia="Times New Roman" w:cs="Times New Roman"/>
          <w:sz w:val="21"/>
          <w:szCs w:val="21"/>
          <w:lang w:val="en-AU"/>
        </w:rPr>
        <w:t xml:space="preserve"> consider the </w:t>
      </w:r>
      <w:r w:rsidR="003E0DC2">
        <w:rPr>
          <w:rFonts w:eastAsia="Times New Roman" w:cs="Times New Roman"/>
          <w:sz w:val="21"/>
          <w:szCs w:val="21"/>
          <w:lang w:val="en-AU"/>
        </w:rPr>
        <w:t>GfD2 I</w:t>
      </w:r>
      <w:r w:rsidR="0057679B" w:rsidRPr="00F77C06">
        <w:rPr>
          <w:rFonts w:eastAsia="Times New Roman" w:cs="Times New Roman"/>
          <w:sz w:val="21"/>
          <w:szCs w:val="21"/>
          <w:lang w:val="en-AU"/>
        </w:rPr>
        <w:t xml:space="preserve">nvestment </w:t>
      </w:r>
      <w:r w:rsidR="003E0DC2">
        <w:rPr>
          <w:rFonts w:eastAsia="Times New Roman" w:cs="Times New Roman"/>
          <w:sz w:val="21"/>
          <w:szCs w:val="21"/>
          <w:lang w:val="en-AU"/>
        </w:rPr>
        <w:t>D</w:t>
      </w:r>
      <w:r w:rsidR="0057679B" w:rsidRPr="00F77C06">
        <w:rPr>
          <w:rFonts w:eastAsia="Times New Roman" w:cs="Times New Roman"/>
          <w:sz w:val="21"/>
          <w:szCs w:val="21"/>
          <w:lang w:val="en-AU"/>
        </w:rPr>
        <w:t>esign in June 2021.</w:t>
      </w:r>
    </w:p>
    <w:p w14:paraId="07089E77" w14:textId="77777777" w:rsidR="00AF7C0B" w:rsidRDefault="00AF7C0B" w:rsidP="00E03A47">
      <w:pPr>
        <w:tabs>
          <w:tab w:val="left" w:pos="284"/>
        </w:tabs>
        <w:suppressAutoHyphens w:val="0"/>
        <w:spacing w:before="0" w:line="280" w:lineRule="exact"/>
        <w:rPr>
          <w:rFonts w:eastAsia="Times New Roman" w:cs="Times New Roman"/>
          <w:sz w:val="21"/>
          <w:szCs w:val="21"/>
          <w:lang w:val="en-AU"/>
        </w:rPr>
      </w:pPr>
      <w:r w:rsidRPr="00F77C06">
        <w:rPr>
          <w:rFonts w:eastAsia="Times New Roman" w:cs="Times New Roman"/>
          <w:sz w:val="21"/>
          <w:szCs w:val="21"/>
          <w:lang w:val="en-AU"/>
        </w:rPr>
        <w:t xml:space="preserve">As we expect some members of the design team will not be able to travel to Timor-Leste, </w:t>
      </w:r>
      <w:r w:rsidR="0096101D" w:rsidRPr="00F77C06">
        <w:rPr>
          <w:rFonts w:eastAsia="Times New Roman" w:cs="Times New Roman"/>
          <w:sz w:val="21"/>
          <w:szCs w:val="21"/>
          <w:lang w:val="en-AU"/>
        </w:rPr>
        <w:t xml:space="preserve">the team </w:t>
      </w:r>
      <w:r w:rsidR="00E345F0" w:rsidRPr="00F77C06">
        <w:rPr>
          <w:rFonts w:eastAsia="Times New Roman" w:cs="Times New Roman"/>
          <w:sz w:val="21"/>
          <w:szCs w:val="21"/>
          <w:lang w:val="en-AU"/>
        </w:rPr>
        <w:t xml:space="preserve">will </w:t>
      </w:r>
      <w:r w:rsidR="0096101D" w:rsidRPr="00F77C06">
        <w:rPr>
          <w:rFonts w:eastAsia="Times New Roman" w:cs="Times New Roman"/>
          <w:sz w:val="21"/>
          <w:szCs w:val="21"/>
          <w:lang w:val="en-AU"/>
        </w:rPr>
        <w:t>draw on expertise from DFAT’s</w:t>
      </w:r>
      <w:r w:rsidRPr="00F77C06">
        <w:rPr>
          <w:rFonts w:eastAsia="Times New Roman" w:cs="Times New Roman"/>
          <w:sz w:val="21"/>
          <w:szCs w:val="21"/>
          <w:lang w:val="en-AU"/>
        </w:rPr>
        <w:t xml:space="preserve"> Governance, </w:t>
      </w:r>
      <w:r w:rsidR="00684BB0" w:rsidRPr="00F77C06">
        <w:rPr>
          <w:rFonts w:eastAsia="Times New Roman" w:cs="Times New Roman"/>
          <w:sz w:val="21"/>
          <w:szCs w:val="21"/>
          <w:lang w:val="en-AU"/>
        </w:rPr>
        <w:t xml:space="preserve">Public Financial Management, </w:t>
      </w:r>
      <w:r w:rsidRPr="00F77C06">
        <w:rPr>
          <w:rFonts w:eastAsia="Times New Roman" w:cs="Times New Roman"/>
          <w:sz w:val="21"/>
          <w:szCs w:val="21"/>
          <w:lang w:val="en-AU"/>
        </w:rPr>
        <w:t>Development Economics</w:t>
      </w:r>
      <w:r w:rsidR="00684BB0" w:rsidRPr="00F77C06">
        <w:rPr>
          <w:rFonts w:eastAsia="Times New Roman" w:cs="Times New Roman"/>
          <w:sz w:val="21"/>
          <w:szCs w:val="21"/>
          <w:lang w:val="en-AU"/>
        </w:rPr>
        <w:t xml:space="preserve"> and Gender</w:t>
      </w:r>
      <w:r w:rsidRPr="00F77C06">
        <w:rPr>
          <w:rFonts w:eastAsia="Times New Roman" w:cs="Times New Roman"/>
          <w:sz w:val="21"/>
          <w:szCs w:val="21"/>
          <w:lang w:val="en-AU"/>
        </w:rPr>
        <w:t xml:space="preserve"> teams in Canberra during the design process.</w:t>
      </w:r>
      <w:r w:rsidR="001E4CFE" w:rsidRPr="00F77C06">
        <w:rPr>
          <w:rFonts w:eastAsia="Times New Roman" w:cs="Times New Roman"/>
          <w:sz w:val="21"/>
          <w:szCs w:val="21"/>
          <w:lang w:val="en-AU"/>
        </w:rPr>
        <w:t xml:space="preserve"> A “</w:t>
      </w:r>
      <w:r w:rsidR="00295FB6" w:rsidRPr="00F77C06">
        <w:rPr>
          <w:rFonts w:eastAsia="Times New Roman" w:cs="Times New Roman"/>
          <w:sz w:val="21"/>
          <w:szCs w:val="21"/>
          <w:lang w:val="en-AU"/>
        </w:rPr>
        <w:t>DFAT</w:t>
      </w:r>
      <w:r w:rsidR="00295FB6">
        <w:rPr>
          <w:rFonts w:eastAsia="Times New Roman" w:cs="Times New Roman"/>
          <w:sz w:val="21"/>
          <w:szCs w:val="21"/>
          <w:lang w:val="en-AU"/>
        </w:rPr>
        <w:t xml:space="preserve"> </w:t>
      </w:r>
      <w:r w:rsidR="001E4CFE">
        <w:rPr>
          <w:rFonts w:eastAsia="Times New Roman" w:cs="Times New Roman"/>
          <w:sz w:val="21"/>
          <w:szCs w:val="21"/>
          <w:lang w:val="en-AU"/>
        </w:rPr>
        <w:t>Design Reference Group” has been established</w:t>
      </w:r>
      <w:r w:rsidR="00295FB6">
        <w:rPr>
          <w:rFonts w:eastAsia="Times New Roman" w:cs="Times New Roman"/>
          <w:sz w:val="21"/>
          <w:szCs w:val="21"/>
          <w:lang w:val="en-AU"/>
        </w:rPr>
        <w:t xml:space="preserve"> and</w:t>
      </w:r>
      <w:r w:rsidR="001E4CFE">
        <w:rPr>
          <w:rFonts w:eastAsia="Times New Roman" w:cs="Times New Roman"/>
          <w:sz w:val="21"/>
          <w:szCs w:val="21"/>
          <w:lang w:val="en-AU"/>
        </w:rPr>
        <w:t xml:space="preserve"> will meet (remotely)</w:t>
      </w:r>
      <w:r w:rsidR="00DC6E80">
        <w:rPr>
          <w:rFonts w:eastAsia="Times New Roman" w:cs="Times New Roman"/>
          <w:sz w:val="21"/>
          <w:szCs w:val="21"/>
          <w:lang w:val="en-AU"/>
        </w:rPr>
        <w:t xml:space="preserve"> at least</w:t>
      </w:r>
      <w:r w:rsidR="001E4CFE">
        <w:rPr>
          <w:rFonts w:eastAsia="Times New Roman" w:cs="Times New Roman"/>
          <w:sz w:val="21"/>
          <w:szCs w:val="21"/>
          <w:lang w:val="en-AU"/>
        </w:rPr>
        <w:t xml:space="preserve"> </w:t>
      </w:r>
      <w:r w:rsidR="00295FB6">
        <w:rPr>
          <w:rFonts w:eastAsia="Times New Roman" w:cs="Times New Roman"/>
          <w:sz w:val="21"/>
          <w:szCs w:val="21"/>
          <w:lang w:val="en-AU"/>
        </w:rPr>
        <w:t xml:space="preserve">twice </w:t>
      </w:r>
      <w:r w:rsidR="001E4CFE">
        <w:rPr>
          <w:rFonts w:eastAsia="Times New Roman" w:cs="Times New Roman"/>
          <w:sz w:val="21"/>
          <w:szCs w:val="21"/>
          <w:lang w:val="en-AU"/>
        </w:rPr>
        <w:t>with the design team</w:t>
      </w:r>
      <w:r w:rsidR="001278EC">
        <w:rPr>
          <w:rFonts w:eastAsia="Times New Roman" w:cs="Times New Roman"/>
          <w:sz w:val="21"/>
          <w:szCs w:val="21"/>
          <w:lang w:val="en-AU"/>
        </w:rPr>
        <w:t xml:space="preserve"> to provide advice and assure DFAT that the design will be fit-for-purpose</w:t>
      </w:r>
      <w:r w:rsidR="0071385A">
        <w:rPr>
          <w:rFonts w:eastAsia="Times New Roman" w:cs="Times New Roman"/>
          <w:sz w:val="21"/>
          <w:szCs w:val="21"/>
          <w:lang w:val="en-AU"/>
        </w:rPr>
        <w:t>.</w:t>
      </w:r>
      <w:r w:rsidR="00E62519">
        <w:rPr>
          <w:rFonts w:eastAsia="Times New Roman" w:cs="Times New Roman"/>
          <w:sz w:val="21"/>
          <w:szCs w:val="21"/>
          <w:lang w:val="en-AU"/>
        </w:rPr>
        <w:t xml:space="preserve"> The Design Reference Group was consulted on the specifications for the design team,</w:t>
      </w:r>
      <w:r w:rsidR="003F2818">
        <w:rPr>
          <w:rFonts w:eastAsia="Times New Roman" w:cs="Times New Roman"/>
          <w:sz w:val="21"/>
          <w:szCs w:val="21"/>
          <w:lang w:val="en-AU"/>
        </w:rPr>
        <w:t xml:space="preserve"> this investment concept</w:t>
      </w:r>
      <w:r w:rsidR="00E62519">
        <w:rPr>
          <w:rFonts w:eastAsia="Times New Roman" w:cs="Times New Roman"/>
          <w:sz w:val="21"/>
          <w:szCs w:val="21"/>
          <w:lang w:val="en-AU"/>
        </w:rPr>
        <w:t xml:space="preserve"> and will also participate in the internal peer review in 2021.</w:t>
      </w:r>
      <w:r w:rsidR="0096101D">
        <w:rPr>
          <w:rFonts w:eastAsia="Times New Roman" w:cs="Times New Roman"/>
          <w:sz w:val="21"/>
          <w:szCs w:val="21"/>
          <w:lang w:val="en-AU"/>
        </w:rPr>
        <w:t xml:space="preserve"> </w:t>
      </w:r>
      <w:r w:rsidR="0071385A">
        <w:rPr>
          <w:rFonts w:eastAsia="Times New Roman" w:cs="Times New Roman"/>
          <w:sz w:val="21"/>
          <w:szCs w:val="21"/>
          <w:lang w:val="en-AU"/>
        </w:rPr>
        <w:t>T</w:t>
      </w:r>
      <w:r w:rsidRPr="00AF7C0B">
        <w:rPr>
          <w:rFonts w:eastAsia="Times New Roman" w:cs="Times New Roman"/>
          <w:sz w:val="21"/>
          <w:szCs w:val="21"/>
          <w:lang w:val="en-AU"/>
        </w:rPr>
        <w:t>he existing GfD implementing team</w:t>
      </w:r>
      <w:r w:rsidR="0096101D">
        <w:rPr>
          <w:rFonts w:eastAsia="Times New Roman" w:cs="Times New Roman"/>
          <w:sz w:val="21"/>
          <w:szCs w:val="21"/>
          <w:lang w:val="en-AU"/>
        </w:rPr>
        <w:t xml:space="preserve"> will also</w:t>
      </w:r>
      <w:r w:rsidRPr="00AF7C0B">
        <w:rPr>
          <w:rFonts w:eastAsia="Times New Roman" w:cs="Times New Roman"/>
          <w:sz w:val="21"/>
          <w:szCs w:val="21"/>
          <w:lang w:val="en-AU"/>
        </w:rPr>
        <w:t xml:space="preserve"> contribute to the design given </w:t>
      </w:r>
      <w:r w:rsidR="0043643E">
        <w:rPr>
          <w:rFonts w:eastAsia="Times New Roman" w:cs="Times New Roman"/>
          <w:sz w:val="21"/>
          <w:szCs w:val="21"/>
          <w:lang w:val="en-AU"/>
        </w:rPr>
        <w:t>its</w:t>
      </w:r>
      <w:r w:rsidRPr="00AF7C0B">
        <w:rPr>
          <w:rFonts w:eastAsia="Times New Roman" w:cs="Times New Roman"/>
          <w:sz w:val="21"/>
          <w:szCs w:val="21"/>
          <w:lang w:val="en-AU"/>
        </w:rPr>
        <w:t xml:space="preserve"> understanding of the development context in Timor-Leste and deep connections with </w:t>
      </w:r>
      <w:r w:rsidR="0096101D">
        <w:rPr>
          <w:rFonts w:eastAsia="Times New Roman" w:cs="Times New Roman"/>
          <w:sz w:val="21"/>
          <w:szCs w:val="21"/>
          <w:lang w:val="en-AU"/>
        </w:rPr>
        <w:t>GoTL</w:t>
      </w:r>
      <w:r w:rsidRPr="00AF7C0B">
        <w:rPr>
          <w:rFonts w:eastAsia="Times New Roman" w:cs="Times New Roman"/>
          <w:sz w:val="21"/>
          <w:szCs w:val="21"/>
          <w:lang w:val="en-AU"/>
        </w:rPr>
        <w:t xml:space="preserve"> and non-government stakeholders.</w:t>
      </w:r>
    </w:p>
    <w:p w14:paraId="70B3ED48" w14:textId="6B857ACF" w:rsidR="00D61B64" w:rsidRPr="00F77C06" w:rsidRDefault="00AF7C0B" w:rsidP="00E03A47">
      <w:pPr>
        <w:tabs>
          <w:tab w:val="left" w:pos="284"/>
        </w:tabs>
        <w:suppressAutoHyphens w:val="0"/>
        <w:spacing w:before="0" w:line="280" w:lineRule="exact"/>
        <w:rPr>
          <w:rFonts w:eastAsia="Times New Roman" w:cs="Times New Roman"/>
          <w:sz w:val="21"/>
          <w:szCs w:val="21"/>
          <w:lang w:val="en-AU"/>
        </w:rPr>
      </w:pPr>
      <w:r>
        <w:rPr>
          <w:rFonts w:eastAsia="Times New Roman" w:cs="Times New Roman"/>
          <w:sz w:val="21"/>
          <w:szCs w:val="21"/>
          <w:lang w:val="en-AU"/>
        </w:rPr>
        <w:t>Stakeholder consultation and</w:t>
      </w:r>
      <w:r w:rsidR="00DA51EB">
        <w:rPr>
          <w:rFonts w:eastAsia="Times New Roman" w:cs="Times New Roman"/>
          <w:sz w:val="21"/>
          <w:szCs w:val="21"/>
          <w:lang w:val="en-AU"/>
        </w:rPr>
        <w:t xml:space="preserve"> feedback </w:t>
      </w:r>
      <w:r w:rsidR="00A677BA">
        <w:rPr>
          <w:rFonts w:eastAsia="Times New Roman" w:cs="Times New Roman"/>
          <w:sz w:val="21"/>
          <w:szCs w:val="21"/>
          <w:lang w:val="en-AU"/>
        </w:rPr>
        <w:t>is an</w:t>
      </w:r>
      <w:r w:rsidR="00DA51EB">
        <w:rPr>
          <w:rFonts w:eastAsia="Times New Roman" w:cs="Times New Roman"/>
          <w:sz w:val="21"/>
          <w:szCs w:val="21"/>
          <w:lang w:val="en-AU"/>
        </w:rPr>
        <w:t xml:space="preserve"> important part of the design</w:t>
      </w:r>
      <w:r w:rsidR="00A14DB1">
        <w:rPr>
          <w:rFonts w:eastAsia="Times New Roman" w:cs="Times New Roman"/>
          <w:sz w:val="21"/>
          <w:szCs w:val="21"/>
          <w:lang w:val="en-AU"/>
        </w:rPr>
        <w:t>, particularly engagement with GoTL</w:t>
      </w:r>
      <w:r w:rsidR="00DA51EB">
        <w:rPr>
          <w:rFonts w:eastAsia="Times New Roman" w:cs="Times New Roman"/>
          <w:sz w:val="21"/>
          <w:szCs w:val="21"/>
          <w:lang w:val="en-AU"/>
        </w:rPr>
        <w:t>.</w:t>
      </w:r>
      <w:r w:rsidR="00A14DB1">
        <w:rPr>
          <w:rFonts w:eastAsia="Times New Roman" w:cs="Times New Roman"/>
          <w:sz w:val="21"/>
          <w:szCs w:val="21"/>
          <w:lang w:val="en-AU"/>
        </w:rPr>
        <w:t xml:space="preserve"> Close oversight by DFAT at post will ensure that stakeholders are engaged throughout the process.</w:t>
      </w:r>
      <w:r w:rsidR="00DA51EB">
        <w:rPr>
          <w:rFonts w:eastAsia="Times New Roman" w:cs="Times New Roman"/>
          <w:sz w:val="21"/>
          <w:szCs w:val="21"/>
          <w:lang w:val="en-AU"/>
        </w:rPr>
        <w:t xml:space="preserve"> </w:t>
      </w:r>
    </w:p>
    <w:p w14:paraId="41A2C9E2" w14:textId="77777777" w:rsidR="00295FB6" w:rsidRPr="00F77C06" w:rsidRDefault="00295FB6" w:rsidP="00E03A47">
      <w:pPr>
        <w:tabs>
          <w:tab w:val="left" w:pos="284"/>
        </w:tabs>
        <w:suppressAutoHyphens w:val="0"/>
        <w:spacing w:before="0" w:line="280" w:lineRule="exact"/>
        <w:rPr>
          <w:rFonts w:eastAsia="Times New Roman" w:cs="Times New Roman"/>
          <w:sz w:val="21"/>
          <w:szCs w:val="21"/>
          <w:lang w:val="en-AU"/>
        </w:rPr>
      </w:pPr>
      <w:proofErr w:type="gramStart"/>
      <w:r w:rsidRPr="00F77C06">
        <w:rPr>
          <w:rFonts w:eastAsia="Times New Roman" w:cs="Times New Roman"/>
          <w:sz w:val="21"/>
          <w:szCs w:val="21"/>
          <w:lang w:val="en-AU"/>
        </w:rPr>
        <w:t xml:space="preserve">At the same time </w:t>
      </w:r>
      <w:r w:rsidR="002C4919" w:rsidRPr="00F77C06">
        <w:rPr>
          <w:rFonts w:eastAsia="Times New Roman" w:cs="Times New Roman"/>
          <w:sz w:val="21"/>
          <w:szCs w:val="21"/>
          <w:lang w:val="en-AU"/>
        </w:rPr>
        <w:t>that</w:t>
      </w:r>
      <w:proofErr w:type="gramEnd"/>
      <w:r w:rsidR="002C4919" w:rsidRPr="00F77C06">
        <w:rPr>
          <w:rFonts w:eastAsia="Times New Roman" w:cs="Times New Roman"/>
          <w:sz w:val="21"/>
          <w:szCs w:val="21"/>
          <w:lang w:val="en-AU"/>
        </w:rPr>
        <w:t xml:space="preserve"> GfD2 is being designed</w:t>
      </w:r>
      <w:r w:rsidRPr="00F77C06">
        <w:rPr>
          <w:rFonts w:eastAsia="Times New Roman" w:cs="Times New Roman"/>
          <w:sz w:val="21"/>
          <w:szCs w:val="21"/>
          <w:lang w:val="en-AU"/>
        </w:rPr>
        <w:t xml:space="preserve">, DFAT </w:t>
      </w:r>
      <w:r w:rsidR="0057679B" w:rsidRPr="00F77C06">
        <w:rPr>
          <w:rFonts w:eastAsia="Times New Roman" w:cs="Times New Roman"/>
          <w:sz w:val="21"/>
          <w:szCs w:val="21"/>
          <w:lang w:val="en-AU"/>
        </w:rPr>
        <w:t>has published</w:t>
      </w:r>
      <w:r w:rsidRPr="00F77C06">
        <w:rPr>
          <w:rFonts w:eastAsia="Times New Roman" w:cs="Times New Roman"/>
          <w:sz w:val="21"/>
          <w:szCs w:val="21"/>
          <w:lang w:val="en-AU"/>
        </w:rPr>
        <w:t xml:space="preserve"> </w:t>
      </w:r>
      <w:r w:rsidR="00E25429" w:rsidRPr="00F77C06">
        <w:rPr>
          <w:rFonts w:eastAsia="Times New Roman" w:cs="Times New Roman"/>
          <w:sz w:val="21"/>
          <w:szCs w:val="21"/>
          <w:lang w:val="en-AU"/>
        </w:rPr>
        <w:t>the CDRP</w:t>
      </w:r>
      <w:r w:rsidRPr="00F77C06">
        <w:rPr>
          <w:rFonts w:eastAsia="Times New Roman" w:cs="Times New Roman"/>
          <w:sz w:val="21"/>
          <w:szCs w:val="21"/>
          <w:lang w:val="en-AU"/>
        </w:rPr>
        <w:t xml:space="preserve"> for 2020-22. The CDRP </w:t>
      </w:r>
      <w:r w:rsidR="0057679B" w:rsidRPr="00F77C06">
        <w:rPr>
          <w:rFonts w:eastAsia="Times New Roman" w:cs="Times New Roman"/>
          <w:sz w:val="21"/>
          <w:szCs w:val="21"/>
          <w:lang w:val="en-AU"/>
        </w:rPr>
        <w:t>aligns</w:t>
      </w:r>
      <w:r w:rsidRPr="00F77C06">
        <w:rPr>
          <w:rFonts w:eastAsia="Times New Roman" w:cs="Times New Roman"/>
          <w:sz w:val="21"/>
          <w:szCs w:val="21"/>
          <w:lang w:val="en-AU"/>
        </w:rPr>
        <w:t xml:space="preserve"> with Australia’s Partnerships for Recovery policy and is </w:t>
      </w:r>
      <w:r w:rsidR="0057679B" w:rsidRPr="00F77C06">
        <w:rPr>
          <w:rFonts w:eastAsia="Times New Roman" w:cs="Times New Roman"/>
          <w:sz w:val="21"/>
          <w:szCs w:val="21"/>
          <w:lang w:val="en-AU"/>
        </w:rPr>
        <w:t xml:space="preserve">available on DFAT’s website (see </w:t>
      </w:r>
      <w:hyperlink r:id="rId8" w:history="1">
        <w:r w:rsidR="0057679B" w:rsidRPr="00F77C06">
          <w:rPr>
            <w:rStyle w:val="Hyperlink"/>
            <w:rFonts w:eastAsia="Times New Roman" w:cs="Times New Roman"/>
            <w:sz w:val="21"/>
            <w:szCs w:val="21"/>
            <w:lang w:val="en-AU"/>
          </w:rPr>
          <w:t>https://www.dfat.gov.au/publications/development/timor-leste-covid-19-development-response-plan</w:t>
        </w:r>
      </w:hyperlink>
      <w:r w:rsidR="0057679B" w:rsidRPr="00F77C06">
        <w:rPr>
          <w:rFonts w:eastAsia="Times New Roman" w:cs="Times New Roman"/>
          <w:sz w:val="21"/>
          <w:szCs w:val="21"/>
          <w:lang w:val="en-AU"/>
        </w:rPr>
        <w:t>)</w:t>
      </w:r>
      <w:r w:rsidRPr="00F77C06">
        <w:rPr>
          <w:rFonts w:eastAsia="Times New Roman" w:cs="Times New Roman"/>
          <w:sz w:val="21"/>
          <w:szCs w:val="21"/>
          <w:lang w:val="en-AU"/>
        </w:rPr>
        <w:t xml:space="preserve">. GfD2’s design will </w:t>
      </w:r>
      <w:r w:rsidR="00FB1A84" w:rsidRPr="00F77C06">
        <w:rPr>
          <w:rFonts w:eastAsia="Times New Roman" w:cs="Times New Roman"/>
          <w:sz w:val="21"/>
          <w:szCs w:val="21"/>
          <w:lang w:val="en-AU"/>
        </w:rPr>
        <w:t>align with the</w:t>
      </w:r>
      <w:r w:rsidRPr="00F77C06">
        <w:rPr>
          <w:rFonts w:eastAsia="Times New Roman" w:cs="Times New Roman"/>
          <w:sz w:val="21"/>
          <w:szCs w:val="21"/>
          <w:lang w:val="en-AU"/>
        </w:rPr>
        <w:t xml:space="preserve"> CDRP </w:t>
      </w:r>
      <w:r w:rsidR="00FB1A84" w:rsidRPr="00F77C06">
        <w:rPr>
          <w:rFonts w:eastAsia="Times New Roman" w:cs="Times New Roman"/>
          <w:sz w:val="21"/>
          <w:szCs w:val="21"/>
          <w:lang w:val="en-AU"/>
        </w:rPr>
        <w:t>and its core objectives under</w:t>
      </w:r>
      <w:r w:rsidR="00AC17FD" w:rsidRPr="00F77C06">
        <w:rPr>
          <w:rFonts w:eastAsia="Times New Roman" w:cs="Times New Roman"/>
          <w:sz w:val="21"/>
          <w:szCs w:val="21"/>
          <w:lang w:val="en-AU"/>
        </w:rPr>
        <w:t xml:space="preserve"> the</w:t>
      </w:r>
      <w:r w:rsidR="00FB1A84" w:rsidRPr="00F77C06">
        <w:rPr>
          <w:rFonts w:eastAsia="Times New Roman" w:cs="Times New Roman"/>
          <w:sz w:val="21"/>
          <w:szCs w:val="21"/>
          <w:lang w:val="en-AU"/>
        </w:rPr>
        <w:t xml:space="preserve"> economic recovery pillar.</w:t>
      </w:r>
      <w:r w:rsidR="00732FF2" w:rsidRPr="00F77C06">
        <w:rPr>
          <w:rFonts w:eastAsia="Times New Roman" w:cs="Times New Roman"/>
          <w:sz w:val="21"/>
          <w:szCs w:val="21"/>
          <w:lang w:val="en-AU"/>
        </w:rPr>
        <w:t xml:space="preserve"> </w:t>
      </w:r>
      <w:r w:rsidR="00E345F0" w:rsidRPr="00F77C06">
        <w:rPr>
          <w:rFonts w:eastAsia="Times New Roman" w:cs="Times New Roman"/>
          <w:sz w:val="21"/>
          <w:szCs w:val="21"/>
          <w:lang w:val="en-AU"/>
        </w:rPr>
        <w:t xml:space="preserve">There is substantial existing literature </w:t>
      </w:r>
      <w:r w:rsidR="00E929BD" w:rsidRPr="00F77C06">
        <w:rPr>
          <w:rFonts w:eastAsia="Times New Roman" w:cs="Times New Roman"/>
          <w:sz w:val="21"/>
          <w:szCs w:val="21"/>
          <w:lang w:val="en-AU"/>
        </w:rPr>
        <w:t>on development in Timor-Leste and t</w:t>
      </w:r>
      <w:r w:rsidR="00732FF2" w:rsidRPr="00F77C06">
        <w:rPr>
          <w:rFonts w:eastAsia="Times New Roman" w:cs="Times New Roman"/>
          <w:sz w:val="21"/>
          <w:szCs w:val="21"/>
          <w:lang w:val="en-AU"/>
        </w:rPr>
        <w:t>he design</w:t>
      </w:r>
      <w:r w:rsidR="00E929BD" w:rsidRPr="00F77C06">
        <w:rPr>
          <w:rFonts w:eastAsia="Times New Roman" w:cs="Times New Roman"/>
          <w:sz w:val="21"/>
          <w:szCs w:val="21"/>
          <w:lang w:val="en-AU"/>
        </w:rPr>
        <w:t xml:space="preserve"> team</w:t>
      </w:r>
      <w:r w:rsidR="00732FF2" w:rsidRPr="00F77C06">
        <w:rPr>
          <w:rFonts w:eastAsia="Times New Roman" w:cs="Times New Roman"/>
          <w:sz w:val="21"/>
          <w:szCs w:val="21"/>
          <w:lang w:val="en-AU"/>
        </w:rPr>
        <w:t xml:space="preserve"> will reflect on </w:t>
      </w:r>
      <w:r w:rsidR="00E929BD" w:rsidRPr="00F77C06">
        <w:rPr>
          <w:rFonts w:eastAsia="Times New Roman" w:cs="Times New Roman"/>
          <w:sz w:val="21"/>
          <w:szCs w:val="21"/>
          <w:lang w:val="en-AU"/>
        </w:rPr>
        <w:t>this during the detailed design process.</w:t>
      </w:r>
    </w:p>
    <w:p w14:paraId="1D27BE24" w14:textId="6D54734A" w:rsidR="001E5C75" w:rsidRPr="008A4E72" w:rsidRDefault="001E5C75" w:rsidP="001E5C75">
      <w:pPr>
        <w:tabs>
          <w:tab w:val="left" w:pos="284"/>
        </w:tabs>
        <w:suppressAutoHyphens w:val="0"/>
        <w:spacing w:before="0" w:line="280" w:lineRule="exact"/>
        <w:rPr>
          <w:rFonts w:eastAsia="Times New Roman" w:cs="Times New Roman"/>
          <w:i/>
          <w:sz w:val="21"/>
          <w:szCs w:val="21"/>
          <w:lang w:val="en-AU"/>
        </w:rPr>
      </w:pPr>
      <w:r>
        <w:rPr>
          <w:rFonts w:eastAsia="Times New Roman" w:cs="Times New Roman"/>
          <w:sz w:val="21"/>
          <w:szCs w:val="21"/>
          <w:lang w:val="en-AU"/>
        </w:rPr>
        <w:t xml:space="preserve">DFAT anticipates tendering for a contractor to implement </w:t>
      </w:r>
      <w:r w:rsidR="00F33857" w:rsidRPr="00F77C06">
        <w:rPr>
          <w:rFonts w:eastAsia="Times New Roman" w:cs="Times New Roman"/>
          <w:sz w:val="21"/>
          <w:szCs w:val="21"/>
          <w:lang w:val="en-AU"/>
        </w:rPr>
        <w:t>GfD2</w:t>
      </w:r>
      <w:r>
        <w:rPr>
          <w:rFonts w:eastAsia="Times New Roman" w:cs="Times New Roman"/>
          <w:sz w:val="21"/>
          <w:szCs w:val="21"/>
          <w:lang w:val="en-AU"/>
        </w:rPr>
        <w:t xml:space="preserve"> in the second half of 2021.</w:t>
      </w:r>
    </w:p>
    <w:p w14:paraId="18B63928" w14:textId="77777777" w:rsidR="00D43169" w:rsidRPr="008A4E72" w:rsidRDefault="00D43169" w:rsidP="002C4919">
      <w:pPr>
        <w:tabs>
          <w:tab w:val="left" w:pos="284"/>
        </w:tabs>
        <w:suppressAutoHyphens w:val="0"/>
        <w:spacing w:before="0" w:line="280" w:lineRule="exact"/>
        <w:rPr>
          <w:rFonts w:eastAsia="Times New Roman" w:cs="Times New Roman"/>
          <w:i/>
          <w:sz w:val="21"/>
          <w:szCs w:val="21"/>
          <w:lang w:val="en-AU"/>
        </w:rPr>
      </w:pPr>
      <w:r w:rsidRPr="008A4E72">
        <w:rPr>
          <w:rFonts w:eastAsia="Times New Roman" w:cs="Times New Roman"/>
          <w:i/>
          <w:sz w:val="21"/>
          <w:szCs w:val="21"/>
          <w:lang w:val="en-AU"/>
        </w:rPr>
        <w:br w:type="page"/>
      </w:r>
    </w:p>
    <w:p w14:paraId="21BB7159" w14:textId="77777777" w:rsidR="00D43169" w:rsidRDefault="00D43169" w:rsidP="00D43169">
      <w:pPr>
        <w:tabs>
          <w:tab w:val="left" w:pos="284"/>
        </w:tabs>
        <w:suppressAutoHyphens w:val="0"/>
        <w:spacing w:before="0" w:line="280" w:lineRule="exact"/>
        <w:jc w:val="right"/>
        <w:rPr>
          <w:rFonts w:eastAsia="Times New Roman" w:cs="Times New Roman"/>
          <w:b/>
          <w:sz w:val="21"/>
          <w:szCs w:val="21"/>
          <w:lang w:val="en-AU"/>
        </w:rPr>
      </w:pPr>
      <w:r w:rsidRPr="008374A0">
        <w:rPr>
          <w:rFonts w:eastAsia="Times New Roman" w:cs="Times New Roman"/>
          <w:b/>
          <w:sz w:val="21"/>
          <w:szCs w:val="21"/>
          <w:lang w:val="en-AU"/>
        </w:rPr>
        <w:lastRenderedPageBreak/>
        <w:t>Attachment A</w:t>
      </w:r>
    </w:p>
    <w:p w14:paraId="2EF8378E" w14:textId="77777777" w:rsidR="00D43169" w:rsidRDefault="00D43169" w:rsidP="00D43169">
      <w:pPr>
        <w:tabs>
          <w:tab w:val="left" w:pos="284"/>
        </w:tabs>
        <w:suppressAutoHyphens w:val="0"/>
        <w:spacing w:before="0" w:line="280" w:lineRule="exact"/>
        <w:jc w:val="right"/>
        <w:rPr>
          <w:rFonts w:eastAsia="Times New Roman" w:cs="Times New Roman"/>
          <w:b/>
          <w:sz w:val="21"/>
          <w:szCs w:val="21"/>
          <w:lang w:val="en-AU"/>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
        <w:gridCol w:w="901"/>
        <w:gridCol w:w="901"/>
        <w:gridCol w:w="1970"/>
        <w:gridCol w:w="284"/>
        <w:gridCol w:w="1353"/>
        <w:gridCol w:w="902"/>
        <w:gridCol w:w="902"/>
        <w:gridCol w:w="902"/>
      </w:tblGrid>
      <w:tr w:rsidR="00D43169" w:rsidRPr="00D43169" w14:paraId="43FBDAF2" w14:textId="77777777" w:rsidTr="00BC7F50">
        <w:tc>
          <w:tcPr>
            <w:tcW w:w="9016" w:type="dxa"/>
            <w:gridSpan w:val="9"/>
          </w:tcPr>
          <w:p w14:paraId="0377FC5C" w14:textId="77777777" w:rsidR="00D43169" w:rsidRPr="00D43169" w:rsidRDefault="00D43169" w:rsidP="00D43169">
            <w:pPr>
              <w:suppressAutoHyphens w:val="0"/>
              <w:spacing w:before="0" w:after="0" w:line="240" w:lineRule="auto"/>
              <w:jc w:val="center"/>
              <w:rPr>
                <w:rFonts w:ascii="Calibri" w:eastAsia="Calibri" w:hAnsi="Calibri" w:cs="Times New Roman"/>
                <w:b/>
                <w:color w:val="auto"/>
                <w:lang w:val="en-AU"/>
              </w:rPr>
            </w:pPr>
            <w:r w:rsidRPr="00D43169">
              <w:rPr>
                <w:rFonts w:ascii="Calibri" w:eastAsia="Calibri" w:hAnsi="Calibri" w:cs="Times New Roman"/>
                <w:b/>
                <w:color w:val="auto"/>
                <w:lang w:val="en-AU"/>
              </w:rPr>
              <w:t>Better living standards and reduced poverty in Timor-Leste</w:t>
            </w:r>
            <w:r w:rsidRPr="00D43169">
              <w:rPr>
                <w:rFonts w:ascii="Calibri" w:eastAsia="Times New Roman" w:hAnsi="Calibri" w:cs="Arial"/>
                <w:b/>
                <w:color w:val="44546A"/>
                <w:sz w:val="21"/>
                <w:szCs w:val="21"/>
                <w:lang w:val="en-AU" w:eastAsia="en-AU"/>
              </w:rPr>
              <w:t xml:space="preserve"> </w:t>
            </w:r>
            <w:r w:rsidRPr="00D43169">
              <w:rPr>
                <w:rFonts w:ascii="Calibri" w:eastAsia="Calibri" w:hAnsi="Calibri" w:cs="Times New Roman"/>
                <w:b/>
                <w:color w:val="auto"/>
                <w:lang w:val="en-AU"/>
              </w:rPr>
              <w:t xml:space="preserve">through </w:t>
            </w:r>
          </w:p>
          <w:p w14:paraId="2D190A9F" w14:textId="77777777" w:rsidR="00D43169" w:rsidRPr="00D43169" w:rsidRDefault="00D43169" w:rsidP="00D43169">
            <w:pPr>
              <w:suppressAutoHyphens w:val="0"/>
              <w:spacing w:before="0" w:after="0" w:line="240" w:lineRule="auto"/>
              <w:jc w:val="center"/>
              <w:rPr>
                <w:rFonts w:ascii="Calibri" w:eastAsia="Calibri" w:hAnsi="Calibri" w:cs="Times New Roman"/>
                <w:color w:val="auto"/>
                <w:lang w:val="en-AU"/>
              </w:rPr>
            </w:pPr>
            <w:r w:rsidRPr="00D43169">
              <w:rPr>
                <w:rFonts w:ascii="Calibri" w:eastAsia="Calibri" w:hAnsi="Calibri" w:cs="Times New Roman"/>
                <w:b/>
                <w:color w:val="auto"/>
                <w:lang w:val="en-AU"/>
              </w:rPr>
              <w:t>stronger GoTL economic development and service delivery</w:t>
            </w:r>
          </w:p>
          <w:p w14:paraId="34B94E41" w14:textId="77777777" w:rsidR="00D43169" w:rsidRPr="00D43169" w:rsidRDefault="00D43169" w:rsidP="00D43169">
            <w:pPr>
              <w:suppressAutoHyphens w:val="0"/>
              <w:spacing w:before="0" w:after="0" w:line="240" w:lineRule="auto"/>
              <w:jc w:val="center"/>
              <w:rPr>
                <w:rFonts w:ascii="Calibri" w:eastAsia="Calibri" w:hAnsi="Calibri" w:cs="Times New Roman"/>
                <w:color w:val="auto"/>
                <w:lang w:val="en-AU"/>
              </w:rPr>
            </w:pPr>
            <w:r w:rsidRPr="00D43169">
              <w:rPr>
                <w:rFonts w:ascii="Calibri" w:eastAsia="Calibri" w:hAnsi="Calibri" w:cs="Times New Roman"/>
                <w:noProof/>
                <w:color w:val="auto"/>
                <w:lang w:val="en-AU" w:eastAsia="en-AU"/>
              </w:rPr>
              <mc:AlternateContent>
                <mc:Choice Requires="wps">
                  <w:drawing>
                    <wp:anchor distT="0" distB="0" distL="114300" distR="114300" simplePos="0" relativeHeight="251662336" behindDoc="0" locked="0" layoutInCell="1" allowOverlap="1" wp14:anchorId="0B05C69A" wp14:editId="77A0AF33">
                      <wp:simplePos x="0" y="0"/>
                      <wp:positionH relativeFrom="column">
                        <wp:posOffset>4351020</wp:posOffset>
                      </wp:positionH>
                      <wp:positionV relativeFrom="paragraph">
                        <wp:posOffset>20955</wp:posOffset>
                      </wp:positionV>
                      <wp:extent cx="0" cy="323850"/>
                      <wp:effectExtent l="0" t="0" r="19050" b="19050"/>
                      <wp:wrapNone/>
                      <wp:docPr id="10" name="Straight Connector 10"/>
                      <wp:cNvGraphicFramePr/>
                      <a:graphic xmlns:a="http://schemas.openxmlformats.org/drawingml/2006/main">
                        <a:graphicData uri="http://schemas.microsoft.com/office/word/2010/wordprocessingShape">
                          <wps:wsp>
                            <wps:cNvCnPr/>
                            <wps:spPr>
                              <a:xfrm>
                                <a:off x="0" y="0"/>
                                <a:ext cx="0" cy="32385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65112EA6" id="Straight Connector 10"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342.6pt,1.65pt" to="342.6pt,2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" strokecolor="windowText" strokeweight=".5pt">
                      <v:stroke joinstyle="miter"/>
                    </v:line>
                  </w:pict>
                </mc:Fallback>
              </mc:AlternateContent>
            </w:r>
            <w:r w:rsidRPr="00D43169">
              <w:rPr>
                <w:rFonts w:ascii="Calibri" w:eastAsia="Calibri" w:hAnsi="Calibri" w:cs="Times New Roman"/>
                <w:noProof/>
                <w:color w:val="auto"/>
                <w:lang w:val="en-AU" w:eastAsia="en-AU"/>
              </w:rPr>
              <mc:AlternateContent>
                <mc:Choice Requires="wps">
                  <w:drawing>
                    <wp:anchor distT="0" distB="0" distL="114300" distR="114300" simplePos="0" relativeHeight="251661312" behindDoc="0" locked="0" layoutInCell="1" allowOverlap="1" wp14:anchorId="6A6E2CA3" wp14:editId="1FB365D3">
                      <wp:simplePos x="0" y="0"/>
                      <wp:positionH relativeFrom="column">
                        <wp:posOffset>1436370</wp:posOffset>
                      </wp:positionH>
                      <wp:positionV relativeFrom="paragraph">
                        <wp:posOffset>78105</wp:posOffset>
                      </wp:positionV>
                      <wp:extent cx="0" cy="266700"/>
                      <wp:effectExtent l="0" t="0" r="19050" b="19050"/>
                      <wp:wrapNone/>
                      <wp:docPr id="9" name="Straight Connector 9"/>
                      <wp:cNvGraphicFramePr/>
                      <a:graphic xmlns:a="http://schemas.openxmlformats.org/drawingml/2006/main">
                        <a:graphicData uri="http://schemas.microsoft.com/office/word/2010/wordprocessingShape">
                          <wps:wsp>
                            <wps:cNvCnPr/>
                            <wps:spPr>
                              <a:xfrm>
                                <a:off x="0" y="0"/>
                                <a:ext cx="0" cy="26670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4FC85DED" id="Straight Connector 9"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13.1pt,6.15pt" to="113.1pt,2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" strokecolor="windowText" strokeweight=".5pt">
                      <v:stroke joinstyle="miter"/>
                    </v:line>
                  </w:pict>
                </mc:Fallback>
              </mc:AlternateContent>
            </w:r>
          </w:p>
        </w:tc>
      </w:tr>
      <w:tr w:rsidR="00D43169" w:rsidRPr="00D43169" w14:paraId="60DB0A42" w14:textId="77777777" w:rsidTr="00BC7F50">
        <w:tc>
          <w:tcPr>
            <w:tcW w:w="1802" w:type="dxa"/>
            <w:gridSpan w:val="2"/>
          </w:tcPr>
          <w:p w14:paraId="300B4CC2" w14:textId="77777777" w:rsidR="00D43169" w:rsidRPr="00D43169" w:rsidRDefault="00D43169" w:rsidP="00D43169">
            <w:pPr>
              <w:suppressAutoHyphens w:val="0"/>
              <w:spacing w:before="0" w:after="0" w:line="240" w:lineRule="auto"/>
              <w:rPr>
                <w:rFonts w:ascii="Calibri" w:eastAsia="Calibri" w:hAnsi="Calibri" w:cs="Times New Roman"/>
                <w:color w:val="auto"/>
                <w:lang w:val="en-AU"/>
              </w:rPr>
            </w:pPr>
          </w:p>
        </w:tc>
        <w:tc>
          <w:tcPr>
            <w:tcW w:w="5410" w:type="dxa"/>
            <w:gridSpan w:val="5"/>
          </w:tcPr>
          <w:p w14:paraId="3C8C75F5" w14:textId="77777777" w:rsidR="00D43169" w:rsidRPr="00D43169" w:rsidRDefault="00D43169" w:rsidP="00D43169">
            <w:pPr>
              <w:suppressAutoHyphens w:val="0"/>
              <w:spacing w:before="0" w:after="0" w:line="240" w:lineRule="auto"/>
              <w:rPr>
                <w:rFonts w:ascii="Calibri" w:eastAsia="Calibri" w:hAnsi="Calibri" w:cs="Times New Roman"/>
                <w:color w:val="auto"/>
                <w:lang w:val="en-AU"/>
              </w:rPr>
            </w:pPr>
          </w:p>
        </w:tc>
        <w:tc>
          <w:tcPr>
            <w:tcW w:w="1804" w:type="dxa"/>
            <w:gridSpan w:val="2"/>
          </w:tcPr>
          <w:p w14:paraId="73961CC8" w14:textId="77777777" w:rsidR="00D43169" w:rsidRPr="00D43169" w:rsidRDefault="00D43169" w:rsidP="00D43169">
            <w:pPr>
              <w:suppressAutoHyphens w:val="0"/>
              <w:spacing w:before="0" w:after="0" w:line="240" w:lineRule="auto"/>
              <w:rPr>
                <w:rFonts w:ascii="Calibri" w:eastAsia="Calibri" w:hAnsi="Calibri" w:cs="Times New Roman"/>
                <w:color w:val="auto"/>
                <w:lang w:val="en-AU"/>
              </w:rPr>
            </w:pPr>
          </w:p>
        </w:tc>
      </w:tr>
      <w:tr w:rsidR="00D43169" w:rsidRPr="00D43169" w14:paraId="7B07DCE3" w14:textId="77777777" w:rsidTr="00BC7F50">
        <w:tc>
          <w:tcPr>
            <w:tcW w:w="4673" w:type="dxa"/>
            <w:gridSpan w:val="4"/>
          </w:tcPr>
          <w:p w14:paraId="4E256B81" w14:textId="77777777" w:rsidR="00D43169" w:rsidRPr="00D43169" w:rsidRDefault="00D43169" w:rsidP="00D43169">
            <w:pPr>
              <w:suppressAutoHyphens w:val="0"/>
              <w:spacing w:before="0" w:after="0" w:line="240" w:lineRule="auto"/>
              <w:jc w:val="center"/>
              <w:rPr>
                <w:rFonts w:ascii="Calibri" w:eastAsia="Calibri" w:hAnsi="Calibri" w:cs="Times New Roman"/>
                <w:color w:val="auto"/>
                <w:lang w:val="en-AU"/>
              </w:rPr>
            </w:pPr>
            <w:r w:rsidRPr="00D43169">
              <w:rPr>
                <w:rFonts w:ascii="Calibri" w:eastAsia="Calibri" w:hAnsi="Calibri" w:cs="Times New Roman"/>
                <w:color w:val="auto"/>
                <w:lang w:val="en-AU"/>
              </w:rPr>
              <w:t>GoTL central agencies and economic line ministries make evidence-based decisions and inclusive economic policy, and improve implementation of these policies leading to better service delivery</w:t>
            </w:r>
          </w:p>
          <w:p w14:paraId="0C9A126D" w14:textId="77777777" w:rsidR="00D43169" w:rsidRPr="00D43169" w:rsidRDefault="00D43169" w:rsidP="00D43169">
            <w:pPr>
              <w:suppressAutoHyphens w:val="0"/>
              <w:spacing w:before="0" w:after="0" w:line="240" w:lineRule="auto"/>
              <w:jc w:val="center"/>
              <w:rPr>
                <w:rFonts w:ascii="Calibri" w:eastAsia="Calibri" w:hAnsi="Calibri" w:cs="Times New Roman"/>
                <w:color w:val="auto"/>
                <w:lang w:val="en-AU"/>
              </w:rPr>
            </w:pPr>
            <w:r w:rsidRPr="00D43169">
              <w:rPr>
                <w:rFonts w:ascii="Calibri" w:eastAsia="Calibri" w:hAnsi="Calibri" w:cs="Times New Roman"/>
                <w:noProof/>
                <w:color w:val="auto"/>
                <w:lang w:val="en-AU" w:eastAsia="en-AU"/>
              </w:rPr>
              <mc:AlternateContent>
                <mc:Choice Requires="wps">
                  <w:drawing>
                    <wp:anchor distT="0" distB="0" distL="114300" distR="114300" simplePos="0" relativeHeight="251663360" behindDoc="0" locked="0" layoutInCell="1" allowOverlap="1" wp14:anchorId="405605C0" wp14:editId="3F277622">
                      <wp:simplePos x="0" y="0"/>
                      <wp:positionH relativeFrom="column">
                        <wp:posOffset>1036320</wp:posOffset>
                      </wp:positionH>
                      <wp:positionV relativeFrom="paragraph">
                        <wp:posOffset>103505</wp:posOffset>
                      </wp:positionV>
                      <wp:extent cx="9525" cy="1504950"/>
                      <wp:effectExtent l="0" t="0" r="28575" b="19050"/>
                      <wp:wrapNone/>
                      <wp:docPr id="12" name="Straight Connector 12"/>
                      <wp:cNvGraphicFramePr/>
                      <a:graphic xmlns:a="http://schemas.openxmlformats.org/drawingml/2006/main">
                        <a:graphicData uri="http://schemas.microsoft.com/office/word/2010/wordprocessingShape">
                          <wps:wsp>
                            <wps:cNvCnPr/>
                            <wps:spPr>
                              <a:xfrm flipH="1">
                                <a:off x="0" y="0"/>
                                <a:ext cx="9525" cy="150495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2DFD1030" id="Straight Connector 12" o:spid="_x0000_s1026" style="position:absolute;flip:x;z-index:251663360;visibility:visible;mso-wrap-style:square;mso-wrap-distance-left:9pt;mso-wrap-distance-top:0;mso-wrap-distance-right:9pt;mso-wrap-distance-bottom:0;mso-position-horizontal:absolute;mso-position-horizontal-relative:text;mso-position-vertical:absolute;mso-position-vertical-relative:text" from="81.6pt,8.15pt" to="82.35pt,12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" strokecolor="windowText" strokeweight=".5pt">
                      <v:stroke joinstyle="miter"/>
                    </v:line>
                  </w:pict>
                </mc:Fallback>
              </mc:AlternateContent>
            </w:r>
          </w:p>
        </w:tc>
        <w:tc>
          <w:tcPr>
            <w:tcW w:w="284" w:type="dxa"/>
            <w:vMerge w:val="restart"/>
          </w:tcPr>
          <w:p w14:paraId="0DC19BEB" w14:textId="77777777" w:rsidR="00D43169" w:rsidRPr="00D43169" w:rsidRDefault="00D43169" w:rsidP="00D43169">
            <w:pPr>
              <w:suppressAutoHyphens w:val="0"/>
              <w:spacing w:before="0" w:after="0" w:line="240" w:lineRule="auto"/>
              <w:rPr>
                <w:rFonts w:ascii="Calibri" w:eastAsia="Calibri" w:hAnsi="Calibri" w:cs="Times New Roman"/>
                <w:color w:val="auto"/>
                <w:lang w:val="en-AU"/>
              </w:rPr>
            </w:pPr>
          </w:p>
        </w:tc>
        <w:tc>
          <w:tcPr>
            <w:tcW w:w="4059" w:type="dxa"/>
            <w:gridSpan w:val="4"/>
          </w:tcPr>
          <w:p w14:paraId="57874250" w14:textId="77777777" w:rsidR="00D43169" w:rsidRPr="00D43169" w:rsidRDefault="00D43169" w:rsidP="00D43169">
            <w:pPr>
              <w:suppressAutoHyphens w:val="0"/>
              <w:spacing w:before="0" w:after="0" w:line="240" w:lineRule="auto"/>
              <w:jc w:val="center"/>
              <w:rPr>
                <w:rFonts w:ascii="Calibri" w:eastAsia="Calibri" w:hAnsi="Calibri" w:cs="Times New Roman"/>
                <w:color w:val="auto"/>
                <w:lang w:val="en-AU"/>
              </w:rPr>
            </w:pPr>
            <w:r w:rsidRPr="00D43169">
              <w:rPr>
                <w:rFonts w:ascii="Calibri" w:eastAsia="Calibri" w:hAnsi="Calibri" w:cs="Times New Roman"/>
                <w:noProof/>
                <w:color w:val="auto"/>
                <w:lang w:val="en-AU" w:eastAsia="en-AU"/>
              </w:rPr>
              <mc:AlternateContent>
                <mc:Choice Requires="wps">
                  <w:drawing>
                    <wp:anchor distT="0" distB="0" distL="114300" distR="114300" simplePos="0" relativeHeight="251667456" behindDoc="0" locked="0" layoutInCell="1" allowOverlap="1" wp14:anchorId="67EBD8F5" wp14:editId="5DEF0A57">
                      <wp:simplePos x="0" y="0"/>
                      <wp:positionH relativeFrom="column">
                        <wp:posOffset>1908175</wp:posOffset>
                      </wp:positionH>
                      <wp:positionV relativeFrom="paragraph">
                        <wp:posOffset>699135</wp:posOffset>
                      </wp:positionV>
                      <wp:extent cx="0" cy="523875"/>
                      <wp:effectExtent l="0" t="0" r="19050" b="9525"/>
                      <wp:wrapNone/>
                      <wp:docPr id="18" name="Straight Connector 18"/>
                      <wp:cNvGraphicFramePr/>
                      <a:graphic xmlns:a="http://schemas.openxmlformats.org/drawingml/2006/main">
                        <a:graphicData uri="http://schemas.microsoft.com/office/word/2010/wordprocessingShape">
                          <wps:wsp>
                            <wps:cNvCnPr/>
                            <wps:spPr>
                              <a:xfrm flipV="1">
                                <a:off x="0" y="0"/>
                                <a:ext cx="0" cy="523875"/>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5252615D" id="Straight Connector 18" o:spid="_x0000_s1026" style="position:absolute;flip:y;z-index:251667456;visibility:visible;mso-wrap-style:square;mso-wrap-distance-left:9pt;mso-wrap-distance-top:0;mso-wrap-distance-right:9pt;mso-wrap-distance-bottom:0;mso-position-horizontal:absolute;mso-position-horizontal-relative:text;mso-position-vertical:absolute;mso-position-vertical-relative:text" from="150.25pt,55.05pt" to="150.25pt,9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" strokecolor="windowText" strokeweight=".5pt">
                      <v:stroke joinstyle="miter"/>
                    </v:line>
                  </w:pict>
                </mc:Fallback>
              </mc:AlternateContent>
            </w:r>
            <w:r w:rsidRPr="00D43169">
              <w:rPr>
                <w:rFonts w:ascii="Calibri" w:eastAsia="Calibri" w:hAnsi="Calibri" w:cs="Times New Roman"/>
                <w:noProof/>
                <w:color w:val="auto"/>
                <w:lang w:val="en-AU" w:eastAsia="en-AU"/>
              </w:rPr>
              <mc:AlternateContent>
                <mc:Choice Requires="wps">
                  <w:drawing>
                    <wp:anchor distT="0" distB="0" distL="114300" distR="114300" simplePos="0" relativeHeight="251666432" behindDoc="0" locked="0" layoutInCell="1" allowOverlap="1" wp14:anchorId="366C958E" wp14:editId="7EB23C47">
                      <wp:simplePos x="0" y="0"/>
                      <wp:positionH relativeFrom="column">
                        <wp:posOffset>660400</wp:posOffset>
                      </wp:positionH>
                      <wp:positionV relativeFrom="paragraph">
                        <wp:posOffset>680085</wp:posOffset>
                      </wp:positionV>
                      <wp:extent cx="0" cy="533400"/>
                      <wp:effectExtent l="0" t="0" r="19050" b="19050"/>
                      <wp:wrapNone/>
                      <wp:docPr id="17" name="Straight Connector 17"/>
                      <wp:cNvGraphicFramePr/>
                      <a:graphic xmlns:a="http://schemas.openxmlformats.org/drawingml/2006/main">
                        <a:graphicData uri="http://schemas.microsoft.com/office/word/2010/wordprocessingShape">
                          <wps:wsp>
                            <wps:cNvCnPr/>
                            <wps:spPr>
                              <a:xfrm flipV="1">
                                <a:off x="0" y="0"/>
                                <a:ext cx="0" cy="53340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703E0189" id="Straight Connector 17" o:spid="_x0000_s1026" style="position:absolute;flip:y;z-index:251666432;visibility:visible;mso-wrap-style:square;mso-wrap-distance-left:9pt;mso-wrap-distance-top:0;mso-wrap-distance-right:9pt;mso-wrap-distance-bottom:0;mso-position-horizontal:absolute;mso-position-horizontal-relative:text;mso-position-vertical:absolute;mso-position-vertical-relative:text" from="52pt,53.55pt" to="52pt,9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" strokecolor="windowText" strokeweight=".5pt">
                      <v:stroke joinstyle="miter"/>
                    </v:line>
                  </w:pict>
                </mc:Fallback>
              </mc:AlternateContent>
            </w:r>
            <w:r w:rsidRPr="00D43169">
              <w:rPr>
                <w:rFonts w:ascii="Calibri" w:eastAsia="Calibri" w:hAnsi="Calibri" w:cs="Times New Roman"/>
                <w:color w:val="auto"/>
                <w:lang w:val="en-AU"/>
              </w:rPr>
              <w:t>The private sector and civil society in Timor-Leste contribute to inclusive economic policy and development leading to better service delivery</w:t>
            </w:r>
          </w:p>
        </w:tc>
      </w:tr>
      <w:tr w:rsidR="00D43169" w:rsidRPr="00D43169" w14:paraId="44B846D9" w14:textId="77777777" w:rsidTr="00BC7F50">
        <w:tc>
          <w:tcPr>
            <w:tcW w:w="901" w:type="dxa"/>
          </w:tcPr>
          <w:p w14:paraId="77B1EAE5" w14:textId="77777777" w:rsidR="00D43169" w:rsidRPr="00D43169" w:rsidRDefault="00D43169" w:rsidP="00D43169">
            <w:pPr>
              <w:suppressAutoHyphens w:val="0"/>
              <w:spacing w:before="0" w:after="0" w:line="240" w:lineRule="auto"/>
              <w:rPr>
                <w:rFonts w:ascii="Calibri" w:eastAsia="Calibri" w:hAnsi="Calibri" w:cs="Times New Roman"/>
                <w:color w:val="auto"/>
                <w:lang w:val="en-AU"/>
              </w:rPr>
            </w:pPr>
          </w:p>
        </w:tc>
        <w:tc>
          <w:tcPr>
            <w:tcW w:w="901" w:type="dxa"/>
          </w:tcPr>
          <w:p w14:paraId="7F8D4BE6" w14:textId="77777777" w:rsidR="00D43169" w:rsidRPr="00D43169" w:rsidRDefault="00D43169" w:rsidP="00D43169">
            <w:pPr>
              <w:suppressAutoHyphens w:val="0"/>
              <w:spacing w:before="0" w:after="0" w:line="240" w:lineRule="auto"/>
              <w:rPr>
                <w:rFonts w:ascii="Calibri" w:eastAsia="Calibri" w:hAnsi="Calibri" w:cs="Times New Roman"/>
                <w:color w:val="auto"/>
                <w:lang w:val="en-AU"/>
              </w:rPr>
            </w:pPr>
          </w:p>
        </w:tc>
        <w:tc>
          <w:tcPr>
            <w:tcW w:w="901" w:type="dxa"/>
          </w:tcPr>
          <w:p w14:paraId="6AA5A85E" w14:textId="77777777" w:rsidR="00D43169" w:rsidRPr="00D43169" w:rsidRDefault="00D43169" w:rsidP="00D43169">
            <w:pPr>
              <w:suppressAutoHyphens w:val="0"/>
              <w:spacing w:before="0" w:after="0" w:line="240" w:lineRule="auto"/>
              <w:rPr>
                <w:rFonts w:ascii="Calibri" w:eastAsia="Calibri" w:hAnsi="Calibri" w:cs="Times New Roman"/>
                <w:color w:val="auto"/>
                <w:lang w:val="en-AU"/>
              </w:rPr>
            </w:pPr>
          </w:p>
        </w:tc>
        <w:tc>
          <w:tcPr>
            <w:tcW w:w="1970" w:type="dxa"/>
          </w:tcPr>
          <w:p w14:paraId="70391B0D" w14:textId="77777777" w:rsidR="00D43169" w:rsidRPr="00D43169" w:rsidRDefault="00D43169" w:rsidP="00D43169">
            <w:pPr>
              <w:suppressAutoHyphens w:val="0"/>
              <w:spacing w:before="0" w:after="0" w:line="240" w:lineRule="auto"/>
              <w:rPr>
                <w:rFonts w:ascii="Calibri" w:eastAsia="Calibri" w:hAnsi="Calibri" w:cs="Times New Roman"/>
                <w:color w:val="auto"/>
                <w:lang w:val="en-AU"/>
              </w:rPr>
            </w:pPr>
          </w:p>
        </w:tc>
        <w:tc>
          <w:tcPr>
            <w:tcW w:w="284" w:type="dxa"/>
            <w:vMerge/>
          </w:tcPr>
          <w:p w14:paraId="59CFBA0E" w14:textId="77777777" w:rsidR="00D43169" w:rsidRPr="00D43169" w:rsidRDefault="00D43169" w:rsidP="00D43169">
            <w:pPr>
              <w:suppressAutoHyphens w:val="0"/>
              <w:spacing w:before="0" w:after="0" w:line="240" w:lineRule="auto"/>
              <w:rPr>
                <w:rFonts w:ascii="Calibri" w:eastAsia="Calibri" w:hAnsi="Calibri" w:cs="Times New Roman"/>
                <w:color w:val="auto"/>
                <w:lang w:val="en-AU"/>
              </w:rPr>
            </w:pPr>
          </w:p>
        </w:tc>
        <w:tc>
          <w:tcPr>
            <w:tcW w:w="1353" w:type="dxa"/>
          </w:tcPr>
          <w:p w14:paraId="1121A080" w14:textId="77777777" w:rsidR="00D43169" w:rsidRPr="00D43169" w:rsidRDefault="00D43169" w:rsidP="00D43169">
            <w:pPr>
              <w:suppressAutoHyphens w:val="0"/>
              <w:spacing w:before="0" w:after="0" w:line="240" w:lineRule="auto"/>
              <w:rPr>
                <w:rFonts w:ascii="Calibri" w:eastAsia="Calibri" w:hAnsi="Calibri" w:cs="Times New Roman"/>
                <w:color w:val="auto"/>
                <w:lang w:val="en-AU"/>
              </w:rPr>
            </w:pPr>
          </w:p>
        </w:tc>
        <w:tc>
          <w:tcPr>
            <w:tcW w:w="1804" w:type="dxa"/>
            <w:gridSpan w:val="2"/>
          </w:tcPr>
          <w:p w14:paraId="52171A2D" w14:textId="77777777" w:rsidR="00D43169" w:rsidRPr="00D43169" w:rsidRDefault="00D43169" w:rsidP="00D43169">
            <w:pPr>
              <w:suppressAutoHyphens w:val="0"/>
              <w:spacing w:before="0" w:after="0" w:line="240" w:lineRule="auto"/>
              <w:rPr>
                <w:rFonts w:ascii="Calibri" w:eastAsia="Calibri" w:hAnsi="Calibri" w:cs="Times New Roman"/>
                <w:color w:val="auto"/>
                <w:lang w:val="en-AU"/>
              </w:rPr>
            </w:pPr>
          </w:p>
        </w:tc>
        <w:tc>
          <w:tcPr>
            <w:tcW w:w="902" w:type="dxa"/>
          </w:tcPr>
          <w:p w14:paraId="5B541BB8" w14:textId="77777777" w:rsidR="00D43169" w:rsidRPr="00D43169" w:rsidRDefault="00D43169" w:rsidP="00D43169">
            <w:pPr>
              <w:suppressAutoHyphens w:val="0"/>
              <w:spacing w:before="0" w:after="0" w:line="240" w:lineRule="auto"/>
              <w:rPr>
                <w:rFonts w:ascii="Calibri" w:eastAsia="Calibri" w:hAnsi="Calibri" w:cs="Times New Roman"/>
                <w:color w:val="auto"/>
                <w:lang w:val="en-AU"/>
              </w:rPr>
            </w:pPr>
          </w:p>
        </w:tc>
      </w:tr>
      <w:tr w:rsidR="00D43169" w:rsidRPr="00D43169" w14:paraId="202FCD98" w14:textId="77777777" w:rsidTr="00BC7F50">
        <w:trPr>
          <w:trHeight w:val="1353"/>
        </w:trPr>
        <w:tc>
          <w:tcPr>
            <w:tcW w:w="1802" w:type="dxa"/>
            <w:gridSpan w:val="2"/>
          </w:tcPr>
          <w:p w14:paraId="6C82C6F9" w14:textId="77777777" w:rsidR="00D43169" w:rsidRPr="00D43169" w:rsidRDefault="00D43169" w:rsidP="00D43169">
            <w:pPr>
              <w:suppressAutoHyphens w:val="0"/>
              <w:spacing w:before="0" w:after="0" w:line="240" w:lineRule="auto"/>
              <w:jc w:val="center"/>
              <w:rPr>
                <w:rFonts w:ascii="Calibri" w:eastAsia="Calibri" w:hAnsi="Calibri" w:cs="Times New Roman"/>
                <w:color w:val="auto"/>
                <w:lang w:val="en-AU"/>
              </w:rPr>
            </w:pPr>
            <w:r w:rsidRPr="00D43169">
              <w:rPr>
                <w:rFonts w:ascii="Calibri" w:eastAsia="Calibri" w:hAnsi="Calibri" w:cs="Times New Roman"/>
                <w:noProof/>
                <w:color w:val="auto"/>
                <w:lang w:val="en-AU" w:eastAsia="en-AU"/>
              </w:rPr>
              <mc:AlternateContent>
                <mc:Choice Requires="wps">
                  <w:drawing>
                    <wp:anchor distT="0" distB="0" distL="114300" distR="114300" simplePos="0" relativeHeight="251664384" behindDoc="0" locked="0" layoutInCell="1" allowOverlap="1" wp14:anchorId="16BF6BE1" wp14:editId="489A426C">
                      <wp:simplePos x="0" y="0"/>
                      <wp:positionH relativeFrom="column">
                        <wp:posOffset>836295</wp:posOffset>
                      </wp:positionH>
                      <wp:positionV relativeFrom="paragraph">
                        <wp:posOffset>210185</wp:posOffset>
                      </wp:positionV>
                      <wp:extent cx="542925" cy="0"/>
                      <wp:effectExtent l="0" t="0" r="28575" b="19050"/>
                      <wp:wrapNone/>
                      <wp:docPr id="15" name="Straight Connector 15"/>
                      <wp:cNvGraphicFramePr/>
                      <a:graphic xmlns:a="http://schemas.openxmlformats.org/drawingml/2006/main">
                        <a:graphicData uri="http://schemas.microsoft.com/office/word/2010/wordprocessingShape">
                          <wps:wsp>
                            <wps:cNvCnPr/>
                            <wps:spPr>
                              <a:xfrm>
                                <a:off x="0" y="0"/>
                                <a:ext cx="54292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57C9FBCE" id="Straight Connector 15"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65.85pt,16.55pt" to="108.6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" strokecolor="windowText" strokeweight=".5pt">
                      <v:stroke joinstyle="miter"/>
                    </v:line>
                  </w:pict>
                </mc:Fallback>
              </mc:AlternateContent>
            </w:r>
            <w:r w:rsidRPr="00D43169">
              <w:rPr>
                <w:rFonts w:ascii="Calibri" w:eastAsia="Calibri" w:hAnsi="Calibri" w:cs="Times New Roman"/>
                <w:color w:val="auto"/>
                <w:lang w:val="en-AU"/>
              </w:rPr>
              <w:t>Improved public financial management</w:t>
            </w:r>
          </w:p>
        </w:tc>
        <w:tc>
          <w:tcPr>
            <w:tcW w:w="2871" w:type="dxa"/>
            <w:gridSpan w:val="2"/>
          </w:tcPr>
          <w:p w14:paraId="70183DFB" w14:textId="77777777" w:rsidR="00D43169" w:rsidRPr="00D43169" w:rsidRDefault="00D43169" w:rsidP="00D43169">
            <w:pPr>
              <w:suppressAutoHyphens w:val="0"/>
              <w:spacing w:before="0" w:after="0" w:line="240" w:lineRule="auto"/>
              <w:jc w:val="center"/>
              <w:rPr>
                <w:rFonts w:ascii="Calibri" w:eastAsia="Calibri" w:hAnsi="Calibri" w:cs="Times New Roman"/>
                <w:color w:val="auto"/>
                <w:lang w:val="en-AU"/>
              </w:rPr>
            </w:pPr>
            <w:r w:rsidRPr="00D43169">
              <w:rPr>
                <w:rFonts w:ascii="Calibri" w:eastAsia="Calibri" w:hAnsi="Calibri" w:cs="Times New Roman"/>
                <w:color w:val="auto"/>
                <w:lang w:val="en-AU"/>
              </w:rPr>
              <w:t>Inclusive economic policy and development</w:t>
            </w:r>
          </w:p>
        </w:tc>
        <w:tc>
          <w:tcPr>
            <w:tcW w:w="284" w:type="dxa"/>
            <w:vMerge/>
          </w:tcPr>
          <w:p w14:paraId="6D0ECC61" w14:textId="77777777" w:rsidR="00D43169" w:rsidRPr="00D43169" w:rsidRDefault="00D43169" w:rsidP="00D43169">
            <w:pPr>
              <w:suppressAutoHyphens w:val="0"/>
              <w:spacing w:before="0" w:after="0" w:line="240" w:lineRule="auto"/>
              <w:rPr>
                <w:rFonts w:ascii="Calibri" w:eastAsia="Calibri" w:hAnsi="Calibri" w:cs="Times New Roman"/>
                <w:color w:val="auto"/>
                <w:lang w:val="en-AU"/>
              </w:rPr>
            </w:pPr>
          </w:p>
        </w:tc>
        <w:tc>
          <w:tcPr>
            <w:tcW w:w="2255" w:type="dxa"/>
            <w:gridSpan w:val="2"/>
          </w:tcPr>
          <w:p w14:paraId="6BC38B5D" w14:textId="77777777" w:rsidR="00D43169" w:rsidRPr="00D43169" w:rsidRDefault="00D43169" w:rsidP="00D43169">
            <w:pPr>
              <w:suppressAutoHyphens w:val="0"/>
              <w:spacing w:before="0" w:after="0" w:line="240" w:lineRule="auto"/>
              <w:jc w:val="center"/>
              <w:rPr>
                <w:rFonts w:ascii="Calibri" w:eastAsia="Calibri" w:hAnsi="Calibri" w:cs="Times New Roman"/>
                <w:color w:val="auto"/>
                <w:lang w:val="en-AU"/>
              </w:rPr>
            </w:pPr>
            <w:r w:rsidRPr="00D43169">
              <w:rPr>
                <w:rFonts w:ascii="Calibri" w:eastAsia="Calibri" w:hAnsi="Calibri" w:cs="Times New Roman"/>
                <w:color w:val="auto"/>
                <w:lang w:val="en-AU"/>
              </w:rPr>
              <w:t>Inclusive economic policy and development</w:t>
            </w:r>
          </w:p>
        </w:tc>
        <w:tc>
          <w:tcPr>
            <w:tcW w:w="1804" w:type="dxa"/>
            <w:gridSpan w:val="2"/>
          </w:tcPr>
          <w:p w14:paraId="47C65ECE" w14:textId="77777777" w:rsidR="00D43169" w:rsidRPr="00D43169" w:rsidRDefault="00D43169" w:rsidP="00D43169">
            <w:pPr>
              <w:suppressAutoHyphens w:val="0"/>
              <w:spacing w:before="0" w:after="0" w:line="240" w:lineRule="auto"/>
              <w:jc w:val="center"/>
              <w:rPr>
                <w:rFonts w:ascii="Calibri" w:eastAsia="Calibri" w:hAnsi="Calibri" w:cs="Times New Roman"/>
                <w:color w:val="auto"/>
                <w:lang w:val="en-AU"/>
              </w:rPr>
            </w:pPr>
            <w:r w:rsidRPr="00D43169">
              <w:rPr>
                <w:rFonts w:ascii="Calibri" w:eastAsia="Calibri" w:hAnsi="Calibri" w:cs="Times New Roman"/>
                <w:color w:val="auto"/>
                <w:lang w:val="en-AU"/>
              </w:rPr>
              <w:t>Governance support for national economic infrastructure</w:t>
            </w:r>
          </w:p>
        </w:tc>
      </w:tr>
      <w:tr w:rsidR="00D43169" w:rsidRPr="00D43169" w14:paraId="26E0E4CF" w14:textId="77777777" w:rsidTr="00BC7F50">
        <w:tc>
          <w:tcPr>
            <w:tcW w:w="1802" w:type="dxa"/>
            <w:gridSpan w:val="2"/>
          </w:tcPr>
          <w:p w14:paraId="64EF0201" w14:textId="77777777" w:rsidR="00D43169" w:rsidRPr="00D43169" w:rsidRDefault="00D43169" w:rsidP="00D43169">
            <w:pPr>
              <w:suppressAutoHyphens w:val="0"/>
              <w:spacing w:before="0" w:after="0" w:line="240" w:lineRule="auto"/>
              <w:rPr>
                <w:rFonts w:ascii="Calibri" w:eastAsia="Calibri" w:hAnsi="Calibri" w:cs="Times New Roman"/>
                <w:color w:val="auto"/>
                <w:lang w:val="en-AU"/>
              </w:rPr>
            </w:pPr>
          </w:p>
        </w:tc>
        <w:tc>
          <w:tcPr>
            <w:tcW w:w="2871" w:type="dxa"/>
            <w:gridSpan w:val="2"/>
          </w:tcPr>
          <w:p w14:paraId="402CCCA3" w14:textId="77777777" w:rsidR="00D43169" w:rsidRPr="00D43169" w:rsidRDefault="00D43169" w:rsidP="00D43169">
            <w:pPr>
              <w:suppressAutoHyphens w:val="0"/>
              <w:spacing w:before="0" w:after="0" w:line="240" w:lineRule="auto"/>
              <w:rPr>
                <w:rFonts w:ascii="Calibri" w:eastAsia="Calibri" w:hAnsi="Calibri" w:cs="Times New Roman"/>
                <w:color w:val="auto"/>
                <w:lang w:val="en-AU"/>
              </w:rPr>
            </w:pPr>
          </w:p>
        </w:tc>
        <w:tc>
          <w:tcPr>
            <w:tcW w:w="4343" w:type="dxa"/>
            <w:gridSpan w:val="5"/>
            <w:vMerge w:val="restart"/>
          </w:tcPr>
          <w:p w14:paraId="11B34EC0" w14:textId="77777777" w:rsidR="00D43169" w:rsidRPr="00D43169" w:rsidRDefault="00D43169" w:rsidP="00D43169">
            <w:pPr>
              <w:suppressAutoHyphens w:val="0"/>
              <w:spacing w:before="0" w:after="0" w:line="240" w:lineRule="auto"/>
              <w:rPr>
                <w:rFonts w:ascii="Calibri" w:eastAsia="Calibri" w:hAnsi="Calibri" w:cs="Times New Roman"/>
                <w:color w:val="auto"/>
                <w:lang w:val="en-AU"/>
              </w:rPr>
            </w:pPr>
          </w:p>
        </w:tc>
      </w:tr>
      <w:tr w:rsidR="00D43169" w:rsidRPr="00D43169" w14:paraId="3A701D52" w14:textId="77777777" w:rsidTr="00BC7F50">
        <w:tc>
          <w:tcPr>
            <w:tcW w:w="1802" w:type="dxa"/>
            <w:gridSpan w:val="2"/>
          </w:tcPr>
          <w:p w14:paraId="1CB69080" w14:textId="77777777" w:rsidR="00D43169" w:rsidRPr="00D43169" w:rsidRDefault="00D43169" w:rsidP="00D43169">
            <w:pPr>
              <w:suppressAutoHyphens w:val="0"/>
              <w:spacing w:before="0" w:after="0" w:line="240" w:lineRule="auto"/>
              <w:jc w:val="center"/>
              <w:rPr>
                <w:rFonts w:ascii="Calibri" w:eastAsia="Calibri" w:hAnsi="Calibri" w:cs="Times New Roman"/>
                <w:color w:val="auto"/>
                <w:lang w:val="en-AU"/>
              </w:rPr>
            </w:pPr>
            <w:r w:rsidRPr="00D43169">
              <w:rPr>
                <w:rFonts w:ascii="Calibri" w:eastAsia="Calibri" w:hAnsi="Calibri" w:cs="Times New Roman"/>
                <w:noProof/>
                <w:color w:val="auto"/>
                <w:lang w:val="en-AU" w:eastAsia="en-AU"/>
              </w:rPr>
              <mc:AlternateContent>
                <mc:Choice Requires="wps">
                  <w:drawing>
                    <wp:anchor distT="0" distB="0" distL="114300" distR="114300" simplePos="0" relativeHeight="251665408" behindDoc="0" locked="0" layoutInCell="1" allowOverlap="1" wp14:anchorId="60F2FF1A" wp14:editId="6531686D">
                      <wp:simplePos x="0" y="0"/>
                      <wp:positionH relativeFrom="column">
                        <wp:posOffset>922020</wp:posOffset>
                      </wp:positionH>
                      <wp:positionV relativeFrom="paragraph">
                        <wp:posOffset>237490</wp:posOffset>
                      </wp:positionV>
                      <wp:extent cx="457200" cy="0"/>
                      <wp:effectExtent l="0" t="0" r="19050" b="19050"/>
                      <wp:wrapNone/>
                      <wp:docPr id="16" name="Straight Connector 16"/>
                      <wp:cNvGraphicFramePr/>
                      <a:graphic xmlns:a="http://schemas.openxmlformats.org/drawingml/2006/main">
                        <a:graphicData uri="http://schemas.microsoft.com/office/word/2010/wordprocessingShape">
                          <wps:wsp>
                            <wps:cNvCnPr/>
                            <wps:spPr>
                              <a:xfrm>
                                <a:off x="0" y="0"/>
                                <a:ext cx="45720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02EBE460" id="Straight Connector 16"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72.6pt,18.7pt" to="108.6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" strokecolor="windowText" strokeweight=".5pt">
                      <v:stroke joinstyle="miter"/>
                    </v:line>
                  </w:pict>
                </mc:Fallback>
              </mc:AlternateContent>
            </w:r>
            <w:r w:rsidRPr="00D43169">
              <w:rPr>
                <w:rFonts w:ascii="Calibri" w:eastAsia="Calibri" w:hAnsi="Calibri" w:cs="Times New Roman"/>
                <w:color w:val="auto"/>
                <w:lang w:val="en-AU"/>
              </w:rPr>
              <w:t>Governance support for national economic infrastructure</w:t>
            </w:r>
          </w:p>
        </w:tc>
        <w:tc>
          <w:tcPr>
            <w:tcW w:w="2871" w:type="dxa"/>
            <w:gridSpan w:val="2"/>
          </w:tcPr>
          <w:p w14:paraId="22D233ED" w14:textId="77777777" w:rsidR="00D43169" w:rsidRPr="00D43169" w:rsidRDefault="00D43169" w:rsidP="00D43169">
            <w:pPr>
              <w:suppressAutoHyphens w:val="0"/>
              <w:spacing w:before="0" w:after="0" w:line="240" w:lineRule="auto"/>
              <w:jc w:val="center"/>
              <w:rPr>
                <w:rFonts w:ascii="Calibri" w:eastAsia="Calibri" w:hAnsi="Calibri" w:cs="Times New Roman"/>
                <w:color w:val="auto"/>
                <w:lang w:val="en-AU"/>
              </w:rPr>
            </w:pPr>
            <w:r w:rsidRPr="00D43169">
              <w:rPr>
                <w:rFonts w:ascii="Calibri" w:eastAsia="Calibri" w:hAnsi="Calibri" w:cs="Times New Roman"/>
                <w:color w:val="auto"/>
                <w:lang w:val="en-AU"/>
              </w:rPr>
              <w:t>Public administration reform and strengthening</w:t>
            </w:r>
          </w:p>
        </w:tc>
        <w:tc>
          <w:tcPr>
            <w:tcW w:w="4343" w:type="dxa"/>
            <w:gridSpan w:val="5"/>
            <w:vMerge/>
          </w:tcPr>
          <w:p w14:paraId="751ED220" w14:textId="77777777" w:rsidR="00D43169" w:rsidRPr="00D43169" w:rsidRDefault="00D43169" w:rsidP="00D43169">
            <w:pPr>
              <w:suppressAutoHyphens w:val="0"/>
              <w:spacing w:before="0" w:after="0" w:line="240" w:lineRule="auto"/>
              <w:rPr>
                <w:rFonts w:ascii="Calibri" w:eastAsia="Calibri" w:hAnsi="Calibri" w:cs="Times New Roman"/>
                <w:color w:val="auto"/>
                <w:lang w:val="en-AU"/>
              </w:rPr>
            </w:pPr>
          </w:p>
        </w:tc>
      </w:tr>
    </w:tbl>
    <w:p w14:paraId="7A21AAD4" w14:textId="77777777" w:rsidR="00D43169" w:rsidRPr="00D43169" w:rsidRDefault="00D43169" w:rsidP="00D43169">
      <w:pPr>
        <w:tabs>
          <w:tab w:val="left" w:pos="284"/>
        </w:tabs>
        <w:suppressAutoHyphens w:val="0"/>
        <w:spacing w:before="0" w:line="280" w:lineRule="exact"/>
        <w:jc w:val="center"/>
        <w:rPr>
          <w:rFonts w:eastAsia="Times New Roman" w:cs="Times New Roman"/>
          <w:sz w:val="21"/>
          <w:szCs w:val="21"/>
          <w:lang w:val="en-AU"/>
        </w:rPr>
      </w:pPr>
    </w:p>
    <w:sectPr w:rsidR="00D43169" w:rsidRPr="00D43169" w:rsidSect="00281602">
      <w:headerReference w:type="default" r:id="rId9"/>
      <w:footerReference w:type="default" r:id="rId10"/>
      <w:headerReference w:type="first" r:id="rId11"/>
      <w:footerReference w:type="first" r:id="rId12"/>
      <w:pgSz w:w="11906" w:h="16838" w:code="9"/>
      <w:pgMar w:top="1418" w:right="1134" w:bottom="1418" w:left="1134" w:header="425" w:footer="493" w:gutter="0"/>
      <w:cols w:space="39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4A7337" w14:textId="77777777" w:rsidR="009D06F8" w:rsidRDefault="009D06F8" w:rsidP="00D37B04">
      <w:r>
        <w:separator/>
      </w:r>
    </w:p>
  </w:endnote>
  <w:endnote w:type="continuationSeparator" w:id="0">
    <w:p w14:paraId="3D00507A" w14:textId="77777777" w:rsidR="009D06F8" w:rsidRDefault="009D06F8" w:rsidP="00D37B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useoSans-500">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11112537"/>
      <w:docPartObj>
        <w:docPartGallery w:val="Page Numbers (Bottom of Page)"/>
        <w:docPartUnique/>
      </w:docPartObj>
    </w:sdtPr>
    <w:sdtEndPr>
      <w:rPr>
        <w:noProof/>
      </w:rPr>
    </w:sdtEndPr>
    <w:sdtContent>
      <w:p w14:paraId="4AFA013C" w14:textId="77777777" w:rsidR="00453888" w:rsidRDefault="00453888">
        <w:pPr>
          <w:pStyle w:val="Footer"/>
          <w:jc w:val="right"/>
        </w:pPr>
        <w:r>
          <w:fldChar w:fldCharType="begin"/>
        </w:r>
        <w:r>
          <w:instrText xml:space="preserve"> PAGE   \* MERGEFORMAT </w:instrText>
        </w:r>
        <w:r>
          <w:fldChar w:fldCharType="separate"/>
        </w:r>
        <w:r w:rsidR="0064479B">
          <w:rPr>
            <w:noProof/>
          </w:rPr>
          <w:t>11</w:t>
        </w:r>
        <w:r>
          <w:rPr>
            <w:noProof/>
          </w:rPr>
          <w:fldChar w:fldCharType="end"/>
        </w:r>
      </w:p>
    </w:sdtContent>
  </w:sdt>
  <w:p w14:paraId="740E3BE7" w14:textId="77777777" w:rsidR="00FC322F" w:rsidRPr="00FC322F" w:rsidRDefault="00FC322F" w:rsidP="00FC322F">
    <w:pPr>
      <w:pStyle w:val="Footer"/>
      <w:rPr>
        <w: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55327263"/>
      <w:docPartObj>
        <w:docPartGallery w:val="Page Numbers (Bottom of Page)"/>
        <w:docPartUnique/>
      </w:docPartObj>
    </w:sdtPr>
    <w:sdtEndPr>
      <w:rPr>
        <w:noProof/>
      </w:rPr>
    </w:sdtEndPr>
    <w:sdtContent>
      <w:p w14:paraId="3632E175" w14:textId="77777777" w:rsidR="00453888" w:rsidRDefault="00453888">
        <w:pPr>
          <w:pStyle w:val="Footer"/>
          <w:jc w:val="right"/>
        </w:pPr>
        <w:r>
          <w:fldChar w:fldCharType="begin"/>
        </w:r>
        <w:r>
          <w:instrText xml:space="preserve"> PAGE   \* MERGEFORMAT </w:instrText>
        </w:r>
        <w:r>
          <w:fldChar w:fldCharType="separate"/>
        </w:r>
        <w:r w:rsidR="00E077FD">
          <w:rPr>
            <w:noProof/>
          </w:rPr>
          <w:t>1</w:t>
        </w:r>
        <w:r>
          <w:rPr>
            <w:noProof/>
          </w:rPr>
          <w:fldChar w:fldCharType="end"/>
        </w:r>
      </w:p>
    </w:sdtContent>
  </w:sdt>
  <w:p w14:paraId="59000E1C" w14:textId="77777777" w:rsidR="00FC322F" w:rsidRPr="00FC322F" w:rsidRDefault="00FC322F" w:rsidP="00FC322F">
    <w:pPr>
      <w:pStyle w:val="Footer"/>
      <w:rPr>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72540A" w14:textId="77777777" w:rsidR="009D06F8" w:rsidRPr="008C5A0E" w:rsidRDefault="009D06F8" w:rsidP="00D37B04">
      <w:pPr>
        <w:pStyle w:val="Footer"/>
      </w:pPr>
    </w:p>
  </w:footnote>
  <w:footnote w:type="continuationSeparator" w:id="0">
    <w:p w14:paraId="765A5873" w14:textId="77777777" w:rsidR="009D06F8" w:rsidRDefault="009D06F8" w:rsidP="00D37B04">
      <w:r>
        <w:continuationSeparator/>
      </w:r>
    </w:p>
  </w:footnote>
  <w:footnote w:id="1">
    <w:p w14:paraId="6C2CED74" w14:textId="77777777" w:rsidR="00860211" w:rsidRPr="00181354" w:rsidRDefault="00860211">
      <w:pPr>
        <w:pStyle w:val="FootnoteText"/>
        <w:rPr>
          <w:sz w:val="20"/>
          <w:lang w:val="en-AU"/>
        </w:rPr>
      </w:pPr>
      <w:r w:rsidRPr="00181354">
        <w:rPr>
          <w:rStyle w:val="FootnoteReference"/>
          <w:sz w:val="20"/>
        </w:rPr>
        <w:footnoteRef/>
      </w:r>
      <w:r w:rsidRPr="00181354">
        <w:rPr>
          <w:sz w:val="20"/>
        </w:rPr>
        <w:t xml:space="preserve"> </w:t>
      </w:r>
      <w:proofErr w:type="gramStart"/>
      <w:r w:rsidRPr="00181354">
        <w:rPr>
          <w:sz w:val="20"/>
          <w:lang w:val="en-AU"/>
        </w:rPr>
        <w:t>2019 World Bank data,</w:t>
      </w:r>
      <w:proofErr w:type="gramEnd"/>
      <w:r w:rsidRPr="00181354">
        <w:rPr>
          <w:sz w:val="20"/>
          <w:lang w:val="en-AU"/>
        </w:rPr>
        <w:t xml:space="preserve"> sourced from www.data.worldbank.org/country/timor-leste.</w:t>
      </w:r>
    </w:p>
  </w:footnote>
  <w:footnote w:id="2">
    <w:p w14:paraId="129E6385" w14:textId="77777777" w:rsidR="0003651E" w:rsidRPr="000C0BE7" w:rsidRDefault="0003651E" w:rsidP="0003651E">
      <w:pPr>
        <w:pStyle w:val="FootnoteText"/>
        <w:rPr>
          <w:sz w:val="20"/>
          <w:lang w:val="en-AU"/>
        </w:rPr>
      </w:pPr>
      <w:r w:rsidRPr="000C0BE7">
        <w:rPr>
          <w:rStyle w:val="FootnoteReference"/>
          <w:sz w:val="20"/>
        </w:rPr>
        <w:footnoteRef/>
      </w:r>
      <w:r w:rsidRPr="000C0BE7">
        <w:rPr>
          <w:sz w:val="20"/>
        </w:rPr>
        <w:t xml:space="preserve"> </w:t>
      </w:r>
      <w:r>
        <w:rPr>
          <w:sz w:val="20"/>
        </w:rPr>
        <w:t>This figure is subject to confirmation in late-2020.</w:t>
      </w:r>
    </w:p>
  </w:footnote>
  <w:footnote w:id="3">
    <w:p w14:paraId="615C99D7" w14:textId="77777777" w:rsidR="00C52A3D" w:rsidRPr="00C52A3D" w:rsidRDefault="00C52A3D">
      <w:pPr>
        <w:pStyle w:val="FootnoteText"/>
        <w:rPr>
          <w:sz w:val="20"/>
        </w:rPr>
      </w:pPr>
      <w:r w:rsidRPr="00EC7A38">
        <w:rPr>
          <w:rStyle w:val="FootnoteReference"/>
          <w:sz w:val="20"/>
        </w:rPr>
        <w:footnoteRef/>
      </w:r>
      <w:r w:rsidRPr="00EC7A38">
        <w:rPr>
          <w:sz w:val="20"/>
        </w:rPr>
        <w:t xml:space="preserve"> </w:t>
      </w:r>
      <w:r w:rsidR="00EC7A38">
        <w:rPr>
          <w:sz w:val="20"/>
        </w:rPr>
        <w:t xml:space="preserve">Available from </w:t>
      </w:r>
      <w:r w:rsidR="00EC7A38" w:rsidRPr="00EC7A38">
        <w:rPr>
          <w:sz w:val="20"/>
        </w:rPr>
        <w:t>https://www.dfat.gov.au/publications/development/timor-leste-covid-19-development-response-plan</w:t>
      </w:r>
      <w:r w:rsidR="00EC7A38">
        <w:rPr>
          <w:sz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500FDF" w14:textId="77777777" w:rsidR="002D5B25" w:rsidRPr="000854FD" w:rsidRDefault="002D5B25" w:rsidP="002D5B25">
    <w:pPr>
      <w:pStyle w:val="Header"/>
    </w:pPr>
    <w:r w:rsidRPr="00943730">
      <w:rPr>
        <w:noProof/>
        <w:lang w:val="en-AU" w:eastAsia="en-AU"/>
      </w:rPr>
      <w:drawing>
        <wp:anchor distT="0" distB="0" distL="114300" distR="114300" simplePos="0" relativeHeight="251662336" behindDoc="1" locked="1" layoutInCell="1" allowOverlap="1" wp14:anchorId="2AA289C2" wp14:editId="388BAE8B">
          <wp:simplePos x="0" y="0"/>
          <wp:positionH relativeFrom="page">
            <wp:posOffset>12700</wp:posOffset>
          </wp:positionH>
          <wp:positionV relativeFrom="page">
            <wp:posOffset>0</wp:posOffset>
          </wp:positionV>
          <wp:extent cx="7559040" cy="10692765"/>
          <wp:effectExtent l="0" t="0" r="3810" b="0"/>
          <wp:wrapNone/>
          <wp:docPr id="5" name="Picture 5"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1">
                    <a:extLst>
                      <a:ext uri="{28A0092B-C50C-407E-A947-70E740481C1C}">
                        <a14:useLocalDpi xmlns:a14="http://schemas.microsoft.com/office/drawing/2010/main" val="0"/>
                      </a:ext>
                    </a:extLst>
                  </a:blip>
                  <a:stretch>
                    <a:fillRect/>
                  </a:stretch>
                </pic:blipFill>
                <pic:spPr>
                  <a:xfrm>
                    <a:off x="0" y="0"/>
                    <a:ext cx="7559040" cy="1069276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235753" w14:textId="7FD95027" w:rsidR="00D37B04" w:rsidRPr="00943730" w:rsidRDefault="002D5B25" w:rsidP="00943730">
    <w:pPr>
      <w:pStyle w:val="Header"/>
    </w:pPr>
    <w:r w:rsidRPr="00943730">
      <w:fldChar w:fldCharType="begin"/>
    </w:r>
    <w:r w:rsidRPr="00943730">
      <w:instrText xml:space="preserve"> DATE  \@ "MMMM yyyy"  \* MERGEFORMAT </w:instrText>
    </w:r>
    <w:r w:rsidRPr="00943730">
      <w:fldChar w:fldCharType="separate"/>
    </w:r>
    <w:r w:rsidR="00796FCF">
      <w:rPr>
        <w:noProof/>
      </w:rPr>
      <w:t>January 2021</w:t>
    </w:r>
    <w:r w:rsidRPr="00943730">
      <w:fldChar w:fldCharType="end"/>
    </w:r>
    <w:r w:rsidRPr="00943730">
      <w:rPr>
        <w:noProof/>
        <w:lang w:val="en-AU" w:eastAsia="en-AU"/>
      </w:rPr>
      <w:drawing>
        <wp:anchor distT="0" distB="0" distL="114300" distR="114300" simplePos="0" relativeHeight="251659264" behindDoc="1" locked="1" layoutInCell="1" allowOverlap="1" wp14:anchorId="61B3E6E2" wp14:editId="4DAD4484">
          <wp:simplePos x="0" y="0"/>
          <wp:positionH relativeFrom="page">
            <wp:posOffset>720090</wp:posOffset>
          </wp:positionH>
          <wp:positionV relativeFrom="page">
            <wp:posOffset>882015</wp:posOffset>
          </wp:positionV>
          <wp:extent cx="3166920" cy="554400"/>
          <wp:effectExtent l="0" t="0" r="0" b="0"/>
          <wp:wrapNone/>
          <wp:docPr id="7" name="Picture 7" descr="Department of Foreign Affairs and Trade" title="Department of Foreign Affairs and Tra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FAT-corporate-grey.png"/>
                  <pic:cNvPicPr/>
                </pic:nvPicPr>
                <pic:blipFill>
                  <a:blip r:embed="rId1">
                    <a:extLst>
                      <a:ext uri="{28A0092B-C50C-407E-A947-70E740481C1C}">
                        <a14:useLocalDpi xmlns:a14="http://schemas.microsoft.com/office/drawing/2010/main" val="0"/>
                      </a:ext>
                    </a:extLst>
                  </a:blip>
                  <a:stretch>
                    <a:fillRect/>
                  </a:stretch>
                </pic:blipFill>
                <pic:spPr>
                  <a:xfrm>
                    <a:off x="0" y="0"/>
                    <a:ext cx="3166920" cy="554400"/>
                  </a:xfrm>
                  <a:prstGeom prst="rect">
                    <a:avLst/>
                  </a:prstGeom>
                </pic:spPr>
              </pic:pic>
            </a:graphicData>
          </a:graphic>
          <wp14:sizeRelH relativeFrom="margin">
            <wp14:pctWidth>0</wp14:pctWidth>
          </wp14:sizeRelH>
          <wp14:sizeRelV relativeFrom="margin">
            <wp14:pctHeight>0</wp14:pctHeight>
          </wp14:sizeRelV>
        </wp:anchor>
      </w:drawing>
    </w:r>
    <w:r w:rsidRPr="00943730">
      <w:rPr>
        <w:noProof/>
        <w:lang w:val="en-AU" w:eastAsia="en-AU"/>
      </w:rPr>
      <w:drawing>
        <wp:anchor distT="0" distB="0" distL="114300" distR="114300" simplePos="0" relativeHeight="251657216" behindDoc="1" locked="1" layoutInCell="1" allowOverlap="1" wp14:anchorId="0B2A62AF" wp14:editId="7418882C">
          <wp:simplePos x="0" y="0"/>
          <wp:positionH relativeFrom="page">
            <wp:posOffset>12700</wp:posOffset>
          </wp:positionH>
          <wp:positionV relativeFrom="page">
            <wp:posOffset>0</wp:posOffset>
          </wp:positionV>
          <wp:extent cx="7559040" cy="10692130"/>
          <wp:effectExtent l="0" t="0" r="3810" b="0"/>
          <wp:wrapNone/>
          <wp:docPr id="8" name="Picture 8"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2">
                    <a:extLst>
                      <a:ext uri="{28A0092B-C50C-407E-A947-70E740481C1C}">
                        <a14:useLocalDpi xmlns:a14="http://schemas.microsoft.com/office/drawing/2010/main" val="0"/>
                      </a:ext>
                    </a:extLst>
                  </a:blip>
                  <a:stretch>
                    <a:fillRect/>
                  </a:stretch>
                </pic:blipFill>
                <pic:spPr>
                  <a:xfrm>
                    <a:off x="0" y="0"/>
                    <a:ext cx="7559040" cy="10692130"/>
                  </a:xfrm>
                  <a:prstGeom prst="rect">
                    <a:avLst/>
                  </a:prstGeom>
                </pic:spPr>
              </pic:pic>
            </a:graphicData>
          </a:graphic>
          <wp14:sizeRelH relativeFrom="margin">
            <wp14:pctWidth>0</wp14:pctWidth>
          </wp14:sizeRelH>
          <wp14:sizeRelV relativeFrom="margin">
            <wp14:pctHeight>0</wp14:pctHeight>
          </wp14:sizeRelV>
        </wp:anchor>
      </w:drawing>
    </w:r>
    <w:r w:rsidR="003555AD">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1F67C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A7A24C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7CE239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A4C40E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3A0089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00AF38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967D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B14743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4C077C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6FEEF1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2F6B80"/>
    <w:multiLevelType w:val="multilevel"/>
    <w:tmpl w:val="73283DF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1" w15:restartNumberingAfterBreak="0">
    <w:nsid w:val="0E1B58A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6A321EE"/>
    <w:multiLevelType w:val="hybridMultilevel"/>
    <w:tmpl w:val="B9126F96"/>
    <w:lvl w:ilvl="0" w:tplc="89F041FE">
      <w:start w:val="1"/>
      <w:numFmt w:val="bullet"/>
      <w:pStyle w:val="Box1Bullet"/>
      <w:lvlText w:val=""/>
      <w:lvlJc w:val="left"/>
      <w:pPr>
        <w:ind w:left="872" w:hanging="360"/>
      </w:pPr>
      <w:rPr>
        <w:rFonts w:ascii="Symbol" w:hAnsi="Symbol" w:hint="default"/>
      </w:rPr>
    </w:lvl>
    <w:lvl w:ilvl="1" w:tplc="0C090003" w:tentative="1">
      <w:start w:val="1"/>
      <w:numFmt w:val="bullet"/>
      <w:lvlText w:val="o"/>
      <w:lvlJc w:val="left"/>
      <w:pPr>
        <w:ind w:left="1592" w:hanging="360"/>
      </w:pPr>
      <w:rPr>
        <w:rFonts w:ascii="Courier New" w:hAnsi="Courier New" w:cs="Courier New" w:hint="default"/>
      </w:rPr>
    </w:lvl>
    <w:lvl w:ilvl="2" w:tplc="0C090005" w:tentative="1">
      <w:start w:val="1"/>
      <w:numFmt w:val="bullet"/>
      <w:lvlText w:val=""/>
      <w:lvlJc w:val="left"/>
      <w:pPr>
        <w:ind w:left="2312" w:hanging="360"/>
      </w:pPr>
      <w:rPr>
        <w:rFonts w:ascii="Wingdings" w:hAnsi="Wingdings" w:hint="default"/>
      </w:rPr>
    </w:lvl>
    <w:lvl w:ilvl="3" w:tplc="0C090001" w:tentative="1">
      <w:start w:val="1"/>
      <w:numFmt w:val="bullet"/>
      <w:lvlText w:val=""/>
      <w:lvlJc w:val="left"/>
      <w:pPr>
        <w:ind w:left="3032" w:hanging="360"/>
      </w:pPr>
      <w:rPr>
        <w:rFonts w:ascii="Symbol" w:hAnsi="Symbol" w:hint="default"/>
      </w:rPr>
    </w:lvl>
    <w:lvl w:ilvl="4" w:tplc="0C090003" w:tentative="1">
      <w:start w:val="1"/>
      <w:numFmt w:val="bullet"/>
      <w:lvlText w:val="o"/>
      <w:lvlJc w:val="left"/>
      <w:pPr>
        <w:ind w:left="3752" w:hanging="360"/>
      </w:pPr>
      <w:rPr>
        <w:rFonts w:ascii="Courier New" w:hAnsi="Courier New" w:cs="Courier New" w:hint="default"/>
      </w:rPr>
    </w:lvl>
    <w:lvl w:ilvl="5" w:tplc="0C090005" w:tentative="1">
      <w:start w:val="1"/>
      <w:numFmt w:val="bullet"/>
      <w:lvlText w:val=""/>
      <w:lvlJc w:val="left"/>
      <w:pPr>
        <w:ind w:left="4472" w:hanging="360"/>
      </w:pPr>
      <w:rPr>
        <w:rFonts w:ascii="Wingdings" w:hAnsi="Wingdings" w:hint="default"/>
      </w:rPr>
    </w:lvl>
    <w:lvl w:ilvl="6" w:tplc="0C090001" w:tentative="1">
      <w:start w:val="1"/>
      <w:numFmt w:val="bullet"/>
      <w:lvlText w:val=""/>
      <w:lvlJc w:val="left"/>
      <w:pPr>
        <w:ind w:left="5192" w:hanging="360"/>
      </w:pPr>
      <w:rPr>
        <w:rFonts w:ascii="Symbol" w:hAnsi="Symbol" w:hint="default"/>
      </w:rPr>
    </w:lvl>
    <w:lvl w:ilvl="7" w:tplc="0C090003" w:tentative="1">
      <w:start w:val="1"/>
      <w:numFmt w:val="bullet"/>
      <w:lvlText w:val="o"/>
      <w:lvlJc w:val="left"/>
      <w:pPr>
        <w:ind w:left="5912" w:hanging="360"/>
      </w:pPr>
      <w:rPr>
        <w:rFonts w:ascii="Courier New" w:hAnsi="Courier New" w:cs="Courier New" w:hint="default"/>
      </w:rPr>
    </w:lvl>
    <w:lvl w:ilvl="8" w:tplc="0C090005" w:tentative="1">
      <w:start w:val="1"/>
      <w:numFmt w:val="bullet"/>
      <w:lvlText w:val=""/>
      <w:lvlJc w:val="left"/>
      <w:pPr>
        <w:ind w:left="6632" w:hanging="360"/>
      </w:pPr>
      <w:rPr>
        <w:rFonts w:ascii="Wingdings" w:hAnsi="Wingdings" w:hint="default"/>
      </w:rPr>
    </w:lvl>
  </w:abstractNum>
  <w:abstractNum w:abstractNumId="13" w15:restartNumberingAfterBreak="0">
    <w:nsid w:val="2B5A5F31"/>
    <w:multiLevelType w:val="hybridMultilevel"/>
    <w:tmpl w:val="5552B65E"/>
    <w:lvl w:ilvl="0" w:tplc="0C09000F">
      <w:start w:val="1"/>
      <w:numFmt w:val="decimal"/>
      <w:lvlText w:val="%1."/>
      <w:lvlJc w:val="left"/>
      <w:pPr>
        <w:ind w:left="765" w:hanging="360"/>
      </w:pPr>
    </w:lvl>
    <w:lvl w:ilvl="1" w:tplc="0C090019" w:tentative="1">
      <w:start w:val="1"/>
      <w:numFmt w:val="lowerLetter"/>
      <w:lvlText w:val="%2."/>
      <w:lvlJc w:val="left"/>
      <w:pPr>
        <w:ind w:left="1485" w:hanging="360"/>
      </w:pPr>
    </w:lvl>
    <w:lvl w:ilvl="2" w:tplc="0C09001B" w:tentative="1">
      <w:start w:val="1"/>
      <w:numFmt w:val="lowerRoman"/>
      <w:lvlText w:val="%3."/>
      <w:lvlJc w:val="right"/>
      <w:pPr>
        <w:ind w:left="2205" w:hanging="180"/>
      </w:pPr>
    </w:lvl>
    <w:lvl w:ilvl="3" w:tplc="0C09000F" w:tentative="1">
      <w:start w:val="1"/>
      <w:numFmt w:val="decimal"/>
      <w:lvlText w:val="%4."/>
      <w:lvlJc w:val="left"/>
      <w:pPr>
        <w:ind w:left="2925" w:hanging="360"/>
      </w:pPr>
    </w:lvl>
    <w:lvl w:ilvl="4" w:tplc="0C090019" w:tentative="1">
      <w:start w:val="1"/>
      <w:numFmt w:val="lowerLetter"/>
      <w:lvlText w:val="%5."/>
      <w:lvlJc w:val="left"/>
      <w:pPr>
        <w:ind w:left="3645" w:hanging="360"/>
      </w:pPr>
    </w:lvl>
    <w:lvl w:ilvl="5" w:tplc="0C09001B" w:tentative="1">
      <w:start w:val="1"/>
      <w:numFmt w:val="lowerRoman"/>
      <w:lvlText w:val="%6."/>
      <w:lvlJc w:val="right"/>
      <w:pPr>
        <w:ind w:left="4365" w:hanging="180"/>
      </w:pPr>
    </w:lvl>
    <w:lvl w:ilvl="6" w:tplc="0C09000F" w:tentative="1">
      <w:start w:val="1"/>
      <w:numFmt w:val="decimal"/>
      <w:lvlText w:val="%7."/>
      <w:lvlJc w:val="left"/>
      <w:pPr>
        <w:ind w:left="5085" w:hanging="360"/>
      </w:pPr>
    </w:lvl>
    <w:lvl w:ilvl="7" w:tplc="0C090019" w:tentative="1">
      <w:start w:val="1"/>
      <w:numFmt w:val="lowerLetter"/>
      <w:lvlText w:val="%8."/>
      <w:lvlJc w:val="left"/>
      <w:pPr>
        <w:ind w:left="5805" w:hanging="360"/>
      </w:pPr>
    </w:lvl>
    <w:lvl w:ilvl="8" w:tplc="0C09001B" w:tentative="1">
      <w:start w:val="1"/>
      <w:numFmt w:val="lowerRoman"/>
      <w:lvlText w:val="%9."/>
      <w:lvlJc w:val="right"/>
      <w:pPr>
        <w:ind w:left="6525" w:hanging="180"/>
      </w:pPr>
    </w:lvl>
  </w:abstractNum>
  <w:abstractNum w:abstractNumId="14" w15:restartNumberingAfterBreak="0">
    <w:nsid w:val="2B9B159F"/>
    <w:multiLevelType w:val="multilevel"/>
    <w:tmpl w:val="1F38FDB4"/>
    <w:styleLink w:val="HeadingsList"/>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567"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5" w15:restartNumberingAfterBreak="0">
    <w:nsid w:val="3379781D"/>
    <w:multiLevelType w:val="hybridMultilevel"/>
    <w:tmpl w:val="6FE2B8F4"/>
    <w:lvl w:ilvl="0" w:tplc="8D20A9EE">
      <w:start w:val="1"/>
      <w:numFmt w:val="upperLetter"/>
      <w:lvlText w:val="%1."/>
      <w:lvlJc w:val="left"/>
      <w:pPr>
        <w:ind w:left="720" w:hanging="360"/>
      </w:pPr>
      <w:rPr>
        <w:b/>
        <w:color w:val="495965" w:themeColor="text2"/>
        <w:sz w:val="22"/>
        <w:szCs w:val="22"/>
      </w:rPr>
    </w:lvl>
    <w:lvl w:ilvl="1" w:tplc="17768A98">
      <w:start w:val="1"/>
      <w:numFmt w:val="bullet"/>
      <w:lvlText w:val="›"/>
      <w:lvlJc w:val="left"/>
      <w:pPr>
        <w:ind w:left="1440" w:hanging="360"/>
      </w:pPr>
      <w:rPr>
        <w:rFonts w:ascii="Times New Roman" w:hAnsi="Times New Roman" w:cs="Times New Roman" w:hint="default"/>
        <w:color w:val="495965" w:themeColor="text2"/>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4876964"/>
    <w:multiLevelType w:val="hybridMultilevel"/>
    <w:tmpl w:val="11069A28"/>
    <w:lvl w:ilvl="0" w:tplc="8D20A9EE">
      <w:start w:val="1"/>
      <w:numFmt w:val="upperLetter"/>
      <w:lvlText w:val="%1."/>
      <w:lvlJc w:val="left"/>
      <w:pPr>
        <w:ind w:left="720" w:hanging="360"/>
      </w:pPr>
      <w:rPr>
        <w:b/>
        <w:color w:val="495965" w:themeColor="text2"/>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9226C1F"/>
    <w:multiLevelType w:val="hybridMultilevel"/>
    <w:tmpl w:val="843691DE"/>
    <w:lvl w:ilvl="0" w:tplc="17768A98">
      <w:start w:val="1"/>
      <w:numFmt w:val="bullet"/>
      <w:lvlText w:val="›"/>
      <w:lvlJc w:val="left"/>
      <w:pPr>
        <w:ind w:left="720" w:hanging="360"/>
      </w:pPr>
      <w:rPr>
        <w:rFonts w:ascii="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D96445D"/>
    <w:multiLevelType w:val="hybridMultilevel"/>
    <w:tmpl w:val="8DAC9F1E"/>
    <w:lvl w:ilvl="0" w:tplc="941C5FF4">
      <w:numFmt w:val="bullet"/>
      <w:lvlText w:val="-"/>
      <w:lvlJc w:val="left"/>
      <w:pPr>
        <w:ind w:left="720" w:hanging="360"/>
      </w:pPr>
      <w:rPr>
        <w:rFonts w:ascii="Calibri Light" w:eastAsia="Times New Roman" w:hAnsi="Calibri Light"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2553D9F"/>
    <w:multiLevelType w:val="multilevel"/>
    <w:tmpl w:val="A6FA45D0"/>
    <w:numStyleLink w:val="BulletsList"/>
  </w:abstractNum>
  <w:abstractNum w:abstractNumId="20" w15:restartNumberingAfterBreak="0">
    <w:nsid w:val="5589280F"/>
    <w:multiLevelType w:val="hybridMultilevel"/>
    <w:tmpl w:val="1EEA7930"/>
    <w:lvl w:ilvl="0" w:tplc="70B8CFF2">
      <w:start w:val="1"/>
      <w:numFmt w:val="decimal"/>
      <w:lvlText w:val="%1."/>
      <w:lvlJc w:val="left"/>
      <w:pPr>
        <w:ind w:left="720" w:hanging="360"/>
      </w:pPr>
      <w:rPr>
        <w:rFonts w:hint="default"/>
        <w:u w:val="singl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2" w15:restartNumberingAfterBreak="0">
    <w:nsid w:val="5D3C1EA7"/>
    <w:multiLevelType w:val="multilevel"/>
    <w:tmpl w:val="A6FA45D0"/>
    <w:numStyleLink w:val="BulletsList"/>
  </w:abstractNum>
  <w:abstractNum w:abstractNumId="23"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4" w15:restartNumberingAfterBreak="0">
    <w:nsid w:val="5EF35819"/>
    <w:multiLevelType w:val="hybridMultilevel"/>
    <w:tmpl w:val="5552B65E"/>
    <w:lvl w:ilvl="0" w:tplc="0C09000F">
      <w:start w:val="1"/>
      <w:numFmt w:val="decimal"/>
      <w:lvlText w:val="%1."/>
      <w:lvlJc w:val="left"/>
      <w:pPr>
        <w:ind w:left="765" w:hanging="360"/>
      </w:pPr>
    </w:lvl>
    <w:lvl w:ilvl="1" w:tplc="0C090019" w:tentative="1">
      <w:start w:val="1"/>
      <w:numFmt w:val="lowerLetter"/>
      <w:lvlText w:val="%2."/>
      <w:lvlJc w:val="left"/>
      <w:pPr>
        <w:ind w:left="1485" w:hanging="360"/>
      </w:pPr>
    </w:lvl>
    <w:lvl w:ilvl="2" w:tplc="0C09001B" w:tentative="1">
      <w:start w:val="1"/>
      <w:numFmt w:val="lowerRoman"/>
      <w:lvlText w:val="%3."/>
      <w:lvlJc w:val="right"/>
      <w:pPr>
        <w:ind w:left="2205" w:hanging="180"/>
      </w:pPr>
    </w:lvl>
    <w:lvl w:ilvl="3" w:tplc="0C09000F" w:tentative="1">
      <w:start w:val="1"/>
      <w:numFmt w:val="decimal"/>
      <w:lvlText w:val="%4."/>
      <w:lvlJc w:val="left"/>
      <w:pPr>
        <w:ind w:left="2925" w:hanging="360"/>
      </w:pPr>
    </w:lvl>
    <w:lvl w:ilvl="4" w:tplc="0C090019" w:tentative="1">
      <w:start w:val="1"/>
      <w:numFmt w:val="lowerLetter"/>
      <w:lvlText w:val="%5."/>
      <w:lvlJc w:val="left"/>
      <w:pPr>
        <w:ind w:left="3645" w:hanging="360"/>
      </w:pPr>
    </w:lvl>
    <w:lvl w:ilvl="5" w:tplc="0C09001B" w:tentative="1">
      <w:start w:val="1"/>
      <w:numFmt w:val="lowerRoman"/>
      <w:lvlText w:val="%6."/>
      <w:lvlJc w:val="right"/>
      <w:pPr>
        <w:ind w:left="4365" w:hanging="180"/>
      </w:pPr>
    </w:lvl>
    <w:lvl w:ilvl="6" w:tplc="0C09000F" w:tentative="1">
      <w:start w:val="1"/>
      <w:numFmt w:val="decimal"/>
      <w:lvlText w:val="%7."/>
      <w:lvlJc w:val="left"/>
      <w:pPr>
        <w:ind w:left="5085" w:hanging="360"/>
      </w:pPr>
    </w:lvl>
    <w:lvl w:ilvl="7" w:tplc="0C090019" w:tentative="1">
      <w:start w:val="1"/>
      <w:numFmt w:val="lowerLetter"/>
      <w:lvlText w:val="%8."/>
      <w:lvlJc w:val="left"/>
      <w:pPr>
        <w:ind w:left="5805" w:hanging="360"/>
      </w:pPr>
    </w:lvl>
    <w:lvl w:ilvl="8" w:tplc="0C09001B" w:tentative="1">
      <w:start w:val="1"/>
      <w:numFmt w:val="lowerRoman"/>
      <w:lvlText w:val="%9."/>
      <w:lvlJc w:val="right"/>
      <w:pPr>
        <w:ind w:left="6525" w:hanging="180"/>
      </w:pPr>
    </w:lvl>
  </w:abstractNum>
  <w:abstractNum w:abstractNumId="25" w15:restartNumberingAfterBreak="0">
    <w:nsid w:val="66C903F3"/>
    <w:multiLevelType w:val="hybridMultilevel"/>
    <w:tmpl w:val="64209724"/>
    <w:lvl w:ilvl="0" w:tplc="8D20A9EE">
      <w:start w:val="1"/>
      <w:numFmt w:val="upperLetter"/>
      <w:lvlText w:val="%1."/>
      <w:lvlJc w:val="left"/>
      <w:pPr>
        <w:ind w:left="1211" w:hanging="360"/>
      </w:pPr>
      <w:rPr>
        <w:b/>
        <w:color w:val="495965" w:themeColor="text2"/>
        <w:sz w:val="22"/>
        <w:szCs w:val="22"/>
      </w:rPr>
    </w:lvl>
    <w:lvl w:ilvl="1" w:tplc="0C090019">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26" w15:restartNumberingAfterBreak="0">
    <w:nsid w:val="6700316C"/>
    <w:multiLevelType w:val="hybridMultilevel"/>
    <w:tmpl w:val="7F9AD600"/>
    <w:lvl w:ilvl="0" w:tplc="A1D05B42">
      <w:numFmt w:val="bullet"/>
      <w:lvlText w:val="-"/>
      <w:lvlJc w:val="left"/>
      <w:pPr>
        <w:ind w:left="720" w:hanging="360"/>
      </w:pPr>
      <w:rPr>
        <w:rFonts w:ascii="Calibri Light" w:eastAsiaTheme="minorHAnsi" w:hAnsi="Calibri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C7B67A5"/>
    <w:multiLevelType w:val="hybridMultilevel"/>
    <w:tmpl w:val="FBC8BA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FCA559E"/>
    <w:multiLevelType w:val="hybridMultilevel"/>
    <w:tmpl w:val="AADA1280"/>
    <w:lvl w:ilvl="0" w:tplc="17768A98">
      <w:start w:val="1"/>
      <w:numFmt w:val="bullet"/>
      <w:lvlText w:val="›"/>
      <w:lvlJc w:val="left"/>
      <w:pPr>
        <w:ind w:left="862" w:hanging="360"/>
      </w:pPr>
      <w:rPr>
        <w:rFonts w:ascii="Times New Roman" w:hAnsi="Times New Roman" w:cs="Times New Roman"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29" w15:restartNumberingAfterBreak="0">
    <w:nsid w:val="73107305"/>
    <w:multiLevelType w:val="multilevel"/>
    <w:tmpl w:val="A6FA45D0"/>
    <w:styleLink w:val="BulletsList"/>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8"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0" w15:restartNumberingAfterBreak="0">
    <w:nsid w:val="778F6E04"/>
    <w:multiLevelType w:val="hybridMultilevel"/>
    <w:tmpl w:val="D0B6507A"/>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92E3E94"/>
    <w:multiLevelType w:val="hybridMultilevel"/>
    <w:tmpl w:val="F5FC89DC"/>
    <w:lvl w:ilvl="0" w:tplc="0D469CE2">
      <w:start w:val="1"/>
      <w:numFmt w:val="bullet"/>
      <w:pStyle w:val="Box2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2" w15:restartNumberingAfterBreak="0">
    <w:nsid w:val="7F7A528B"/>
    <w:multiLevelType w:val="hybridMultilevel"/>
    <w:tmpl w:val="A39658C0"/>
    <w:lvl w:ilvl="0" w:tplc="7B640FF6">
      <w:start w:val="1"/>
      <w:numFmt w:val="bullet"/>
      <w:pStyle w:val="ListBullet"/>
      <w:lvlText w:val="›"/>
      <w:lvlJc w:val="left"/>
      <w:pPr>
        <w:ind w:left="0" w:hanging="360"/>
      </w:pPr>
      <w:rPr>
        <w:rFonts w:ascii="Times New Roman" w:hAnsi="Times New Roman" w:cs="Times New Roman" w:hint="default"/>
        <w:color w:val="auto"/>
        <w:position w:val="3"/>
      </w:rPr>
    </w:lvl>
    <w:lvl w:ilvl="1" w:tplc="FFFFFFFF">
      <w:start w:val="1"/>
      <w:numFmt w:val="bullet"/>
      <w:lvlText w:val="o"/>
      <w:lvlJc w:val="left"/>
      <w:pPr>
        <w:tabs>
          <w:tab w:val="num" w:pos="1364"/>
        </w:tabs>
        <w:ind w:left="1364" w:hanging="360"/>
      </w:pPr>
      <w:rPr>
        <w:rFonts w:ascii="Courier New" w:hAnsi="Courier New" w:cs="Courier New" w:hint="default"/>
      </w:rPr>
    </w:lvl>
    <w:lvl w:ilvl="2" w:tplc="FFFFFFFF" w:tentative="1">
      <w:start w:val="1"/>
      <w:numFmt w:val="bullet"/>
      <w:lvlText w:val=""/>
      <w:lvlJc w:val="left"/>
      <w:pPr>
        <w:tabs>
          <w:tab w:val="num" w:pos="2084"/>
        </w:tabs>
        <w:ind w:left="2084" w:hanging="360"/>
      </w:pPr>
      <w:rPr>
        <w:rFonts w:ascii="Wingdings" w:hAnsi="Wingdings" w:hint="default"/>
      </w:rPr>
    </w:lvl>
    <w:lvl w:ilvl="3" w:tplc="FFFFFFFF" w:tentative="1">
      <w:start w:val="1"/>
      <w:numFmt w:val="bullet"/>
      <w:lvlText w:val=""/>
      <w:lvlJc w:val="left"/>
      <w:pPr>
        <w:tabs>
          <w:tab w:val="num" w:pos="2804"/>
        </w:tabs>
        <w:ind w:left="2804" w:hanging="360"/>
      </w:pPr>
      <w:rPr>
        <w:rFonts w:ascii="Symbol" w:hAnsi="Symbol" w:hint="default"/>
      </w:rPr>
    </w:lvl>
    <w:lvl w:ilvl="4" w:tplc="FFFFFFFF" w:tentative="1">
      <w:start w:val="1"/>
      <w:numFmt w:val="bullet"/>
      <w:lvlText w:val="o"/>
      <w:lvlJc w:val="left"/>
      <w:pPr>
        <w:tabs>
          <w:tab w:val="num" w:pos="3524"/>
        </w:tabs>
        <w:ind w:left="3524" w:hanging="360"/>
      </w:pPr>
      <w:rPr>
        <w:rFonts w:ascii="Courier New" w:hAnsi="Courier New" w:cs="Courier New" w:hint="default"/>
      </w:rPr>
    </w:lvl>
    <w:lvl w:ilvl="5" w:tplc="FFFFFFFF" w:tentative="1">
      <w:start w:val="1"/>
      <w:numFmt w:val="bullet"/>
      <w:lvlText w:val=""/>
      <w:lvlJc w:val="left"/>
      <w:pPr>
        <w:tabs>
          <w:tab w:val="num" w:pos="4244"/>
        </w:tabs>
        <w:ind w:left="4244" w:hanging="360"/>
      </w:pPr>
      <w:rPr>
        <w:rFonts w:ascii="Wingdings" w:hAnsi="Wingdings" w:hint="default"/>
      </w:rPr>
    </w:lvl>
    <w:lvl w:ilvl="6" w:tplc="FFFFFFFF" w:tentative="1">
      <w:start w:val="1"/>
      <w:numFmt w:val="bullet"/>
      <w:lvlText w:val=""/>
      <w:lvlJc w:val="left"/>
      <w:pPr>
        <w:tabs>
          <w:tab w:val="num" w:pos="4964"/>
        </w:tabs>
        <w:ind w:left="4964" w:hanging="360"/>
      </w:pPr>
      <w:rPr>
        <w:rFonts w:ascii="Symbol" w:hAnsi="Symbol" w:hint="default"/>
      </w:rPr>
    </w:lvl>
    <w:lvl w:ilvl="7" w:tplc="FFFFFFFF" w:tentative="1">
      <w:start w:val="1"/>
      <w:numFmt w:val="bullet"/>
      <w:lvlText w:val="o"/>
      <w:lvlJc w:val="left"/>
      <w:pPr>
        <w:tabs>
          <w:tab w:val="num" w:pos="5684"/>
        </w:tabs>
        <w:ind w:left="5684" w:hanging="360"/>
      </w:pPr>
      <w:rPr>
        <w:rFonts w:ascii="Courier New" w:hAnsi="Courier New" w:cs="Courier New" w:hint="default"/>
      </w:rPr>
    </w:lvl>
    <w:lvl w:ilvl="8" w:tplc="FFFFFFFF" w:tentative="1">
      <w:start w:val="1"/>
      <w:numFmt w:val="bullet"/>
      <w:lvlText w:val=""/>
      <w:lvlJc w:val="left"/>
      <w:pPr>
        <w:tabs>
          <w:tab w:val="num" w:pos="6404"/>
        </w:tabs>
        <w:ind w:left="6404" w:hanging="360"/>
      </w:pPr>
      <w:rPr>
        <w:rFonts w:ascii="Wingdings" w:hAnsi="Wingdings" w:hint="default"/>
      </w:rPr>
    </w:lvl>
  </w:abstractNum>
  <w:num w:numId="1">
    <w:abstractNumId w:val="29"/>
  </w:num>
  <w:num w:numId="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21"/>
  </w:num>
  <w:num w:numId="10">
    <w:abstractNumId w:val="23"/>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22"/>
  </w:num>
  <w:num w:numId="22">
    <w:abstractNumId w:val="14"/>
  </w:num>
  <w:num w:numId="23">
    <w:abstractNumId w:val="14"/>
  </w:num>
  <w:num w:numId="24">
    <w:abstractNumId w:val="22"/>
  </w:num>
  <w:num w:numId="25">
    <w:abstractNumId w:val="22"/>
  </w:num>
  <w:num w:numId="26">
    <w:abstractNumId w:val="22"/>
  </w:num>
  <w:num w:numId="27">
    <w:abstractNumId w:val="21"/>
  </w:num>
  <w:num w:numId="28">
    <w:abstractNumId w:val="10"/>
  </w:num>
  <w:num w:numId="29">
    <w:abstractNumId w:val="10"/>
  </w:num>
  <w:num w:numId="30">
    <w:abstractNumId w:val="10"/>
  </w:num>
  <w:num w:numId="31">
    <w:abstractNumId w:val="12"/>
  </w:num>
  <w:num w:numId="32">
    <w:abstractNumId w:val="31"/>
  </w:num>
  <w:num w:numId="33">
    <w:abstractNumId w:val="19"/>
  </w:num>
  <w:num w:numId="34">
    <w:abstractNumId w:val="16"/>
  </w:num>
  <w:num w:numId="35">
    <w:abstractNumId w:val="28"/>
  </w:num>
  <w:num w:numId="36">
    <w:abstractNumId w:val="17"/>
  </w:num>
  <w:num w:numId="37">
    <w:abstractNumId w:val="32"/>
  </w:num>
  <w:num w:numId="38">
    <w:abstractNumId w:val="25"/>
  </w:num>
  <w:num w:numId="39">
    <w:abstractNumId w:val="15"/>
  </w:num>
  <w:num w:numId="40">
    <w:abstractNumId w:val="30"/>
  </w:num>
  <w:num w:numId="41">
    <w:abstractNumId w:val="13"/>
  </w:num>
  <w:num w:numId="42">
    <w:abstractNumId w:val="27"/>
  </w:num>
  <w:num w:numId="43">
    <w:abstractNumId w:val="20"/>
  </w:num>
  <w:num w:numId="44">
    <w:abstractNumId w:val="26"/>
  </w:num>
  <w:num w:numId="45">
    <w:abstractNumId w:val="26"/>
  </w:num>
  <w:num w:numId="46">
    <w:abstractNumId w:val="13"/>
  </w:num>
  <w:num w:numId="47">
    <w:abstractNumId w:val="18"/>
  </w:num>
  <w:num w:numId="4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stylePaneSortMethod w:val="0000"/>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0C57"/>
    <w:rsid w:val="00001DA8"/>
    <w:rsid w:val="000020C1"/>
    <w:rsid w:val="0000301C"/>
    <w:rsid w:val="000060F2"/>
    <w:rsid w:val="000168BE"/>
    <w:rsid w:val="0002080A"/>
    <w:rsid w:val="000216B2"/>
    <w:rsid w:val="00024C81"/>
    <w:rsid w:val="0002782F"/>
    <w:rsid w:val="00031D1A"/>
    <w:rsid w:val="00031ECF"/>
    <w:rsid w:val="00035BBF"/>
    <w:rsid w:val="0003651E"/>
    <w:rsid w:val="0004312D"/>
    <w:rsid w:val="000440FA"/>
    <w:rsid w:val="00050806"/>
    <w:rsid w:val="000546D9"/>
    <w:rsid w:val="00054E4D"/>
    <w:rsid w:val="00060073"/>
    <w:rsid w:val="000616C6"/>
    <w:rsid w:val="00064CD3"/>
    <w:rsid w:val="000674F5"/>
    <w:rsid w:val="00070332"/>
    <w:rsid w:val="00074771"/>
    <w:rsid w:val="00083C54"/>
    <w:rsid w:val="00084139"/>
    <w:rsid w:val="000854FD"/>
    <w:rsid w:val="000871AB"/>
    <w:rsid w:val="00091C29"/>
    <w:rsid w:val="00093951"/>
    <w:rsid w:val="000A2AC0"/>
    <w:rsid w:val="000A3D0A"/>
    <w:rsid w:val="000A4440"/>
    <w:rsid w:val="000B1E1D"/>
    <w:rsid w:val="000B37F5"/>
    <w:rsid w:val="000C0BE7"/>
    <w:rsid w:val="000D4823"/>
    <w:rsid w:val="000D66D6"/>
    <w:rsid w:val="000E40D5"/>
    <w:rsid w:val="000E418F"/>
    <w:rsid w:val="000E5A03"/>
    <w:rsid w:val="000E67EB"/>
    <w:rsid w:val="000E7400"/>
    <w:rsid w:val="000F000F"/>
    <w:rsid w:val="000F1256"/>
    <w:rsid w:val="000F195F"/>
    <w:rsid w:val="000F7383"/>
    <w:rsid w:val="001064FA"/>
    <w:rsid w:val="00113288"/>
    <w:rsid w:val="00113398"/>
    <w:rsid w:val="00114E4D"/>
    <w:rsid w:val="001214BE"/>
    <w:rsid w:val="001237DC"/>
    <w:rsid w:val="0012513C"/>
    <w:rsid w:val="0012651C"/>
    <w:rsid w:val="001278EC"/>
    <w:rsid w:val="001301F9"/>
    <w:rsid w:val="0013101C"/>
    <w:rsid w:val="00144674"/>
    <w:rsid w:val="001461D6"/>
    <w:rsid w:val="00151420"/>
    <w:rsid w:val="00151B70"/>
    <w:rsid w:val="001541EA"/>
    <w:rsid w:val="0015663B"/>
    <w:rsid w:val="00162BF7"/>
    <w:rsid w:val="00162DD4"/>
    <w:rsid w:val="001670B6"/>
    <w:rsid w:val="00170A48"/>
    <w:rsid w:val="00172F7C"/>
    <w:rsid w:val="00175087"/>
    <w:rsid w:val="0018050C"/>
    <w:rsid w:val="00181354"/>
    <w:rsid w:val="00183A4A"/>
    <w:rsid w:val="00193353"/>
    <w:rsid w:val="001A2C30"/>
    <w:rsid w:val="001C1556"/>
    <w:rsid w:val="001C3D95"/>
    <w:rsid w:val="001C62E9"/>
    <w:rsid w:val="001C6B24"/>
    <w:rsid w:val="001D3B74"/>
    <w:rsid w:val="001D663E"/>
    <w:rsid w:val="001E1474"/>
    <w:rsid w:val="001E1BCA"/>
    <w:rsid w:val="001E1DC0"/>
    <w:rsid w:val="001E439B"/>
    <w:rsid w:val="001E4CFE"/>
    <w:rsid w:val="001E5C75"/>
    <w:rsid w:val="001F0CC8"/>
    <w:rsid w:val="001F2E07"/>
    <w:rsid w:val="001F60F9"/>
    <w:rsid w:val="001F7439"/>
    <w:rsid w:val="002010B4"/>
    <w:rsid w:val="00203277"/>
    <w:rsid w:val="00204A54"/>
    <w:rsid w:val="00205B2E"/>
    <w:rsid w:val="00206193"/>
    <w:rsid w:val="00211F77"/>
    <w:rsid w:val="00214C37"/>
    <w:rsid w:val="00215222"/>
    <w:rsid w:val="002205AC"/>
    <w:rsid w:val="00220B36"/>
    <w:rsid w:val="00220B83"/>
    <w:rsid w:val="00226EDC"/>
    <w:rsid w:val="00235821"/>
    <w:rsid w:val="002410BD"/>
    <w:rsid w:val="00247FCB"/>
    <w:rsid w:val="00252C04"/>
    <w:rsid w:val="0025628E"/>
    <w:rsid w:val="00266EDD"/>
    <w:rsid w:val="002751D4"/>
    <w:rsid w:val="00281602"/>
    <w:rsid w:val="0028602A"/>
    <w:rsid w:val="0028651C"/>
    <w:rsid w:val="0029170A"/>
    <w:rsid w:val="002957C4"/>
    <w:rsid w:val="00295A20"/>
    <w:rsid w:val="00295FB6"/>
    <w:rsid w:val="002964D6"/>
    <w:rsid w:val="002A2BCD"/>
    <w:rsid w:val="002A3EBD"/>
    <w:rsid w:val="002A6CF9"/>
    <w:rsid w:val="002B0C57"/>
    <w:rsid w:val="002B5E10"/>
    <w:rsid w:val="002C0524"/>
    <w:rsid w:val="002C4919"/>
    <w:rsid w:val="002C793D"/>
    <w:rsid w:val="002D389C"/>
    <w:rsid w:val="002D47E8"/>
    <w:rsid w:val="002D558B"/>
    <w:rsid w:val="002D5B25"/>
    <w:rsid w:val="002D6050"/>
    <w:rsid w:val="002F4F2B"/>
    <w:rsid w:val="002F706E"/>
    <w:rsid w:val="002F7A92"/>
    <w:rsid w:val="003002C0"/>
    <w:rsid w:val="00301144"/>
    <w:rsid w:val="003031C6"/>
    <w:rsid w:val="00304984"/>
    <w:rsid w:val="00304AAE"/>
    <w:rsid w:val="0031209E"/>
    <w:rsid w:val="00312BF8"/>
    <w:rsid w:val="003148B7"/>
    <w:rsid w:val="003158C3"/>
    <w:rsid w:val="00317661"/>
    <w:rsid w:val="003176EB"/>
    <w:rsid w:val="0032123F"/>
    <w:rsid w:val="00321E22"/>
    <w:rsid w:val="00322318"/>
    <w:rsid w:val="003274CD"/>
    <w:rsid w:val="00332D3A"/>
    <w:rsid w:val="00333501"/>
    <w:rsid w:val="003434B8"/>
    <w:rsid w:val="003452DE"/>
    <w:rsid w:val="003457C4"/>
    <w:rsid w:val="0035119D"/>
    <w:rsid w:val="003555AD"/>
    <w:rsid w:val="00360CEE"/>
    <w:rsid w:val="00366477"/>
    <w:rsid w:val="00367C90"/>
    <w:rsid w:val="0037149C"/>
    <w:rsid w:val="0037213D"/>
    <w:rsid w:val="00374E24"/>
    <w:rsid w:val="00377B09"/>
    <w:rsid w:val="003806FA"/>
    <w:rsid w:val="00383480"/>
    <w:rsid w:val="00384D40"/>
    <w:rsid w:val="0039159B"/>
    <w:rsid w:val="003922F0"/>
    <w:rsid w:val="0039344A"/>
    <w:rsid w:val="00395163"/>
    <w:rsid w:val="003A04E3"/>
    <w:rsid w:val="003A1F1A"/>
    <w:rsid w:val="003A3BFB"/>
    <w:rsid w:val="003A3D7A"/>
    <w:rsid w:val="003A53AC"/>
    <w:rsid w:val="003B2AD8"/>
    <w:rsid w:val="003B4F12"/>
    <w:rsid w:val="003B59E5"/>
    <w:rsid w:val="003B6FDD"/>
    <w:rsid w:val="003C2747"/>
    <w:rsid w:val="003C7D5E"/>
    <w:rsid w:val="003C7F9B"/>
    <w:rsid w:val="003D0DEE"/>
    <w:rsid w:val="003E0DC2"/>
    <w:rsid w:val="003E1B25"/>
    <w:rsid w:val="003E2ECA"/>
    <w:rsid w:val="003E322E"/>
    <w:rsid w:val="003E474A"/>
    <w:rsid w:val="003F0A68"/>
    <w:rsid w:val="003F2041"/>
    <w:rsid w:val="003F2818"/>
    <w:rsid w:val="003F4494"/>
    <w:rsid w:val="003F4B31"/>
    <w:rsid w:val="00401632"/>
    <w:rsid w:val="004016D3"/>
    <w:rsid w:val="00402ACC"/>
    <w:rsid w:val="004042B7"/>
    <w:rsid w:val="00411DAC"/>
    <w:rsid w:val="004120EC"/>
    <w:rsid w:val="00420EF2"/>
    <w:rsid w:val="0042360F"/>
    <w:rsid w:val="00423F31"/>
    <w:rsid w:val="004247B7"/>
    <w:rsid w:val="00425359"/>
    <w:rsid w:val="00426467"/>
    <w:rsid w:val="00431899"/>
    <w:rsid w:val="0043643E"/>
    <w:rsid w:val="00442055"/>
    <w:rsid w:val="00444714"/>
    <w:rsid w:val="00444FC3"/>
    <w:rsid w:val="00446025"/>
    <w:rsid w:val="00453888"/>
    <w:rsid w:val="00454C3B"/>
    <w:rsid w:val="00462AB0"/>
    <w:rsid w:val="004659D4"/>
    <w:rsid w:val="004775C0"/>
    <w:rsid w:val="004776A5"/>
    <w:rsid w:val="00481B7A"/>
    <w:rsid w:val="00482AE8"/>
    <w:rsid w:val="0048492D"/>
    <w:rsid w:val="00485E49"/>
    <w:rsid w:val="00486804"/>
    <w:rsid w:val="00486FF1"/>
    <w:rsid w:val="0048797F"/>
    <w:rsid w:val="00490CDB"/>
    <w:rsid w:val="004939C4"/>
    <w:rsid w:val="00496BF9"/>
    <w:rsid w:val="004A21B9"/>
    <w:rsid w:val="004A30A3"/>
    <w:rsid w:val="004B28CA"/>
    <w:rsid w:val="004B32E8"/>
    <w:rsid w:val="004B3775"/>
    <w:rsid w:val="004B699F"/>
    <w:rsid w:val="004C6342"/>
    <w:rsid w:val="004D0BA0"/>
    <w:rsid w:val="004D1BC7"/>
    <w:rsid w:val="004D3225"/>
    <w:rsid w:val="004E058F"/>
    <w:rsid w:val="004E207F"/>
    <w:rsid w:val="004E2F72"/>
    <w:rsid w:val="004E2FE6"/>
    <w:rsid w:val="004E3B87"/>
    <w:rsid w:val="004E68BE"/>
    <w:rsid w:val="004F2AF9"/>
    <w:rsid w:val="004F35E0"/>
    <w:rsid w:val="004F4988"/>
    <w:rsid w:val="004F593A"/>
    <w:rsid w:val="004F5C89"/>
    <w:rsid w:val="00502D07"/>
    <w:rsid w:val="00510921"/>
    <w:rsid w:val="00510AD3"/>
    <w:rsid w:val="00513348"/>
    <w:rsid w:val="00513760"/>
    <w:rsid w:val="005139D1"/>
    <w:rsid w:val="00513AD8"/>
    <w:rsid w:val="005141D4"/>
    <w:rsid w:val="005151AE"/>
    <w:rsid w:val="0052017E"/>
    <w:rsid w:val="005204D2"/>
    <w:rsid w:val="00520D62"/>
    <w:rsid w:val="00522396"/>
    <w:rsid w:val="0052609C"/>
    <w:rsid w:val="00532054"/>
    <w:rsid w:val="005336CD"/>
    <w:rsid w:val="00533B5D"/>
    <w:rsid w:val="005440CA"/>
    <w:rsid w:val="005506EB"/>
    <w:rsid w:val="0056267A"/>
    <w:rsid w:val="00576102"/>
    <w:rsid w:val="0057679B"/>
    <w:rsid w:val="00581A68"/>
    <w:rsid w:val="00582DEC"/>
    <w:rsid w:val="00583B0C"/>
    <w:rsid w:val="00585A1B"/>
    <w:rsid w:val="005906D0"/>
    <w:rsid w:val="00592D68"/>
    <w:rsid w:val="00594981"/>
    <w:rsid w:val="005963C7"/>
    <w:rsid w:val="005A1D47"/>
    <w:rsid w:val="005A1E7D"/>
    <w:rsid w:val="005A20F6"/>
    <w:rsid w:val="005A79A1"/>
    <w:rsid w:val="005B42BA"/>
    <w:rsid w:val="005B55E8"/>
    <w:rsid w:val="005C1108"/>
    <w:rsid w:val="005C68D4"/>
    <w:rsid w:val="005D1526"/>
    <w:rsid w:val="005D29BC"/>
    <w:rsid w:val="005D3655"/>
    <w:rsid w:val="005D3976"/>
    <w:rsid w:val="005D7331"/>
    <w:rsid w:val="005D738F"/>
    <w:rsid w:val="005E3573"/>
    <w:rsid w:val="005E436E"/>
    <w:rsid w:val="005E46ED"/>
    <w:rsid w:val="005E4830"/>
    <w:rsid w:val="005F41A0"/>
    <w:rsid w:val="00602718"/>
    <w:rsid w:val="006113AE"/>
    <w:rsid w:val="00611D88"/>
    <w:rsid w:val="00613DA7"/>
    <w:rsid w:val="0061672A"/>
    <w:rsid w:val="006224EE"/>
    <w:rsid w:val="00622B86"/>
    <w:rsid w:val="00623BA1"/>
    <w:rsid w:val="0063057E"/>
    <w:rsid w:val="006346BC"/>
    <w:rsid w:val="00642747"/>
    <w:rsid w:val="00643615"/>
    <w:rsid w:val="00644692"/>
    <w:rsid w:val="0064479B"/>
    <w:rsid w:val="00650A60"/>
    <w:rsid w:val="00654D81"/>
    <w:rsid w:val="006649ED"/>
    <w:rsid w:val="00665493"/>
    <w:rsid w:val="0066652A"/>
    <w:rsid w:val="00666C09"/>
    <w:rsid w:val="006719C3"/>
    <w:rsid w:val="00674773"/>
    <w:rsid w:val="00676578"/>
    <w:rsid w:val="00680522"/>
    <w:rsid w:val="00682167"/>
    <w:rsid w:val="006821A9"/>
    <w:rsid w:val="0068222C"/>
    <w:rsid w:val="0068239E"/>
    <w:rsid w:val="00683075"/>
    <w:rsid w:val="006834E3"/>
    <w:rsid w:val="00684BB0"/>
    <w:rsid w:val="006862C4"/>
    <w:rsid w:val="00690A0F"/>
    <w:rsid w:val="00692CFE"/>
    <w:rsid w:val="00697C2F"/>
    <w:rsid w:val="006A0C0B"/>
    <w:rsid w:val="006A0E4F"/>
    <w:rsid w:val="006A66C2"/>
    <w:rsid w:val="006B49AA"/>
    <w:rsid w:val="006B6ECC"/>
    <w:rsid w:val="006C42AF"/>
    <w:rsid w:val="006D4760"/>
    <w:rsid w:val="006E1BA5"/>
    <w:rsid w:val="006E2541"/>
    <w:rsid w:val="006E33D4"/>
    <w:rsid w:val="006E47F3"/>
    <w:rsid w:val="006E55FB"/>
    <w:rsid w:val="006E6A6A"/>
    <w:rsid w:val="006F12DD"/>
    <w:rsid w:val="006F157B"/>
    <w:rsid w:val="006F67BF"/>
    <w:rsid w:val="0070182F"/>
    <w:rsid w:val="00701F44"/>
    <w:rsid w:val="00703889"/>
    <w:rsid w:val="00704B03"/>
    <w:rsid w:val="00705723"/>
    <w:rsid w:val="00710472"/>
    <w:rsid w:val="0071192B"/>
    <w:rsid w:val="00711D8E"/>
    <w:rsid w:val="00712672"/>
    <w:rsid w:val="0071385A"/>
    <w:rsid w:val="00716D75"/>
    <w:rsid w:val="00717275"/>
    <w:rsid w:val="007227DC"/>
    <w:rsid w:val="007241AD"/>
    <w:rsid w:val="00724744"/>
    <w:rsid w:val="00726450"/>
    <w:rsid w:val="007302AB"/>
    <w:rsid w:val="00732D59"/>
    <w:rsid w:val="00732FF2"/>
    <w:rsid w:val="00734E3F"/>
    <w:rsid w:val="0073593A"/>
    <w:rsid w:val="00735C2D"/>
    <w:rsid w:val="00736985"/>
    <w:rsid w:val="00743A90"/>
    <w:rsid w:val="00745DF5"/>
    <w:rsid w:val="00756461"/>
    <w:rsid w:val="00756F11"/>
    <w:rsid w:val="0076250F"/>
    <w:rsid w:val="00764C99"/>
    <w:rsid w:val="007662DA"/>
    <w:rsid w:val="007706B8"/>
    <w:rsid w:val="0077484E"/>
    <w:rsid w:val="00774EE4"/>
    <w:rsid w:val="00775042"/>
    <w:rsid w:val="007779E2"/>
    <w:rsid w:val="007801B7"/>
    <w:rsid w:val="0078095C"/>
    <w:rsid w:val="00780FA5"/>
    <w:rsid w:val="007813CD"/>
    <w:rsid w:val="007833F8"/>
    <w:rsid w:val="007867DC"/>
    <w:rsid w:val="007919DA"/>
    <w:rsid w:val="00791B60"/>
    <w:rsid w:val="007949C3"/>
    <w:rsid w:val="00795A63"/>
    <w:rsid w:val="00796FCF"/>
    <w:rsid w:val="007A0427"/>
    <w:rsid w:val="007B1806"/>
    <w:rsid w:val="007B2AB2"/>
    <w:rsid w:val="007B2F31"/>
    <w:rsid w:val="007B6200"/>
    <w:rsid w:val="007B6841"/>
    <w:rsid w:val="007C5580"/>
    <w:rsid w:val="007C7468"/>
    <w:rsid w:val="007D2328"/>
    <w:rsid w:val="007D55F9"/>
    <w:rsid w:val="007E19CD"/>
    <w:rsid w:val="007E1FBA"/>
    <w:rsid w:val="007F255F"/>
    <w:rsid w:val="007F3395"/>
    <w:rsid w:val="007F3724"/>
    <w:rsid w:val="00800485"/>
    <w:rsid w:val="00801B9F"/>
    <w:rsid w:val="0080204D"/>
    <w:rsid w:val="008056F5"/>
    <w:rsid w:val="00805B9C"/>
    <w:rsid w:val="008066D4"/>
    <w:rsid w:val="00817436"/>
    <w:rsid w:val="00826555"/>
    <w:rsid w:val="0083052F"/>
    <w:rsid w:val="008374A0"/>
    <w:rsid w:val="008452E1"/>
    <w:rsid w:val="008475F0"/>
    <w:rsid w:val="00850F21"/>
    <w:rsid w:val="00852BD4"/>
    <w:rsid w:val="008557A7"/>
    <w:rsid w:val="008601A7"/>
    <w:rsid w:val="00860211"/>
    <w:rsid w:val="00861DC4"/>
    <w:rsid w:val="00864A84"/>
    <w:rsid w:val="00870928"/>
    <w:rsid w:val="00875A2C"/>
    <w:rsid w:val="00876B1D"/>
    <w:rsid w:val="00880B04"/>
    <w:rsid w:val="00885A62"/>
    <w:rsid w:val="008932E7"/>
    <w:rsid w:val="0089405C"/>
    <w:rsid w:val="00894E5C"/>
    <w:rsid w:val="00897FA2"/>
    <w:rsid w:val="008A0ECC"/>
    <w:rsid w:val="008A4E72"/>
    <w:rsid w:val="008A5AFE"/>
    <w:rsid w:val="008A5E68"/>
    <w:rsid w:val="008B0524"/>
    <w:rsid w:val="008B0754"/>
    <w:rsid w:val="008B4B3A"/>
    <w:rsid w:val="008B5444"/>
    <w:rsid w:val="008B57EC"/>
    <w:rsid w:val="008C189F"/>
    <w:rsid w:val="008C2A23"/>
    <w:rsid w:val="008C5A0E"/>
    <w:rsid w:val="008C7A19"/>
    <w:rsid w:val="008D0F14"/>
    <w:rsid w:val="008D3282"/>
    <w:rsid w:val="008D45BA"/>
    <w:rsid w:val="008D478F"/>
    <w:rsid w:val="008D4A7E"/>
    <w:rsid w:val="008D6304"/>
    <w:rsid w:val="008E162B"/>
    <w:rsid w:val="008E3F15"/>
    <w:rsid w:val="008E4D26"/>
    <w:rsid w:val="008E6111"/>
    <w:rsid w:val="008E6AE9"/>
    <w:rsid w:val="008E7158"/>
    <w:rsid w:val="00903AD6"/>
    <w:rsid w:val="00911464"/>
    <w:rsid w:val="00922931"/>
    <w:rsid w:val="0092747F"/>
    <w:rsid w:val="009313B4"/>
    <w:rsid w:val="009421F1"/>
    <w:rsid w:val="00943442"/>
    <w:rsid w:val="00943730"/>
    <w:rsid w:val="009440BB"/>
    <w:rsid w:val="0095133B"/>
    <w:rsid w:val="00951CEC"/>
    <w:rsid w:val="00952AA2"/>
    <w:rsid w:val="00955ABA"/>
    <w:rsid w:val="0096101D"/>
    <w:rsid w:val="00961C16"/>
    <w:rsid w:val="00961E72"/>
    <w:rsid w:val="009647A9"/>
    <w:rsid w:val="00965EFC"/>
    <w:rsid w:val="0096624A"/>
    <w:rsid w:val="00970731"/>
    <w:rsid w:val="00971FA2"/>
    <w:rsid w:val="00973E53"/>
    <w:rsid w:val="00973F75"/>
    <w:rsid w:val="00974579"/>
    <w:rsid w:val="00975CA5"/>
    <w:rsid w:val="00983692"/>
    <w:rsid w:val="00983AED"/>
    <w:rsid w:val="00986590"/>
    <w:rsid w:val="00991899"/>
    <w:rsid w:val="00992407"/>
    <w:rsid w:val="0099268B"/>
    <w:rsid w:val="00992C76"/>
    <w:rsid w:val="009969D6"/>
    <w:rsid w:val="009A1F69"/>
    <w:rsid w:val="009A3DD2"/>
    <w:rsid w:val="009A74B1"/>
    <w:rsid w:val="009B2168"/>
    <w:rsid w:val="009B2191"/>
    <w:rsid w:val="009B3B06"/>
    <w:rsid w:val="009B4D3B"/>
    <w:rsid w:val="009B6549"/>
    <w:rsid w:val="009B7942"/>
    <w:rsid w:val="009C3B51"/>
    <w:rsid w:val="009C4E71"/>
    <w:rsid w:val="009C7005"/>
    <w:rsid w:val="009D0619"/>
    <w:rsid w:val="009D06F8"/>
    <w:rsid w:val="009D0750"/>
    <w:rsid w:val="009D2145"/>
    <w:rsid w:val="009D7407"/>
    <w:rsid w:val="009E0866"/>
    <w:rsid w:val="009E0AFD"/>
    <w:rsid w:val="009E1F37"/>
    <w:rsid w:val="009E273C"/>
    <w:rsid w:val="009E3791"/>
    <w:rsid w:val="009E4EBE"/>
    <w:rsid w:val="009E6888"/>
    <w:rsid w:val="009F113F"/>
    <w:rsid w:val="009F1350"/>
    <w:rsid w:val="009F6423"/>
    <w:rsid w:val="00A037C1"/>
    <w:rsid w:val="00A0698F"/>
    <w:rsid w:val="00A10918"/>
    <w:rsid w:val="00A14DB1"/>
    <w:rsid w:val="00A16D05"/>
    <w:rsid w:val="00A175B3"/>
    <w:rsid w:val="00A23DA5"/>
    <w:rsid w:val="00A24A62"/>
    <w:rsid w:val="00A305A7"/>
    <w:rsid w:val="00A31C9F"/>
    <w:rsid w:val="00A32858"/>
    <w:rsid w:val="00A4144F"/>
    <w:rsid w:val="00A43FF9"/>
    <w:rsid w:val="00A44191"/>
    <w:rsid w:val="00A45400"/>
    <w:rsid w:val="00A4569F"/>
    <w:rsid w:val="00A45A56"/>
    <w:rsid w:val="00A50812"/>
    <w:rsid w:val="00A533FC"/>
    <w:rsid w:val="00A57DDA"/>
    <w:rsid w:val="00A61B4D"/>
    <w:rsid w:val="00A6350D"/>
    <w:rsid w:val="00A65716"/>
    <w:rsid w:val="00A677BA"/>
    <w:rsid w:val="00A70B07"/>
    <w:rsid w:val="00A714A9"/>
    <w:rsid w:val="00A75496"/>
    <w:rsid w:val="00A805D2"/>
    <w:rsid w:val="00A80F95"/>
    <w:rsid w:val="00A902AC"/>
    <w:rsid w:val="00A91795"/>
    <w:rsid w:val="00A91D91"/>
    <w:rsid w:val="00A93B7C"/>
    <w:rsid w:val="00A9572E"/>
    <w:rsid w:val="00A966FB"/>
    <w:rsid w:val="00A97BF1"/>
    <w:rsid w:val="00AA298A"/>
    <w:rsid w:val="00AA315B"/>
    <w:rsid w:val="00AA3435"/>
    <w:rsid w:val="00AA3590"/>
    <w:rsid w:val="00AA4241"/>
    <w:rsid w:val="00AA52D6"/>
    <w:rsid w:val="00AA693B"/>
    <w:rsid w:val="00AB262E"/>
    <w:rsid w:val="00AB44C0"/>
    <w:rsid w:val="00AB5AEF"/>
    <w:rsid w:val="00AB6C5E"/>
    <w:rsid w:val="00AC164A"/>
    <w:rsid w:val="00AC17FD"/>
    <w:rsid w:val="00AC1D0B"/>
    <w:rsid w:val="00AC5F41"/>
    <w:rsid w:val="00AC6CF8"/>
    <w:rsid w:val="00AD06B8"/>
    <w:rsid w:val="00AD3515"/>
    <w:rsid w:val="00AE448A"/>
    <w:rsid w:val="00AE5D17"/>
    <w:rsid w:val="00AF1148"/>
    <w:rsid w:val="00AF2050"/>
    <w:rsid w:val="00AF390A"/>
    <w:rsid w:val="00AF7C0B"/>
    <w:rsid w:val="00B02B8C"/>
    <w:rsid w:val="00B03CA8"/>
    <w:rsid w:val="00B03F16"/>
    <w:rsid w:val="00B10CFC"/>
    <w:rsid w:val="00B10D81"/>
    <w:rsid w:val="00B11D27"/>
    <w:rsid w:val="00B11EDD"/>
    <w:rsid w:val="00B12DE1"/>
    <w:rsid w:val="00B16B30"/>
    <w:rsid w:val="00B2068C"/>
    <w:rsid w:val="00B21789"/>
    <w:rsid w:val="00B262B2"/>
    <w:rsid w:val="00B270D6"/>
    <w:rsid w:val="00B33C0A"/>
    <w:rsid w:val="00B36DB6"/>
    <w:rsid w:val="00B3721A"/>
    <w:rsid w:val="00B43A84"/>
    <w:rsid w:val="00B44B70"/>
    <w:rsid w:val="00B5059B"/>
    <w:rsid w:val="00B53B47"/>
    <w:rsid w:val="00B544F9"/>
    <w:rsid w:val="00B54518"/>
    <w:rsid w:val="00B55440"/>
    <w:rsid w:val="00B55E19"/>
    <w:rsid w:val="00B734DF"/>
    <w:rsid w:val="00B73910"/>
    <w:rsid w:val="00B75DFF"/>
    <w:rsid w:val="00B80E6F"/>
    <w:rsid w:val="00B8200A"/>
    <w:rsid w:val="00B82A19"/>
    <w:rsid w:val="00B84B05"/>
    <w:rsid w:val="00B922FF"/>
    <w:rsid w:val="00B933AF"/>
    <w:rsid w:val="00B94758"/>
    <w:rsid w:val="00B94DCF"/>
    <w:rsid w:val="00BA020E"/>
    <w:rsid w:val="00BA1E2D"/>
    <w:rsid w:val="00BA1F7E"/>
    <w:rsid w:val="00BA38F6"/>
    <w:rsid w:val="00BA3A00"/>
    <w:rsid w:val="00BA4B6D"/>
    <w:rsid w:val="00BA68EC"/>
    <w:rsid w:val="00BA711F"/>
    <w:rsid w:val="00BA76E2"/>
    <w:rsid w:val="00BB26C5"/>
    <w:rsid w:val="00BB399A"/>
    <w:rsid w:val="00BC2523"/>
    <w:rsid w:val="00BC2589"/>
    <w:rsid w:val="00BC31BD"/>
    <w:rsid w:val="00BD3D15"/>
    <w:rsid w:val="00BD5615"/>
    <w:rsid w:val="00BE0841"/>
    <w:rsid w:val="00BE1644"/>
    <w:rsid w:val="00BE1B4F"/>
    <w:rsid w:val="00BE2E46"/>
    <w:rsid w:val="00BE4DC3"/>
    <w:rsid w:val="00BF084A"/>
    <w:rsid w:val="00BF0918"/>
    <w:rsid w:val="00BF29BD"/>
    <w:rsid w:val="00BF480E"/>
    <w:rsid w:val="00BF4DE6"/>
    <w:rsid w:val="00BF5277"/>
    <w:rsid w:val="00BF6983"/>
    <w:rsid w:val="00C02181"/>
    <w:rsid w:val="00C02C12"/>
    <w:rsid w:val="00C050F4"/>
    <w:rsid w:val="00C066BA"/>
    <w:rsid w:val="00C06B13"/>
    <w:rsid w:val="00C12C20"/>
    <w:rsid w:val="00C172D5"/>
    <w:rsid w:val="00C174E4"/>
    <w:rsid w:val="00C22FAB"/>
    <w:rsid w:val="00C26983"/>
    <w:rsid w:val="00C27D25"/>
    <w:rsid w:val="00C3180F"/>
    <w:rsid w:val="00C31840"/>
    <w:rsid w:val="00C333A6"/>
    <w:rsid w:val="00C334EA"/>
    <w:rsid w:val="00C33972"/>
    <w:rsid w:val="00C3516E"/>
    <w:rsid w:val="00C37CFD"/>
    <w:rsid w:val="00C41A7F"/>
    <w:rsid w:val="00C42541"/>
    <w:rsid w:val="00C42CDE"/>
    <w:rsid w:val="00C5182A"/>
    <w:rsid w:val="00C52A3D"/>
    <w:rsid w:val="00C575F5"/>
    <w:rsid w:val="00C6314C"/>
    <w:rsid w:val="00C63EE9"/>
    <w:rsid w:val="00C64722"/>
    <w:rsid w:val="00C6788F"/>
    <w:rsid w:val="00C707C6"/>
    <w:rsid w:val="00C81351"/>
    <w:rsid w:val="00C8147E"/>
    <w:rsid w:val="00C82075"/>
    <w:rsid w:val="00C84012"/>
    <w:rsid w:val="00C86644"/>
    <w:rsid w:val="00C9071E"/>
    <w:rsid w:val="00C92D0E"/>
    <w:rsid w:val="00C9302C"/>
    <w:rsid w:val="00CA071F"/>
    <w:rsid w:val="00CA15FD"/>
    <w:rsid w:val="00CA16F3"/>
    <w:rsid w:val="00CA194E"/>
    <w:rsid w:val="00CA1DCD"/>
    <w:rsid w:val="00CA37B1"/>
    <w:rsid w:val="00CA51E5"/>
    <w:rsid w:val="00CA655B"/>
    <w:rsid w:val="00CB1959"/>
    <w:rsid w:val="00CB241D"/>
    <w:rsid w:val="00CB3350"/>
    <w:rsid w:val="00CC24E7"/>
    <w:rsid w:val="00CC2C1F"/>
    <w:rsid w:val="00CC3776"/>
    <w:rsid w:val="00CC3BDE"/>
    <w:rsid w:val="00CC6720"/>
    <w:rsid w:val="00CC741B"/>
    <w:rsid w:val="00CD0E4B"/>
    <w:rsid w:val="00CD39AD"/>
    <w:rsid w:val="00CD585A"/>
    <w:rsid w:val="00CD5DFD"/>
    <w:rsid w:val="00CD64DD"/>
    <w:rsid w:val="00CE249E"/>
    <w:rsid w:val="00CE24DC"/>
    <w:rsid w:val="00CE29A1"/>
    <w:rsid w:val="00CE3175"/>
    <w:rsid w:val="00CE4C89"/>
    <w:rsid w:val="00CE5A24"/>
    <w:rsid w:val="00CF07BA"/>
    <w:rsid w:val="00D0296C"/>
    <w:rsid w:val="00D0367B"/>
    <w:rsid w:val="00D04B48"/>
    <w:rsid w:val="00D05BC1"/>
    <w:rsid w:val="00D1344A"/>
    <w:rsid w:val="00D20FE4"/>
    <w:rsid w:val="00D24053"/>
    <w:rsid w:val="00D25284"/>
    <w:rsid w:val="00D259E0"/>
    <w:rsid w:val="00D2658F"/>
    <w:rsid w:val="00D2685F"/>
    <w:rsid w:val="00D31C6F"/>
    <w:rsid w:val="00D32D6F"/>
    <w:rsid w:val="00D349EF"/>
    <w:rsid w:val="00D35FF3"/>
    <w:rsid w:val="00D37B04"/>
    <w:rsid w:val="00D43169"/>
    <w:rsid w:val="00D45758"/>
    <w:rsid w:val="00D479AF"/>
    <w:rsid w:val="00D540C6"/>
    <w:rsid w:val="00D5602B"/>
    <w:rsid w:val="00D617EA"/>
    <w:rsid w:val="00D61B64"/>
    <w:rsid w:val="00D64BD1"/>
    <w:rsid w:val="00D84C36"/>
    <w:rsid w:val="00D86285"/>
    <w:rsid w:val="00D86ECA"/>
    <w:rsid w:val="00D92254"/>
    <w:rsid w:val="00D934A0"/>
    <w:rsid w:val="00D94CDD"/>
    <w:rsid w:val="00DA06C5"/>
    <w:rsid w:val="00DA3996"/>
    <w:rsid w:val="00DA51EB"/>
    <w:rsid w:val="00DC195C"/>
    <w:rsid w:val="00DC6E80"/>
    <w:rsid w:val="00DD0EA8"/>
    <w:rsid w:val="00DD2AAD"/>
    <w:rsid w:val="00DD455B"/>
    <w:rsid w:val="00DE084C"/>
    <w:rsid w:val="00DE18D5"/>
    <w:rsid w:val="00DE2073"/>
    <w:rsid w:val="00DE47B4"/>
    <w:rsid w:val="00DF0615"/>
    <w:rsid w:val="00DF0AD5"/>
    <w:rsid w:val="00DF0AD7"/>
    <w:rsid w:val="00DF3C64"/>
    <w:rsid w:val="00DF558A"/>
    <w:rsid w:val="00DF5842"/>
    <w:rsid w:val="00E02674"/>
    <w:rsid w:val="00E03116"/>
    <w:rsid w:val="00E03A47"/>
    <w:rsid w:val="00E066F6"/>
    <w:rsid w:val="00E077D5"/>
    <w:rsid w:val="00E077FD"/>
    <w:rsid w:val="00E14F51"/>
    <w:rsid w:val="00E210F4"/>
    <w:rsid w:val="00E2161C"/>
    <w:rsid w:val="00E22EAD"/>
    <w:rsid w:val="00E25429"/>
    <w:rsid w:val="00E267BE"/>
    <w:rsid w:val="00E30AE3"/>
    <w:rsid w:val="00E3440D"/>
    <w:rsid w:val="00E345F0"/>
    <w:rsid w:val="00E35111"/>
    <w:rsid w:val="00E352E9"/>
    <w:rsid w:val="00E357B7"/>
    <w:rsid w:val="00E368FE"/>
    <w:rsid w:val="00E401FB"/>
    <w:rsid w:val="00E4588B"/>
    <w:rsid w:val="00E501B2"/>
    <w:rsid w:val="00E53800"/>
    <w:rsid w:val="00E55AB5"/>
    <w:rsid w:val="00E55F07"/>
    <w:rsid w:val="00E56EAD"/>
    <w:rsid w:val="00E57152"/>
    <w:rsid w:val="00E6081F"/>
    <w:rsid w:val="00E609A0"/>
    <w:rsid w:val="00E60F2A"/>
    <w:rsid w:val="00E6103A"/>
    <w:rsid w:val="00E62519"/>
    <w:rsid w:val="00E70E44"/>
    <w:rsid w:val="00E72596"/>
    <w:rsid w:val="00E74B16"/>
    <w:rsid w:val="00E8296D"/>
    <w:rsid w:val="00E8457B"/>
    <w:rsid w:val="00E84AD4"/>
    <w:rsid w:val="00E8521C"/>
    <w:rsid w:val="00E92456"/>
    <w:rsid w:val="00E929BD"/>
    <w:rsid w:val="00E94F53"/>
    <w:rsid w:val="00EA04B2"/>
    <w:rsid w:val="00EA20F3"/>
    <w:rsid w:val="00EA5D78"/>
    <w:rsid w:val="00EA6B52"/>
    <w:rsid w:val="00EA6CB6"/>
    <w:rsid w:val="00EB5005"/>
    <w:rsid w:val="00EB5301"/>
    <w:rsid w:val="00EB761A"/>
    <w:rsid w:val="00EC3E75"/>
    <w:rsid w:val="00EC420D"/>
    <w:rsid w:val="00EC77EA"/>
    <w:rsid w:val="00EC7A38"/>
    <w:rsid w:val="00ED2831"/>
    <w:rsid w:val="00ED43D1"/>
    <w:rsid w:val="00ED61BE"/>
    <w:rsid w:val="00ED727D"/>
    <w:rsid w:val="00ED744A"/>
    <w:rsid w:val="00ED7658"/>
    <w:rsid w:val="00ED7B51"/>
    <w:rsid w:val="00EE25F4"/>
    <w:rsid w:val="00EE4EE1"/>
    <w:rsid w:val="00EE645B"/>
    <w:rsid w:val="00EF18BA"/>
    <w:rsid w:val="00EF2F9A"/>
    <w:rsid w:val="00EF391F"/>
    <w:rsid w:val="00EF44BF"/>
    <w:rsid w:val="00EF4574"/>
    <w:rsid w:val="00EF5FB3"/>
    <w:rsid w:val="00F00C44"/>
    <w:rsid w:val="00F11277"/>
    <w:rsid w:val="00F13879"/>
    <w:rsid w:val="00F13E59"/>
    <w:rsid w:val="00F14A3A"/>
    <w:rsid w:val="00F152D1"/>
    <w:rsid w:val="00F15389"/>
    <w:rsid w:val="00F17A12"/>
    <w:rsid w:val="00F25A93"/>
    <w:rsid w:val="00F2684E"/>
    <w:rsid w:val="00F31A44"/>
    <w:rsid w:val="00F31E00"/>
    <w:rsid w:val="00F33857"/>
    <w:rsid w:val="00F43447"/>
    <w:rsid w:val="00F43F64"/>
    <w:rsid w:val="00F441AE"/>
    <w:rsid w:val="00F44A7E"/>
    <w:rsid w:val="00F44FF5"/>
    <w:rsid w:val="00F52917"/>
    <w:rsid w:val="00F535C2"/>
    <w:rsid w:val="00F5404C"/>
    <w:rsid w:val="00F5521F"/>
    <w:rsid w:val="00F660A6"/>
    <w:rsid w:val="00F729EF"/>
    <w:rsid w:val="00F744A2"/>
    <w:rsid w:val="00F77C06"/>
    <w:rsid w:val="00F77CAE"/>
    <w:rsid w:val="00F81283"/>
    <w:rsid w:val="00F82271"/>
    <w:rsid w:val="00F82439"/>
    <w:rsid w:val="00F83428"/>
    <w:rsid w:val="00F841F9"/>
    <w:rsid w:val="00F91E8D"/>
    <w:rsid w:val="00F96BB9"/>
    <w:rsid w:val="00FA166A"/>
    <w:rsid w:val="00FA1AE7"/>
    <w:rsid w:val="00FA4D97"/>
    <w:rsid w:val="00FB1A84"/>
    <w:rsid w:val="00FB5456"/>
    <w:rsid w:val="00FB6B65"/>
    <w:rsid w:val="00FC283D"/>
    <w:rsid w:val="00FC322F"/>
    <w:rsid w:val="00FD1C52"/>
    <w:rsid w:val="00FD3902"/>
    <w:rsid w:val="00FD4609"/>
    <w:rsid w:val="00FD6F6D"/>
    <w:rsid w:val="00FD716F"/>
    <w:rsid w:val="00FE5F6A"/>
    <w:rsid w:val="00FE6D51"/>
    <w:rsid w:val="00FE6F2A"/>
    <w:rsid w:val="00FE70A1"/>
    <w:rsid w:val="00FF4FE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870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unhideWhenUsed="1"/>
    <w:lsdException w:name="footnote text" w:locked="0" w:semiHidden="1" w:uiPriority="0" w:unhideWhenUsed="1" w:qFormat="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locked="0" w:semiHidden="1" w:uiPriority="35"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locked="0" w:semiHidden="1" w:unhideWhenUsed="1"/>
    <w:lsdException w:name="line number" w:locked="0"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locked="0" w:semiHidden="1" w:unhideWhenUsed="1"/>
    <w:lsdException w:name="macro" w:semiHidden="1" w:unhideWhenUsed="1"/>
    <w:lsdException w:name="toa heading" w:locked="0"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locked="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11" w:qFormat="1"/>
    <w:lsdException w:name="Salutation" w:semiHidden="1" w:unhideWhenUsed="1"/>
    <w:lsdException w:name="Date" w:locked="0" w:semiHidden="1" w:unhideWhenUsed="1"/>
    <w:lsdException w:name="Body Text First Indent" w:locked="0" w:semiHidden="1" w:unhideWhenUsed="1"/>
    <w:lsdException w:name="Body Text First Indent 2" w:locked="0" w:semiHidden="1" w:unhideWhenUsed="1"/>
    <w:lsdException w:name="Note Heading" w:locked="0" w:semiHidden="1" w:unhideWhenUsed="1"/>
    <w:lsdException w:name="Body Text 2" w:locked="0" w:semiHidden="1" w:unhideWhenUsed="1"/>
    <w:lsdException w:name="Body Text 3" w:locked="0" w:semiHidden="1" w:unhideWhenUsed="1"/>
    <w:lsdException w:name="Body Text Indent 2" w:semiHidden="1" w:unhideWhenUsed="1"/>
    <w:lsdException w:name="Body Text Indent 3" w:semiHidden="1" w:unhideWhenUsed="1"/>
    <w:lsdException w:name="Block Text" w:locked="0" w:semiHidden="1" w:unhideWhenUsed="1"/>
    <w:lsdException w:name="Hyperlink" w:locked="0" w:semiHidden="1" w:unhideWhenUsed="1"/>
    <w:lsdException w:name="FollowedHyperlink" w:locked="0" w:semiHidden="1" w:unhideWhenUsed="1"/>
    <w:lsdException w:name="Strong" w:locked="0" w:uiPriority="22" w:qFormat="1"/>
    <w:lsdException w:name="Emphasis" w:locked="0"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locked="0" w:semiHidden="1" w:unhideWhenUsed="1"/>
    <w:lsdException w:name="Table Columns 5" w:locked="0"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locked="0"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locked="0"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5B55E8"/>
    <w:pPr>
      <w:suppressAutoHyphens/>
      <w:spacing w:before="120" w:after="60" w:line="260" w:lineRule="atLeast"/>
    </w:pPr>
    <w:rPr>
      <w:color w:val="495965" w:themeColor="text2"/>
      <w:lang w:val="en-GB"/>
    </w:rPr>
  </w:style>
  <w:style w:type="paragraph" w:styleId="Heading1">
    <w:name w:val="heading 1"/>
    <w:basedOn w:val="Normal"/>
    <w:next w:val="Normal"/>
    <w:link w:val="Heading1Char"/>
    <w:uiPriority w:val="9"/>
    <w:qFormat/>
    <w:rsid w:val="007706B8"/>
    <w:pPr>
      <w:keepNext/>
      <w:keepLines/>
      <w:spacing w:before="0" w:after="180" w:line="380" w:lineRule="exact"/>
      <w:contextualSpacing/>
      <w:outlineLvl w:val="0"/>
    </w:pPr>
    <w:rPr>
      <w:rFonts w:asciiTheme="majorHAnsi" w:eastAsiaTheme="majorEastAsia" w:hAnsiTheme="majorHAnsi" w:cstheme="majorBidi"/>
      <w:b/>
      <w:bCs/>
      <w:caps/>
      <w:sz w:val="38"/>
      <w:szCs w:val="28"/>
    </w:rPr>
  </w:style>
  <w:style w:type="paragraph" w:styleId="Heading2">
    <w:name w:val="heading 2"/>
    <w:basedOn w:val="Heading1"/>
    <w:next w:val="Normal"/>
    <w:link w:val="Heading2Char"/>
    <w:uiPriority w:val="9"/>
    <w:unhideWhenUsed/>
    <w:qFormat/>
    <w:rsid w:val="00983AED"/>
    <w:pPr>
      <w:spacing w:before="480" w:after="120"/>
      <w:outlineLvl w:val="1"/>
    </w:pPr>
    <w:rPr>
      <w:b w:val="0"/>
      <w:bCs w:val="0"/>
      <w:szCs w:val="26"/>
    </w:rPr>
  </w:style>
  <w:style w:type="paragraph" w:styleId="Heading3">
    <w:name w:val="heading 3"/>
    <w:basedOn w:val="Heading2"/>
    <w:next w:val="Normal"/>
    <w:link w:val="Heading3Char"/>
    <w:uiPriority w:val="9"/>
    <w:unhideWhenUsed/>
    <w:qFormat/>
    <w:rsid w:val="00ED2831"/>
    <w:pPr>
      <w:spacing w:line="360" w:lineRule="atLeast"/>
      <w:outlineLvl w:val="2"/>
    </w:pPr>
    <w:rPr>
      <w:bCs/>
      <w:caps w:val="0"/>
      <w:sz w:val="30"/>
    </w:rPr>
  </w:style>
  <w:style w:type="paragraph" w:styleId="Heading4">
    <w:name w:val="heading 4"/>
    <w:basedOn w:val="Heading3"/>
    <w:next w:val="Normal"/>
    <w:link w:val="Heading4Char"/>
    <w:uiPriority w:val="9"/>
    <w:unhideWhenUsed/>
    <w:qFormat/>
    <w:rsid w:val="00A4144F"/>
    <w:pPr>
      <w:spacing w:before="240" w:line="280" w:lineRule="atLeast"/>
      <w:outlineLvl w:val="3"/>
    </w:pPr>
    <w:rPr>
      <w:iCs/>
      <w:sz w:val="24"/>
    </w:rPr>
  </w:style>
  <w:style w:type="paragraph" w:styleId="Heading5">
    <w:name w:val="heading 5"/>
    <w:basedOn w:val="Heading4"/>
    <w:next w:val="Normal"/>
    <w:link w:val="Heading5Char"/>
    <w:uiPriority w:val="9"/>
    <w:unhideWhenUsed/>
    <w:qFormat/>
    <w:rsid w:val="007706B8"/>
    <w:pPr>
      <w:spacing w:line="200" w:lineRule="atLeast"/>
      <w:outlineLvl w:val="4"/>
    </w:pPr>
    <w:rPr>
      <w:b/>
      <w:sz w:val="22"/>
    </w:rPr>
  </w:style>
  <w:style w:type="paragraph" w:styleId="Heading6">
    <w:name w:val="heading 6"/>
    <w:basedOn w:val="Heading5"/>
    <w:next w:val="Normal"/>
    <w:link w:val="Heading6Char"/>
    <w:uiPriority w:val="9"/>
    <w:semiHidden/>
    <w:unhideWhenUsed/>
    <w:qFormat/>
    <w:rsid w:val="00486804"/>
    <w:pPr>
      <w:spacing w:before="40"/>
      <w:outlineLvl w:val="5"/>
    </w:pPr>
    <w:rPr>
      <w:color w:val="286B5F" w:themeColor="accent1" w:themeShade="7F"/>
    </w:rPr>
  </w:style>
  <w:style w:type="paragraph" w:styleId="Heading7">
    <w:name w:val="heading 7"/>
    <w:basedOn w:val="Heading6"/>
    <w:next w:val="Normal"/>
    <w:link w:val="Heading7Char"/>
    <w:uiPriority w:val="9"/>
    <w:semiHidden/>
    <w:unhideWhenUsed/>
    <w:qFormat/>
    <w:locked/>
    <w:rsid w:val="00486804"/>
    <w:pPr>
      <w:outlineLvl w:val="6"/>
    </w:pPr>
    <w:rPr>
      <w:i/>
      <w:iCs w:val="0"/>
    </w:rPr>
  </w:style>
  <w:style w:type="paragraph" w:styleId="Heading8">
    <w:name w:val="heading 8"/>
    <w:basedOn w:val="Heading7"/>
    <w:next w:val="Normal"/>
    <w:link w:val="Heading8Char"/>
    <w:uiPriority w:val="9"/>
    <w:semiHidden/>
    <w:unhideWhenUsed/>
    <w:qFormat/>
    <w:locked/>
    <w:rsid w:val="00486804"/>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locked/>
    <w:rsid w:val="00486804"/>
    <w:pPr>
      <w:outlineLvl w:val="8"/>
    </w:pPr>
    <w:rPr>
      <w:i w:val="0"/>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06B8"/>
    <w:rPr>
      <w:rFonts w:asciiTheme="majorHAnsi" w:eastAsiaTheme="majorEastAsia" w:hAnsiTheme="majorHAnsi" w:cstheme="majorBidi"/>
      <w:b/>
      <w:bCs/>
      <w:caps/>
      <w:color w:val="495965" w:themeColor="text2"/>
      <w:sz w:val="38"/>
      <w:szCs w:val="28"/>
      <w:lang w:val="en-GB"/>
    </w:rPr>
  </w:style>
  <w:style w:type="character" w:customStyle="1" w:styleId="Heading2Char">
    <w:name w:val="Heading 2 Char"/>
    <w:basedOn w:val="DefaultParagraphFont"/>
    <w:link w:val="Heading2"/>
    <w:uiPriority w:val="9"/>
    <w:rsid w:val="00983AED"/>
    <w:rPr>
      <w:rFonts w:asciiTheme="majorHAnsi" w:eastAsiaTheme="majorEastAsia" w:hAnsiTheme="majorHAnsi" w:cstheme="majorBidi"/>
      <w:caps/>
      <w:color w:val="495965" w:themeColor="text2"/>
      <w:sz w:val="38"/>
      <w:szCs w:val="26"/>
      <w:lang w:val="en-GB"/>
    </w:rPr>
  </w:style>
  <w:style w:type="character" w:customStyle="1" w:styleId="Heading3Char">
    <w:name w:val="Heading 3 Char"/>
    <w:basedOn w:val="DefaultParagraphFont"/>
    <w:link w:val="Heading3"/>
    <w:uiPriority w:val="9"/>
    <w:rsid w:val="00ED2831"/>
    <w:rPr>
      <w:rFonts w:asciiTheme="majorHAnsi" w:eastAsiaTheme="majorEastAsia" w:hAnsiTheme="majorHAnsi" w:cstheme="majorBidi"/>
      <w:bCs/>
      <w:color w:val="495965" w:themeColor="text2"/>
      <w:sz w:val="30"/>
      <w:szCs w:val="26"/>
      <w:lang w:val="en-GB"/>
    </w:rPr>
  </w:style>
  <w:style w:type="paragraph" w:customStyle="1" w:styleId="NormalIndented">
    <w:name w:val="Normal Indented"/>
    <w:basedOn w:val="Normal"/>
    <w:qFormat/>
    <w:rsid w:val="00D0296C"/>
    <w:pPr>
      <w:ind w:left="284"/>
    </w:pPr>
  </w:style>
  <w:style w:type="paragraph" w:styleId="Title">
    <w:name w:val="Title"/>
    <w:basedOn w:val="Heading1"/>
    <w:next w:val="Normal"/>
    <w:link w:val="TitleChar"/>
    <w:uiPriority w:val="10"/>
    <w:qFormat/>
    <w:rsid w:val="00D64BD1"/>
    <w:pPr>
      <w:spacing w:after="0"/>
    </w:pPr>
    <w:rPr>
      <w:spacing w:val="-10"/>
      <w:kern w:val="28"/>
      <w:szCs w:val="52"/>
    </w:rPr>
  </w:style>
  <w:style w:type="character" w:customStyle="1" w:styleId="TitleChar">
    <w:name w:val="Title Char"/>
    <w:basedOn w:val="DefaultParagraphFont"/>
    <w:link w:val="Title"/>
    <w:uiPriority w:val="10"/>
    <w:rsid w:val="00D64BD1"/>
    <w:rPr>
      <w:rFonts w:asciiTheme="majorHAnsi" w:eastAsiaTheme="majorEastAsia" w:hAnsiTheme="majorHAnsi" w:cstheme="majorBidi"/>
      <w:b/>
      <w:bCs/>
      <w:caps/>
      <w:color w:val="495965" w:themeColor="text2"/>
      <w:spacing w:val="-10"/>
      <w:kern w:val="28"/>
      <w:sz w:val="38"/>
      <w:szCs w:val="52"/>
    </w:rPr>
  </w:style>
  <w:style w:type="paragraph" w:styleId="Subtitle">
    <w:name w:val="Subtitle"/>
    <w:basedOn w:val="Title"/>
    <w:next w:val="Normal"/>
    <w:link w:val="SubtitleChar"/>
    <w:uiPriority w:val="11"/>
    <w:qFormat/>
    <w:rsid w:val="00D64BD1"/>
    <w:pPr>
      <w:numPr>
        <w:ilvl w:val="1"/>
      </w:numPr>
      <w:spacing w:before="60" w:after="300"/>
    </w:pPr>
    <w:rPr>
      <w:rFonts w:asciiTheme="minorHAnsi" w:hAnsiTheme="minorHAnsi"/>
      <w:b w:val="0"/>
      <w:iCs/>
      <w:szCs w:val="24"/>
    </w:rPr>
  </w:style>
  <w:style w:type="character" w:customStyle="1" w:styleId="SubtitleChar">
    <w:name w:val="Subtitle Char"/>
    <w:basedOn w:val="DefaultParagraphFont"/>
    <w:link w:val="Subtitle"/>
    <w:uiPriority w:val="11"/>
    <w:rsid w:val="00D64BD1"/>
    <w:rPr>
      <w:rFonts w:eastAsiaTheme="majorEastAsia" w:cstheme="majorBidi"/>
      <w:bCs/>
      <w:iCs/>
      <w:caps/>
      <w:color w:val="495965" w:themeColor="text2"/>
      <w:spacing w:val="-10"/>
      <w:kern w:val="28"/>
      <w:sz w:val="38"/>
      <w:szCs w:val="24"/>
    </w:rPr>
  </w:style>
  <w:style w:type="paragraph" w:customStyle="1" w:styleId="Bullet1">
    <w:name w:val="Bullet 1"/>
    <w:basedOn w:val="Normal"/>
    <w:qFormat/>
    <w:rsid w:val="007706B8"/>
    <w:pPr>
      <w:numPr>
        <w:numId w:val="33"/>
      </w:numPr>
      <w:spacing w:before="0"/>
    </w:pPr>
  </w:style>
  <w:style w:type="paragraph" w:customStyle="1" w:styleId="Bullet2">
    <w:name w:val="Bullet 2"/>
    <w:basedOn w:val="Bullet1"/>
    <w:qFormat/>
    <w:rsid w:val="00F2684E"/>
    <w:pPr>
      <w:numPr>
        <w:ilvl w:val="1"/>
      </w:numPr>
    </w:pPr>
  </w:style>
  <w:style w:type="paragraph" w:customStyle="1" w:styleId="Bullet3">
    <w:name w:val="Bullet 3"/>
    <w:basedOn w:val="Bullet2"/>
    <w:qFormat/>
    <w:rsid w:val="00F2684E"/>
    <w:pPr>
      <w:numPr>
        <w:ilvl w:val="2"/>
      </w:numPr>
    </w:pPr>
  </w:style>
  <w:style w:type="paragraph" w:customStyle="1" w:styleId="NumberedList1">
    <w:name w:val="Numbered List 1"/>
    <w:basedOn w:val="Normal"/>
    <w:qFormat/>
    <w:rsid w:val="00F2684E"/>
    <w:pPr>
      <w:numPr>
        <w:numId w:val="30"/>
      </w:numPr>
      <w:spacing w:before="0"/>
    </w:pPr>
  </w:style>
  <w:style w:type="paragraph" w:customStyle="1" w:styleId="NumberedList2">
    <w:name w:val="Numbered List 2"/>
    <w:basedOn w:val="NumberedList1"/>
    <w:qFormat/>
    <w:rsid w:val="00F2684E"/>
    <w:pPr>
      <w:numPr>
        <w:ilvl w:val="1"/>
      </w:numPr>
    </w:pPr>
  </w:style>
  <w:style w:type="paragraph" w:customStyle="1" w:styleId="NumberedList3">
    <w:name w:val="Numbered List 3"/>
    <w:basedOn w:val="NumberedList2"/>
    <w:qFormat/>
    <w:rsid w:val="00F2684E"/>
    <w:pPr>
      <w:numPr>
        <w:ilvl w:val="2"/>
      </w:numPr>
    </w:pPr>
  </w:style>
  <w:style w:type="paragraph" w:customStyle="1" w:styleId="Heading1Numbered">
    <w:name w:val="Heading 1 Numbered"/>
    <w:basedOn w:val="Heading1"/>
    <w:next w:val="Normal"/>
    <w:qFormat/>
    <w:rsid w:val="001E1DC0"/>
    <w:pPr>
      <w:numPr>
        <w:numId w:val="23"/>
      </w:numPr>
    </w:pPr>
  </w:style>
  <w:style w:type="paragraph" w:customStyle="1" w:styleId="Heading2Numbered">
    <w:name w:val="Heading 2 Numbered"/>
    <w:basedOn w:val="Heading2"/>
    <w:next w:val="Normal"/>
    <w:qFormat/>
    <w:rsid w:val="00ED2831"/>
    <w:pPr>
      <w:numPr>
        <w:ilvl w:val="1"/>
        <w:numId w:val="23"/>
      </w:numPr>
      <w:spacing w:after="60"/>
    </w:pPr>
    <w:rPr>
      <w:bCs/>
    </w:rPr>
  </w:style>
  <w:style w:type="paragraph" w:customStyle="1" w:styleId="Heading3Numbered">
    <w:name w:val="Heading 3 Numbered"/>
    <w:basedOn w:val="Heading3"/>
    <w:next w:val="Normal"/>
    <w:qFormat/>
    <w:rsid w:val="00ED2831"/>
    <w:pPr>
      <w:numPr>
        <w:ilvl w:val="2"/>
        <w:numId w:val="23"/>
      </w:numPr>
      <w:spacing w:before="300" w:after="60"/>
    </w:pPr>
    <w:rPr>
      <w:szCs w:val="22"/>
    </w:rPr>
  </w:style>
  <w:style w:type="numbering" w:customStyle="1" w:styleId="BulletsList">
    <w:name w:val="Bullets List"/>
    <w:uiPriority w:val="99"/>
    <w:rsid w:val="007706B8"/>
    <w:pPr>
      <w:numPr>
        <w:numId w:val="1"/>
      </w:numPr>
    </w:pPr>
  </w:style>
  <w:style w:type="numbering" w:customStyle="1" w:styleId="Numberedlist">
    <w:name w:val="Numbered list"/>
    <w:uiPriority w:val="99"/>
    <w:rsid w:val="00F2684E"/>
    <w:pPr>
      <w:numPr>
        <w:numId w:val="3"/>
      </w:numPr>
    </w:pPr>
  </w:style>
  <w:style w:type="numbering" w:customStyle="1" w:styleId="HeadingsList">
    <w:name w:val="Headings List"/>
    <w:uiPriority w:val="99"/>
    <w:rsid w:val="001E1DC0"/>
    <w:pPr>
      <w:numPr>
        <w:numId w:val="5"/>
      </w:numPr>
    </w:pPr>
  </w:style>
  <w:style w:type="table" w:customStyle="1" w:styleId="PlainTable21">
    <w:name w:val="Plain Table 21"/>
    <w:basedOn w:val="TableNormal"/>
    <w:uiPriority w:val="42"/>
    <w:locked/>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ED2831"/>
    <w:pPr>
      <w:suppressAutoHyphens w:val="0"/>
      <w:spacing w:after="600"/>
      <w:contextualSpacing w:val="0"/>
      <w:outlineLvl w:val="9"/>
    </w:pPr>
    <w:rPr>
      <w:bCs w:val="0"/>
      <w:szCs w:val="32"/>
    </w:rPr>
  </w:style>
  <w:style w:type="character" w:customStyle="1" w:styleId="Heading4Char">
    <w:name w:val="Heading 4 Char"/>
    <w:basedOn w:val="DefaultParagraphFont"/>
    <w:link w:val="Heading4"/>
    <w:uiPriority w:val="9"/>
    <w:rsid w:val="00A4144F"/>
    <w:rPr>
      <w:rFonts w:asciiTheme="majorHAnsi" w:eastAsiaTheme="majorEastAsia" w:hAnsiTheme="majorHAnsi" w:cstheme="majorBidi"/>
      <w:bCs/>
      <w:iCs/>
      <w:color w:val="495965" w:themeColor="text2"/>
      <w:sz w:val="24"/>
      <w:szCs w:val="26"/>
    </w:rPr>
  </w:style>
  <w:style w:type="paragraph" w:styleId="TOC1">
    <w:name w:val="toc 1"/>
    <w:basedOn w:val="Normal"/>
    <w:next w:val="Normal"/>
    <w:autoRedefine/>
    <w:uiPriority w:val="39"/>
    <w:unhideWhenUsed/>
    <w:rsid w:val="00ED2831"/>
    <w:pPr>
      <w:pBdr>
        <w:top w:val="single" w:sz="4" w:space="6" w:color="65C5B4" w:themeColor="accent1"/>
        <w:between w:val="single" w:sz="4" w:space="6" w:color="65C5B4" w:themeColor="accent1"/>
      </w:pBdr>
      <w:tabs>
        <w:tab w:val="right" w:pos="9639"/>
      </w:tabs>
      <w:spacing w:after="100" w:line="320" w:lineRule="atLeast"/>
    </w:pPr>
    <w:rPr>
      <w:b/>
      <w:caps/>
      <w:color w:val="65C5B4" w:themeColor="accent1"/>
      <w:sz w:val="28"/>
    </w:rPr>
  </w:style>
  <w:style w:type="paragraph" w:styleId="TOC2">
    <w:name w:val="toc 2"/>
    <w:basedOn w:val="Normal"/>
    <w:next w:val="Normal"/>
    <w:autoRedefine/>
    <w:uiPriority w:val="39"/>
    <w:unhideWhenUsed/>
    <w:rsid w:val="00ED2831"/>
    <w:pPr>
      <w:spacing w:after="100"/>
      <w:ind w:left="199" w:right="454"/>
    </w:pPr>
  </w:style>
  <w:style w:type="paragraph" w:styleId="TOC3">
    <w:name w:val="toc 3"/>
    <w:basedOn w:val="Normal"/>
    <w:next w:val="Normal"/>
    <w:autoRedefine/>
    <w:uiPriority w:val="39"/>
    <w:unhideWhenUsed/>
    <w:rsid w:val="0035119D"/>
    <w:pPr>
      <w:spacing w:after="100"/>
      <w:ind w:left="400"/>
    </w:pPr>
  </w:style>
  <w:style w:type="paragraph" w:styleId="Header">
    <w:name w:val="header"/>
    <w:basedOn w:val="Normal"/>
    <w:link w:val="HeaderChar"/>
    <w:uiPriority w:val="99"/>
    <w:unhideWhenUsed/>
    <w:rsid w:val="00FC322F"/>
    <w:pPr>
      <w:tabs>
        <w:tab w:val="center" w:pos="4513"/>
        <w:tab w:val="right" w:pos="9026"/>
      </w:tabs>
      <w:spacing w:before="0" w:after="0"/>
      <w:ind w:left="227"/>
    </w:pPr>
    <w:rPr>
      <w:b/>
      <w:caps/>
      <w:color w:val="FFFFFF" w:themeColor="background1"/>
      <w:sz w:val="20"/>
    </w:rPr>
  </w:style>
  <w:style w:type="paragraph" w:styleId="TOC4">
    <w:name w:val="toc 4"/>
    <w:basedOn w:val="Normal"/>
    <w:next w:val="Normal"/>
    <w:autoRedefine/>
    <w:uiPriority w:val="39"/>
    <w:unhideWhenUsed/>
    <w:lock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lock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lock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lock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ED2831"/>
    <w:pPr>
      <w:numPr>
        <w:numId w:val="9"/>
      </w:numPr>
    </w:pPr>
  </w:style>
  <w:style w:type="paragraph" w:styleId="TOC8">
    <w:name w:val="toc 8"/>
    <w:basedOn w:val="Normal"/>
    <w:next w:val="Normal"/>
    <w:autoRedefine/>
    <w:uiPriority w:val="39"/>
    <w:unhideWhenUsed/>
    <w:lock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lock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qFormat/>
    <w:rsid w:val="007706B8"/>
    <w:pPr>
      <w:spacing w:before="400" w:after="400" w:line="280" w:lineRule="exact"/>
    </w:pPr>
    <w:rPr>
      <w:b/>
      <w:color w:val="ACD08C" w:themeColor="accent2"/>
      <w:sz w:val="28"/>
    </w:rPr>
  </w:style>
  <w:style w:type="table" w:styleId="TableGrid">
    <w:name w:val="Table Grid"/>
    <w:basedOn w:val="TableNormal"/>
    <w:uiPriority w:val="59"/>
    <w:locked/>
    <w:rsid w:val="00ED28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FC322F"/>
    <w:rPr>
      <w:b/>
      <w:caps/>
      <w:color w:val="FFFFFF" w:themeColor="background1"/>
      <w:sz w:val="20"/>
      <w:lang w:val="en-GB"/>
    </w:rPr>
  </w:style>
  <w:style w:type="numbering" w:customStyle="1" w:styleId="FigureTitles">
    <w:name w:val="Figure Titles"/>
    <w:uiPriority w:val="99"/>
    <w:rsid w:val="006346BC"/>
    <w:pPr>
      <w:numPr>
        <w:numId w:val="10"/>
      </w:numPr>
    </w:pPr>
  </w:style>
  <w:style w:type="character" w:styleId="Hyperlink">
    <w:name w:val="Hyperlink"/>
    <w:basedOn w:val="DefaultParagraphFont"/>
    <w:uiPriority w:val="99"/>
    <w:rsid w:val="00F729EF"/>
    <w:rPr>
      <w:rFonts w:asciiTheme="minorHAnsi" w:hAnsiTheme="minorHAnsi" w:cs="MuseoSans-500"/>
      <w:color w:val="auto"/>
      <w:u w:val="single" w:color="0070C0"/>
    </w:rPr>
  </w:style>
  <w:style w:type="character" w:styleId="IntenseEmphasis">
    <w:name w:val="Intense Emphasis"/>
    <w:basedOn w:val="DefaultParagraphFont"/>
    <w:uiPriority w:val="21"/>
    <w:qFormat/>
    <w:rsid w:val="00D32D6F"/>
    <w:rPr>
      <w:b/>
      <w:i/>
      <w:iCs/>
      <w:color w:val="495965" w:themeColor="text2"/>
    </w:rPr>
  </w:style>
  <w:style w:type="character" w:styleId="Strong">
    <w:name w:val="Strong"/>
    <w:basedOn w:val="DefaultParagraphFont"/>
    <w:uiPriority w:val="22"/>
    <w:qFormat/>
    <w:rsid w:val="00FE6D51"/>
    <w:rPr>
      <w:b/>
      <w:bCs/>
    </w:rPr>
  </w:style>
  <w:style w:type="character" w:styleId="Emphasis">
    <w:name w:val="Emphasis"/>
    <w:basedOn w:val="DefaultParagraphFont"/>
    <w:uiPriority w:val="20"/>
    <w:qFormat/>
    <w:rsid w:val="009D7407"/>
    <w:rPr>
      <w:i/>
      <w:iCs/>
    </w:rPr>
  </w:style>
  <w:style w:type="character" w:customStyle="1" w:styleId="Heading5Char">
    <w:name w:val="Heading 5 Char"/>
    <w:basedOn w:val="DefaultParagraphFont"/>
    <w:link w:val="Heading5"/>
    <w:uiPriority w:val="9"/>
    <w:rsid w:val="007706B8"/>
    <w:rPr>
      <w:rFonts w:asciiTheme="majorHAnsi" w:eastAsiaTheme="majorEastAsia" w:hAnsiTheme="majorHAnsi" w:cstheme="majorBidi"/>
      <w:b/>
      <w:bCs/>
      <w:iCs/>
      <w:color w:val="495965" w:themeColor="text2"/>
      <w:szCs w:val="26"/>
      <w:lang w:val="en-GB"/>
    </w:rPr>
  </w:style>
  <w:style w:type="paragraph" w:styleId="Caption">
    <w:name w:val="caption"/>
    <w:basedOn w:val="Normal"/>
    <w:next w:val="Normal"/>
    <w:uiPriority w:val="35"/>
    <w:unhideWhenUsed/>
    <w:qFormat/>
    <w:rsid w:val="001214BE"/>
    <w:pPr>
      <w:spacing w:before="240" w:after="180" w:line="240" w:lineRule="atLeast"/>
      <w:contextualSpacing/>
    </w:pPr>
    <w:rPr>
      <w:b/>
      <w:iCs/>
      <w:sz w:val="20"/>
      <w:szCs w:val="18"/>
    </w:rPr>
  </w:style>
  <w:style w:type="paragraph" w:styleId="Footer">
    <w:name w:val="footer"/>
    <w:basedOn w:val="Normal"/>
    <w:link w:val="FooterChar"/>
    <w:uiPriority w:val="99"/>
    <w:unhideWhenUsed/>
    <w:rsid w:val="00FC322F"/>
    <w:pPr>
      <w:spacing w:before="0" w:after="0" w:line="240" w:lineRule="exact"/>
      <w:ind w:left="284" w:right="284"/>
    </w:pPr>
    <w:rPr>
      <w:color w:val="FFFFFF" w:themeColor="background1"/>
    </w:rPr>
  </w:style>
  <w:style w:type="character" w:customStyle="1" w:styleId="FooterChar">
    <w:name w:val="Footer Char"/>
    <w:basedOn w:val="DefaultParagraphFont"/>
    <w:link w:val="Footer"/>
    <w:uiPriority w:val="99"/>
    <w:rsid w:val="00FC322F"/>
    <w:rPr>
      <w:color w:val="FFFFFF" w:themeColor="background1"/>
      <w:lang w:val="en-GB"/>
    </w:rPr>
  </w:style>
  <w:style w:type="character" w:customStyle="1" w:styleId="Heading6Char">
    <w:name w:val="Heading 6 Char"/>
    <w:basedOn w:val="DefaultParagraphFont"/>
    <w:link w:val="Heading6"/>
    <w:uiPriority w:val="9"/>
    <w:semiHidden/>
    <w:rsid w:val="00486804"/>
    <w:rPr>
      <w:rFonts w:asciiTheme="majorHAnsi" w:eastAsiaTheme="majorEastAsia" w:hAnsiTheme="majorHAnsi" w:cstheme="majorBidi"/>
      <w:bCs/>
      <w:iCs/>
      <w:color w:val="286B5F" w:themeColor="accent1" w:themeShade="7F"/>
      <w:szCs w:val="26"/>
    </w:rPr>
  </w:style>
  <w:style w:type="character" w:customStyle="1" w:styleId="Heading7Char">
    <w:name w:val="Heading 7 Char"/>
    <w:basedOn w:val="DefaultParagraphFont"/>
    <w:link w:val="Heading7"/>
    <w:uiPriority w:val="9"/>
    <w:semiHidden/>
    <w:rsid w:val="00486804"/>
    <w:rPr>
      <w:rFonts w:asciiTheme="majorHAnsi" w:eastAsiaTheme="majorEastAsia" w:hAnsiTheme="majorHAnsi" w:cstheme="majorBidi"/>
      <w:bCs/>
      <w:i/>
      <w:color w:val="286B5F" w:themeColor="accent1" w:themeShade="7F"/>
      <w:szCs w:val="26"/>
    </w:rPr>
  </w:style>
  <w:style w:type="character" w:customStyle="1" w:styleId="Heading8Char">
    <w:name w:val="Heading 8 Char"/>
    <w:basedOn w:val="DefaultParagraphFont"/>
    <w:link w:val="Heading8"/>
    <w:uiPriority w:val="9"/>
    <w:semiHidden/>
    <w:rsid w:val="00486804"/>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
    <w:semiHidden/>
    <w:rsid w:val="00486804"/>
    <w:rPr>
      <w:rFonts w:asciiTheme="majorHAnsi" w:eastAsiaTheme="majorEastAsia" w:hAnsiTheme="majorHAnsi" w:cstheme="majorBidi"/>
      <w:bCs/>
      <w:iCs/>
      <w:color w:val="272727" w:themeColor="text1" w:themeTint="D8"/>
      <w:sz w:val="21"/>
      <w:szCs w:val="21"/>
    </w:rPr>
  </w:style>
  <w:style w:type="character" w:customStyle="1" w:styleId="LightGrey">
    <w:name w:val="Light Grey"/>
    <w:basedOn w:val="DefaultParagraphFont"/>
    <w:uiPriority w:val="1"/>
    <w:qFormat/>
    <w:rsid w:val="00ED2831"/>
    <w:rPr>
      <w:color w:val="B0BDC6" w:themeColor="text2" w:themeTint="66"/>
    </w:rPr>
  </w:style>
  <w:style w:type="character" w:styleId="PageNumber">
    <w:name w:val="page number"/>
    <w:basedOn w:val="DefaultParagraphFont"/>
    <w:uiPriority w:val="99"/>
    <w:unhideWhenUsed/>
    <w:rsid w:val="00F5404C"/>
    <w:rPr>
      <w:color w:val="495965" w:themeColor="text2"/>
    </w:rPr>
  </w:style>
  <w:style w:type="paragraph" w:styleId="Quote">
    <w:name w:val="Quote"/>
    <w:basedOn w:val="Normal"/>
    <w:next w:val="Normal"/>
    <w:link w:val="QuoteChar"/>
    <w:uiPriority w:val="29"/>
    <w:qFormat/>
    <w:rsid w:val="00D64BD1"/>
    <w:pPr>
      <w:spacing w:before="0" w:after="180" w:line="320" w:lineRule="atLeast"/>
    </w:pPr>
    <w:rPr>
      <w:iCs/>
      <w:sz w:val="28"/>
    </w:rPr>
  </w:style>
  <w:style w:type="character" w:customStyle="1" w:styleId="QuoteChar">
    <w:name w:val="Quote Char"/>
    <w:basedOn w:val="DefaultParagraphFont"/>
    <w:link w:val="Quote"/>
    <w:uiPriority w:val="29"/>
    <w:rsid w:val="00D64BD1"/>
    <w:rPr>
      <w:iCs/>
      <w:color w:val="495965" w:themeColor="text2"/>
      <w:sz w:val="28"/>
      <w:lang w:val="en-GB"/>
    </w:rPr>
  </w:style>
  <w:style w:type="paragraph" w:customStyle="1" w:styleId="QuoteHeading">
    <w:name w:val="Quote Heading"/>
    <w:basedOn w:val="Quote"/>
    <w:qFormat/>
    <w:locked/>
    <w:rsid w:val="00C5182A"/>
    <w:rPr>
      <w:b/>
      <w:sz w:val="20"/>
    </w:rPr>
  </w:style>
  <w:style w:type="paragraph" w:styleId="FootnoteText">
    <w:name w:val="footnote text"/>
    <w:basedOn w:val="Normal"/>
    <w:link w:val="FootnoteTextChar"/>
    <w:unhideWhenUsed/>
    <w:qFormat/>
    <w:rsid w:val="008C5A0E"/>
    <w:pPr>
      <w:spacing w:before="60" w:after="0" w:line="140" w:lineRule="atLeast"/>
      <w:ind w:left="170" w:hanging="170"/>
    </w:pPr>
    <w:rPr>
      <w:sz w:val="12"/>
      <w:szCs w:val="20"/>
    </w:rPr>
  </w:style>
  <w:style w:type="character" w:customStyle="1" w:styleId="FootnoteTextChar">
    <w:name w:val="Footnote Text Char"/>
    <w:basedOn w:val="DefaultParagraphFont"/>
    <w:link w:val="FootnoteText"/>
    <w:rsid w:val="008C5A0E"/>
    <w:rPr>
      <w:color w:val="495965" w:themeColor="text2"/>
      <w:sz w:val="12"/>
      <w:szCs w:val="20"/>
    </w:rPr>
  </w:style>
  <w:style w:type="character" w:styleId="FootnoteReference">
    <w:name w:val="footnote reference"/>
    <w:aliases w:val="Normal + Font:9 Point,Superscript 3 Point Times"/>
    <w:basedOn w:val="DefaultParagraphFont"/>
    <w:uiPriority w:val="99"/>
    <w:unhideWhenUsed/>
    <w:rsid w:val="003002C0"/>
    <w:rPr>
      <w:vertAlign w:val="superscript"/>
    </w:rPr>
  </w:style>
  <w:style w:type="paragraph" w:customStyle="1" w:styleId="GreyRoundBoxText">
    <w:name w:val="Grey Round Box Text"/>
    <w:basedOn w:val="Normal"/>
    <w:qFormat/>
    <w:rsid w:val="000D66D6"/>
    <w:pPr>
      <w:spacing w:before="0"/>
    </w:pPr>
    <w:rPr>
      <w:b/>
      <w:caps/>
      <w:color w:val="FFFFFF" w:themeColor="background1"/>
      <w:sz w:val="18"/>
    </w:rPr>
  </w:style>
  <w:style w:type="character" w:customStyle="1" w:styleId="Green">
    <w:name w:val="Green"/>
    <w:basedOn w:val="DefaultParagraphFont"/>
    <w:uiPriority w:val="1"/>
    <w:qFormat/>
    <w:rsid w:val="00961E72"/>
    <w:rPr>
      <w:color w:val="ACD08C" w:themeColor="accent2"/>
    </w:rPr>
  </w:style>
  <w:style w:type="paragraph" w:customStyle="1" w:styleId="PhotoMargins">
    <w:name w:val="Photo Margins"/>
    <w:basedOn w:val="Normal"/>
    <w:qFormat/>
    <w:rsid w:val="00992C76"/>
  </w:style>
  <w:style w:type="paragraph" w:customStyle="1" w:styleId="PhotoLeft">
    <w:name w:val="Photo Left"/>
    <w:basedOn w:val="PhotoMargins"/>
    <w:qFormat/>
    <w:rsid w:val="00F82271"/>
    <w:pPr>
      <w:ind w:left="-851"/>
    </w:pPr>
  </w:style>
  <w:style w:type="paragraph" w:customStyle="1" w:styleId="PhotoRight">
    <w:name w:val="Photo Right"/>
    <w:basedOn w:val="PhotoMargins"/>
    <w:qFormat/>
    <w:rsid w:val="00F82271"/>
    <w:pPr>
      <w:ind w:right="-851"/>
      <w:jc w:val="right"/>
    </w:pPr>
  </w:style>
  <w:style w:type="paragraph" w:customStyle="1" w:styleId="PhotoCaption">
    <w:name w:val="Photo Caption"/>
    <w:basedOn w:val="Normal"/>
    <w:qFormat/>
    <w:rsid w:val="00897FA2"/>
    <w:pPr>
      <w:spacing w:after="200" w:line="200" w:lineRule="atLeast"/>
      <w:jc w:val="right"/>
    </w:pPr>
    <w:rPr>
      <w:sz w:val="16"/>
    </w:rPr>
  </w:style>
  <w:style w:type="table" w:customStyle="1" w:styleId="DFATTable1">
    <w:name w:val="DFAT Table 1"/>
    <w:basedOn w:val="TableNormal"/>
    <w:uiPriority w:val="99"/>
    <w:rsid w:val="00C06B13"/>
    <w:pPr>
      <w:spacing w:before="60" w:after="60" w:line="260" w:lineRule="atLeast"/>
    </w:pPr>
    <w:rPr>
      <w:rFonts w:ascii="Calibri" w:hAnsi="Calibri"/>
    </w:rPr>
    <w:tblPr>
      <w:tblStyleRowBandSize w:val="1"/>
      <w:tblStyleColBandSize w:val="1"/>
      <w:tblBorders>
        <w:top w:val="single" w:sz="4" w:space="0" w:color="495965" w:themeColor="text2"/>
        <w:bottom w:val="single" w:sz="4" w:space="0" w:color="495965" w:themeColor="text2"/>
        <w:insideH w:val="single" w:sz="4" w:space="0" w:color="495965" w:themeColor="text2"/>
      </w:tblBorders>
      <w:tblCellMar>
        <w:top w:w="57" w:type="dxa"/>
        <w:bottom w:w="57" w:type="dxa"/>
      </w:tblCellMar>
    </w:tblPr>
    <w:tblStylePr w:type="firstRow">
      <w:rPr>
        <w:b w:val="0"/>
      </w:rPr>
      <w:tblPr/>
      <w:tcPr>
        <w:tcBorders>
          <w:top w:val="single" w:sz="4" w:space="0" w:color="65C5B4" w:themeColor="accent1"/>
          <w:bottom w:val="single" w:sz="4" w:space="0" w:color="65C5B4" w:themeColor="accent1"/>
          <w:insideH w:val="single" w:sz="4" w:space="0" w:color="65C5B4" w:themeColor="accent1"/>
        </w:tcBorders>
        <w:shd w:val="clear" w:color="auto" w:fill="65C5B4" w:themeFill="accent1"/>
      </w:tcPr>
    </w:tblStylePr>
    <w:tblStylePr w:type="lastRow">
      <w:rPr>
        <w:b/>
        <w:color w:val="FFFFFF"/>
      </w:rPr>
      <w:tblPr/>
      <w:tcPr>
        <w:shd w:val="clear" w:color="auto" w:fill="495965" w:themeFill="text2"/>
      </w:tcPr>
    </w:tblStylePr>
    <w:tblStylePr w:type="firstCol">
      <w:tblPr/>
      <w:tcPr>
        <w:shd w:val="clear" w:color="auto" w:fill="D8DCDB" w:themeFill="background2"/>
      </w:tcPr>
    </w:tblStylePr>
    <w:tblStylePr w:type="lastCol">
      <w:tblPr/>
      <w:tcPr>
        <w:shd w:val="clear" w:color="auto" w:fill="D8DCDB" w:themeFill="background2"/>
      </w:tcPr>
    </w:tblStylePr>
    <w:tblStylePr w:type="band1Vert">
      <w:tblPr/>
      <w:tcPr>
        <w:shd w:val="clear" w:color="auto" w:fill="E0F3EF" w:themeFill="accent1" w:themeFillTint="33"/>
      </w:tcPr>
    </w:tblStylePr>
    <w:tblStylePr w:type="band2Vert">
      <w:tblPr/>
      <w:tcPr>
        <w:shd w:val="clear" w:color="auto" w:fill="C1E7E0" w:themeFill="accent1" w:themeFillTint="66"/>
      </w:tcPr>
    </w:tblStylePr>
    <w:tblStylePr w:type="band1Horz">
      <w:tblPr/>
      <w:tcPr>
        <w:shd w:val="clear" w:color="auto" w:fill="E0F3EF" w:themeFill="accent1" w:themeFillTint="33"/>
      </w:tcPr>
    </w:tblStylePr>
    <w:tblStylePr w:type="band2Horz">
      <w:tblPr/>
      <w:tcPr>
        <w:shd w:val="clear" w:color="auto" w:fill="C1E7E0" w:themeFill="accent1" w:themeFillTint="66"/>
      </w:tcPr>
    </w:tblStylePr>
  </w:style>
  <w:style w:type="paragraph" w:customStyle="1" w:styleId="FootnoteSeparator">
    <w:name w:val="Footnote Separator"/>
    <w:basedOn w:val="Footer"/>
    <w:qFormat/>
    <w:rsid w:val="00ED2831"/>
    <w:pPr>
      <w:pBdr>
        <w:top w:val="single" w:sz="4" w:space="1" w:color="495965" w:themeColor="text2"/>
      </w:pBdr>
      <w:tabs>
        <w:tab w:val="right" w:pos="9356"/>
        <w:tab w:val="center" w:pos="10036"/>
      </w:tabs>
      <w:spacing w:line="220" w:lineRule="atLeast"/>
      <w:ind w:right="0"/>
    </w:pPr>
    <w:rPr>
      <w:color w:val="495965" w:themeColor="text2"/>
      <w:sz w:val="14"/>
    </w:rPr>
  </w:style>
  <w:style w:type="paragraph" w:customStyle="1" w:styleId="Heading1smallspaceafter">
    <w:name w:val="Heading 1 small space after"/>
    <w:basedOn w:val="Heading1"/>
    <w:qFormat/>
    <w:rsid w:val="00F25A93"/>
    <w:pPr>
      <w:spacing w:after="600"/>
      <w:contextualSpacing w:val="0"/>
    </w:pPr>
  </w:style>
  <w:style w:type="paragraph" w:customStyle="1" w:styleId="TableBullet1">
    <w:name w:val="Table Bullet 1"/>
    <w:basedOn w:val="Bullet1"/>
    <w:qFormat/>
    <w:rsid w:val="00ED2831"/>
    <w:pPr>
      <w:numPr>
        <w:numId w:val="0"/>
      </w:numPr>
      <w:spacing w:before="60" w:line="220" w:lineRule="atLeast"/>
      <w:ind w:left="284" w:hanging="284"/>
    </w:pPr>
    <w:rPr>
      <w:rFonts w:ascii="Calibri" w:hAnsi="Calibri"/>
      <w:sz w:val="18"/>
    </w:rPr>
  </w:style>
  <w:style w:type="paragraph" w:customStyle="1" w:styleId="TableBullet2">
    <w:name w:val="Table Bullet 2"/>
    <w:basedOn w:val="Bullet2"/>
    <w:qFormat/>
    <w:rsid w:val="00ED2831"/>
    <w:pPr>
      <w:numPr>
        <w:ilvl w:val="0"/>
        <w:numId w:val="0"/>
      </w:numPr>
      <w:spacing w:before="60" w:line="220" w:lineRule="atLeast"/>
      <w:ind w:left="568" w:hanging="284"/>
    </w:pPr>
    <w:rPr>
      <w:rFonts w:ascii="Calibri" w:hAnsi="Calibri"/>
      <w:sz w:val="18"/>
    </w:rPr>
  </w:style>
  <w:style w:type="paragraph" w:customStyle="1" w:styleId="TableBullet3">
    <w:name w:val="Table Bullet 3"/>
    <w:basedOn w:val="Bullet3"/>
    <w:qFormat/>
    <w:rsid w:val="00ED2831"/>
    <w:pPr>
      <w:numPr>
        <w:ilvl w:val="0"/>
        <w:numId w:val="0"/>
      </w:numPr>
      <w:spacing w:before="60" w:line="220" w:lineRule="atLeast"/>
      <w:ind w:left="852" w:hanging="284"/>
    </w:pPr>
    <w:rPr>
      <w:rFonts w:ascii="Calibri" w:hAnsi="Calibri"/>
      <w:sz w:val="18"/>
    </w:rPr>
  </w:style>
  <w:style w:type="paragraph" w:customStyle="1" w:styleId="TableHeaderRow">
    <w:name w:val="Table Header Row"/>
    <w:basedOn w:val="Normal"/>
    <w:qFormat/>
    <w:rsid w:val="00C06B13"/>
    <w:pPr>
      <w:framePr w:hSpace="180" w:wrap="around" w:vAnchor="page" w:hAnchor="margin" w:y="5061"/>
      <w:spacing w:before="60"/>
    </w:pPr>
    <w:rPr>
      <w:rFonts w:ascii="Calibri" w:hAnsi="Calibri"/>
      <w:b/>
      <w:szCs w:val="21"/>
    </w:rPr>
  </w:style>
  <w:style w:type="paragraph" w:customStyle="1" w:styleId="TableNumberedList1">
    <w:name w:val="Table Numbered List 1"/>
    <w:basedOn w:val="NumberedList1"/>
    <w:qFormat/>
    <w:rsid w:val="00ED2831"/>
    <w:pPr>
      <w:spacing w:before="60" w:line="220" w:lineRule="atLeast"/>
    </w:pPr>
    <w:rPr>
      <w:rFonts w:ascii="Calibri" w:hAnsi="Calibri"/>
      <w:sz w:val="18"/>
    </w:rPr>
  </w:style>
  <w:style w:type="paragraph" w:customStyle="1" w:styleId="TableNumberedList2">
    <w:name w:val="Table Numbered List 2"/>
    <w:basedOn w:val="NumberedList2"/>
    <w:qFormat/>
    <w:rsid w:val="00ED2831"/>
    <w:pPr>
      <w:spacing w:before="60" w:line="220" w:lineRule="atLeast"/>
    </w:pPr>
    <w:rPr>
      <w:rFonts w:ascii="Calibri" w:hAnsi="Calibri"/>
      <w:sz w:val="18"/>
    </w:rPr>
  </w:style>
  <w:style w:type="paragraph" w:customStyle="1" w:styleId="TableNumberedList3">
    <w:name w:val="Table Numbered List 3"/>
    <w:basedOn w:val="NumberedList3"/>
    <w:qFormat/>
    <w:rsid w:val="00ED2831"/>
    <w:pPr>
      <w:spacing w:before="60" w:line="220" w:lineRule="atLeast"/>
      <w:ind w:left="851"/>
    </w:pPr>
    <w:rPr>
      <w:rFonts w:ascii="Calibri" w:hAnsi="Calibri"/>
      <w:sz w:val="18"/>
    </w:rPr>
  </w:style>
  <w:style w:type="paragraph" w:customStyle="1" w:styleId="TableSourceNotes">
    <w:name w:val="Table Source Notes"/>
    <w:basedOn w:val="Normal"/>
    <w:qFormat/>
    <w:rsid w:val="00ED2831"/>
    <w:pPr>
      <w:tabs>
        <w:tab w:val="left" w:pos="284"/>
      </w:tabs>
      <w:spacing w:line="160" w:lineRule="atLeast"/>
      <w:ind w:left="284" w:hanging="284"/>
      <w:contextualSpacing/>
    </w:pPr>
    <w:rPr>
      <w:sz w:val="12"/>
    </w:rPr>
  </w:style>
  <w:style w:type="paragraph" w:customStyle="1" w:styleId="TableTotalRow">
    <w:name w:val="Table Total Row"/>
    <w:basedOn w:val="Normal"/>
    <w:qFormat/>
    <w:rsid w:val="00CF07BA"/>
    <w:pPr>
      <w:spacing w:before="60"/>
    </w:pPr>
    <w:rPr>
      <w:rFonts w:ascii="Calibri" w:hAnsi="Calibri"/>
      <w:b/>
      <w:color w:val="FFFFFF" w:themeColor="background1"/>
    </w:rPr>
  </w:style>
  <w:style w:type="paragraph" w:customStyle="1" w:styleId="BoxHeading">
    <w:name w:val="Box Heading"/>
    <w:basedOn w:val="Heading3"/>
    <w:qFormat/>
    <w:locked/>
    <w:rsid w:val="00ED2831"/>
    <w:pPr>
      <w:spacing w:before="60"/>
    </w:pPr>
  </w:style>
  <w:style w:type="paragraph" w:customStyle="1" w:styleId="QuoteAuthor">
    <w:name w:val="Quote Author"/>
    <w:basedOn w:val="Quote"/>
    <w:qFormat/>
    <w:rsid w:val="00D64BD1"/>
    <w:pPr>
      <w:spacing w:after="60" w:line="200" w:lineRule="atLeast"/>
    </w:pPr>
    <w:rPr>
      <w:sz w:val="16"/>
    </w:rPr>
  </w:style>
  <w:style w:type="paragraph" w:customStyle="1" w:styleId="TableText">
    <w:name w:val="Table Text"/>
    <w:basedOn w:val="Normal"/>
    <w:qFormat/>
    <w:rsid w:val="0080204D"/>
    <w:pPr>
      <w:framePr w:hSpace="180" w:wrap="around" w:vAnchor="page" w:hAnchor="margin" w:y="5061"/>
      <w:spacing w:before="60"/>
    </w:pPr>
    <w:rPr>
      <w:rFonts w:ascii="Calibri" w:hAnsi="Calibri"/>
      <w:szCs w:val="21"/>
    </w:rPr>
  </w:style>
  <w:style w:type="paragraph" w:customStyle="1" w:styleId="PhotoCredit">
    <w:name w:val="Photo Credit"/>
    <w:basedOn w:val="Normal"/>
    <w:qFormat/>
    <w:rsid w:val="00A80F95"/>
    <w:pPr>
      <w:spacing w:after="200" w:line="160" w:lineRule="atLeast"/>
      <w:jc w:val="right"/>
    </w:pPr>
    <w:rPr>
      <w:sz w:val="12"/>
    </w:rPr>
  </w:style>
  <w:style w:type="paragraph" w:styleId="BalloonText">
    <w:name w:val="Balloon Text"/>
    <w:basedOn w:val="Normal"/>
    <w:link w:val="BalloonTextChar"/>
    <w:uiPriority w:val="99"/>
    <w:semiHidden/>
    <w:unhideWhenUsed/>
    <w:locked/>
    <w:rsid w:val="00A61B4D"/>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1B4D"/>
    <w:rPr>
      <w:rFonts w:ascii="Tahoma" w:hAnsi="Tahoma" w:cs="Tahoma"/>
      <w:color w:val="495965" w:themeColor="text2"/>
      <w:sz w:val="16"/>
      <w:szCs w:val="16"/>
      <w:lang w:val="en-GB"/>
    </w:rPr>
  </w:style>
  <w:style w:type="paragraph" w:customStyle="1" w:styleId="SpacebeforeTitle">
    <w:name w:val="Space before Title"/>
    <w:basedOn w:val="Normal"/>
    <w:qFormat/>
    <w:rsid w:val="00B33C0A"/>
    <w:pPr>
      <w:spacing w:after="900"/>
    </w:pPr>
  </w:style>
  <w:style w:type="paragraph" w:customStyle="1" w:styleId="Box1Text">
    <w:name w:val="Box 1 Text"/>
    <w:basedOn w:val="Normal"/>
    <w:qFormat/>
    <w:rsid w:val="00E8296D"/>
    <w:pPr>
      <w:pBdr>
        <w:top w:val="single" w:sz="4" w:space="14" w:color="65C5B4" w:themeColor="accent1"/>
        <w:left w:val="single" w:sz="4" w:space="14" w:color="65C5B4" w:themeColor="accent1"/>
        <w:bottom w:val="single" w:sz="4" w:space="14" w:color="65C5B4" w:themeColor="accent1"/>
        <w:right w:val="single" w:sz="4" w:space="14" w:color="65C5B4" w:themeColor="accent1"/>
      </w:pBdr>
      <w:shd w:val="clear" w:color="auto" w:fill="FFFFFF" w:themeFill="background1"/>
      <w:spacing w:before="180" w:after="80" w:line="240" w:lineRule="atLeast"/>
      <w:ind w:left="284" w:right="284"/>
    </w:pPr>
    <w:rPr>
      <w:sz w:val="20"/>
      <w:lang w:val="en-AU"/>
    </w:rPr>
  </w:style>
  <w:style w:type="paragraph" w:customStyle="1" w:styleId="Box1Heading">
    <w:name w:val="Box 1 Heading"/>
    <w:basedOn w:val="Box1Text"/>
    <w:qFormat/>
    <w:rsid w:val="00E8296D"/>
    <w:pPr>
      <w:keepNext/>
      <w:spacing w:line="300" w:lineRule="atLeast"/>
    </w:pPr>
    <w:rPr>
      <w:b/>
      <w:sz w:val="26"/>
    </w:rPr>
  </w:style>
  <w:style w:type="paragraph" w:customStyle="1" w:styleId="Box2Text">
    <w:name w:val="Box 2 Text"/>
    <w:basedOn w:val="Box1Text"/>
    <w:qFormat/>
    <w:rsid w:val="00522396"/>
    <w:pPr>
      <w:pBdr>
        <w:top w:val="single" w:sz="4" w:space="14" w:color="495965" w:themeColor="text2"/>
        <w:left w:val="single" w:sz="4" w:space="14" w:color="495965" w:themeColor="text2"/>
        <w:bottom w:val="single" w:sz="4" w:space="14" w:color="495965" w:themeColor="text2"/>
        <w:right w:val="single" w:sz="4" w:space="14" w:color="495965" w:themeColor="text2"/>
      </w:pBdr>
      <w:shd w:val="clear" w:color="auto" w:fill="495965" w:themeFill="text2"/>
    </w:pPr>
    <w:rPr>
      <w:color w:val="FFFFFF" w:themeColor="background1"/>
    </w:rPr>
  </w:style>
  <w:style w:type="paragraph" w:customStyle="1" w:styleId="Box2Heading">
    <w:name w:val="Box 2 Heading"/>
    <w:basedOn w:val="Box2Text"/>
    <w:qFormat/>
    <w:rsid w:val="00E8296D"/>
    <w:pPr>
      <w:keepNext/>
      <w:spacing w:line="300" w:lineRule="atLeast"/>
    </w:pPr>
    <w:rPr>
      <w:b/>
      <w:sz w:val="26"/>
    </w:rPr>
  </w:style>
  <w:style w:type="paragraph" w:customStyle="1" w:styleId="Box1Bullet">
    <w:name w:val="Box 1 Bullet"/>
    <w:basedOn w:val="Box1Text"/>
    <w:qFormat/>
    <w:rsid w:val="00C42541"/>
    <w:pPr>
      <w:numPr>
        <w:numId w:val="31"/>
      </w:numPr>
      <w:ind w:left="454" w:hanging="170"/>
    </w:pPr>
  </w:style>
  <w:style w:type="paragraph" w:customStyle="1" w:styleId="Box2Bullet">
    <w:name w:val="Box 2 Bullet"/>
    <w:basedOn w:val="Box2Text"/>
    <w:qFormat/>
    <w:rsid w:val="00C42541"/>
    <w:pPr>
      <w:numPr>
        <w:numId w:val="32"/>
      </w:numPr>
      <w:ind w:left="454" w:hanging="170"/>
    </w:pPr>
  </w:style>
  <w:style w:type="paragraph" w:styleId="BodyText">
    <w:name w:val="Body Text"/>
    <w:basedOn w:val="Normal"/>
    <w:link w:val="BodyTextChar"/>
    <w:uiPriority w:val="99"/>
    <w:unhideWhenUsed/>
    <w:rsid w:val="000020C1"/>
  </w:style>
  <w:style w:type="character" w:customStyle="1" w:styleId="BodyTextChar">
    <w:name w:val="Body Text Char"/>
    <w:basedOn w:val="DefaultParagraphFont"/>
    <w:link w:val="BodyText"/>
    <w:uiPriority w:val="99"/>
    <w:rsid w:val="000020C1"/>
    <w:rPr>
      <w:color w:val="495965" w:themeColor="text2"/>
      <w:lang w:val="en-GB"/>
    </w:rPr>
  </w:style>
  <w:style w:type="paragraph" w:styleId="BodyText2">
    <w:name w:val="Body Text 2"/>
    <w:basedOn w:val="Normal"/>
    <w:link w:val="BodyText2Char"/>
    <w:uiPriority w:val="99"/>
    <w:semiHidden/>
    <w:unhideWhenUsed/>
    <w:locked/>
    <w:rsid w:val="000020C1"/>
    <w:pPr>
      <w:spacing w:line="480" w:lineRule="auto"/>
    </w:pPr>
  </w:style>
  <w:style w:type="character" w:customStyle="1" w:styleId="BodyText2Char">
    <w:name w:val="Body Text 2 Char"/>
    <w:basedOn w:val="DefaultParagraphFont"/>
    <w:link w:val="BodyText2"/>
    <w:uiPriority w:val="99"/>
    <w:semiHidden/>
    <w:rsid w:val="000020C1"/>
    <w:rPr>
      <w:color w:val="495965" w:themeColor="text2"/>
      <w:lang w:val="en-GB"/>
    </w:rPr>
  </w:style>
  <w:style w:type="paragraph" w:styleId="BodyText3">
    <w:name w:val="Body Text 3"/>
    <w:basedOn w:val="Normal"/>
    <w:link w:val="BodyText3Char"/>
    <w:uiPriority w:val="99"/>
    <w:semiHidden/>
    <w:unhideWhenUsed/>
    <w:locked/>
    <w:rsid w:val="000020C1"/>
    <w:rPr>
      <w:sz w:val="16"/>
      <w:szCs w:val="16"/>
    </w:rPr>
  </w:style>
  <w:style w:type="character" w:customStyle="1" w:styleId="BodyText3Char">
    <w:name w:val="Body Text 3 Char"/>
    <w:basedOn w:val="DefaultParagraphFont"/>
    <w:link w:val="BodyText3"/>
    <w:uiPriority w:val="99"/>
    <w:semiHidden/>
    <w:rsid w:val="000020C1"/>
    <w:rPr>
      <w:color w:val="495965" w:themeColor="text2"/>
      <w:sz w:val="16"/>
      <w:szCs w:val="16"/>
      <w:lang w:val="en-GB"/>
    </w:rPr>
  </w:style>
  <w:style w:type="paragraph" w:styleId="BodyTextFirstIndent">
    <w:name w:val="Body Text First Indent"/>
    <w:basedOn w:val="NormalIndented"/>
    <w:link w:val="BodyTextFirstIndentChar"/>
    <w:uiPriority w:val="99"/>
    <w:unhideWhenUsed/>
    <w:rsid w:val="000020C1"/>
  </w:style>
  <w:style w:type="character" w:customStyle="1" w:styleId="BodyTextFirstIndentChar">
    <w:name w:val="Body Text First Indent Char"/>
    <w:basedOn w:val="BodyTextChar"/>
    <w:link w:val="BodyTextFirstIndent"/>
    <w:uiPriority w:val="99"/>
    <w:rsid w:val="000020C1"/>
    <w:rPr>
      <w:color w:val="495965" w:themeColor="text2"/>
      <w:lang w:val="en-GB"/>
    </w:rPr>
  </w:style>
  <w:style w:type="paragraph" w:styleId="BodyTextIndent">
    <w:name w:val="Body Text Indent"/>
    <w:basedOn w:val="Normal"/>
    <w:link w:val="BodyTextIndentChar"/>
    <w:uiPriority w:val="99"/>
    <w:semiHidden/>
    <w:unhideWhenUsed/>
    <w:locked/>
    <w:rsid w:val="000020C1"/>
    <w:pPr>
      <w:spacing w:after="120"/>
      <w:ind w:left="283"/>
    </w:pPr>
  </w:style>
  <w:style w:type="character" w:customStyle="1" w:styleId="BodyTextIndentChar">
    <w:name w:val="Body Text Indent Char"/>
    <w:basedOn w:val="DefaultParagraphFont"/>
    <w:link w:val="BodyTextIndent"/>
    <w:uiPriority w:val="99"/>
    <w:semiHidden/>
    <w:rsid w:val="000020C1"/>
    <w:rPr>
      <w:color w:val="495965" w:themeColor="text2"/>
      <w:lang w:val="en-GB"/>
    </w:rPr>
  </w:style>
  <w:style w:type="paragraph" w:styleId="BodyTextFirstIndent2">
    <w:name w:val="Body Text First Indent 2"/>
    <w:basedOn w:val="BodyTextIndent"/>
    <w:link w:val="BodyTextFirstIndent2Char"/>
    <w:uiPriority w:val="99"/>
    <w:semiHidden/>
    <w:unhideWhenUsed/>
    <w:locked/>
    <w:rsid w:val="00E8457B"/>
    <w:pPr>
      <w:spacing w:after="60"/>
      <w:ind w:left="567"/>
    </w:pPr>
  </w:style>
  <w:style w:type="character" w:customStyle="1" w:styleId="BodyTextFirstIndent2Char">
    <w:name w:val="Body Text First Indent 2 Char"/>
    <w:basedOn w:val="BodyTextIndentChar"/>
    <w:link w:val="BodyTextFirstIndent2"/>
    <w:uiPriority w:val="99"/>
    <w:semiHidden/>
    <w:rsid w:val="00E8457B"/>
    <w:rPr>
      <w:color w:val="495965" w:themeColor="text2"/>
      <w:lang w:val="en-GB"/>
    </w:rPr>
  </w:style>
  <w:style w:type="paragraph" w:styleId="BlockText">
    <w:name w:val="Block Text"/>
    <w:basedOn w:val="Normal"/>
    <w:uiPriority w:val="99"/>
    <w:unhideWhenUsed/>
    <w:locked/>
    <w:rsid w:val="00E8457B"/>
    <w:pPr>
      <w:pBdr>
        <w:top w:val="single" w:sz="2" w:space="10" w:color="65C5B4" w:themeColor="accent1"/>
        <w:left w:val="single" w:sz="2" w:space="10" w:color="65C5B4" w:themeColor="accent1"/>
        <w:bottom w:val="single" w:sz="2" w:space="10" w:color="65C5B4" w:themeColor="accent1"/>
        <w:right w:val="single" w:sz="2" w:space="10" w:color="65C5B4" w:themeColor="accent1"/>
      </w:pBdr>
      <w:ind w:left="1152" w:right="1152"/>
    </w:pPr>
    <w:rPr>
      <w:rFonts w:eastAsiaTheme="minorEastAsia"/>
      <w:i/>
      <w:iCs/>
      <w:color w:val="65C5B4" w:themeColor="accent1"/>
    </w:rPr>
  </w:style>
  <w:style w:type="table" w:customStyle="1" w:styleId="DFATTable2">
    <w:name w:val="DFAT Table 2"/>
    <w:basedOn w:val="TableNormal"/>
    <w:uiPriority w:val="99"/>
    <w:rsid w:val="00482AE8"/>
    <w:pPr>
      <w:spacing w:after="0" w:line="260" w:lineRule="atLeast"/>
    </w:pPr>
    <w:rPr>
      <w:rFonts w:ascii="Calibri" w:hAnsi="Calibri"/>
      <w:color w:val="495965" w:themeColor="text2"/>
    </w:rPr>
    <w:tblPr>
      <w:tblBorders>
        <w:top w:val="single" w:sz="4" w:space="0" w:color="F6F6F8"/>
        <w:bottom w:val="single" w:sz="4" w:space="0" w:color="F6F6F8"/>
        <w:insideH w:val="single" w:sz="4" w:space="0" w:color="F6F6F8"/>
      </w:tblBorders>
      <w:tblCellMar>
        <w:top w:w="57" w:type="dxa"/>
        <w:left w:w="57" w:type="dxa"/>
        <w:bottom w:w="57" w:type="dxa"/>
        <w:right w:w="57" w:type="dxa"/>
      </w:tblCellMar>
    </w:tblPr>
    <w:tcPr>
      <w:shd w:val="clear" w:color="auto" w:fill="FFFFFF" w:themeFill="background1"/>
    </w:tcPr>
  </w:style>
  <w:style w:type="character" w:styleId="CommentReference">
    <w:name w:val="annotation reference"/>
    <w:basedOn w:val="DefaultParagraphFont"/>
    <w:uiPriority w:val="99"/>
    <w:semiHidden/>
    <w:unhideWhenUsed/>
    <w:rsid w:val="005204D2"/>
    <w:rPr>
      <w:sz w:val="16"/>
      <w:szCs w:val="16"/>
    </w:rPr>
  </w:style>
  <w:style w:type="paragraph" w:styleId="CommentText">
    <w:name w:val="annotation text"/>
    <w:basedOn w:val="Normal"/>
    <w:link w:val="CommentTextChar"/>
    <w:uiPriority w:val="99"/>
    <w:semiHidden/>
    <w:unhideWhenUsed/>
    <w:rsid w:val="005204D2"/>
    <w:pPr>
      <w:spacing w:line="240" w:lineRule="auto"/>
    </w:pPr>
    <w:rPr>
      <w:sz w:val="20"/>
      <w:szCs w:val="20"/>
    </w:rPr>
  </w:style>
  <w:style w:type="character" w:customStyle="1" w:styleId="CommentTextChar">
    <w:name w:val="Comment Text Char"/>
    <w:basedOn w:val="DefaultParagraphFont"/>
    <w:link w:val="CommentText"/>
    <w:uiPriority w:val="99"/>
    <w:semiHidden/>
    <w:rsid w:val="005204D2"/>
    <w:rPr>
      <w:color w:val="495965" w:themeColor="text2"/>
      <w:sz w:val="20"/>
      <w:szCs w:val="20"/>
      <w:lang w:val="en-GB"/>
    </w:rPr>
  </w:style>
  <w:style w:type="paragraph" w:styleId="CommentSubject">
    <w:name w:val="annotation subject"/>
    <w:basedOn w:val="CommentText"/>
    <w:next w:val="CommentText"/>
    <w:link w:val="CommentSubjectChar"/>
    <w:uiPriority w:val="99"/>
    <w:semiHidden/>
    <w:unhideWhenUsed/>
    <w:rsid w:val="005204D2"/>
    <w:rPr>
      <w:b/>
      <w:bCs/>
    </w:rPr>
  </w:style>
  <w:style w:type="character" w:customStyle="1" w:styleId="CommentSubjectChar">
    <w:name w:val="Comment Subject Char"/>
    <w:basedOn w:val="CommentTextChar"/>
    <w:link w:val="CommentSubject"/>
    <w:uiPriority w:val="99"/>
    <w:semiHidden/>
    <w:rsid w:val="005204D2"/>
    <w:rPr>
      <w:b/>
      <w:bCs/>
      <w:color w:val="495965" w:themeColor="text2"/>
      <w:sz w:val="20"/>
      <w:szCs w:val="20"/>
      <w:lang w:val="en-GB"/>
    </w:rPr>
  </w:style>
  <w:style w:type="character" w:customStyle="1" w:styleId="ColourAccent1">
    <w:name w:val="Colour Accent 1"/>
    <w:basedOn w:val="DefaultParagraphFont"/>
    <w:uiPriority w:val="1"/>
    <w:qFormat/>
    <w:locked/>
    <w:rsid w:val="001214BE"/>
    <w:rPr>
      <w:color w:val="65C5B4" w:themeColor="accent1"/>
    </w:rPr>
  </w:style>
  <w:style w:type="paragraph" w:styleId="ListParagraph">
    <w:name w:val="List Paragraph"/>
    <w:basedOn w:val="Normal"/>
    <w:uiPriority w:val="34"/>
    <w:qFormat/>
    <w:locked/>
    <w:rsid w:val="00A32858"/>
    <w:pPr>
      <w:ind w:left="720"/>
      <w:contextualSpacing/>
    </w:pPr>
  </w:style>
  <w:style w:type="paragraph" w:styleId="ListBullet">
    <w:name w:val="List Bullet"/>
    <w:basedOn w:val="BodyText"/>
    <w:qFormat/>
    <w:locked/>
    <w:rsid w:val="00A32858"/>
    <w:pPr>
      <w:numPr>
        <w:numId w:val="37"/>
      </w:numPr>
      <w:tabs>
        <w:tab w:val="left" w:pos="284"/>
      </w:tabs>
      <w:suppressAutoHyphens w:val="0"/>
      <w:spacing w:before="0" w:after="120" w:line="280" w:lineRule="exact"/>
    </w:pPr>
    <w:rPr>
      <w:rFonts w:ascii="Franklin Gothic Book" w:eastAsia="Times New Roman" w:hAnsi="Franklin Gothic Book" w:cs="Times New Roman"/>
      <w:sz w:val="21"/>
      <w:szCs w:val="24"/>
      <w:lang w:val="en-AU" w:eastAsia="en-AU"/>
    </w:rPr>
  </w:style>
  <w:style w:type="paragraph" w:styleId="Revision">
    <w:name w:val="Revision"/>
    <w:hidden/>
    <w:uiPriority w:val="99"/>
    <w:semiHidden/>
    <w:rsid w:val="005C68D4"/>
    <w:pPr>
      <w:spacing w:after="0" w:line="240" w:lineRule="auto"/>
    </w:pPr>
    <w:rPr>
      <w:color w:val="495965" w:themeColor="text2"/>
      <w:lang w:val="en-GB"/>
    </w:rPr>
  </w:style>
  <w:style w:type="table" w:customStyle="1" w:styleId="TableGrid1">
    <w:name w:val="Table Grid1"/>
    <w:basedOn w:val="TableNormal"/>
    <w:next w:val="TableGrid"/>
    <w:uiPriority w:val="39"/>
    <w:rsid w:val="00D431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767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7731032">
      <w:bodyDiv w:val="1"/>
      <w:marLeft w:val="0"/>
      <w:marRight w:val="0"/>
      <w:marTop w:val="0"/>
      <w:marBottom w:val="0"/>
      <w:divBdr>
        <w:top w:val="none" w:sz="0" w:space="0" w:color="auto"/>
        <w:left w:val="none" w:sz="0" w:space="0" w:color="auto"/>
        <w:bottom w:val="none" w:sz="0" w:space="0" w:color="auto"/>
        <w:right w:val="none" w:sz="0" w:space="0" w:color="auto"/>
      </w:divBdr>
    </w:div>
    <w:div w:id="1310859532">
      <w:bodyDiv w:val="1"/>
      <w:marLeft w:val="0"/>
      <w:marRight w:val="0"/>
      <w:marTop w:val="0"/>
      <w:marBottom w:val="0"/>
      <w:divBdr>
        <w:top w:val="none" w:sz="0" w:space="0" w:color="auto"/>
        <w:left w:val="none" w:sz="0" w:space="0" w:color="auto"/>
        <w:bottom w:val="none" w:sz="0" w:space="0" w:color="auto"/>
        <w:right w:val="none" w:sz="0" w:space="0" w:color="auto"/>
      </w:divBdr>
    </w:div>
    <w:div w:id="1447044134">
      <w:bodyDiv w:val="1"/>
      <w:marLeft w:val="0"/>
      <w:marRight w:val="0"/>
      <w:marTop w:val="0"/>
      <w:marBottom w:val="0"/>
      <w:divBdr>
        <w:top w:val="none" w:sz="0" w:space="0" w:color="auto"/>
        <w:left w:val="none" w:sz="0" w:space="0" w:color="auto"/>
        <w:bottom w:val="none" w:sz="0" w:space="0" w:color="auto"/>
        <w:right w:val="none" w:sz="0" w:space="0" w:color="auto"/>
      </w:divBdr>
    </w:div>
    <w:div w:id="2019384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fat.gov.au/publications/development/timor-leste-covid-19-development-response-pla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DFAT Corporate - Standard">
  <a:themeElements>
    <a:clrScheme name="DFAT Corporate">
      <a:dk1>
        <a:sysClr val="windowText" lastClr="000000"/>
      </a:dk1>
      <a:lt1>
        <a:sysClr val="window" lastClr="FFFFFF"/>
      </a:lt1>
      <a:dk2>
        <a:srgbClr val="495965"/>
      </a:dk2>
      <a:lt2>
        <a:srgbClr val="D8DCDB"/>
      </a:lt2>
      <a:accent1>
        <a:srgbClr val="65C5B4"/>
      </a:accent1>
      <a:accent2>
        <a:srgbClr val="ACD08C"/>
      </a:accent2>
      <a:accent3>
        <a:srgbClr val="D3875F"/>
      </a:accent3>
      <a:accent4>
        <a:srgbClr val="FFF799"/>
      </a:accent4>
      <a:accent5>
        <a:srgbClr val="409F68"/>
      </a:accent5>
      <a:accent6>
        <a:srgbClr val="007C89"/>
      </a:accent6>
      <a:hlink>
        <a:srgbClr val="0000FF"/>
      </a:hlink>
      <a:folHlink>
        <a:srgbClr val="800080"/>
      </a:folHlink>
    </a:clrScheme>
    <a:fontScheme name="DFAT Corporate 1">
      <a:majorFont>
        <a:latin typeface="Calibri"/>
        <a:ea typeface=""/>
        <a:cs typeface=""/>
      </a:majorFont>
      <a:minorFont>
        <a:latin typeface="Calibri Light"/>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spPr>
      <a:bodyPr wrap="square" lIns="0" tIns="0" rIns="0" bIns="0" rtlCol="0">
        <a:spAutoFit/>
      </a:bodyPr>
      <a:lstStyle>
        <a:defPPr>
          <a:defRPr dirty="0"/>
        </a:defPPr>
      </a:lstStyle>
    </a:txDef>
  </a:objectDefaults>
  <a:extraClrSchemeLst/>
  <a:extLst>
    <a:ext uri="{05A4C25C-085E-4340-85A3-A5531E510DB2}">
      <thm15:themeFamily xmlns:thm15="http://schemas.microsoft.com/office/thememl/2012/main" name="DFAT Corporate - Standard" id="{D4BA5EE0-EB14-4FE9-A4E7-2FD97131F639}" vid="{2ACD2008-3A55-4AE1-937A-FE4FB76DD00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85E846-50F5-43D0-8F53-DC6BDD72CC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5069</Words>
  <Characters>28897</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Governance for Development 2 – Investment Concept Note</dc:title>
  <dc:creator/>
  <cp:lastModifiedBy/>
  <cp:revision>1</cp:revision>
  <dcterms:created xsi:type="dcterms:W3CDTF">2021-01-21T03:45:00Z</dcterms:created>
  <dcterms:modified xsi:type="dcterms:W3CDTF">2021-01-21T03:45:00Z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82f30e0f-4da1-4841-8469-b2cfa2fcf28d</vt:lpwstr>
  </property>
  <property fmtid="{D5CDD505-2E9C-101B-9397-08002B2CF9AE}" pid="3" name="SEC">
    <vt:lpwstr>OFFICIAL</vt:lpwstr>
  </property>
</Properties>
</file>