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EC1" w14:textId="77777777" w:rsidR="00FE6F2A" w:rsidRDefault="00FE6F2A" w:rsidP="00F25A93">
      <w:pPr>
        <w:pStyle w:val="SpacebeforeTitle"/>
      </w:pPr>
    </w:p>
    <w:p w14:paraId="151F9E20" w14:textId="7DB53F0A" w:rsidR="005C4F20" w:rsidRPr="00ED75A8" w:rsidRDefault="002318E6" w:rsidP="001A585D">
      <w:pPr>
        <w:pStyle w:val="Heading1"/>
        <w:spacing w:after="240"/>
        <w:jc w:val="center"/>
      </w:pPr>
      <w:r w:rsidRPr="002318E6">
        <w:t xml:space="preserve">DFAT management response to the </w:t>
      </w:r>
      <w:r w:rsidR="00AF06CB">
        <w:t>REVIEW of</w:t>
      </w:r>
      <w:r w:rsidR="007B6AAF">
        <w:br/>
      </w:r>
      <w:r w:rsidR="007339BD">
        <w:t xml:space="preserve">the </w:t>
      </w:r>
      <w:r w:rsidR="00E350AE">
        <w:t>Global Education Monitoring Centre</w:t>
      </w:r>
    </w:p>
    <w:p w14:paraId="44E92D91" w14:textId="0F919F7B" w:rsidR="002C62F4" w:rsidRDefault="000700D4" w:rsidP="001A585D">
      <w:pPr>
        <w:pStyle w:val="BodyCopy"/>
        <w:ind w:left="-567" w:right="-456"/>
      </w:pPr>
      <w:r w:rsidRPr="000700D4">
        <w:t xml:space="preserve">The Global Education Monitoring Centre (GEM Centre) is a research hub established in 2013 and housed within the Australian Council for Education </w:t>
      </w:r>
      <w:r w:rsidRPr="00A919B2">
        <w:t>Research</w:t>
      </w:r>
      <w:r w:rsidRPr="000700D4">
        <w:t xml:space="preserve"> (ACER)</w:t>
      </w:r>
      <w:r w:rsidR="002C62F4">
        <w:t xml:space="preserve">. </w:t>
      </w:r>
      <w:r w:rsidR="006568A7">
        <w:t>The</w:t>
      </w:r>
      <w:r w:rsidRPr="000700D4">
        <w:t xml:space="preserve"> aim is to improve learning by ensuring that education policy, practice and investment are influenced by high-quality evidence and provides support to local, </w:t>
      </w:r>
      <w:proofErr w:type="gramStart"/>
      <w:r w:rsidRPr="000700D4">
        <w:t>regional</w:t>
      </w:r>
      <w:proofErr w:type="gramEnd"/>
      <w:r w:rsidRPr="000700D4">
        <w:t xml:space="preserve"> and global organisations, and governments. </w:t>
      </w:r>
    </w:p>
    <w:p w14:paraId="4F616760" w14:textId="564AFCB5" w:rsidR="000700D4" w:rsidRDefault="000700D4" w:rsidP="001A585D">
      <w:pPr>
        <w:pStyle w:val="BodyCopy"/>
        <w:ind w:left="-567" w:right="-425"/>
      </w:pPr>
      <w:r w:rsidRPr="000700D4">
        <w:t xml:space="preserve">In 2014, ACER and the Australian Government Department of Foreign Affairs and Trade (DFAT) entered </w:t>
      </w:r>
      <w:r w:rsidR="000D509A">
        <w:t>a</w:t>
      </w:r>
      <w:r w:rsidRPr="000700D4">
        <w:t xml:space="preserve"> long-term strategic </w:t>
      </w:r>
      <w:r w:rsidR="000D509A">
        <w:t xml:space="preserve">partnership through the </w:t>
      </w:r>
      <w:r w:rsidRPr="000700D4">
        <w:t xml:space="preserve">GEM </w:t>
      </w:r>
      <w:r w:rsidR="000D509A">
        <w:t>Centre</w:t>
      </w:r>
      <w:r w:rsidRPr="000700D4">
        <w:t xml:space="preserve">. </w:t>
      </w:r>
      <w:r w:rsidR="001700B7">
        <w:t>This</w:t>
      </w:r>
      <w:r w:rsidR="00EA5145">
        <w:t xml:space="preserve"> is</w:t>
      </w:r>
      <w:r w:rsidRPr="000700D4">
        <w:t xml:space="preserve"> based on the mutual priorities articulated in ACER’s mission to improve learning and DFAT’s Education Strategy and education policy. </w:t>
      </w:r>
      <w:r w:rsidR="0092093D" w:rsidRPr="0092093D">
        <w:t>The GEM Centre Pathways to Impact Strategic Framework (2020) captures the GEM Centre’s overall objective</w:t>
      </w:r>
      <w:r w:rsidR="006568A7">
        <w:t xml:space="preserve"> t</w:t>
      </w:r>
      <w:r w:rsidR="0092093D" w:rsidRPr="0092093D">
        <w:t>o improve learning by ensuring that education policies, practices and investments are influenced by high-quality evidence.</w:t>
      </w:r>
    </w:p>
    <w:p w14:paraId="0C9F4617" w14:textId="667E8A3A" w:rsidR="00C31775" w:rsidRDefault="00E7278F" w:rsidP="001A585D">
      <w:pPr>
        <w:pStyle w:val="BodyCopy"/>
        <w:ind w:left="-567" w:right="-456"/>
      </w:pPr>
      <w:r>
        <w:t>A</w:t>
      </w:r>
      <w:r w:rsidR="00C31775" w:rsidRPr="00C31775">
        <w:t xml:space="preserve"> second Mid-Term Evaluation (MTE) for Phase 3 (</w:t>
      </w:r>
      <w:r w:rsidR="0085406B">
        <w:t xml:space="preserve">4 November </w:t>
      </w:r>
      <w:r w:rsidR="00C31775" w:rsidRPr="00C31775">
        <w:t>2020-</w:t>
      </w:r>
      <w:r w:rsidR="0085406B">
        <w:t xml:space="preserve"> 3 November </w:t>
      </w:r>
      <w:r w:rsidR="00C31775" w:rsidRPr="00C31775">
        <w:t>2023)</w:t>
      </w:r>
      <w:r w:rsidR="001B2DA3">
        <w:rPr>
          <w:rStyle w:val="EndnoteReference"/>
        </w:rPr>
        <w:endnoteReference w:id="1"/>
      </w:r>
      <w:r w:rsidR="00C31775" w:rsidRPr="00C31775">
        <w:t xml:space="preserve"> </w:t>
      </w:r>
      <w:r>
        <w:t xml:space="preserve">was commissioned </w:t>
      </w:r>
      <w:r w:rsidR="00C31775" w:rsidRPr="00C31775">
        <w:t xml:space="preserve">to assess progress against recommendations </w:t>
      </w:r>
      <w:r w:rsidR="00370256">
        <w:t xml:space="preserve">resulting from the previous phase </w:t>
      </w:r>
      <w:r w:rsidR="00C31775" w:rsidRPr="00C31775">
        <w:t xml:space="preserve">and to help inform the future of the </w:t>
      </w:r>
      <w:r w:rsidR="00370256">
        <w:t>GEM Centre</w:t>
      </w:r>
      <w:r w:rsidR="00C31775" w:rsidRPr="00C31775">
        <w:t xml:space="preserve">. </w:t>
      </w:r>
      <w:r w:rsidR="00BF3021" w:rsidRPr="00BF3021">
        <w:t xml:space="preserve">Evaluation questions were agreed with </w:t>
      </w:r>
      <w:r w:rsidR="00A549FC">
        <w:t xml:space="preserve">GEM Centre </w:t>
      </w:r>
      <w:r w:rsidR="00BF3021" w:rsidRPr="00BF3021">
        <w:t>Board members and reflect the Organisation for Economic and Development Cooperation (OECD) Development Assistance Committee criteria</w:t>
      </w:r>
      <w:r w:rsidR="008D717E">
        <w:rPr>
          <w:lang w:val="en-GB"/>
        </w:rPr>
        <w:t>. T</w:t>
      </w:r>
      <w:r w:rsidR="00956E69">
        <w:rPr>
          <w:lang w:val="en-GB"/>
        </w:rPr>
        <w:t xml:space="preserve">he </w:t>
      </w:r>
      <w:r w:rsidR="00A549FC">
        <w:rPr>
          <w:lang w:val="en-GB"/>
        </w:rPr>
        <w:t>evaluation</w:t>
      </w:r>
      <w:r w:rsidR="00956E69">
        <w:rPr>
          <w:lang w:val="en-GB"/>
        </w:rPr>
        <w:t xml:space="preserve"> was </w:t>
      </w:r>
      <w:r w:rsidR="00956E69" w:rsidRPr="00956E69">
        <w:rPr>
          <w:lang w:val="en-GB"/>
        </w:rPr>
        <w:t>undertaken in the period July 2022 to February 2023</w:t>
      </w:r>
      <w:r w:rsidR="00956E69">
        <w:rPr>
          <w:lang w:val="en-GB"/>
        </w:rPr>
        <w:t>.</w:t>
      </w:r>
    </w:p>
    <w:p w14:paraId="139CEF24" w14:textId="2B91342F" w:rsidR="005C4F20" w:rsidRDefault="007320B6" w:rsidP="001A585D">
      <w:pPr>
        <w:pStyle w:val="BodyCopy"/>
        <w:spacing w:after="0"/>
        <w:ind w:left="-567" w:right="-456"/>
      </w:pPr>
      <w:r w:rsidRPr="006D092C">
        <w:t>DFAT</w:t>
      </w:r>
      <w:r w:rsidR="000118A8" w:rsidRPr="006D092C">
        <w:t xml:space="preserve"> </w:t>
      </w:r>
      <w:r w:rsidR="00A60A93" w:rsidRPr="006D092C">
        <w:t>welcome</w:t>
      </w:r>
      <w:r w:rsidR="00AF06CB">
        <w:t>s</w:t>
      </w:r>
      <w:r w:rsidR="00A60A93" w:rsidRPr="006D092C">
        <w:t xml:space="preserve"> the </w:t>
      </w:r>
      <w:r w:rsidR="00C05285">
        <w:t>MTE</w:t>
      </w:r>
      <w:r w:rsidR="00A60A93" w:rsidRPr="006D092C">
        <w:t xml:space="preserve"> findings</w:t>
      </w:r>
      <w:r w:rsidR="00E350AE">
        <w:t>. A</w:t>
      </w:r>
      <w:r w:rsidR="00763C34" w:rsidRPr="006D092C">
        <w:t xml:space="preserve"> response to the</w:t>
      </w:r>
      <w:r w:rsidR="0059716B" w:rsidRPr="006D092C">
        <w:t xml:space="preserve"> recommendations</w:t>
      </w:r>
      <w:r w:rsidR="000118A8" w:rsidRPr="006D092C">
        <w:t xml:space="preserve"> </w:t>
      </w:r>
      <w:r w:rsidR="00E350AE">
        <w:t xml:space="preserve">is tabled below to inform </w:t>
      </w:r>
      <w:r w:rsidR="00761F8A">
        <w:t xml:space="preserve">the future of the </w:t>
      </w:r>
      <w:r w:rsidR="00C515DD">
        <w:t>GEM Centre</w:t>
      </w:r>
      <w:r w:rsidR="004C1D51">
        <w:t xml:space="preserve">. </w:t>
      </w:r>
      <w:r w:rsidR="0059716B" w:rsidRPr="006D092C">
        <w:t xml:space="preserve"> </w:t>
      </w:r>
    </w:p>
    <w:p w14:paraId="35D1A3A0" w14:textId="165AAD58" w:rsidR="00C37FFA" w:rsidRPr="00A919B2" w:rsidRDefault="00A919B2" w:rsidP="001A585D">
      <w:pPr>
        <w:pStyle w:val="h2"/>
        <w:spacing w:before="240"/>
        <w:ind w:hanging="567"/>
        <w:rPr>
          <w:b/>
          <w:bCs/>
          <w:sz w:val="24"/>
          <w:szCs w:val="24"/>
        </w:rPr>
      </w:pPr>
      <w:r w:rsidRPr="00A919B2">
        <w:rPr>
          <w:b/>
          <w:bCs/>
          <w:caps w:val="0"/>
          <w:sz w:val="24"/>
          <w:szCs w:val="24"/>
        </w:rPr>
        <w:t xml:space="preserve">Recommendations for the Remainder </w:t>
      </w:r>
      <w:r w:rsidR="00D62B92" w:rsidRPr="00A919B2">
        <w:rPr>
          <w:b/>
          <w:bCs/>
          <w:caps w:val="0"/>
          <w:sz w:val="24"/>
          <w:szCs w:val="24"/>
        </w:rPr>
        <w:t>of</w:t>
      </w:r>
      <w:r w:rsidRPr="00A919B2">
        <w:rPr>
          <w:b/>
          <w:bCs/>
          <w:caps w:val="0"/>
          <w:sz w:val="24"/>
          <w:szCs w:val="24"/>
        </w:rPr>
        <w:t xml:space="preserve"> Phase 3</w:t>
      </w:r>
    </w:p>
    <w:tbl>
      <w:tblPr>
        <w:tblStyle w:val="GridTable6Colorful-Accent1"/>
        <w:tblW w:w="14737" w:type="dxa"/>
        <w:jc w:val="center"/>
        <w:tblLook w:val="0620" w:firstRow="1" w:lastRow="0" w:firstColumn="0" w:lastColumn="0" w:noHBand="1" w:noVBand="1"/>
      </w:tblPr>
      <w:tblGrid>
        <w:gridCol w:w="1093"/>
        <w:gridCol w:w="2567"/>
        <w:gridCol w:w="6191"/>
        <w:gridCol w:w="1882"/>
        <w:gridCol w:w="3004"/>
      </w:tblGrid>
      <w:tr w:rsidR="00D62B92" w:rsidRPr="00B01D45" w14:paraId="7F88BF89" w14:textId="7BB3C7B9" w:rsidTr="00F638A7">
        <w:trPr>
          <w:cnfStyle w:val="100000000000" w:firstRow="1" w:lastRow="0" w:firstColumn="0" w:lastColumn="0" w:oddVBand="0" w:evenVBand="0" w:oddHBand="0" w:evenHBand="0" w:firstRowFirstColumn="0" w:firstRowLastColumn="0" w:lastRowFirstColumn="0" w:lastRowLastColumn="0"/>
          <w:trHeight w:val="1011"/>
          <w:tblHeader/>
          <w:jc w:val="center"/>
        </w:trPr>
        <w:tc>
          <w:tcPr>
            <w:tcW w:w="1093" w:type="dxa"/>
          </w:tcPr>
          <w:p w14:paraId="16FDA7A9" w14:textId="4286DC52" w:rsidR="00C37FFA" w:rsidRPr="00D62B92" w:rsidRDefault="00F04C36" w:rsidP="00D62B92">
            <w:bookmarkStart w:id="0" w:name="_Hlk82094674"/>
            <w:r w:rsidRPr="00D62B92">
              <w:t>No.</w:t>
            </w:r>
          </w:p>
        </w:tc>
        <w:tc>
          <w:tcPr>
            <w:tcW w:w="2567" w:type="dxa"/>
          </w:tcPr>
          <w:p w14:paraId="1C15AE0D" w14:textId="5BE59B22" w:rsidR="00C37FFA" w:rsidRPr="00D62B92" w:rsidRDefault="00F04C36" w:rsidP="00D62B92">
            <w:r w:rsidRPr="00D62B92">
              <w:t>SUMMARY OF KEY FINDINGS</w:t>
            </w:r>
          </w:p>
        </w:tc>
        <w:tc>
          <w:tcPr>
            <w:tcW w:w="6191" w:type="dxa"/>
          </w:tcPr>
          <w:p w14:paraId="06C2F048" w14:textId="127D5E31" w:rsidR="00C37FFA" w:rsidRPr="00D62B92" w:rsidRDefault="00F04C36" w:rsidP="00D62B92">
            <w:r w:rsidRPr="00D62B92">
              <w:t>RECOMMENDATIONS</w:t>
            </w:r>
          </w:p>
        </w:tc>
        <w:tc>
          <w:tcPr>
            <w:tcW w:w="1882" w:type="dxa"/>
          </w:tcPr>
          <w:p w14:paraId="716B3481" w14:textId="443C4631" w:rsidR="00C37FFA" w:rsidRPr="00D62B92" w:rsidRDefault="00C37FFA" w:rsidP="00D62B92">
            <w:r w:rsidRPr="00D62B92">
              <w:t>RESPONSE (AGREE/PARTIALLY AGREE/DISAGREE)</w:t>
            </w:r>
          </w:p>
        </w:tc>
        <w:tc>
          <w:tcPr>
            <w:tcW w:w="3004" w:type="dxa"/>
          </w:tcPr>
          <w:p w14:paraId="7CFC707B" w14:textId="1DD8D10C" w:rsidR="00C37FFA" w:rsidRPr="00D62B92" w:rsidRDefault="00C37FFA" w:rsidP="00D62B92">
            <w:r w:rsidRPr="00D62B92">
              <w:t>ACTION PLAN AND</w:t>
            </w:r>
            <w:r w:rsidR="001A585D">
              <w:t xml:space="preserve"> </w:t>
            </w:r>
            <w:r w:rsidRPr="00D62B92">
              <w:t>TIMEFRAME</w:t>
            </w:r>
          </w:p>
          <w:p w14:paraId="3B01FEB7" w14:textId="0F8083DD" w:rsidR="00C37FFA" w:rsidRPr="00D62B92" w:rsidRDefault="00C37FFA" w:rsidP="00D62B92"/>
        </w:tc>
      </w:tr>
      <w:bookmarkEnd w:id="0"/>
      <w:tr w:rsidR="00A919B2" w:rsidRPr="00B01D45" w14:paraId="62FDB4C3" w14:textId="56958BB8" w:rsidTr="001A585D">
        <w:trPr>
          <w:trHeight w:val="20"/>
          <w:jc w:val="center"/>
        </w:trPr>
        <w:tc>
          <w:tcPr>
            <w:tcW w:w="1093" w:type="dxa"/>
          </w:tcPr>
          <w:p w14:paraId="467EF1A3" w14:textId="39B0D45C" w:rsidR="0040625A" w:rsidRPr="00C2467E" w:rsidRDefault="0040625A" w:rsidP="001A585D">
            <w:pPr>
              <w:pStyle w:val="Numberedlist1HDMES"/>
              <w:spacing w:before="240" w:after="120"/>
            </w:pPr>
          </w:p>
        </w:tc>
        <w:tc>
          <w:tcPr>
            <w:tcW w:w="2567" w:type="dxa"/>
          </w:tcPr>
          <w:p w14:paraId="671ED4F3" w14:textId="3A56B79A" w:rsidR="0040625A" w:rsidRPr="00D62B92" w:rsidRDefault="00B32EC7" w:rsidP="00D62B92">
            <w:pPr>
              <w:pStyle w:val="TableText"/>
              <w:framePr w:wrap="around"/>
              <w:rPr>
                <w:rFonts w:asciiTheme="minorHAnsi" w:hAnsiTheme="minorHAnsi" w:cstheme="minorHAnsi"/>
              </w:rPr>
            </w:pPr>
            <w:r w:rsidRPr="00D62B92">
              <w:rPr>
                <w:rFonts w:asciiTheme="minorHAnsi" w:hAnsiTheme="minorHAnsi" w:cstheme="minorHAnsi"/>
              </w:rPr>
              <w:t xml:space="preserve">The GEM Centre </w:t>
            </w:r>
            <w:r w:rsidR="00FF2428" w:rsidRPr="00D62B92">
              <w:rPr>
                <w:rFonts w:asciiTheme="minorHAnsi" w:hAnsiTheme="minorHAnsi" w:cstheme="minorHAnsi"/>
              </w:rPr>
              <w:t xml:space="preserve">continues to </w:t>
            </w:r>
            <w:r w:rsidRPr="00D62B92">
              <w:rPr>
                <w:rFonts w:asciiTheme="minorHAnsi" w:hAnsiTheme="minorHAnsi" w:cstheme="minorHAnsi"/>
              </w:rPr>
              <w:t>undertak</w:t>
            </w:r>
            <w:r w:rsidR="00FF2428" w:rsidRPr="00D62B92">
              <w:rPr>
                <w:rFonts w:asciiTheme="minorHAnsi" w:hAnsiTheme="minorHAnsi" w:cstheme="minorHAnsi"/>
              </w:rPr>
              <w:t>e</w:t>
            </w:r>
            <w:r w:rsidRPr="00D62B92">
              <w:rPr>
                <w:rFonts w:asciiTheme="minorHAnsi" w:hAnsiTheme="minorHAnsi" w:cstheme="minorHAnsi"/>
              </w:rPr>
              <w:t xml:space="preserve"> important work in global education monitoring.</w:t>
            </w:r>
          </w:p>
        </w:tc>
        <w:tc>
          <w:tcPr>
            <w:tcW w:w="6191" w:type="dxa"/>
          </w:tcPr>
          <w:p w14:paraId="0F08E31E" w14:textId="25457745" w:rsidR="0040625A" w:rsidRPr="00D62B92" w:rsidRDefault="00826805" w:rsidP="00D62B92">
            <w:pPr>
              <w:pStyle w:val="TableText"/>
              <w:framePr w:wrap="around"/>
              <w:rPr>
                <w:rFonts w:asciiTheme="minorHAnsi" w:hAnsiTheme="minorHAnsi" w:cstheme="minorHAnsi"/>
                <w:bCs/>
                <w:lang w:val="en-AU"/>
              </w:rPr>
            </w:pPr>
            <w:r w:rsidRPr="00D62B92">
              <w:rPr>
                <w:rFonts w:asciiTheme="minorHAnsi" w:hAnsiTheme="minorHAnsi" w:cstheme="minorHAnsi"/>
              </w:rPr>
              <w:t>Reconfirm the Partnership’s shared priorities and interests and agree on acceptable ways to reduce transactions for Partnership members with respect to the existing work plan and governance functions for the remainder of Phase 3.</w:t>
            </w:r>
          </w:p>
        </w:tc>
        <w:tc>
          <w:tcPr>
            <w:tcW w:w="1882" w:type="dxa"/>
          </w:tcPr>
          <w:p w14:paraId="3D0280B4" w14:textId="1B7E1090" w:rsidR="0040625A" w:rsidRPr="00D62B92" w:rsidRDefault="0040625A" w:rsidP="00D62B92">
            <w:pPr>
              <w:pStyle w:val="TableText"/>
              <w:framePr w:wrap="around"/>
              <w:rPr>
                <w:rFonts w:asciiTheme="minorHAnsi" w:hAnsiTheme="minorHAnsi" w:cstheme="minorHAnsi"/>
              </w:rPr>
            </w:pPr>
            <w:r w:rsidRPr="00D62B92">
              <w:rPr>
                <w:rFonts w:asciiTheme="minorHAnsi" w:hAnsiTheme="minorHAnsi" w:cstheme="minorHAnsi"/>
              </w:rPr>
              <w:t>Agree</w:t>
            </w:r>
          </w:p>
        </w:tc>
        <w:tc>
          <w:tcPr>
            <w:tcW w:w="3004" w:type="dxa"/>
          </w:tcPr>
          <w:p w14:paraId="421DF87F" w14:textId="6F83293E" w:rsidR="0040625A" w:rsidRPr="00D62B92" w:rsidRDefault="002025EA" w:rsidP="00D62B92">
            <w:pPr>
              <w:pStyle w:val="TableText"/>
              <w:framePr w:wrap="around"/>
              <w:rPr>
                <w:rFonts w:asciiTheme="minorHAnsi" w:hAnsiTheme="minorHAnsi" w:cstheme="minorHAnsi"/>
              </w:rPr>
            </w:pPr>
            <w:r w:rsidRPr="00D62B92">
              <w:rPr>
                <w:rFonts w:asciiTheme="minorHAnsi" w:hAnsiTheme="minorHAnsi" w:cstheme="minorHAnsi"/>
              </w:rPr>
              <w:t>DFAT will work with the</w:t>
            </w:r>
            <w:r w:rsidR="00264203" w:rsidRPr="00D62B92">
              <w:rPr>
                <w:rFonts w:asciiTheme="minorHAnsi" w:hAnsiTheme="minorHAnsi" w:cstheme="minorHAnsi"/>
              </w:rPr>
              <w:t xml:space="preserve"> GEM Centre </w:t>
            </w:r>
            <w:r w:rsidRPr="00D62B92">
              <w:rPr>
                <w:rFonts w:asciiTheme="minorHAnsi" w:hAnsiTheme="minorHAnsi" w:cstheme="minorHAnsi"/>
              </w:rPr>
              <w:t>to agree an approach to stre</w:t>
            </w:r>
            <w:r w:rsidR="00321925" w:rsidRPr="00D62B92">
              <w:rPr>
                <w:rFonts w:asciiTheme="minorHAnsi" w:hAnsiTheme="minorHAnsi" w:cstheme="minorHAnsi"/>
              </w:rPr>
              <w:t>amlined management arrangements for</w:t>
            </w:r>
            <w:r w:rsidR="00264203" w:rsidRPr="00D62B92">
              <w:rPr>
                <w:rFonts w:asciiTheme="minorHAnsi" w:hAnsiTheme="minorHAnsi" w:cstheme="minorHAnsi"/>
              </w:rPr>
              <w:t xml:space="preserve"> all members by the end of April 2023</w:t>
            </w:r>
            <w:r w:rsidR="00175B73" w:rsidRPr="00D62B92">
              <w:rPr>
                <w:rFonts w:asciiTheme="minorHAnsi" w:hAnsiTheme="minorHAnsi" w:cstheme="minorHAnsi"/>
              </w:rPr>
              <w:t>.</w:t>
            </w:r>
          </w:p>
        </w:tc>
      </w:tr>
      <w:tr w:rsidR="00D62B92" w:rsidRPr="00B01D45" w14:paraId="00E4294D" w14:textId="12D2F422" w:rsidTr="001A585D">
        <w:trPr>
          <w:trHeight w:val="20"/>
          <w:jc w:val="center"/>
        </w:trPr>
        <w:tc>
          <w:tcPr>
            <w:tcW w:w="1093" w:type="dxa"/>
          </w:tcPr>
          <w:p w14:paraId="3A0C85E4" w14:textId="4FCFAB4E" w:rsidR="0040625A" w:rsidRPr="00C2467E" w:rsidRDefault="0040625A" w:rsidP="001A585D">
            <w:pPr>
              <w:pStyle w:val="Numberedlist1HDMES"/>
              <w:tabs>
                <w:tab w:val="num" w:pos="360"/>
              </w:tabs>
              <w:spacing w:before="240" w:after="120"/>
              <w:ind w:left="0" w:firstLine="0"/>
            </w:pPr>
            <w:bookmarkStart w:id="1" w:name="_Hlk87007576"/>
          </w:p>
        </w:tc>
        <w:tc>
          <w:tcPr>
            <w:tcW w:w="2567" w:type="dxa"/>
          </w:tcPr>
          <w:p w14:paraId="37A3F510" w14:textId="75A559EE" w:rsidR="0040625A" w:rsidRPr="00D62B92" w:rsidRDefault="004F1BF5" w:rsidP="00D62B92">
            <w:pPr>
              <w:pStyle w:val="TableText"/>
              <w:framePr w:wrap="around"/>
              <w:rPr>
                <w:rFonts w:asciiTheme="minorHAnsi" w:hAnsiTheme="minorHAnsi" w:cstheme="minorHAnsi"/>
                <w:lang w:val="en-AU"/>
              </w:rPr>
            </w:pPr>
            <w:r w:rsidRPr="00D62B92">
              <w:rPr>
                <w:rFonts w:asciiTheme="minorHAnsi" w:hAnsiTheme="minorHAnsi" w:cstheme="minorHAnsi"/>
                <w:lang w:val="en-AU"/>
              </w:rPr>
              <w:t xml:space="preserve">DFAT and ACER continue to benefit from the GEM Centre partnership, but the form of the relationship and the funding modality and funding envelope need to be reconsidered. </w:t>
            </w:r>
            <w:r w:rsidR="008A2208" w:rsidRPr="00D62B92">
              <w:rPr>
                <w:rFonts w:asciiTheme="minorHAnsi" w:hAnsiTheme="minorHAnsi" w:cstheme="minorHAnsi"/>
                <w:lang w:val="en-AU"/>
              </w:rPr>
              <w:t xml:space="preserve"> </w:t>
            </w:r>
          </w:p>
        </w:tc>
        <w:tc>
          <w:tcPr>
            <w:tcW w:w="6191" w:type="dxa"/>
          </w:tcPr>
          <w:p w14:paraId="0D7948A2" w14:textId="2CCB843A" w:rsidR="0040625A" w:rsidRPr="00D62B92" w:rsidRDefault="00D86B7E" w:rsidP="00D62B92">
            <w:pPr>
              <w:pStyle w:val="TableText"/>
              <w:framePr w:wrap="around"/>
              <w:rPr>
                <w:rFonts w:asciiTheme="minorHAnsi" w:hAnsiTheme="minorHAnsi" w:cstheme="minorHAnsi"/>
              </w:rPr>
            </w:pPr>
            <w:r w:rsidRPr="00D62B92">
              <w:rPr>
                <w:rFonts w:asciiTheme="minorHAnsi" w:hAnsiTheme="minorHAnsi" w:cstheme="minorHAnsi"/>
              </w:rPr>
              <w:t>Determine whether the Partnership will continue and what changes will be enacted regarding the Partnership modality (given each organisation’s political economy), funding modality, and funding envelope. DFAT should clarify its leadership role with the GEM Centre and involvement in global education monitoring through the Partnership and in what way/s. A DFAT–ACER arrangement that is less resource-intensive for personnel could still achieve the expected outcomes and benefits. ACER should undertake scenario planning and consider whether the MTE findings and conclusions and other recommendations should be factored into the future of the GEM Centre.</w:t>
            </w:r>
          </w:p>
        </w:tc>
        <w:tc>
          <w:tcPr>
            <w:tcW w:w="1882" w:type="dxa"/>
          </w:tcPr>
          <w:p w14:paraId="39457019" w14:textId="5EAF7C68" w:rsidR="0040625A" w:rsidRPr="00D62B92" w:rsidRDefault="00826805" w:rsidP="00D62B92">
            <w:pPr>
              <w:pStyle w:val="TableText"/>
              <w:framePr w:wrap="around"/>
              <w:rPr>
                <w:rFonts w:asciiTheme="minorHAnsi" w:hAnsiTheme="minorHAnsi" w:cstheme="minorHAnsi"/>
              </w:rPr>
            </w:pPr>
            <w:r w:rsidRPr="00D62B92">
              <w:rPr>
                <w:rFonts w:asciiTheme="minorHAnsi" w:hAnsiTheme="minorHAnsi" w:cstheme="minorHAnsi"/>
              </w:rPr>
              <w:t>Agree</w:t>
            </w:r>
          </w:p>
          <w:p w14:paraId="2278230C" w14:textId="677DE9AB" w:rsidR="0040625A" w:rsidRPr="00D62B92" w:rsidRDefault="0040625A" w:rsidP="00D62B92">
            <w:pPr>
              <w:pStyle w:val="TableText"/>
              <w:framePr w:wrap="around"/>
              <w:rPr>
                <w:rFonts w:asciiTheme="minorHAnsi" w:hAnsiTheme="minorHAnsi" w:cstheme="minorHAnsi"/>
              </w:rPr>
            </w:pPr>
          </w:p>
        </w:tc>
        <w:tc>
          <w:tcPr>
            <w:tcW w:w="3004" w:type="dxa"/>
          </w:tcPr>
          <w:p w14:paraId="3AA7E2A6" w14:textId="77777777" w:rsidR="004E0525" w:rsidRPr="00D62B92" w:rsidRDefault="0049495B" w:rsidP="00D62B92">
            <w:pPr>
              <w:pStyle w:val="TableText"/>
              <w:framePr w:wrap="around"/>
              <w:rPr>
                <w:rFonts w:asciiTheme="minorHAnsi" w:hAnsiTheme="minorHAnsi" w:cstheme="minorHAnsi"/>
              </w:rPr>
            </w:pPr>
            <w:r w:rsidRPr="00D62B92">
              <w:rPr>
                <w:rFonts w:asciiTheme="minorHAnsi" w:hAnsiTheme="minorHAnsi" w:cstheme="minorHAnsi"/>
              </w:rPr>
              <w:t xml:space="preserve">DFAT </w:t>
            </w:r>
            <w:r w:rsidR="004E0525" w:rsidRPr="00D62B92">
              <w:rPr>
                <w:rFonts w:asciiTheme="minorHAnsi" w:hAnsiTheme="minorHAnsi" w:cstheme="minorHAnsi"/>
              </w:rPr>
              <w:t xml:space="preserve">will continue to monitor demand for global education monitoring investment, including in the context of the new development policy. </w:t>
            </w:r>
          </w:p>
          <w:p w14:paraId="029E5797" w14:textId="044020A4" w:rsidR="0040625A" w:rsidRPr="00D62B92" w:rsidRDefault="004E0525" w:rsidP="00D62B92">
            <w:pPr>
              <w:pStyle w:val="TableText"/>
              <w:framePr w:wrap="around"/>
              <w:rPr>
                <w:rFonts w:asciiTheme="minorHAnsi" w:hAnsiTheme="minorHAnsi" w:cstheme="minorHAnsi"/>
              </w:rPr>
            </w:pPr>
            <w:r w:rsidRPr="00D62B92">
              <w:rPr>
                <w:rFonts w:asciiTheme="minorHAnsi" w:hAnsiTheme="minorHAnsi" w:cstheme="minorHAnsi"/>
              </w:rPr>
              <w:t xml:space="preserve">DFAT </w:t>
            </w:r>
            <w:r w:rsidR="0049495B" w:rsidRPr="00D62B92">
              <w:rPr>
                <w:rFonts w:asciiTheme="minorHAnsi" w:hAnsiTheme="minorHAnsi" w:cstheme="minorHAnsi"/>
              </w:rPr>
              <w:t xml:space="preserve">has </w:t>
            </w:r>
            <w:r w:rsidR="00A1594A" w:rsidRPr="00D62B92">
              <w:rPr>
                <w:rFonts w:asciiTheme="minorHAnsi" w:hAnsiTheme="minorHAnsi" w:cstheme="minorHAnsi"/>
              </w:rPr>
              <w:t>fulfilled all budget commitments for the Phase 3 contract</w:t>
            </w:r>
            <w:r w:rsidR="000C7C9D" w:rsidRPr="00D62B92">
              <w:rPr>
                <w:rFonts w:asciiTheme="minorHAnsi" w:hAnsiTheme="minorHAnsi" w:cstheme="minorHAnsi"/>
              </w:rPr>
              <w:t xml:space="preserve"> and will confirm</w:t>
            </w:r>
            <w:r w:rsidR="00D170C8" w:rsidRPr="00D62B92">
              <w:rPr>
                <w:rFonts w:asciiTheme="minorHAnsi" w:hAnsiTheme="minorHAnsi" w:cstheme="minorHAnsi"/>
              </w:rPr>
              <w:t xml:space="preserve"> </w:t>
            </w:r>
            <w:r w:rsidR="000008A9" w:rsidRPr="00D62B92">
              <w:rPr>
                <w:rFonts w:asciiTheme="minorHAnsi" w:hAnsiTheme="minorHAnsi" w:cstheme="minorHAnsi"/>
              </w:rPr>
              <w:t xml:space="preserve">its </w:t>
            </w:r>
            <w:r w:rsidR="00D170C8" w:rsidRPr="00D62B92">
              <w:rPr>
                <w:rFonts w:asciiTheme="minorHAnsi" w:hAnsiTheme="minorHAnsi" w:cstheme="minorHAnsi"/>
              </w:rPr>
              <w:t xml:space="preserve">position </w:t>
            </w:r>
            <w:r w:rsidR="000008A9" w:rsidRPr="00D62B92">
              <w:rPr>
                <w:rFonts w:asciiTheme="minorHAnsi" w:hAnsiTheme="minorHAnsi" w:cstheme="minorHAnsi"/>
              </w:rPr>
              <w:t xml:space="preserve">on future involvement with the GEM Centre </w:t>
            </w:r>
            <w:r w:rsidR="00D83A9A" w:rsidRPr="00D62B92">
              <w:rPr>
                <w:rFonts w:asciiTheme="minorHAnsi" w:hAnsiTheme="minorHAnsi" w:cstheme="minorHAnsi"/>
              </w:rPr>
              <w:t xml:space="preserve">in advance of </w:t>
            </w:r>
            <w:r w:rsidR="00401E1B" w:rsidRPr="00D62B92">
              <w:rPr>
                <w:rFonts w:asciiTheme="minorHAnsi" w:hAnsiTheme="minorHAnsi" w:cstheme="minorHAnsi"/>
              </w:rPr>
              <w:t>completing</w:t>
            </w:r>
            <w:r w:rsidR="00C64355" w:rsidRPr="00D62B92">
              <w:rPr>
                <w:rFonts w:asciiTheme="minorHAnsi" w:hAnsiTheme="minorHAnsi" w:cstheme="minorHAnsi"/>
              </w:rPr>
              <w:t xml:space="preserve"> </w:t>
            </w:r>
            <w:r w:rsidR="00D170C8" w:rsidRPr="00D62B92">
              <w:rPr>
                <w:rFonts w:asciiTheme="minorHAnsi" w:hAnsiTheme="minorHAnsi" w:cstheme="minorHAnsi"/>
              </w:rPr>
              <w:t>Phase 3</w:t>
            </w:r>
            <w:r w:rsidR="00C64355" w:rsidRPr="00D62B92">
              <w:rPr>
                <w:rFonts w:asciiTheme="minorHAnsi" w:hAnsiTheme="minorHAnsi" w:cstheme="minorHAnsi"/>
              </w:rPr>
              <w:t>.</w:t>
            </w:r>
          </w:p>
          <w:p w14:paraId="41EC8794" w14:textId="1CE9EE96" w:rsidR="0040625A" w:rsidRPr="00D62B92" w:rsidRDefault="0040625A" w:rsidP="00D62B92">
            <w:pPr>
              <w:pStyle w:val="TableText"/>
              <w:framePr w:wrap="around"/>
              <w:rPr>
                <w:rFonts w:asciiTheme="minorHAnsi" w:hAnsiTheme="minorHAnsi" w:cstheme="minorHAnsi"/>
              </w:rPr>
            </w:pPr>
          </w:p>
        </w:tc>
      </w:tr>
      <w:tr w:rsidR="00A919B2" w:rsidRPr="00B01D45" w14:paraId="0B3B3DDE" w14:textId="77777777" w:rsidTr="001A585D">
        <w:trPr>
          <w:trHeight w:val="20"/>
          <w:jc w:val="center"/>
        </w:trPr>
        <w:tc>
          <w:tcPr>
            <w:tcW w:w="1093" w:type="dxa"/>
          </w:tcPr>
          <w:p w14:paraId="5A7A8BB2" w14:textId="09B2A510" w:rsidR="00F95DE6" w:rsidRDefault="00F95DE6" w:rsidP="001A585D">
            <w:pPr>
              <w:pStyle w:val="Numberedlist1HDMES"/>
              <w:tabs>
                <w:tab w:val="num" w:pos="360"/>
              </w:tabs>
              <w:spacing w:before="240" w:after="120"/>
              <w:ind w:left="0" w:firstLine="0"/>
            </w:pPr>
          </w:p>
        </w:tc>
        <w:tc>
          <w:tcPr>
            <w:tcW w:w="2567" w:type="dxa"/>
          </w:tcPr>
          <w:p w14:paraId="2A4DFF96" w14:textId="611AD3A9" w:rsidR="00F95DE6" w:rsidRPr="00D62B92" w:rsidRDefault="00007853" w:rsidP="00D62B92">
            <w:pPr>
              <w:pStyle w:val="TableText"/>
              <w:framePr w:wrap="around"/>
              <w:rPr>
                <w:rFonts w:asciiTheme="minorHAnsi" w:hAnsiTheme="minorHAnsi" w:cstheme="minorHAnsi"/>
                <w:lang w:val="en-AU"/>
              </w:rPr>
            </w:pPr>
            <w:r w:rsidRPr="00D62B92">
              <w:rPr>
                <w:rFonts w:asciiTheme="minorHAnsi" w:hAnsiTheme="minorHAnsi" w:cstheme="minorHAnsi"/>
                <w:lang w:val="en-AU"/>
              </w:rPr>
              <w:t xml:space="preserve">The GEM Centre has excelled in the international landscape among the global education assessment community, and can be assumed </w:t>
            </w:r>
            <w:r w:rsidR="008A38D9" w:rsidRPr="00D62B92">
              <w:rPr>
                <w:rFonts w:asciiTheme="minorHAnsi" w:hAnsiTheme="minorHAnsi" w:cstheme="minorHAnsi"/>
                <w:lang w:val="en-AU"/>
              </w:rPr>
              <w:t xml:space="preserve">to </w:t>
            </w:r>
            <w:r w:rsidRPr="00D62B92">
              <w:rPr>
                <w:rFonts w:asciiTheme="minorHAnsi" w:hAnsiTheme="minorHAnsi" w:cstheme="minorHAnsi"/>
                <w:lang w:val="en-AU"/>
              </w:rPr>
              <w:t xml:space="preserve">continue to do so, given the unmet needs in SDG Indicator 4.1 as well as early childhood education, youth/adult </w:t>
            </w:r>
            <w:proofErr w:type="gramStart"/>
            <w:r w:rsidRPr="00D62B92">
              <w:rPr>
                <w:rFonts w:asciiTheme="minorHAnsi" w:hAnsiTheme="minorHAnsi" w:cstheme="minorHAnsi"/>
                <w:lang w:val="en-AU"/>
              </w:rPr>
              <w:t>education</w:t>
            </w:r>
            <w:proofErr w:type="gramEnd"/>
            <w:r w:rsidRPr="00D62B92">
              <w:rPr>
                <w:rFonts w:asciiTheme="minorHAnsi" w:hAnsiTheme="minorHAnsi" w:cstheme="minorHAnsi"/>
                <w:lang w:val="en-AU"/>
              </w:rPr>
              <w:t xml:space="preserve"> and global citizenship. </w:t>
            </w:r>
          </w:p>
        </w:tc>
        <w:tc>
          <w:tcPr>
            <w:tcW w:w="6191" w:type="dxa"/>
          </w:tcPr>
          <w:p w14:paraId="0D52E1C1" w14:textId="13848026" w:rsidR="00F95DE6" w:rsidRPr="00D62B92" w:rsidRDefault="00A62842" w:rsidP="00D62B92">
            <w:pPr>
              <w:pStyle w:val="TableText"/>
              <w:framePr w:wrap="around"/>
              <w:rPr>
                <w:rFonts w:asciiTheme="minorHAnsi" w:hAnsiTheme="minorHAnsi" w:cstheme="minorHAnsi"/>
              </w:rPr>
            </w:pPr>
            <w:r w:rsidRPr="00D62B92">
              <w:rPr>
                <w:rFonts w:asciiTheme="minorHAnsi" w:hAnsiTheme="minorHAnsi" w:cstheme="minorHAnsi"/>
              </w:rPr>
              <w:t>Begin to position the GEM Centre for increased impact and sustainability beyond Phase 3 by tightening the strategic approach and orientation around three levels of engagement at the global, regional, and country levels. Develop a crosswalk of DFAT priority countries, GPE countries, and countries in which ACER/the GEM Centre has already contributed, including via international ACER offices. Use the crosswalk to identify and agree on regional and country capacity development and education assessment systems strengthening and identify and commit to ways to promote GEM Centre engagement in specific countries and regions (including Southeast Asia). In addition, determine whether the GEM Centre or ACER branding should be used for external communication.</w:t>
            </w:r>
          </w:p>
        </w:tc>
        <w:tc>
          <w:tcPr>
            <w:tcW w:w="1882" w:type="dxa"/>
          </w:tcPr>
          <w:p w14:paraId="3FAB6ECC" w14:textId="1BDB7F48" w:rsidR="00F95DE6" w:rsidRPr="00D62B92" w:rsidRDefault="000C7C9D" w:rsidP="00D62B92">
            <w:pPr>
              <w:pStyle w:val="TableText"/>
              <w:framePr w:wrap="around"/>
              <w:rPr>
                <w:rFonts w:asciiTheme="minorHAnsi" w:hAnsiTheme="minorHAnsi" w:cstheme="minorHAnsi"/>
              </w:rPr>
            </w:pPr>
            <w:r w:rsidRPr="00D62B92">
              <w:rPr>
                <w:rFonts w:asciiTheme="minorHAnsi" w:hAnsiTheme="minorHAnsi" w:cstheme="minorHAnsi"/>
              </w:rPr>
              <w:t>Agree</w:t>
            </w:r>
          </w:p>
        </w:tc>
        <w:tc>
          <w:tcPr>
            <w:tcW w:w="3004" w:type="dxa"/>
          </w:tcPr>
          <w:p w14:paraId="2EC65F1A" w14:textId="653E6CB5" w:rsidR="00F95DE6" w:rsidRPr="00D62B92" w:rsidRDefault="004E0525" w:rsidP="00D62B92">
            <w:pPr>
              <w:pStyle w:val="TableText"/>
              <w:framePr w:wrap="around"/>
              <w:rPr>
                <w:rFonts w:asciiTheme="minorHAnsi" w:hAnsiTheme="minorHAnsi" w:cstheme="minorHAnsi"/>
              </w:rPr>
            </w:pPr>
            <w:r w:rsidRPr="00D62B92">
              <w:rPr>
                <w:rFonts w:asciiTheme="minorHAnsi" w:hAnsiTheme="minorHAnsi" w:cstheme="minorHAnsi"/>
              </w:rPr>
              <w:t xml:space="preserve">By end of May 2023, </w:t>
            </w:r>
            <w:r w:rsidR="00401E1B" w:rsidRPr="00D62B92">
              <w:rPr>
                <w:rFonts w:asciiTheme="minorHAnsi" w:hAnsiTheme="minorHAnsi" w:cstheme="minorHAnsi"/>
              </w:rPr>
              <w:t>DFAT and ACER</w:t>
            </w:r>
            <w:r w:rsidRPr="00D62B92">
              <w:rPr>
                <w:rFonts w:asciiTheme="minorHAnsi" w:hAnsiTheme="minorHAnsi" w:cstheme="minorHAnsi"/>
              </w:rPr>
              <w:t xml:space="preserve"> will</w:t>
            </w:r>
            <w:r w:rsidR="000C7C9D" w:rsidRPr="00D62B92">
              <w:rPr>
                <w:rFonts w:asciiTheme="minorHAnsi" w:hAnsiTheme="minorHAnsi" w:cstheme="minorHAnsi"/>
              </w:rPr>
              <w:t xml:space="preserve"> identify priority countries</w:t>
            </w:r>
            <w:r w:rsidRPr="00D62B92">
              <w:rPr>
                <w:rFonts w:asciiTheme="minorHAnsi" w:hAnsiTheme="minorHAnsi" w:cstheme="minorHAnsi"/>
              </w:rPr>
              <w:t xml:space="preserve"> and regional mechanisms</w:t>
            </w:r>
            <w:r w:rsidR="000C7C9D" w:rsidRPr="00D62B92">
              <w:rPr>
                <w:rFonts w:asciiTheme="minorHAnsi" w:hAnsiTheme="minorHAnsi" w:cstheme="minorHAnsi"/>
              </w:rPr>
              <w:t xml:space="preserve"> for </w:t>
            </w:r>
            <w:r w:rsidR="003649B0" w:rsidRPr="00D62B92">
              <w:rPr>
                <w:rFonts w:asciiTheme="minorHAnsi" w:hAnsiTheme="minorHAnsi" w:cstheme="minorHAnsi"/>
              </w:rPr>
              <w:t xml:space="preserve">communication and </w:t>
            </w:r>
            <w:r w:rsidR="000C7C9D" w:rsidRPr="00D62B92">
              <w:rPr>
                <w:rFonts w:asciiTheme="minorHAnsi" w:hAnsiTheme="minorHAnsi" w:cstheme="minorHAnsi"/>
              </w:rPr>
              <w:t>engagement</w:t>
            </w:r>
            <w:r w:rsidR="00EF0A2C" w:rsidRPr="00D62B92">
              <w:rPr>
                <w:rFonts w:asciiTheme="minorHAnsi" w:hAnsiTheme="minorHAnsi" w:cstheme="minorHAnsi"/>
              </w:rPr>
              <w:t xml:space="preserve"> </w:t>
            </w:r>
            <w:r w:rsidRPr="00D62B92">
              <w:rPr>
                <w:rFonts w:asciiTheme="minorHAnsi" w:hAnsiTheme="minorHAnsi" w:cstheme="minorHAnsi"/>
              </w:rPr>
              <w:t>over the remainder of Phase 3. Mapping</w:t>
            </w:r>
            <w:r w:rsidR="00EF0A2C" w:rsidRPr="00D62B92">
              <w:rPr>
                <w:rFonts w:asciiTheme="minorHAnsi" w:hAnsiTheme="minorHAnsi" w:cstheme="minorHAnsi"/>
              </w:rPr>
              <w:t xml:space="preserve"> </w:t>
            </w:r>
            <w:r w:rsidR="00EC7D2D" w:rsidRPr="00D62B92">
              <w:rPr>
                <w:rFonts w:asciiTheme="minorHAnsi" w:hAnsiTheme="minorHAnsi" w:cstheme="minorHAnsi"/>
              </w:rPr>
              <w:t>existing</w:t>
            </w:r>
            <w:r w:rsidR="00EF0A2C" w:rsidRPr="00D62B92">
              <w:rPr>
                <w:rFonts w:asciiTheme="minorHAnsi" w:hAnsiTheme="minorHAnsi" w:cstheme="minorHAnsi"/>
              </w:rPr>
              <w:t xml:space="preserve"> work, capacity gaps, and constraints related to assessment systems </w:t>
            </w:r>
            <w:r w:rsidRPr="00D62B92">
              <w:rPr>
                <w:rFonts w:asciiTheme="minorHAnsi" w:hAnsiTheme="minorHAnsi" w:cstheme="minorHAnsi"/>
              </w:rPr>
              <w:t xml:space="preserve">in </w:t>
            </w:r>
            <w:r w:rsidR="006A0230" w:rsidRPr="00D62B92">
              <w:rPr>
                <w:rFonts w:asciiTheme="minorHAnsi" w:hAnsiTheme="minorHAnsi" w:cstheme="minorHAnsi"/>
              </w:rPr>
              <w:t xml:space="preserve">priority </w:t>
            </w:r>
            <w:r w:rsidR="00EF0A2C" w:rsidRPr="00D62B92">
              <w:rPr>
                <w:rFonts w:asciiTheme="minorHAnsi" w:hAnsiTheme="minorHAnsi" w:cstheme="minorHAnsi"/>
              </w:rPr>
              <w:t>countr</w:t>
            </w:r>
            <w:r w:rsidRPr="00D62B92">
              <w:rPr>
                <w:rFonts w:asciiTheme="minorHAnsi" w:hAnsiTheme="minorHAnsi" w:cstheme="minorHAnsi"/>
              </w:rPr>
              <w:t>ies</w:t>
            </w:r>
            <w:r w:rsidR="00EF0A2C" w:rsidRPr="00D62B92">
              <w:rPr>
                <w:rFonts w:asciiTheme="minorHAnsi" w:hAnsiTheme="minorHAnsi" w:cstheme="minorHAnsi"/>
              </w:rPr>
              <w:t xml:space="preserve"> and region</w:t>
            </w:r>
            <w:r w:rsidRPr="00D62B92">
              <w:rPr>
                <w:rFonts w:asciiTheme="minorHAnsi" w:hAnsiTheme="minorHAnsi" w:cstheme="minorHAnsi"/>
              </w:rPr>
              <w:t>s</w:t>
            </w:r>
            <w:r w:rsidR="00EF0A2C" w:rsidRPr="00D62B92">
              <w:rPr>
                <w:rFonts w:asciiTheme="minorHAnsi" w:hAnsiTheme="minorHAnsi" w:cstheme="minorHAnsi"/>
              </w:rPr>
              <w:t xml:space="preserve"> would be useful to inform future DFAT </w:t>
            </w:r>
            <w:r w:rsidR="00B358FD" w:rsidRPr="00D62B92">
              <w:rPr>
                <w:rFonts w:asciiTheme="minorHAnsi" w:hAnsiTheme="minorHAnsi" w:cstheme="minorHAnsi"/>
              </w:rPr>
              <w:t xml:space="preserve">engagement </w:t>
            </w:r>
            <w:r w:rsidR="002C2901" w:rsidRPr="00D62B92">
              <w:rPr>
                <w:rFonts w:asciiTheme="minorHAnsi" w:hAnsiTheme="minorHAnsi" w:cstheme="minorHAnsi"/>
              </w:rPr>
              <w:t>in</w:t>
            </w:r>
            <w:r w:rsidR="001338B2" w:rsidRPr="00D62B92">
              <w:rPr>
                <w:rFonts w:asciiTheme="minorHAnsi" w:hAnsiTheme="minorHAnsi" w:cstheme="minorHAnsi"/>
              </w:rPr>
              <w:t xml:space="preserve"> the education sector</w:t>
            </w:r>
            <w:r w:rsidR="00EF0A2C" w:rsidRPr="00D62B92">
              <w:rPr>
                <w:rFonts w:asciiTheme="minorHAnsi" w:hAnsiTheme="minorHAnsi" w:cstheme="minorHAnsi"/>
              </w:rPr>
              <w:t xml:space="preserve">. </w:t>
            </w:r>
          </w:p>
        </w:tc>
      </w:tr>
      <w:tr w:rsidR="00D62B92" w:rsidRPr="00B01D45" w14:paraId="473D90C7" w14:textId="77777777" w:rsidTr="001A585D">
        <w:trPr>
          <w:trHeight w:val="20"/>
          <w:jc w:val="center"/>
        </w:trPr>
        <w:tc>
          <w:tcPr>
            <w:tcW w:w="1093" w:type="dxa"/>
          </w:tcPr>
          <w:p w14:paraId="2F3528AB" w14:textId="3911458B" w:rsidR="00F95DE6" w:rsidRDefault="00F95DE6" w:rsidP="001A585D">
            <w:pPr>
              <w:pStyle w:val="Numberedlist1HDMES"/>
              <w:tabs>
                <w:tab w:val="num" w:pos="360"/>
              </w:tabs>
              <w:spacing w:before="240" w:after="120"/>
              <w:ind w:left="0" w:firstLine="0"/>
            </w:pPr>
          </w:p>
        </w:tc>
        <w:tc>
          <w:tcPr>
            <w:tcW w:w="2567" w:type="dxa"/>
          </w:tcPr>
          <w:p w14:paraId="2565F8AC" w14:textId="380DD33C" w:rsidR="00F95DE6" w:rsidRPr="00D62B92" w:rsidRDefault="00826805" w:rsidP="00D62B92">
            <w:pPr>
              <w:pStyle w:val="TableText"/>
              <w:framePr w:wrap="around"/>
              <w:rPr>
                <w:rFonts w:asciiTheme="minorHAnsi" w:hAnsiTheme="minorHAnsi" w:cstheme="minorHAnsi"/>
                <w:lang w:val="en-AU"/>
              </w:rPr>
            </w:pPr>
            <w:r w:rsidRPr="00D62B92">
              <w:rPr>
                <w:rFonts w:asciiTheme="minorHAnsi" w:hAnsiTheme="minorHAnsi" w:cstheme="minorHAnsi"/>
                <w:lang w:val="en-AU"/>
              </w:rPr>
              <w:t xml:space="preserve">The common interests of both ACER and DFAT have been realised to a large </w:t>
            </w:r>
            <w:r w:rsidRPr="00D62B92">
              <w:rPr>
                <w:rFonts w:asciiTheme="minorHAnsi" w:hAnsiTheme="minorHAnsi" w:cstheme="minorHAnsi"/>
                <w:lang w:val="en-AU"/>
              </w:rPr>
              <w:lastRenderedPageBreak/>
              <w:t>extent through the GEM Centre.</w:t>
            </w:r>
          </w:p>
        </w:tc>
        <w:tc>
          <w:tcPr>
            <w:tcW w:w="6191" w:type="dxa"/>
          </w:tcPr>
          <w:p w14:paraId="54019C13" w14:textId="35A4C838" w:rsidR="00F95DE6" w:rsidRPr="00D62B92" w:rsidRDefault="00C21914" w:rsidP="00D62B92">
            <w:pPr>
              <w:pStyle w:val="TableText"/>
              <w:framePr w:wrap="around"/>
              <w:rPr>
                <w:rFonts w:asciiTheme="minorHAnsi" w:hAnsiTheme="minorHAnsi" w:cstheme="minorHAnsi"/>
              </w:rPr>
            </w:pPr>
            <w:r w:rsidRPr="00D62B92">
              <w:rPr>
                <w:rFonts w:asciiTheme="minorHAnsi" w:hAnsiTheme="minorHAnsi" w:cstheme="minorHAnsi"/>
              </w:rPr>
              <w:lastRenderedPageBreak/>
              <w:t xml:space="preserve">Identify and begin to produce and market products for a broader group of audiences the global, regional, and country levels that can be carried forward beyond Phase 3. Articulate a strategic </w:t>
            </w:r>
            <w:r w:rsidRPr="00D62B92">
              <w:rPr>
                <w:rFonts w:asciiTheme="minorHAnsi" w:hAnsiTheme="minorHAnsi" w:cstheme="minorHAnsi"/>
              </w:rPr>
              <w:lastRenderedPageBreak/>
              <w:t xml:space="preserve">‘communication for development’ approach that is aligned with and supports the tightened strategic approach (above) and effectively and efficiently contributes to the ongoing relevance, coherence, impact, and sustainability of Partnership efforts in the global education monitoring ecosystem.  </w:t>
            </w:r>
          </w:p>
        </w:tc>
        <w:tc>
          <w:tcPr>
            <w:tcW w:w="1882" w:type="dxa"/>
          </w:tcPr>
          <w:p w14:paraId="5CCD6A94" w14:textId="1EE0862A" w:rsidR="00F95DE6" w:rsidRPr="00D62B92" w:rsidRDefault="00826805" w:rsidP="00D62B92">
            <w:pPr>
              <w:pStyle w:val="TableText"/>
              <w:framePr w:wrap="around"/>
              <w:rPr>
                <w:rFonts w:asciiTheme="minorHAnsi" w:hAnsiTheme="minorHAnsi" w:cstheme="minorHAnsi"/>
              </w:rPr>
            </w:pPr>
            <w:r w:rsidRPr="00D62B92">
              <w:rPr>
                <w:rFonts w:asciiTheme="minorHAnsi" w:hAnsiTheme="minorHAnsi" w:cstheme="minorHAnsi"/>
              </w:rPr>
              <w:lastRenderedPageBreak/>
              <w:t>Agree</w:t>
            </w:r>
          </w:p>
        </w:tc>
        <w:tc>
          <w:tcPr>
            <w:tcW w:w="3004" w:type="dxa"/>
          </w:tcPr>
          <w:p w14:paraId="4F7E9C43" w14:textId="5BB9649C" w:rsidR="00F95DE6" w:rsidRPr="00D62B92" w:rsidRDefault="003649B0" w:rsidP="00D62B92">
            <w:pPr>
              <w:pStyle w:val="TableText"/>
              <w:framePr w:wrap="around"/>
              <w:rPr>
                <w:rFonts w:asciiTheme="minorHAnsi" w:hAnsiTheme="minorHAnsi" w:cstheme="minorHAnsi"/>
              </w:rPr>
            </w:pPr>
            <w:r w:rsidRPr="00D62B92">
              <w:rPr>
                <w:rFonts w:asciiTheme="minorHAnsi" w:hAnsiTheme="minorHAnsi" w:cstheme="minorHAnsi"/>
              </w:rPr>
              <w:t xml:space="preserve">DFAT will work with ACER to produce fit-for-purpose policy-relevant communications </w:t>
            </w:r>
            <w:r w:rsidRPr="00D62B92">
              <w:rPr>
                <w:rFonts w:asciiTheme="minorHAnsi" w:hAnsiTheme="minorHAnsi" w:cstheme="minorHAnsi"/>
              </w:rPr>
              <w:lastRenderedPageBreak/>
              <w:t>products to increase utilisation</w:t>
            </w:r>
            <w:r w:rsidR="00EF0A2C" w:rsidRPr="00D62B92">
              <w:rPr>
                <w:rFonts w:asciiTheme="minorHAnsi" w:hAnsiTheme="minorHAnsi" w:cstheme="minorHAnsi"/>
              </w:rPr>
              <w:t xml:space="preserve"> </w:t>
            </w:r>
            <w:r w:rsidR="004E0525" w:rsidRPr="00D62B92">
              <w:rPr>
                <w:rFonts w:asciiTheme="minorHAnsi" w:hAnsiTheme="minorHAnsi" w:cstheme="minorHAnsi"/>
              </w:rPr>
              <w:t>by partner</w:t>
            </w:r>
            <w:r w:rsidR="00EF0A2C" w:rsidRPr="00D62B92">
              <w:rPr>
                <w:rFonts w:asciiTheme="minorHAnsi" w:hAnsiTheme="minorHAnsi" w:cstheme="minorHAnsi"/>
              </w:rPr>
              <w:t xml:space="preserve"> countries </w:t>
            </w:r>
            <w:r w:rsidR="004E0525" w:rsidRPr="00D62B92">
              <w:rPr>
                <w:rFonts w:asciiTheme="minorHAnsi" w:hAnsiTheme="minorHAnsi" w:cstheme="minorHAnsi"/>
              </w:rPr>
              <w:t xml:space="preserve">and regions </w:t>
            </w:r>
            <w:r w:rsidR="00EF0A2C" w:rsidRPr="00D62B92">
              <w:rPr>
                <w:rFonts w:asciiTheme="minorHAnsi" w:hAnsiTheme="minorHAnsi" w:cstheme="minorHAnsi"/>
              </w:rPr>
              <w:t>(identified above)</w:t>
            </w:r>
            <w:r w:rsidR="000C582D" w:rsidRPr="00D62B92">
              <w:rPr>
                <w:rFonts w:asciiTheme="minorHAnsi" w:hAnsiTheme="minorHAnsi" w:cstheme="minorHAnsi"/>
              </w:rPr>
              <w:t xml:space="preserve"> by </w:t>
            </w:r>
            <w:r w:rsidR="007B4979" w:rsidRPr="00D62B92">
              <w:rPr>
                <w:rFonts w:asciiTheme="minorHAnsi" w:hAnsiTheme="minorHAnsi" w:cstheme="minorHAnsi"/>
              </w:rPr>
              <w:t xml:space="preserve">the end of </w:t>
            </w:r>
            <w:r w:rsidR="00E17B18" w:rsidRPr="00D62B92">
              <w:rPr>
                <w:rFonts w:asciiTheme="minorHAnsi" w:hAnsiTheme="minorHAnsi" w:cstheme="minorHAnsi"/>
              </w:rPr>
              <w:t>October</w:t>
            </w:r>
            <w:r w:rsidR="004B6B27" w:rsidRPr="00D62B92">
              <w:rPr>
                <w:rFonts w:asciiTheme="minorHAnsi" w:hAnsiTheme="minorHAnsi" w:cstheme="minorHAnsi"/>
              </w:rPr>
              <w:t xml:space="preserve"> </w:t>
            </w:r>
            <w:r w:rsidR="007B4979" w:rsidRPr="00D62B92">
              <w:rPr>
                <w:rFonts w:asciiTheme="minorHAnsi" w:hAnsiTheme="minorHAnsi" w:cstheme="minorHAnsi"/>
              </w:rPr>
              <w:t>2023.</w:t>
            </w:r>
          </w:p>
        </w:tc>
      </w:tr>
      <w:tr w:rsidR="00A919B2" w:rsidRPr="00B01D45" w14:paraId="63DD0136" w14:textId="77777777" w:rsidTr="001A585D">
        <w:trPr>
          <w:trHeight w:val="20"/>
          <w:jc w:val="center"/>
        </w:trPr>
        <w:tc>
          <w:tcPr>
            <w:tcW w:w="1093" w:type="dxa"/>
          </w:tcPr>
          <w:p w14:paraId="0E8A5DD9" w14:textId="66A5B704" w:rsidR="00F95DE6" w:rsidRDefault="00F95DE6" w:rsidP="001A585D">
            <w:pPr>
              <w:pStyle w:val="Numberedlist1HDMES"/>
              <w:tabs>
                <w:tab w:val="num" w:pos="360"/>
              </w:tabs>
              <w:spacing w:before="240" w:after="120"/>
              <w:ind w:left="0" w:firstLine="0"/>
            </w:pPr>
          </w:p>
        </w:tc>
        <w:tc>
          <w:tcPr>
            <w:tcW w:w="2567" w:type="dxa"/>
          </w:tcPr>
          <w:p w14:paraId="6D3F049A" w14:textId="2B945CB1" w:rsidR="00F95DE6" w:rsidRPr="00D62B92" w:rsidRDefault="001F252D" w:rsidP="00D62B92">
            <w:pPr>
              <w:pStyle w:val="TableText"/>
              <w:framePr w:wrap="around"/>
              <w:rPr>
                <w:rFonts w:asciiTheme="minorHAnsi" w:hAnsiTheme="minorHAnsi" w:cstheme="minorHAnsi"/>
                <w:lang w:val="en-AU"/>
              </w:rPr>
            </w:pPr>
            <w:r w:rsidRPr="00D62B92">
              <w:rPr>
                <w:rFonts w:asciiTheme="minorHAnsi" w:hAnsiTheme="minorHAnsi" w:cstheme="minorHAnsi"/>
                <w:lang w:val="en-AU"/>
              </w:rPr>
              <w:t>An absence of a high-quality MELF and associated data aggregation and reporting hindered the MTE.</w:t>
            </w:r>
          </w:p>
        </w:tc>
        <w:tc>
          <w:tcPr>
            <w:tcW w:w="6191" w:type="dxa"/>
          </w:tcPr>
          <w:p w14:paraId="25A07FAF" w14:textId="3FF4B144" w:rsidR="00F95DE6" w:rsidRPr="00D62B92" w:rsidRDefault="00E350AE" w:rsidP="001A585D">
            <w:pPr>
              <w:pStyle w:val="TableText"/>
              <w:framePr w:wrap="around"/>
              <w:rPr>
                <w:rFonts w:asciiTheme="minorHAnsi" w:hAnsiTheme="minorHAnsi" w:cstheme="minorHAnsi"/>
              </w:rPr>
            </w:pPr>
            <w:r w:rsidRPr="00D62B92">
              <w:rPr>
                <w:rFonts w:asciiTheme="minorHAnsi" w:hAnsiTheme="minorHAnsi" w:cstheme="minorHAnsi"/>
              </w:rPr>
              <w:t>Refine and incorporate several of the MTE data consolidation tools into the GEM Centre monitoring, evaluation, and learning (MEL) approach. Once the strategic direction is determined, improve the MEL plan and framework in terms of tracking and consolidation of output and outcome achievements to inform strategic decisions, implementation, and reporting beyond Phase 3.</w:t>
            </w:r>
          </w:p>
        </w:tc>
        <w:tc>
          <w:tcPr>
            <w:tcW w:w="1882" w:type="dxa"/>
          </w:tcPr>
          <w:p w14:paraId="194F1A3E" w14:textId="413C3636" w:rsidR="00F95DE6" w:rsidRPr="00D62B92" w:rsidRDefault="007063C6" w:rsidP="00D62B92">
            <w:pPr>
              <w:pStyle w:val="TableText"/>
              <w:framePr w:wrap="around"/>
              <w:rPr>
                <w:rFonts w:asciiTheme="minorHAnsi" w:hAnsiTheme="minorHAnsi" w:cstheme="minorHAnsi"/>
              </w:rPr>
            </w:pPr>
            <w:r w:rsidRPr="00D62B92">
              <w:rPr>
                <w:rFonts w:asciiTheme="minorHAnsi" w:hAnsiTheme="minorHAnsi" w:cstheme="minorHAnsi"/>
              </w:rPr>
              <w:t>Partially a</w:t>
            </w:r>
            <w:r w:rsidR="00826805" w:rsidRPr="00D62B92">
              <w:rPr>
                <w:rFonts w:asciiTheme="minorHAnsi" w:hAnsiTheme="minorHAnsi" w:cstheme="minorHAnsi"/>
              </w:rPr>
              <w:t>gree</w:t>
            </w:r>
          </w:p>
        </w:tc>
        <w:tc>
          <w:tcPr>
            <w:tcW w:w="3004" w:type="dxa"/>
          </w:tcPr>
          <w:p w14:paraId="734C2A8B" w14:textId="0B906497" w:rsidR="001E2B92" w:rsidRPr="00D62B92" w:rsidRDefault="00761F8A" w:rsidP="00D62B92">
            <w:pPr>
              <w:pStyle w:val="TableText"/>
              <w:framePr w:wrap="around"/>
              <w:rPr>
                <w:rFonts w:asciiTheme="minorHAnsi" w:hAnsiTheme="minorHAnsi" w:cstheme="minorHAnsi"/>
              </w:rPr>
            </w:pPr>
            <w:r w:rsidRPr="00D62B92">
              <w:rPr>
                <w:rFonts w:asciiTheme="minorHAnsi" w:hAnsiTheme="minorHAnsi" w:cstheme="minorHAnsi"/>
              </w:rPr>
              <w:t>DFAT welcomes i</w:t>
            </w:r>
            <w:r w:rsidR="003649B0" w:rsidRPr="00D62B92">
              <w:rPr>
                <w:rFonts w:asciiTheme="minorHAnsi" w:hAnsiTheme="minorHAnsi" w:cstheme="minorHAnsi"/>
              </w:rPr>
              <w:t xml:space="preserve">mproved </w:t>
            </w:r>
            <w:proofErr w:type="gramStart"/>
            <w:r w:rsidR="003649B0" w:rsidRPr="00D62B92">
              <w:rPr>
                <w:rFonts w:asciiTheme="minorHAnsi" w:hAnsiTheme="minorHAnsi" w:cstheme="minorHAnsi"/>
              </w:rPr>
              <w:t>MEL</w:t>
            </w:r>
            <w:r w:rsidR="001E2B92" w:rsidRPr="00D62B92">
              <w:rPr>
                <w:rFonts w:asciiTheme="minorHAnsi" w:hAnsiTheme="minorHAnsi" w:cstheme="minorHAnsi"/>
              </w:rPr>
              <w:t>, but</w:t>
            </w:r>
            <w:proofErr w:type="gramEnd"/>
            <w:r w:rsidR="001E2B92" w:rsidRPr="00D62B92">
              <w:rPr>
                <w:rFonts w:asciiTheme="minorHAnsi" w:hAnsiTheme="minorHAnsi" w:cstheme="minorHAnsi"/>
              </w:rPr>
              <w:t xml:space="preserve"> recognises that the timing and resources applied to change needs to be proportional to future funding and direction of the partnership. </w:t>
            </w:r>
            <w:r w:rsidRPr="00D62B92">
              <w:rPr>
                <w:rFonts w:asciiTheme="minorHAnsi" w:hAnsiTheme="minorHAnsi" w:cstheme="minorHAnsi"/>
              </w:rPr>
              <w:t xml:space="preserve"> </w:t>
            </w:r>
            <w:r w:rsidR="001E2B92" w:rsidRPr="00D62B92">
              <w:rPr>
                <w:rFonts w:asciiTheme="minorHAnsi" w:hAnsiTheme="minorHAnsi" w:cstheme="minorHAnsi"/>
              </w:rPr>
              <w:t>[For Phase 3, the Pathways to Impact indicates the strategic priorities and principles of the GEM Centre, providing the key elements for the phase 3 reporting cycle].</w:t>
            </w:r>
          </w:p>
          <w:p w14:paraId="0AAE82CF" w14:textId="42B47AB4" w:rsidR="001E2B92" w:rsidRPr="00D62B92" w:rsidRDefault="001E2B92" w:rsidP="00D62B92">
            <w:pPr>
              <w:pStyle w:val="TableText"/>
              <w:framePr w:wrap="around"/>
              <w:rPr>
                <w:rFonts w:asciiTheme="minorHAnsi" w:hAnsiTheme="minorHAnsi" w:cstheme="minorHAnsi"/>
              </w:rPr>
            </w:pPr>
          </w:p>
        </w:tc>
      </w:tr>
      <w:bookmarkEnd w:id="1"/>
    </w:tbl>
    <w:p w14:paraId="64D8F2DE" w14:textId="43875703" w:rsidR="00C37FFA" w:rsidRDefault="00C37FFA" w:rsidP="00C37FFA">
      <w:pPr>
        <w:spacing w:after="0" w:line="120" w:lineRule="auto"/>
      </w:pPr>
    </w:p>
    <w:p w14:paraId="0E617DAD" w14:textId="77777777" w:rsidR="00031368" w:rsidRDefault="00031368" w:rsidP="00C37FFA">
      <w:pPr>
        <w:spacing w:after="0" w:line="276" w:lineRule="auto"/>
        <w:rPr>
          <w:b/>
          <w:bCs/>
          <w:sz w:val="24"/>
          <w:szCs w:val="24"/>
        </w:rPr>
      </w:pPr>
    </w:p>
    <w:sectPr w:rsidR="00031368" w:rsidSect="00392AD1">
      <w:headerReference w:type="default" r:id="rId8"/>
      <w:footerReference w:type="default" r:id="rId9"/>
      <w:headerReference w:type="first" r:id="rId10"/>
      <w:footerReference w:type="first" r:id="rId11"/>
      <w:pgSz w:w="16838" w:h="11906" w:orient="landscape" w:code="9"/>
      <w:pgMar w:top="1191" w:right="1670" w:bottom="993" w:left="1418" w:header="454" w:footer="28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ABFE" w14:textId="77777777" w:rsidR="0018589D" w:rsidRDefault="0018589D" w:rsidP="00D37B04">
      <w:r>
        <w:separator/>
      </w:r>
    </w:p>
  </w:endnote>
  <w:endnote w:type="continuationSeparator" w:id="0">
    <w:p w14:paraId="6989C225" w14:textId="77777777" w:rsidR="0018589D" w:rsidRDefault="0018589D" w:rsidP="00D37B04">
      <w:r>
        <w:continuationSeparator/>
      </w:r>
    </w:p>
  </w:endnote>
  <w:endnote w:id="1">
    <w:p w14:paraId="5A52385C" w14:textId="48EC0BD2" w:rsidR="001B2DA3" w:rsidRPr="001A585D" w:rsidRDefault="001B2DA3" w:rsidP="001A585D">
      <w:pPr>
        <w:pStyle w:val="TableSourceNotes"/>
        <w:rPr>
          <w:sz w:val="14"/>
          <w:szCs w:val="24"/>
        </w:rPr>
      </w:pPr>
      <w:r w:rsidRPr="001A585D">
        <w:rPr>
          <w:rStyle w:val="EndnoteReference"/>
          <w:sz w:val="18"/>
          <w:szCs w:val="32"/>
        </w:rPr>
        <w:endnoteRef/>
      </w:r>
      <w:r w:rsidRPr="001A585D">
        <w:rPr>
          <w:sz w:val="18"/>
          <w:szCs w:val="32"/>
        </w:rPr>
        <w:t xml:space="preserve"> </w:t>
      </w:r>
      <w:r w:rsidR="007F5A9A" w:rsidRPr="001A585D">
        <w:rPr>
          <w:sz w:val="18"/>
          <w:szCs w:val="32"/>
        </w:rPr>
        <w:t>In addition to Phase 3, the</w:t>
      </w:r>
      <w:r w:rsidRPr="001A585D">
        <w:rPr>
          <w:sz w:val="18"/>
          <w:szCs w:val="32"/>
        </w:rPr>
        <w:t xml:space="preserve"> review </w:t>
      </w:r>
      <w:r w:rsidR="007F5A9A" w:rsidRPr="001A585D">
        <w:rPr>
          <w:sz w:val="18"/>
          <w:szCs w:val="32"/>
        </w:rPr>
        <w:t xml:space="preserve">also </w:t>
      </w:r>
      <w:r w:rsidRPr="001A585D">
        <w:rPr>
          <w:sz w:val="18"/>
          <w:szCs w:val="32"/>
        </w:rPr>
        <w:t xml:space="preserve">considered previous inputs due </w:t>
      </w:r>
      <w:r w:rsidR="006411EB" w:rsidRPr="001A585D">
        <w:rPr>
          <w:sz w:val="18"/>
          <w:szCs w:val="32"/>
        </w:rPr>
        <w:t xml:space="preserve">to the </w:t>
      </w:r>
      <w:r w:rsidR="00725709" w:rsidRPr="001A585D">
        <w:rPr>
          <w:sz w:val="18"/>
          <w:szCs w:val="32"/>
        </w:rPr>
        <w:t>long-term</w:t>
      </w:r>
      <w:r w:rsidR="006411EB" w:rsidRPr="001A585D">
        <w:rPr>
          <w:sz w:val="18"/>
          <w:szCs w:val="32"/>
        </w:rPr>
        <w:t xml:space="preserve">, cumulative nature of the </w:t>
      </w:r>
      <w:r w:rsidRPr="001A585D">
        <w:rPr>
          <w:sz w:val="18"/>
          <w:szCs w:val="32"/>
        </w:rPr>
        <w:t xml:space="preserve">work being done by GEM Centre. </w:t>
      </w:r>
    </w:p>
    <w:p w14:paraId="5DAF5C5D" w14:textId="1F490142" w:rsidR="001B2DA3" w:rsidRPr="001B2DA3" w:rsidRDefault="001B2DA3">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429426290"/>
      <w:docPartObj>
        <w:docPartGallery w:val="Page Numbers (Bottom of Page)"/>
        <w:docPartUnique/>
      </w:docPartObj>
    </w:sdtPr>
    <w:sdtEndPr/>
    <w:sdtContent>
      <w:p w14:paraId="4D878E17" w14:textId="42A5F1A7" w:rsidR="001D7A4D" w:rsidRPr="00AD037C" w:rsidRDefault="001D7A4D">
        <w:pPr>
          <w:pStyle w:val="Footer"/>
          <w:jc w:val="right"/>
          <w:rPr>
            <w:color w:val="auto"/>
          </w:rPr>
        </w:pPr>
        <w:r w:rsidRPr="00AD037C">
          <w:rPr>
            <w:color w:val="auto"/>
          </w:rPr>
          <w:t xml:space="preserve">Page | </w:t>
        </w:r>
        <w:r w:rsidRPr="00AD037C">
          <w:rPr>
            <w:color w:val="auto"/>
          </w:rPr>
          <w:fldChar w:fldCharType="begin"/>
        </w:r>
        <w:r w:rsidRPr="00AD037C">
          <w:rPr>
            <w:color w:val="auto"/>
          </w:rPr>
          <w:instrText xml:space="preserve"> PAGE   \* MERGEFORMAT </w:instrText>
        </w:r>
        <w:r w:rsidRPr="00AD037C">
          <w:rPr>
            <w:color w:val="auto"/>
          </w:rPr>
          <w:fldChar w:fldCharType="separate"/>
        </w:r>
        <w:r w:rsidRPr="00AD037C">
          <w:rPr>
            <w:noProof/>
            <w:color w:val="auto"/>
          </w:rPr>
          <w:t>2</w:t>
        </w:r>
        <w:r w:rsidRPr="00AD037C">
          <w:rPr>
            <w:noProof/>
            <w:color w:val="auto"/>
          </w:rPr>
          <w:fldChar w:fldCharType="end"/>
        </w:r>
        <w:r w:rsidRPr="00AD037C">
          <w:rPr>
            <w:color w:val="auto"/>
          </w:rPr>
          <w:t xml:space="preserve"> </w:t>
        </w:r>
      </w:p>
    </w:sdtContent>
  </w:sdt>
  <w:p w14:paraId="033EC7FD" w14:textId="11C85592" w:rsidR="001561D3" w:rsidRPr="00FC322F" w:rsidRDefault="001561D3" w:rsidP="00AD037C">
    <w:pPr>
      <w:pStyle w:val="Footer"/>
      <w:ind w:right="-882"/>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7260"/>
      <w:docPartObj>
        <w:docPartGallery w:val="Page Numbers (Bottom of Page)"/>
        <w:docPartUnique/>
      </w:docPartObj>
    </w:sdtPr>
    <w:sdtEndPr>
      <w:rPr>
        <w:color w:val="7F7F7F" w:themeColor="text1" w:themeTint="80"/>
      </w:rPr>
    </w:sdtEndPr>
    <w:sdtContent>
      <w:p w14:paraId="4ADB18AB" w14:textId="3E2C8080" w:rsidR="001D7A4D" w:rsidRPr="00C8609B" w:rsidRDefault="001D7A4D">
        <w:pPr>
          <w:pStyle w:val="Footer"/>
          <w:jc w:val="right"/>
          <w:rPr>
            <w:color w:val="7F7F7F" w:themeColor="text1" w:themeTint="80"/>
          </w:rPr>
        </w:pPr>
        <w:r w:rsidRPr="00C8609B">
          <w:rPr>
            <w:color w:val="595959" w:themeColor="text1" w:themeTint="A6"/>
          </w:rPr>
          <w:t xml:space="preserve">Page | </w:t>
        </w:r>
        <w:r w:rsidRPr="00C8609B">
          <w:rPr>
            <w:color w:val="595959" w:themeColor="text1" w:themeTint="A6"/>
          </w:rPr>
          <w:fldChar w:fldCharType="begin"/>
        </w:r>
        <w:r w:rsidRPr="00C8609B">
          <w:rPr>
            <w:color w:val="595959" w:themeColor="text1" w:themeTint="A6"/>
          </w:rPr>
          <w:instrText xml:space="preserve"> PAGE   \* MERGEFORMAT </w:instrText>
        </w:r>
        <w:r w:rsidRPr="00C8609B">
          <w:rPr>
            <w:color w:val="595959" w:themeColor="text1" w:themeTint="A6"/>
          </w:rPr>
          <w:fldChar w:fldCharType="separate"/>
        </w:r>
        <w:r w:rsidRPr="00C8609B">
          <w:rPr>
            <w:noProof/>
            <w:color w:val="595959" w:themeColor="text1" w:themeTint="A6"/>
          </w:rPr>
          <w:t>2</w:t>
        </w:r>
        <w:r w:rsidRPr="00C8609B">
          <w:rPr>
            <w:noProof/>
            <w:color w:val="595959" w:themeColor="text1" w:themeTint="A6"/>
          </w:rPr>
          <w:fldChar w:fldCharType="end"/>
        </w:r>
        <w:r w:rsidRPr="00C8609B">
          <w:rPr>
            <w:color w:val="595959" w:themeColor="text1" w:themeTint="A6"/>
          </w:rPr>
          <w:t xml:space="preserve"> </w:t>
        </w:r>
      </w:p>
    </w:sdtContent>
  </w:sdt>
  <w:p w14:paraId="331C0C93" w14:textId="77777777" w:rsidR="001D7A4D" w:rsidRDefault="001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70B5" w14:textId="77777777" w:rsidR="0018589D" w:rsidRPr="008C5A0E" w:rsidRDefault="0018589D" w:rsidP="00D37B04">
      <w:pPr>
        <w:pStyle w:val="Footer"/>
      </w:pPr>
    </w:p>
  </w:footnote>
  <w:footnote w:type="continuationSeparator" w:id="0">
    <w:p w14:paraId="3999D36A" w14:textId="77777777" w:rsidR="0018589D" w:rsidRDefault="0018589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DF0" w14:textId="46E24458" w:rsidR="001561D3" w:rsidRPr="000854FD" w:rsidRDefault="001561D3" w:rsidP="002D5B25">
    <w:pPr>
      <w:pStyle w:val="Header"/>
    </w:pPr>
    <w:r w:rsidRPr="00943730">
      <w:rPr>
        <w:noProof/>
        <w:lang w:val="en-AU" w:eastAsia="en-AU"/>
      </w:rPr>
      <w:drawing>
        <wp:anchor distT="0" distB="0" distL="114300" distR="114300" simplePos="0" relativeHeight="251662336" behindDoc="1" locked="1" layoutInCell="1" allowOverlap="1" wp14:anchorId="0BEC0D8C" wp14:editId="172EEB78">
          <wp:simplePos x="0" y="0"/>
          <wp:positionH relativeFrom="page">
            <wp:posOffset>-18415</wp:posOffset>
          </wp:positionH>
          <wp:positionV relativeFrom="page">
            <wp:posOffset>-219075</wp:posOffset>
          </wp:positionV>
          <wp:extent cx="10668000" cy="10911840"/>
          <wp:effectExtent l="0" t="0" r="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68000" cy="10911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711" w14:textId="338AC8F9" w:rsidR="001561D3" w:rsidRPr="00943730" w:rsidRDefault="001561D3" w:rsidP="00943730">
    <w:pPr>
      <w:pStyle w:val="Header"/>
    </w:pPr>
    <w:r>
      <w:t xml:space="preserve">   </w:t>
    </w:r>
    <w:r w:rsidRPr="00C8609B">
      <w:rPr>
        <w:color w:val="7F7F7F" w:themeColor="text1" w:themeTint="80"/>
      </w:rPr>
      <w:t xml:space="preserve"> </w:t>
    </w:r>
    <w:r w:rsidRPr="00C8609B">
      <w:rPr>
        <w:color w:val="595959" w:themeColor="text1" w:themeTint="A6"/>
      </w:rPr>
      <w:fldChar w:fldCharType="begin"/>
    </w:r>
    <w:r w:rsidRPr="00C8609B">
      <w:rPr>
        <w:color w:val="595959" w:themeColor="text1" w:themeTint="A6"/>
      </w:rPr>
      <w:instrText xml:space="preserve"> DATE  \@ "MMMM yyyy"  \* MERGEFORMAT </w:instrText>
    </w:r>
    <w:r w:rsidRPr="00C8609B">
      <w:rPr>
        <w:color w:val="595959" w:themeColor="text1" w:themeTint="A6"/>
      </w:rPr>
      <w:fldChar w:fldCharType="separate"/>
    </w:r>
    <w:r w:rsidR="00F638A7">
      <w:rPr>
        <w:noProof/>
        <w:color w:val="595959" w:themeColor="text1" w:themeTint="A6"/>
      </w:rPr>
      <w:t>March 2023</w:t>
    </w:r>
    <w:r w:rsidRPr="00C8609B">
      <w:rPr>
        <w:color w:val="595959" w:themeColor="text1" w:themeTint="A6"/>
      </w:rPr>
      <w:fldChar w:fldCharType="end"/>
    </w:r>
    <w:r w:rsidRPr="00943730">
      <w:rPr>
        <w:noProof/>
        <w:lang w:val="en-AU" w:eastAsia="en-AU"/>
      </w:rPr>
      <w:drawing>
        <wp:anchor distT="0" distB="0" distL="114300" distR="114300" simplePos="0" relativeHeight="251657216" behindDoc="1" locked="1" layoutInCell="1" allowOverlap="1" wp14:anchorId="297E378B" wp14:editId="6D082066">
          <wp:simplePos x="0" y="0"/>
          <wp:positionH relativeFrom="page">
            <wp:posOffset>1252855</wp:posOffset>
          </wp:positionH>
          <wp:positionV relativeFrom="margin">
            <wp:align>top</wp:align>
          </wp:positionV>
          <wp:extent cx="3166745" cy="55435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40E6E509" wp14:editId="68E3DB79">
          <wp:simplePos x="0" y="0"/>
          <wp:positionH relativeFrom="margin">
            <wp:posOffset>-929005</wp:posOffset>
          </wp:positionH>
          <wp:positionV relativeFrom="page">
            <wp:align>top</wp:align>
          </wp:positionV>
          <wp:extent cx="10677525" cy="10692130"/>
          <wp:effectExtent l="0" t="0" r="952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677525" cy="10692130"/>
                  </a:xfrm>
                  <a:prstGeom prst="rect">
                    <a:avLst/>
                  </a:prstGeom>
                </pic:spPr>
              </pic:pic>
            </a:graphicData>
          </a:graphic>
          <wp14:sizeRelH relativeFrom="margin">
            <wp14:pctWidth>0</wp14:pctWidth>
          </wp14:sizeRelH>
          <wp14:sizeRelV relativeFrom="margin">
            <wp14:pctHeight>0</wp14:pctHeight>
          </wp14:sizeRelV>
        </wp:anchor>
      </w:drawing>
    </w:r>
    <w:r w:rsidR="00241E6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FE"/>
    <w:multiLevelType w:val="hybridMultilevel"/>
    <w:tmpl w:val="2EB09120"/>
    <w:lvl w:ilvl="0" w:tplc="0C09001B">
      <w:start w:val="1"/>
      <w:numFmt w:val="lowerRoman"/>
      <w:pStyle w:val="Bulletlist1HDMES"/>
      <w:lvlText w:val="%1."/>
      <w:lvlJc w:val="right"/>
      <w:pPr>
        <w:ind w:left="360" w:hanging="360"/>
      </w:pPr>
      <w:rPr>
        <w:rFonts w:hint="default"/>
        <w:b w:val="0"/>
        <w:i w:val="0"/>
        <w:sz w:val="2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A350740"/>
    <w:multiLevelType w:val="hybridMultilevel"/>
    <w:tmpl w:val="4B38FBA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553D9F"/>
    <w:multiLevelType w:val="multilevel"/>
    <w:tmpl w:val="A6FA45D0"/>
    <w:numStyleLink w:val="BulletsList"/>
  </w:abstractNum>
  <w:abstractNum w:abstractNumId="6" w15:restartNumberingAfterBreak="0">
    <w:nsid w:val="533552CF"/>
    <w:multiLevelType w:val="hybridMultilevel"/>
    <w:tmpl w:val="D116D228"/>
    <w:lvl w:ilvl="0" w:tplc="179E9086">
      <w:start w:val="1"/>
      <w:numFmt w:val="decimal"/>
      <w:pStyle w:val="Numberedlist1HDMES"/>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C8F2094"/>
    <w:multiLevelType w:val="hybridMultilevel"/>
    <w:tmpl w:val="224071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5E252ED"/>
    <w:multiLevelType w:val="hybridMultilevel"/>
    <w:tmpl w:val="22F0D2D2"/>
    <w:lvl w:ilvl="0" w:tplc="EF841D56">
      <w:start w:val="1"/>
      <w:numFmt w:val="bullet"/>
      <w:pStyle w:val="Bulletlis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9"/>
  </w:num>
  <w:num w:numId="6">
    <w:abstractNumId w:val="3"/>
  </w:num>
  <w:num w:numId="7">
    <w:abstractNumId w:val="1"/>
  </w:num>
  <w:num w:numId="8">
    <w:abstractNumId w:val="2"/>
  </w:num>
  <w:num w:numId="9">
    <w:abstractNumId w:val="12"/>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0"/>
  </w:num>
  <w:num w:numId="16">
    <w:abstractNumId w:val="0"/>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5"/>
    <w:rsid w:val="000008A9"/>
    <w:rsid w:val="00001DA8"/>
    <w:rsid w:val="000020C1"/>
    <w:rsid w:val="00007853"/>
    <w:rsid w:val="000104DE"/>
    <w:rsid w:val="000118A8"/>
    <w:rsid w:val="0001300D"/>
    <w:rsid w:val="000154B4"/>
    <w:rsid w:val="0002080A"/>
    <w:rsid w:val="000272DA"/>
    <w:rsid w:val="0002782F"/>
    <w:rsid w:val="00030CCC"/>
    <w:rsid w:val="00031368"/>
    <w:rsid w:val="00031568"/>
    <w:rsid w:val="00032AE8"/>
    <w:rsid w:val="00035BBF"/>
    <w:rsid w:val="00045ECB"/>
    <w:rsid w:val="00046F30"/>
    <w:rsid w:val="000470DC"/>
    <w:rsid w:val="00050806"/>
    <w:rsid w:val="00051EE6"/>
    <w:rsid w:val="0005248A"/>
    <w:rsid w:val="000546D9"/>
    <w:rsid w:val="00054E4D"/>
    <w:rsid w:val="00060073"/>
    <w:rsid w:val="000616C6"/>
    <w:rsid w:val="00061CD8"/>
    <w:rsid w:val="000676A3"/>
    <w:rsid w:val="000700D4"/>
    <w:rsid w:val="00071E60"/>
    <w:rsid w:val="00073DCD"/>
    <w:rsid w:val="0007428E"/>
    <w:rsid w:val="000854FD"/>
    <w:rsid w:val="00086354"/>
    <w:rsid w:val="0008795D"/>
    <w:rsid w:val="00090FBA"/>
    <w:rsid w:val="00091664"/>
    <w:rsid w:val="000923F9"/>
    <w:rsid w:val="00096723"/>
    <w:rsid w:val="000A33FA"/>
    <w:rsid w:val="000A75B0"/>
    <w:rsid w:val="000B259D"/>
    <w:rsid w:val="000B37F5"/>
    <w:rsid w:val="000B4191"/>
    <w:rsid w:val="000B4F63"/>
    <w:rsid w:val="000C582D"/>
    <w:rsid w:val="000C7527"/>
    <w:rsid w:val="000C7C9D"/>
    <w:rsid w:val="000D509A"/>
    <w:rsid w:val="000D5D79"/>
    <w:rsid w:val="000D66D6"/>
    <w:rsid w:val="000E3937"/>
    <w:rsid w:val="000E5E14"/>
    <w:rsid w:val="000F023F"/>
    <w:rsid w:val="000F2E22"/>
    <w:rsid w:val="00106F64"/>
    <w:rsid w:val="001127D7"/>
    <w:rsid w:val="00113288"/>
    <w:rsid w:val="00114F5D"/>
    <w:rsid w:val="001214BE"/>
    <w:rsid w:val="0012165C"/>
    <w:rsid w:val="001306E5"/>
    <w:rsid w:val="001308BF"/>
    <w:rsid w:val="0013101C"/>
    <w:rsid w:val="001338B2"/>
    <w:rsid w:val="00136734"/>
    <w:rsid w:val="00137E6D"/>
    <w:rsid w:val="00143F6B"/>
    <w:rsid w:val="00145C10"/>
    <w:rsid w:val="001461D6"/>
    <w:rsid w:val="001541EA"/>
    <w:rsid w:val="00155095"/>
    <w:rsid w:val="001561D3"/>
    <w:rsid w:val="00156639"/>
    <w:rsid w:val="001627C9"/>
    <w:rsid w:val="001631FC"/>
    <w:rsid w:val="00163FA4"/>
    <w:rsid w:val="001700B7"/>
    <w:rsid w:val="001740F9"/>
    <w:rsid w:val="00175B73"/>
    <w:rsid w:val="0018589D"/>
    <w:rsid w:val="00197484"/>
    <w:rsid w:val="001A52D9"/>
    <w:rsid w:val="001A585D"/>
    <w:rsid w:val="001B2DA3"/>
    <w:rsid w:val="001B2F7E"/>
    <w:rsid w:val="001B4C69"/>
    <w:rsid w:val="001B5086"/>
    <w:rsid w:val="001B7CD5"/>
    <w:rsid w:val="001C49DC"/>
    <w:rsid w:val="001C6CEB"/>
    <w:rsid w:val="001D5E00"/>
    <w:rsid w:val="001D663E"/>
    <w:rsid w:val="001D7435"/>
    <w:rsid w:val="001D7A4D"/>
    <w:rsid w:val="001E1DC0"/>
    <w:rsid w:val="001E2B92"/>
    <w:rsid w:val="001F252D"/>
    <w:rsid w:val="001F47F9"/>
    <w:rsid w:val="0020035E"/>
    <w:rsid w:val="002025EA"/>
    <w:rsid w:val="00203277"/>
    <w:rsid w:val="00205B2E"/>
    <w:rsid w:val="00212AA5"/>
    <w:rsid w:val="00213568"/>
    <w:rsid w:val="00214D8D"/>
    <w:rsid w:val="002318E6"/>
    <w:rsid w:val="0023426C"/>
    <w:rsid w:val="00241E69"/>
    <w:rsid w:val="00246ED6"/>
    <w:rsid w:val="00247737"/>
    <w:rsid w:val="002528A4"/>
    <w:rsid w:val="00252C04"/>
    <w:rsid w:val="00252F15"/>
    <w:rsid w:val="00262164"/>
    <w:rsid w:val="00264203"/>
    <w:rsid w:val="002770F7"/>
    <w:rsid w:val="0028602A"/>
    <w:rsid w:val="00293456"/>
    <w:rsid w:val="00294FB1"/>
    <w:rsid w:val="002A4720"/>
    <w:rsid w:val="002B14E7"/>
    <w:rsid w:val="002B3E6A"/>
    <w:rsid w:val="002B5E10"/>
    <w:rsid w:val="002C0CB8"/>
    <w:rsid w:val="002C2901"/>
    <w:rsid w:val="002C2A60"/>
    <w:rsid w:val="002C51CD"/>
    <w:rsid w:val="002C62F4"/>
    <w:rsid w:val="002C69C6"/>
    <w:rsid w:val="002C793D"/>
    <w:rsid w:val="002D5B25"/>
    <w:rsid w:val="002E1E50"/>
    <w:rsid w:val="002F05D3"/>
    <w:rsid w:val="002F21A8"/>
    <w:rsid w:val="002F410C"/>
    <w:rsid w:val="002F4F2B"/>
    <w:rsid w:val="002F5BA6"/>
    <w:rsid w:val="002F7D82"/>
    <w:rsid w:val="002F7EA6"/>
    <w:rsid w:val="003002C0"/>
    <w:rsid w:val="00301144"/>
    <w:rsid w:val="00302CE1"/>
    <w:rsid w:val="00303164"/>
    <w:rsid w:val="003031C6"/>
    <w:rsid w:val="00304984"/>
    <w:rsid w:val="0030720A"/>
    <w:rsid w:val="00312BF8"/>
    <w:rsid w:val="003148B7"/>
    <w:rsid w:val="003158C3"/>
    <w:rsid w:val="00317A5C"/>
    <w:rsid w:val="00321925"/>
    <w:rsid w:val="003258DB"/>
    <w:rsid w:val="003274CD"/>
    <w:rsid w:val="0032768E"/>
    <w:rsid w:val="00331FF5"/>
    <w:rsid w:val="00333501"/>
    <w:rsid w:val="003338BB"/>
    <w:rsid w:val="0033584F"/>
    <w:rsid w:val="00337BBB"/>
    <w:rsid w:val="00345336"/>
    <w:rsid w:val="003457C4"/>
    <w:rsid w:val="0035119D"/>
    <w:rsid w:val="0035307C"/>
    <w:rsid w:val="003614FF"/>
    <w:rsid w:val="0036200C"/>
    <w:rsid w:val="003649B0"/>
    <w:rsid w:val="00370256"/>
    <w:rsid w:val="00376425"/>
    <w:rsid w:val="003808CE"/>
    <w:rsid w:val="00380A79"/>
    <w:rsid w:val="003829CD"/>
    <w:rsid w:val="00384BF7"/>
    <w:rsid w:val="00384D40"/>
    <w:rsid w:val="0039135C"/>
    <w:rsid w:val="00392AD1"/>
    <w:rsid w:val="0039344A"/>
    <w:rsid w:val="00395163"/>
    <w:rsid w:val="00396EEA"/>
    <w:rsid w:val="003A1017"/>
    <w:rsid w:val="003A278E"/>
    <w:rsid w:val="003B485C"/>
    <w:rsid w:val="003B4F12"/>
    <w:rsid w:val="003B708E"/>
    <w:rsid w:val="003B7105"/>
    <w:rsid w:val="003B73FA"/>
    <w:rsid w:val="003B745D"/>
    <w:rsid w:val="003D2624"/>
    <w:rsid w:val="003D283B"/>
    <w:rsid w:val="003D5A28"/>
    <w:rsid w:val="003E57AA"/>
    <w:rsid w:val="003F2041"/>
    <w:rsid w:val="003F5699"/>
    <w:rsid w:val="00401E1B"/>
    <w:rsid w:val="00402ACC"/>
    <w:rsid w:val="00405CCA"/>
    <w:rsid w:val="0040625A"/>
    <w:rsid w:val="00406B43"/>
    <w:rsid w:val="00410E70"/>
    <w:rsid w:val="004120EC"/>
    <w:rsid w:val="004127B1"/>
    <w:rsid w:val="004131BF"/>
    <w:rsid w:val="004133A3"/>
    <w:rsid w:val="00421B69"/>
    <w:rsid w:val="00423F31"/>
    <w:rsid w:val="00431899"/>
    <w:rsid w:val="00434932"/>
    <w:rsid w:val="00436077"/>
    <w:rsid w:val="0043788C"/>
    <w:rsid w:val="00442055"/>
    <w:rsid w:val="00444B0D"/>
    <w:rsid w:val="00445EAF"/>
    <w:rsid w:val="00453DCA"/>
    <w:rsid w:val="00457177"/>
    <w:rsid w:val="00465E80"/>
    <w:rsid w:val="00472D57"/>
    <w:rsid w:val="00473702"/>
    <w:rsid w:val="00480FE4"/>
    <w:rsid w:val="00482AE8"/>
    <w:rsid w:val="0048492D"/>
    <w:rsid w:val="00486804"/>
    <w:rsid w:val="00487BFA"/>
    <w:rsid w:val="004939C4"/>
    <w:rsid w:val="0049495B"/>
    <w:rsid w:val="004A2B4A"/>
    <w:rsid w:val="004A617F"/>
    <w:rsid w:val="004B0C6A"/>
    <w:rsid w:val="004B3775"/>
    <w:rsid w:val="004B6B27"/>
    <w:rsid w:val="004B7F33"/>
    <w:rsid w:val="004C0034"/>
    <w:rsid w:val="004C1D51"/>
    <w:rsid w:val="004C3BA7"/>
    <w:rsid w:val="004C4BF0"/>
    <w:rsid w:val="004C6342"/>
    <w:rsid w:val="004D0BA0"/>
    <w:rsid w:val="004E0525"/>
    <w:rsid w:val="004E058F"/>
    <w:rsid w:val="004E09DE"/>
    <w:rsid w:val="004E0D63"/>
    <w:rsid w:val="004E3B87"/>
    <w:rsid w:val="004E3C3B"/>
    <w:rsid w:val="004E6776"/>
    <w:rsid w:val="004E777C"/>
    <w:rsid w:val="004F1A80"/>
    <w:rsid w:val="004F1BF5"/>
    <w:rsid w:val="004F41B7"/>
    <w:rsid w:val="004F7ABC"/>
    <w:rsid w:val="00510921"/>
    <w:rsid w:val="00510AD3"/>
    <w:rsid w:val="00513348"/>
    <w:rsid w:val="00513AD8"/>
    <w:rsid w:val="00514447"/>
    <w:rsid w:val="005158D5"/>
    <w:rsid w:val="0052027E"/>
    <w:rsid w:val="005204D2"/>
    <w:rsid w:val="005217DF"/>
    <w:rsid w:val="00522396"/>
    <w:rsid w:val="0052578E"/>
    <w:rsid w:val="00527EAC"/>
    <w:rsid w:val="0053095B"/>
    <w:rsid w:val="00533B5D"/>
    <w:rsid w:val="00540B1F"/>
    <w:rsid w:val="00540E77"/>
    <w:rsid w:val="0054529C"/>
    <w:rsid w:val="00550049"/>
    <w:rsid w:val="00550D84"/>
    <w:rsid w:val="00552CED"/>
    <w:rsid w:val="005609A5"/>
    <w:rsid w:val="005725E5"/>
    <w:rsid w:val="00574D83"/>
    <w:rsid w:val="00580870"/>
    <w:rsid w:val="00594873"/>
    <w:rsid w:val="0059716B"/>
    <w:rsid w:val="005A20F6"/>
    <w:rsid w:val="005A60BB"/>
    <w:rsid w:val="005B1CCE"/>
    <w:rsid w:val="005B2276"/>
    <w:rsid w:val="005B55E8"/>
    <w:rsid w:val="005B741B"/>
    <w:rsid w:val="005C4F20"/>
    <w:rsid w:val="005D3655"/>
    <w:rsid w:val="005E03CA"/>
    <w:rsid w:val="005E0794"/>
    <w:rsid w:val="005E24A4"/>
    <w:rsid w:val="005E4830"/>
    <w:rsid w:val="005E6DEC"/>
    <w:rsid w:val="006051CA"/>
    <w:rsid w:val="00612921"/>
    <w:rsid w:val="00612BDF"/>
    <w:rsid w:val="00622287"/>
    <w:rsid w:val="00622B86"/>
    <w:rsid w:val="00623BA1"/>
    <w:rsid w:val="00624926"/>
    <w:rsid w:val="006266C6"/>
    <w:rsid w:val="006346BC"/>
    <w:rsid w:val="00640AA7"/>
    <w:rsid w:val="006411EB"/>
    <w:rsid w:val="00654324"/>
    <w:rsid w:val="0065468D"/>
    <w:rsid w:val="00656088"/>
    <w:rsid w:val="006568A7"/>
    <w:rsid w:val="00664158"/>
    <w:rsid w:val="0066460B"/>
    <w:rsid w:val="0066652A"/>
    <w:rsid w:val="00670AB2"/>
    <w:rsid w:val="006719C3"/>
    <w:rsid w:val="006728D5"/>
    <w:rsid w:val="006767D2"/>
    <w:rsid w:val="00680522"/>
    <w:rsid w:val="00682167"/>
    <w:rsid w:val="00685841"/>
    <w:rsid w:val="00687053"/>
    <w:rsid w:val="006920F8"/>
    <w:rsid w:val="006958F5"/>
    <w:rsid w:val="006A0230"/>
    <w:rsid w:val="006A1990"/>
    <w:rsid w:val="006A675C"/>
    <w:rsid w:val="006B61D4"/>
    <w:rsid w:val="006C42AF"/>
    <w:rsid w:val="006C516F"/>
    <w:rsid w:val="006C6C64"/>
    <w:rsid w:val="006C7160"/>
    <w:rsid w:val="006C7C5B"/>
    <w:rsid w:val="006D092C"/>
    <w:rsid w:val="006E0E7D"/>
    <w:rsid w:val="006E2373"/>
    <w:rsid w:val="006E3E97"/>
    <w:rsid w:val="006E5091"/>
    <w:rsid w:val="006E5AD6"/>
    <w:rsid w:val="006F4865"/>
    <w:rsid w:val="006F7113"/>
    <w:rsid w:val="007063C6"/>
    <w:rsid w:val="00711D8E"/>
    <w:rsid w:val="00712672"/>
    <w:rsid w:val="0071488B"/>
    <w:rsid w:val="007162F5"/>
    <w:rsid w:val="00725709"/>
    <w:rsid w:val="00725AEA"/>
    <w:rsid w:val="00725BEF"/>
    <w:rsid w:val="007320B6"/>
    <w:rsid w:val="007339BD"/>
    <w:rsid w:val="00734E3F"/>
    <w:rsid w:val="00736985"/>
    <w:rsid w:val="007373CE"/>
    <w:rsid w:val="007412BC"/>
    <w:rsid w:val="00745DF5"/>
    <w:rsid w:val="00746E77"/>
    <w:rsid w:val="00752088"/>
    <w:rsid w:val="00754046"/>
    <w:rsid w:val="00761F8A"/>
    <w:rsid w:val="0076250F"/>
    <w:rsid w:val="00763A98"/>
    <w:rsid w:val="00763C34"/>
    <w:rsid w:val="007706B8"/>
    <w:rsid w:val="00774EE4"/>
    <w:rsid w:val="00780FA5"/>
    <w:rsid w:val="00794B77"/>
    <w:rsid w:val="007A1BA0"/>
    <w:rsid w:val="007A78C2"/>
    <w:rsid w:val="007A7DBA"/>
    <w:rsid w:val="007B4979"/>
    <w:rsid w:val="007B6200"/>
    <w:rsid w:val="007B6AAF"/>
    <w:rsid w:val="007D5157"/>
    <w:rsid w:val="007D78A1"/>
    <w:rsid w:val="007E2B37"/>
    <w:rsid w:val="007E3395"/>
    <w:rsid w:val="007F3395"/>
    <w:rsid w:val="007F5A9A"/>
    <w:rsid w:val="00801B9F"/>
    <w:rsid w:val="00801CB4"/>
    <w:rsid w:val="0080204D"/>
    <w:rsid w:val="00805A55"/>
    <w:rsid w:val="00805B9C"/>
    <w:rsid w:val="008065C9"/>
    <w:rsid w:val="00812673"/>
    <w:rsid w:val="00817ABC"/>
    <w:rsid w:val="00824DD4"/>
    <w:rsid w:val="00826805"/>
    <w:rsid w:val="0083052F"/>
    <w:rsid w:val="008331A6"/>
    <w:rsid w:val="00835E7B"/>
    <w:rsid w:val="008447A1"/>
    <w:rsid w:val="008465F6"/>
    <w:rsid w:val="008475F0"/>
    <w:rsid w:val="0085088B"/>
    <w:rsid w:val="0085406B"/>
    <w:rsid w:val="008548E5"/>
    <w:rsid w:val="008557A7"/>
    <w:rsid w:val="008570D6"/>
    <w:rsid w:val="008607DA"/>
    <w:rsid w:val="00863E55"/>
    <w:rsid w:val="0086569C"/>
    <w:rsid w:val="008663C5"/>
    <w:rsid w:val="00870928"/>
    <w:rsid w:val="008749B5"/>
    <w:rsid w:val="00876EF9"/>
    <w:rsid w:val="00883507"/>
    <w:rsid w:val="008847EC"/>
    <w:rsid w:val="00885A62"/>
    <w:rsid w:val="00891FC6"/>
    <w:rsid w:val="0089405C"/>
    <w:rsid w:val="008959A4"/>
    <w:rsid w:val="00896D34"/>
    <w:rsid w:val="00897FA2"/>
    <w:rsid w:val="008A1A4D"/>
    <w:rsid w:val="008A2208"/>
    <w:rsid w:val="008A3128"/>
    <w:rsid w:val="008A38D9"/>
    <w:rsid w:val="008A5AFE"/>
    <w:rsid w:val="008B116C"/>
    <w:rsid w:val="008B5969"/>
    <w:rsid w:val="008C0842"/>
    <w:rsid w:val="008C2BF6"/>
    <w:rsid w:val="008C5A0E"/>
    <w:rsid w:val="008C6A5B"/>
    <w:rsid w:val="008D6419"/>
    <w:rsid w:val="008D717E"/>
    <w:rsid w:val="008E34AE"/>
    <w:rsid w:val="008E5802"/>
    <w:rsid w:val="008F2DD7"/>
    <w:rsid w:val="008F341F"/>
    <w:rsid w:val="008F5497"/>
    <w:rsid w:val="008F623C"/>
    <w:rsid w:val="008F6D55"/>
    <w:rsid w:val="00913147"/>
    <w:rsid w:val="00913591"/>
    <w:rsid w:val="00916B17"/>
    <w:rsid w:val="0092093D"/>
    <w:rsid w:val="0092517F"/>
    <w:rsid w:val="00926C88"/>
    <w:rsid w:val="009328B8"/>
    <w:rsid w:val="00937B56"/>
    <w:rsid w:val="00940414"/>
    <w:rsid w:val="00943055"/>
    <w:rsid w:val="00943730"/>
    <w:rsid w:val="00943DBB"/>
    <w:rsid w:val="00951D80"/>
    <w:rsid w:val="00952BB3"/>
    <w:rsid w:val="00956E69"/>
    <w:rsid w:val="009610F2"/>
    <w:rsid w:val="00961E72"/>
    <w:rsid w:val="00962C2C"/>
    <w:rsid w:val="009657E3"/>
    <w:rsid w:val="00973103"/>
    <w:rsid w:val="00975CA5"/>
    <w:rsid w:val="00983AED"/>
    <w:rsid w:val="00984341"/>
    <w:rsid w:val="00986590"/>
    <w:rsid w:val="009871D3"/>
    <w:rsid w:val="00992C76"/>
    <w:rsid w:val="0099404A"/>
    <w:rsid w:val="00994181"/>
    <w:rsid w:val="009965E8"/>
    <w:rsid w:val="009969D6"/>
    <w:rsid w:val="009A3DD2"/>
    <w:rsid w:val="009A5E45"/>
    <w:rsid w:val="009B4D3B"/>
    <w:rsid w:val="009B68BB"/>
    <w:rsid w:val="009B6C34"/>
    <w:rsid w:val="009B7942"/>
    <w:rsid w:val="009C4745"/>
    <w:rsid w:val="009D357E"/>
    <w:rsid w:val="009D5D88"/>
    <w:rsid w:val="009D7407"/>
    <w:rsid w:val="009E0145"/>
    <w:rsid w:val="009E0866"/>
    <w:rsid w:val="009E273C"/>
    <w:rsid w:val="009E290B"/>
    <w:rsid w:val="009F1350"/>
    <w:rsid w:val="009F2C0C"/>
    <w:rsid w:val="009F638A"/>
    <w:rsid w:val="009F6423"/>
    <w:rsid w:val="00A04C5F"/>
    <w:rsid w:val="00A11EBC"/>
    <w:rsid w:val="00A13313"/>
    <w:rsid w:val="00A1594A"/>
    <w:rsid w:val="00A175B3"/>
    <w:rsid w:val="00A1770A"/>
    <w:rsid w:val="00A24A62"/>
    <w:rsid w:val="00A253F1"/>
    <w:rsid w:val="00A31C9F"/>
    <w:rsid w:val="00A3217B"/>
    <w:rsid w:val="00A4144F"/>
    <w:rsid w:val="00A4560F"/>
    <w:rsid w:val="00A45D32"/>
    <w:rsid w:val="00A517A6"/>
    <w:rsid w:val="00A537B2"/>
    <w:rsid w:val="00A53BD2"/>
    <w:rsid w:val="00A54649"/>
    <w:rsid w:val="00A549FC"/>
    <w:rsid w:val="00A60A93"/>
    <w:rsid w:val="00A61B4D"/>
    <w:rsid w:val="00A62842"/>
    <w:rsid w:val="00A66D91"/>
    <w:rsid w:val="00A703F4"/>
    <w:rsid w:val="00A75D83"/>
    <w:rsid w:val="00A80F95"/>
    <w:rsid w:val="00A91795"/>
    <w:rsid w:val="00A919B2"/>
    <w:rsid w:val="00A97805"/>
    <w:rsid w:val="00A97BF1"/>
    <w:rsid w:val="00AA298A"/>
    <w:rsid w:val="00AA2EFE"/>
    <w:rsid w:val="00AA315B"/>
    <w:rsid w:val="00AA771F"/>
    <w:rsid w:val="00AB446D"/>
    <w:rsid w:val="00AC0447"/>
    <w:rsid w:val="00AC164A"/>
    <w:rsid w:val="00AD037C"/>
    <w:rsid w:val="00AD2249"/>
    <w:rsid w:val="00AD7F49"/>
    <w:rsid w:val="00AE14D8"/>
    <w:rsid w:val="00AE40E8"/>
    <w:rsid w:val="00AE448A"/>
    <w:rsid w:val="00AE5DCE"/>
    <w:rsid w:val="00AF06CB"/>
    <w:rsid w:val="00AF06CE"/>
    <w:rsid w:val="00AF2050"/>
    <w:rsid w:val="00AF7D61"/>
    <w:rsid w:val="00B03398"/>
    <w:rsid w:val="00B03CA8"/>
    <w:rsid w:val="00B05EC8"/>
    <w:rsid w:val="00B209B3"/>
    <w:rsid w:val="00B21976"/>
    <w:rsid w:val="00B32EC7"/>
    <w:rsid w:val="00B33C0A"/>
    <w:rsid w:val="00B34B76"/>
    <w:rsid w:val="00B358FD"/>
    <w:rsid w:val="00B373F2"/>
    <w:rsid w:val="00B40F54"/>
    <w:rsid w:val="00B47438"/>
    <w:rsid w:val="00B54884"/>
    <w:rsid w:val="00B55128"/>
    <w:rsid w:val="00B55E19"/>
    <w:rsid w:val="00B6118D"/>
    <w:rsid w:val="00B617C4"/>
    <w:rsid w:val="00B63122"/>
    <w:rsid w:val="00B6712F"/>
    <w:rsid w:val="00B81554"/>
    <w:rsid w:val="00B921B3"/>
    <w:rsid w:val="00B931D9"/>
    <w:rsid w:val="00B94758"/>
    <w:rsid w:val="00B95093"/>
    <w:rsid w:val="00B95FCA"/>
    <w:rsid w:val="00BA4B6D"/>
    <w:rsid w:val="00BA7401"/>
    <w:rsid w:val="00BB26C5"/>
    <w:rsid w:val="00BC1C8B"/>
    <w:rsid w:val="00BC31BD"/>
    <w:rsid w:val="00BC69F4"/>
    <w:rsid w:val="00BC7D0E"/>
    <w:rsid w:val="00BE2A12"/>
    <w:rsid w:val="00BF3021"/>
    <w:rsid w:val="00BF4DE6"/>
    <w:rsid w:val="00C009C7"/>
    <w:rsid w:val="00C03C3E"/>
    <w:rsid w:val="00C05285"/>
    <w:rsid w:val="00C06B13"/>
    <w:rsid w:val="00C10741"/>
    <w:rsid w:val="00C12EB5"/>
    <w:rsid w:val="00C154EE"/>
    <w:rsid w:val="00C206E9"/>
    <w:rsid w:val="00C21914"/>
    <w:rsid w:val="00C27D25"/>
    <w:rsid w:val="00C30799"/>
    <w:rsid w:val="00C313EB"/>
    <w:rsid w:val="00C31775"/>
    <w:rsid w:val="00C36D7D"/>
    <w:rsid w:val="00C37FFA"/>
    <w:rsid w:val="00C42541"/>
    <w:rsid w:val="00C42CDE"/>
    <w:rsid w:val="00C46146"/>
    <w:rsid w:val="00C515DD"/>
    <w:rsid w:val="00C5182A"/>
    <w:rsid w:val="00C55245"/>
    <w:rsid w:val="00C55F14"/>
    <w:rsid w:val="00C578D9"/>
    <w:rsid w:val="00C6076E"/>
    <w:rsid w:val="00C63EE9"/>
    <w:rsid w:val="00C64355"/>
    <w:rsid w:val="00C64C43"/>
    <w:rsid w:val="00C65AA2"/>
    <w:rsid w:val="00C67CAA"/>
    <w:rsid w:val="00C7035D"/>
    <w:rsid w:val="00C74AD0"/>
    <w:rsid w:val="00C8609B"/>
    <w:rsid w:val="00C86E70"/>
    <w:rsid w:val="00C872B5"/>
    <w:rsid w:val="00C914D7"/>
    <w:rsid w:val="00C916D5"/>
    <w:rsid w:val="00CA16F3"/>
    <w:rsid w:val="00CA3521"/>
    <w:rsid w:val="00CA37B1"/>
    <w:rsid w:val="00CA3F43"/>
    <w:rsid w:val="00CA6E02"/>
    <w:rsid w:val="00CB1959"/>
    <w:rsid w:val="00CB1ABD"/>
    <w:rsid w:val="00CB43E2"/>
    <w:rsid w:val="00CC741B"/>
    <w:rsid w:val="00CD0E4B"/>
    <w:rsid w:val="00CD3AC8"/>
    <w:rsid w:val="00CE4C89"/>
    <w:rsid w:val="00CF07BA"/>
    <w:rsid w:val="00CF276B"/>
    <w:rsid w:val="00CF6B1C"/>
    <w:rsid w:val="00D017C9"/>
    <w:rsid w:val="00D0296C"/>
    <w:rsid w:val="00D03D0E"/>
    <w:rsid w:val="00D04A5F"/>
    <w:rsid w:val="00D04D54"/>
    <w:rsid w:val="00D11B1C"/>
    <w:rsid w:val="00D1290E"/>
    <w:rsid w:val="00D143CC"/>
    <w:rsid w:val="00D170C8"/>
    <w:rsid w:val="00D221BC"/>
    <w:rsid w:val="00D22531"/>
    <w:rsid w:val="00D229C5"/>
    <w:rsid w:val="00D23FBD"/>
    <w:rsid w:val="00D27405"/>
    <w:rsid w:val="00D31E8D"/>
    <w:rsid w:val="00D32D6F"/>
    <w:rsid w:val="00D33DCE"/>
    <w:rsid w:val="00D37B04"/>
    <w:rsid w:val="00D4076C"/>
    <w:rsid w:val="00D47C7A"/>
    <w:rsid w:val="00D540C6"/>
    <w:rsid w:val="00D62B92"/>
    <w:rsid w:val="00D64BD1"/>
    <w:rsid w:val="00D7275B"/>
    <w:rsid w:val="00D77948"/>
    <w:rsid w:val="00D83A9A"/>
    <w:rsid w:val="00D86B7E"/>
    <w:rsid w:val="00D91FF3"/>
    <w:rsid w:val="00D92254"/>
    <w:rsid w:val="00D94140"/>
    <w:rsid w:val="00D97713"/>
    <w:rsid w:val="00DC1237"/>
    <w:rsid w:val="00DC1CD8"/>
    <w:rsid w:val="00DC50BC"/>
    <w:rsid w:val="00DD7A3D"/>
    <w:rsid w:val="00DE084C"/>
    <w:rsid w:val="00DE3643"/>
    <w:rsid w:val="00DE5210"/>
    <w:rsid w:val="00E017A4"/>
    <w:rsid w:val="00E0404C"/>
    <w:rsid w:val="00E0408D"/>
    <w:rsid w:val="00E14F51"/>
    <w:rsid w:val="00E16287"/>
    <w:rsid w:val="00E17B18"/>
    <w:rsid w:val="00E2229F"/>
    <w:rsid w:val="00E26500"/>
    <w:rsid w:val="00E30F64"/>
    <w:rsid w:val="00E350AE"/>
    <w:rsid w:val="00E357B7"/>
    <w:rsid w:val="00E36F0C"/>
    <w:rsid w:val="00E40FB6"/>
    <w:rsid w:val="00E53800"/>
    <w:rsid w:val="00E55942"/>
    <w:rsid w:val="00E56422"/>
    <w:rsid w:val="00E6081F"/>
    <w:rsid w:val="00E617E9"/>
    <w:rsid w:val="00E62074"/>
    <w:rsid w:val="00E630D5"/>
    <w:rsid w:val="00E7278F"/>
    <w:rsid w:val="00E75060"/>
    <w:rsid w:val="00E80043"/>
    <w:rsid w:val="00E827FA"/>
    <w:rsid w:val="00E8296D"/>
    <w:rsid w:val="00E83010"/>
    <w:rsid w:val="00E8457B"/>
    <w:rsid w:val="00E92780"/>
    <w:rsid w:val="00EA04B2"/>
    <w:rsid w:val="00EA1454"/>
    <w:rsid w:val="00EA20F3"/>
    <w:rsid w:val="00EA5145"/>
    <w:rsid w:val="00EA5FAE"/>
    <w:rsid w:val="00EA6F43"/>
    <w:rsid w:val="00EC41CB"/>
    <w:rsid w:val="00EC7557"/>
    <w:rsid w:val="00EC7D2D"/>
    <w:rsid w:val="00ED2831"/>
    <w:rsid w:val="00ED43D1"/>
    <w:rsid w:val="00ED75A8"/>
    <w:rsid w:val="00EE01C0"/>
    <w:rsid w:val="00EE25F4"/>
    <w:rsid w:val="00EE4EE1"/>
    <w:rsid w:val="00EF0914"/>
    <w:rsid w:val="00EF0A2C"/>
    <w:rsid w:val="00EF312A"/>
    <w:rsid w:val="00EF4574"/>
    <w:rsid w:val="00EF5FB3"/>
    <w:rsid w:val="00F041B6"/>
    <w:rsid w:val="00F04C36"/>
    <w:rsid w:val="00F06B41"/>
    <w:rsid w:val="00F11BDB"/>
    <w:rsid w:val="00F139E1"/>
    <w:rsid w:val="00F15ADE"/>
    <w:rsid w:val="00F25A93"/>
    <w:rsid w:val="00F2684E"/>
    <w:rsid w:val="00F36264"/>
    <w:rsid w:val="00F445EA"/>
    <w:rsid w:val="00F44EFA"/>
    <w:rsid w:val="00F4592B"/>
    <w:rsid w:val="00F45F99"/>
    <w:rsid w:val="00F5404C"/>
    <w:rsid w:val="00F619C9"/>
    <w:rsid w:val="00F62462"/>
    <w:rsid w:val="00F638A7"/>
    <w:rsid w:val="00F63AF7"/>
    <w:rsid w:val="00F70441"/>
    <w:rsid w:val="00F729EF"/>
    <w:rsid w:val="00F744A2"/>
    <w:rsid w:val="00F77CAE"/>
    <w:rsid w:val="00F80D10"/>
    <w:rsid w:val="00F82271"/>
    <w:rsid w:val="00F83428"/>
    <w:rsid w:val="00F84004"/>
    <w:rsid w:val="00F8613D"/>
    <w:rsid w:val="00F91165"/>
    <w:rsid w:val="00F937FA"/>
    <w:rsid w:val="00F94A5A"/>
    <w:rsid w:val="00F95DE6"/>
    <w:rsid w:val="00F96BB9"/>
    <w:rsid w:val="00FA0883"/>
    <w:rsid w:val="00FB4FAC"/>
    <w:rsid w:val="00FB5E13"/>
    <w:rsid w:val="00FB6765"/>
    <w:rsid w:val="00FC09B0"/>
    <w:rsid w:val="00FC322F"/>
    <w:rsid w:val="00FC49D6"/>
    <w:rsid w:val="00FC5337"/>
    <w:rsid w:val="00FC67CB"/>
    <w:rsid w:val="00FD6772"/>
    <w:rsid w:val="00FE6D51"/>
    <w:rsid w:val="00FE6F2A"/>
    <w:rsid w:val="00FF0591"/>
    <w:rsid w:val="00FF2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8609B"/>
    <w:pPr>
      <w:tabs>
        <w:tab w:val="center" w:pos="4513"/>
        <w:tab w:val="right" w:pos="9026"/>
      </w:tabs>
      <w:spacing w:before="0" w:after="0"/>
      <w:ind w:left="227"/>
    </w:pPr>
    <w:rPr>
      <w:b/>
      <w:caps/>
      <w:color w:val="000000" w:themeColor="text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609B"/>
    <w:rPr>
      <w:b/>
      <w:caps/>
      <w:color w:val="000000" w:themeColor="text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8609B"/>
    <w:pPr>
      <w:spacing w:before="0" w:after="0" w:line="240" w:lineRule="exact"/>
      <w:ind w:left="284" w:right="284"/>
    </w:pPr>
    <w:rPr>
      <w:color w:val="000000" w:themeColor="text1"/>
    </w:rPr>
  </w:style>
  <w:style w:type="character" w:customStyle="1" w:styleId="FooterChar">
    <w:name w:val="Footer Char"/>
    <w:basedOn w:val="DefaultParagraphFont"/>
    <w:link w:val="Footer"/>
    <w:uiPriority w:val="99"/>
    <w:rsid w:val="00C8609B"/>
    <w:rPr>
      <w:color w:val="000000" w:themeColor="text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IntenseReference">
    <w:name w:val="Intense Reference"/>
    <w:basedOn w:val="DefaultParagraphFont"/>
    <w:uiPriority w:val="32"/>
    <w:qFormat/>
    <w:locked/>
    <w:rsid w:val="004127B1"/>
    <w:rPr>
      <w:rFonts w:asciiTheme="minorHAnsi" w:hAnsiTheme="minorHAnsi"/>
      <w:b/>
      <w:bCs/>
      <w:caps w:val="0"/>
      <w:smallCaps/>
      <w:color w:val="007C89" w:themeColor="accent6"/>
      <w:spacing w:val="5"/>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locked/>
    <w:rsid w:val="004127B1"/>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4127B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1ABD"/>
    <w:pPr>
      <w:suppressAutoHyphens w:val="0"/>
      <w:spacing w:before="0" w:after="150" w:line="240" w:lineRule="auto"/>
    </w:pPr>
    <w:rPr>
      <w:rFonts w:ascii="Times New Roman" w:eastAsia="Times New Roman" w:hAnsi="Times New Roman" w:cs="Times New Roman"/>
      <w:color w:val="auto"/>
      <w:sz w:val="24"/>
      <w:szCs w:val="24"/>
      <w:lang w:val="en-AU" w:eastAsia="en-AU"/>
    </w:rPr>
  </w:style>
  <w:style w:type="paragraph" w:customStyle="1" w:styleId="Bulletlist1HDMES">
    <w:name w:val="Bullet list 1  HDMES"/>
    <w:basedOn w:val="Normal"/>
    <w:link w:val="Bulletlist1HDMESChar"/>
    <w:qFormat/>
    <w:rsid w:val="00051EE6"/>
    <w:pPr>
      <w:numPr>
        <w:numId w:val="11"/>
      </w:numPr>
      <w:suppressAutoHyphens w:val="0"/>
      <w:spacing w:before="0" w:after="4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locked/>
    <w:rsid w:val="00763C34"/>
  </w:style>
  <w:style w:type="paragraph" w:customStyle="1" w:styleId="StyleguidetextHDMES">
    <w:name w:val="Styleguide text HDMES"/>
    <w:basedOn w:val="Normal"/>
    <w:link w:val="StyleguidetextHDMESChar"/>
    <w:qFormat/>
    <w:rsid w:val="00763C34"/>
    <w:pPr>
      <w:suppressAutoHyphens w:val="0"/>
      <w:spacing w:before="0" w:after="200" w:line="252" w:lineRule="auto"/>
    </w:pPr>
    <w:rPr>
      <w:color w:val="auto"/>
      <w:lang w:val="en-AU"/>
    </w:rPr>
  </w:style>
  <w:style w:type="paragraph" w:customStyle="1" w:styleId="StyleguidetextbulletleadHDMES">
    <w:name w:val="Styleguide text bullet lead HDMES"/>
    <w:basedOn w:val="StyleguidetextHDMES"/>
    <w:next w:val="StyleguidetextHDMES"/>
    <w:qFormat/>
    <w:rsid w:val="00763C34"/>
    <w:pPr>
      <w:spacing w:after="120"/>
    </w:pPr>
  </w:style>
  <w:style w:type="paragraph" w:customStyle="1" w:styleId="Numberedlist1HDMES">
    <w:name w:val="Numbered list 1 HDMES"/>
    <w:basedOn w:val="StyleguidetextHDMES"/>
    <w:link w:val="Numberedlist1HDMESChar"/>
    <w:qFormat/>
    <w:rsid w:val="00763C34"/>
    <w:pPr>
      <w:numPr>
        <w:numId w:val="12"/>
      </w:numPr>
      <w:spacing w:after="40"/>
    </w:pPr>
  </w:style>
  <w:style w:type="character" w:customStyle="1" w:styleId="Numberedlist1HDMESChar">
    <w:name w:val="Numbered list 1 HDMES Char"/>
    <w:link w:val="Numberedlist1HDMES"/>
    <w:locked/>
    <w:rsid w:val="00763C34"/>
  </w:style>
  <w:style w:type="table" w:styleId="GridTable1Light-Accent1">
    <w:name w:val="Grid Table 1 Light Accent 1"/>
    <w:basedOn w:val="TableNormal"/>
    <w:uiPriority w:val="46"/>
    <w:locked/>
    <w:rsid w:val="00F04C3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4-Accent1">
    <w:name w:val="List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6Colorful-Accent1">
    <w:name w:val="List Table 6 Colorful Accent 1"/>
    <w:basedOn w:val="TableNormal"/>
    <w:uiPriority w:val="51"/>
    <w:locked/>
    <w:rsid w:val="00A3217B"/>
    <w:pPr>
      <w:spacing w:after="0" w:line="240" w:lineRule="auto"/>
    </w:pPr>
    <w:rPr>
      <w:color w:val="3DA18F" w:themeColor="accent1" w:themeShade="BF"/>
    </w:rPr>
    <w:tblPr>
      <w:tblStyleRowBandSize w:val="1"/>
      <w:tblStyleColBandSize w:val="1"/>
      <w:tblBorders>
        <w:top w:val="single" w:sz="4" w:space="0" w:color="65C5B4" w:themeColor="accent1"/>
        <w:bottom w:val="single" w:sz="4" w:space="0" w:color="65C5B4" w:themeColor="accent1"/>
      </w:tblBorders>
    </w:tblPr>
    <w:tblStylePr w:type="firstRow">
      <w:rPr>
        <w:b/>
        <w:bCs/>
      </w:rPr>
      <w:tblPr/>
      <w:tcPr>
        <w:tcBorders>
          <w:bottom w:val="single" w:sz="4" w:space="0" w:color="65C5B4" w:themeColor="accent1"/>
        </w:tcBorders>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Default">
    <w:name w:val="Default"/>
    <w:rsid w:val="002770F7"/>
    <w:pPr>
      <w:autoSpaceDE w:val="0"/>
      <w:autoSpaceDN w:val="0"/>
      <w:adjustRightInd w:val="0"/>
      <w:spacing w:after="0" w:line="240" w:lineRule="auto"/>
    </w:pPr>
    <w:rPr>
      <w:rFonts w:ascii="Calibri" w:hAnsi="Calibri" w:cs="Calibri"/>
      <w:color w:val="000000"/>
      <w:sz w:val="24"/>
      <w:szCs w:val="24"/>
    </w:rPr>
  </w:style>
  <w:style w:type="character" w:customStyle="1" w:styleId="Bulletlist1HDMESChar">
    <w:name w:val="Bullet list 1  HDMES Char"/>
    <w:link w:val="Bulletlist1HDMES"/>
    <w:rsid w:val="00AF06CB"/>
    <w:rPr>
      <w:rFonts w:ascii="Calibri" w:eastAsia="Calibri" w:hAnsi="Calibri" w:cs="Times New Roman"/>
    </w:rPr>
  </w:style>
  <w:style w:type="paragraph" w:customStyle="1" w:styleId="Bulletlist2HDMES">
    <w:name w:val="Bullet list 2 HDMES"/>
    <w:basedOn w:val="StyleguidetextHDMES"/>
    <w:qFormat/>
    <w:rsid w:val="00AF06CB"/>
    <w:pPr>
      <w:numPr>
        <w:numId w:val="13"/>
      </w:numPr>
      <w:tabs>
        <w:tab w:val="num" w:pos="360"/>
      </w:tabs>
      <w:spacing w:after="40"/>
      <w:ind w:left="714" w:hanging="357"/>
    </w:pPr>
    <w:rPr>
      <w:rFonts w:ascii="Calibri" w:eastAsia="Calibri" w:hAnsi="Calibri" w:cs="Times New Roman"/>
    </w:rPr>
  </w:style>
  <w:style w:type="paragraph" w:customStyle="1" w:styleId="Heading4bluevariantHDMES">
    <w:name w:val="Heading 4 blue variant HDMES"/>
    <w:basedOn w:val="Heading4"/>
    <w:qFormat/>
    <w:rsid w:val="00AF06CB"/>
    <w:pPr>
      <w:keepLines w:val="0"/>
      <w:suppressAutoHyphens w:val="0"/>
      <w:spacing w:before="80" w:after="80" w:line="252" w:lineRule="auto"/>
      <w:contextualSpacing w:val="0"/>
    </w:pPr>
    <w:rPr>
      <w:rFonts w:ascii="Franklin Gothic Demi" w:eastAsia="Times New Roman" w:hAnsi="Franklin Gothic Demi" w:cs="Times New Roman"/>
      <w:iCs w:val="0"/>
      <w:color w:val="041F60"/>
      <w:szCs w:val="28"/>
      <w:lang w:val="en-AU"/>
    </w:rPr>
  </w:style>
  <w:style w:type="paragraph" w:customStyle="1" w:styleId="FootnotetextHDMES">
    <w:name w:val="Footnote text HDMES"/>
    <w:basedOn w:val="FootnoteText"/>
    <w:qFormat/>
    <w:rsid w:val="00F937FA"/>
    <w:pPr>
      <w:suppressAutoHyphens w:val="0"/>
      <w:spacing w:before="0" w:line="252" w:lineRule="auto"/>
      <w:ind w:left="0" w:firstLine="0"/>
    </w:pPr>
    <w:rPr>
      <w:rFonts w:ascii="Calibri" w:eastAsia="Calibri" w:hAnsi="Calibri" w:cs="Times New Roman"/>
      <w:color w:val="auto"/>
      <w:sz w:val="20"/>
      <w:lang w:val="en-AU"/>
    </w:rPr>
  </w:style>
  <w:style w:type="paragraph" w:styleId="EndnoteText">
    <w:name w:val="endnote text"/>
    <w:basedOn w:val="Normal"/>
    <w:link w:val="EndnoteTextChar"/>
    <w:uiPriority w:val="99"/>
    <w:semiHidden/>
    <w:unhideWhenUsed/>
    <w:rsid w:val="001B2DA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2DA3"/>
    <w:rPr>
      <w:color w:val="495965" w:themeColor="text2"/>
      <w:sz w:val="20"/>
      <w:szCs w:val="20"/>
      <w:lang w:val="en-GB"/>
    </w:rPr>
  </w:style>
  <w:style w:type="character" w:styleId="EndnoteReference">
    <w:name w:val="endnote reference"/>
    <w:basedOn w:val="DefaultParagraphFont"/>
    <w:uiPriority w:val="99"/>
    <w:semiHidden/>
    <w:unhideWhenUsed/>
    <w:rsid w:val="001B2DA3"/>
    <w:rPr>
      <w:vertAlign w:val="superscript"/>
    </w:rPr>
  </w:style>
  <w:style w:type="table" w:styleId="GridTable6Colorful-Accent1">
    <w:name w:val="Grid Table 6 Colorful Accent 1"/>
    <w:basedOn w:val="TableNormal"/>
    <w:uiPriority w:val="51"/>
    <w:locked/>
    <w:rsid w:val="007B6AAF"/>
    <w:pPr>
      <w:spacing w:after="0" w:line="240" w:lineRule="auto"/>
    </w:pPr>
    <w:rPr>
      <w:color w:val="3DA18F" w:themeColor="accent1" w:themeShade="BF"/>
    </w:r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h1">
    <w:name w:val="h1"/>
    <w:basedOn w:val="Subtitle"/>
    <w:link w:val="h1Char"/>
    <w:qFormat/>
    <w:rsid w:val="00A919B2"/>
    <w:pPr>
      <w:jc w:val="center"/>
    </w:pPr>
    <w:rPr>
      <w:rFonts w:asciiTheme="majorHAnsi" w:hAnsiTheme="majorHAnsi"/>
      <w:b/>
      <w:sz w:val="40"/>
      <w:szCs w:val="40"/>
      <w:lang w:val="en-AU"/>
    </w:rPr>
  </w:style>
  <w:style w:type="paragraph" w:customStyle="1" w:styleId="h2">
    <w:name w:val="h2"/>
    <w:basedOn w:val="Heading2"/>
    <w:link w:val="h2Char"/>
    <w:qFormat/>
    <w:rsid w:val="00A919B2"/>
  </w:style>
  <w:style w:type="character" w:customStyle="1" w:styleId="h1Char">
    <w:name w:val="h1 Char"/>
    <w:basedOn w:val="SubtitleChar"/>
    <w:link w:val="h1"/>
    <w:rsid w:val="00A919B2"/>
    <w:rPr>
      <w:rFonts w:asciiTheme="majorHAnsi" w:eastAsiaTheme="majorEastAsia" w:hAnsiTheme="majorHAnsi" w:cstheme="majorBidi"/>
      <w:b/>
      <w:bCs/>
      <w:iCs/>
      <w:caps/>
      <w:color w:val="495965" w:themeColor="text2"/>
      <w:spacing w:val="-10"/>
      <w:kern w:val="28"/>
      <w:sz w:val="40"/>
      <w:szCs w:val="40"/>
    </w:rPr>
  </w:style>
  <w:style w:type="paragraph" w:customStyle="1" w:styleId="BodyCopy">
    <w:name w:val="Body Copy"/>
    <w:basedOn w:val="StyleguidetextHDMES"/>
    <w:link w:val="BodyCopyChar"/>
    <w:qFormat/>
    <w:rsid w:val="00D62B92"/>
  </w:style>
  <w:style w:type="character" w:customStyle="1" w:styleId="h2Char">
    <w:name w:val="h2 Char"/>
    <w:basedOn w:val="Heading2Char"/>
    <w:link w:val="h2"/>
    <w:rsid w:val="00A919B2"/>
    <w:rPr>
      <w:rFonts w:asciiTheme="majorHAnsi" w:eastAsiaTheme="majorEastAsia" w:hAnsiTheme="majorHAnsi" w:cstheme="majorBidi"/>
      <w:caps/>
      <w:color w:val="495965" w:themeColor="text2"/>
      <w:sz w:val="38"/>
      <w:szCs w:val="26"/>
      <w:lang w:val="en-GB"/>
    </w:rPr>
  </w:style>
  <w:style w:type="character" w:customStyle="1" w:styleId="BodyCopyChar">
    <w:name w:val="Body Copy Char"/>
    <w:basedOn w:val="StyleguidetextHDMESChar"/>
    <w:link w:val="BodyCopy"/>
    <w:rsid w:val="00D6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40">
      <w:bodyDiv w:val="1"/>
      <w:marLeft w:val="0"/>
      <w:marRight w:val="0"/>
      <w:marTop w:val="0"/>
      <w:marBottom w:val="0"/>
      <w:divBdr>
        <w:top w:val="none" w:sz="0" w:space="0" w:color="auto"/>
        <w:left w:val="none" w:sz="0" w:space="0" w:color="auto"/>
        <w:bottom w:val="none" w:sz="0" w:space="0" w:color="auto"/>
        <w:right w:val="none" w:sz="0" w:space="0" w:color="auto"/>
      </w:divBdr>
    </w:div>
    <w:div w:id="161166714">
      <w:bodyDiv w:val="1"/>
      <w:marLeft w:val="0"/>
      <w:marRight w:val="0"/>
      <w:marTop w:val="0"/>
      <w:marBottom w:val="0"/>
      <w:divBdr>
        <w:top w:val="none" w:sz="0" w:space="0" w:color="auto"/>
        <w:left w:val="none" w:sz="0" w:space="0" w:color="auto"/>
        <w:bottom w:val="none" w:sz="0" w:space="0" w:color="auto"/>
        <w:right w:val="none" w:sz="0" w:space="0" w:color="auto"/>
      </w:divBdr>
    </w:div>
    <w:div w:id="385104012">
      <w:bodyDiv w:val="1"/>
      <w:marLeft w:val="0"/>
      <w:marRight w:val="0"/>
      <w:marTop w:val="0"/>
      <w:marBottom w:val="0"/>
      <w:divBdr>
        <w:top w:val="none" w:sz="0" w:space="0" w:color="auto"/>
        <w:left w:val="none" w:sz="0" w:space="0" w:color="auto"/>
        <w:bottom w:val="none" w:sz="0" w:space="0" w:color="auto"/>
        <w:right w:val="none" w:sz="0" w:space="0" w:color="auto"/>
      </w:divBdr>
    </w:div>
    <w:div w:id="454639245">
      <w:bodyDiv w:val="1"/>
      <w:marLeft w:val="0"/>
      <w:marRight w:val="0"/>
      <w:marTop w:val="0"/>
      <w:marBottom w:val="0"/>
      <w:divBdr>
        <w:top w:val="none" w:sz="0" w:space="0" w:color="auto"/>
        <w:left w:val="none" w:sz="0" w:space="0" w:color="auto"/>
        <w:bottom w:val="none" w:sz="0" w:space="0" w:color="auto"/>
        <w:right w:val="none" w:sz="0" w:space="0" w:color="auto"/>
      </w:divBdr>
    </w:div>
    <w:div w:id="561059176">
      <w:bodyDiv w:val="1"/>
      <w:marLeft w:val="0"/>
      <w:marRight w:val="0"/>
      <w:marTop w:val="0"/>
      <w:marBottom w:val="0"/>
      <w:divBdr>
        <w:top w:val="none" w:sz="0" w:space="0" w:color="auto"/>
        <w:left w:val="none" w:sz="0" w:space="0" w:color="auto"/>
        <w:bottom w:val="none" w:sz="0" w:space="0" w:color="auto"/>
        <w:right w:val="none" w:sz="0" w:space="0" w:color="auto"/>
      </w:divBdr>
    </w:div>
    <w:div w:id="695228247">
      <w:bodyDiv w:val="1"/>
      <w:marLeft w:val="0"/>
      <w:marRight w:val="0"/>
      <w:marTop w:val="0"/>
      <w:marBottom w:val="0"/>
      <w:divBdr>
        <w:top w:val="none" w:sz="0" w:space="0" w:color="auto"/>
        <w:left w:val="none" w:sz="0" w:space="0" w:color="auto"/>
        <w:bottom w:val="none" w:sz="0" w:space="0" w:color="auto"/>
        <w:right w:val="none" w:sz="0" w:space="0" w:color="auto"/>
      </w:divBdr>
    </w:div>
    <w:div w:id="837503222">
      <w:bodyDiv w:val="1"/>
      <w:marLeft w:val="0"/>
      <w:marRight w:val="0"/>
      <w:marTop w:val="0"/>
      <w:marBottom w:val="0"/>
      <w:divBdr>
        <w:top w:val="none" w:sz="0" w:space="0" w:color="auto"/>
        <w:left w:val="none" w:sz="0" w:space="0" w:color="auto"/>
        <w:bottom w:val="none" w:sz="0" w:space="0" w:color="auto"/>
        <w:right w:val="none" w:sz="0" w:space="0" w:color="auto"/>
      </w:divBdr>
    </w:div>
    <w:div w:id="852574167">
      <w:bodyDiv w:val="1"/>
      <w:marLeft w:val="0"/>
      <w:marRight w:val="0"/>
      <w:marTop w:val="0"/>
      <w:marBottom w:val="0"/>
      <w:divBdr>
        <w:top w:val="none" w:sz="0" w:space="0" w:color="auto"/>
        <w:left w:val="none" w:sz="0" w:space="0" w:color="auto"/>
        <w:bottom w:val="none" w:sz="0" w:space="0" w:color="auto"/>
        <w:right w:val="none" w:sz="0" w:space="0" w:color="auto"/>
      </w:divBdr>
    </w:div>
    <w:div w:id="862211000">
      <w:bodyDiv w:val="1"/>
      <w:marLeft w:val="0"/>
      <w:marRight w:val="0"/>
      <w:marTop w:val="0"/>
      <w:marBottom w:val="0"/>
      <w:divBdr>
        <w:top w:val="none" w:sz="0" w:space="0" w:color="auto"/>
        <w:left w:val="none" w:sz="0" w:space="0" w:color="auto"/>
        <w:bottom w:val="none" w:sz="0" w:space="0" w:color="auto"/>
        <w:right w:val="none" w:sz="0" w:space="0" w:color="auto"/>
      </w:divBdr>
    </w:div>
    <w:div w:id="1038436733">
      <w:bodyDiv w:val="1"/>
      <w:marLeft w:val="0"/>
      <w:marRight w:val="0"/>
      <w:marTop w:val="0"/>
      <w:marBottom w:val="0"/>
      <w:divBdr>
        <w:top w:val="none" w:sz="0" w:space="0" w:color="auto"/>
        <w:left w:val="none" w:sz="0" w:space="0" w:color="auto"/>
        <w:bottom w:val="none" w:sz="0" w:space="0" w:color="auto"/>
        <w:right w:val="none" w:sz="0" w:space="0" w:color="auto"/>
      </w:divBdr>
    </w:div>
    <w:div w:id="1086267529">
      <w:bodyDiv w:val="1"/>
      <w:marLeft w:val="0"/>
      <w:marRight w:val="0"/>
      <w:marTop w:val="0"/>
      <w:marBottom w:val="0"/>
      <w:divBdr>
        <w:top w:val="none" w:sz="0" w:space="0" w:color="auto"/>
        <w:left w:val="none" w:sz="0" w:space="0" w:color="auto"/>
        <w:bottom w:val="none" w:sz="0" w:space="0" w:color="auto"/>
        <w:right w:val="none" w:sz="0" w:space="0" w:color="auto"/>
      </w:divBdr>
    </w:div>
    <w:div w:id="1146510732">
      <w:bodyDiv w:val="1"/>
      <w:marLeft w:val="0"/>
      <w:marRight w:val="0"/>
      <w:marTop w:val="0"/>
      <w:marBottom w:val="0"/>
      <w:divBdr>
        <w:top w:val="none" w:sz="0" w:space="0" w:color="auto"/>
        <w:left w:val="none" w:sz="0" w:space="0" w:color="auto"/>
        <w:bottom w:val="none" w:sz="0" w:space="0" w:color="auto"/>
        <w:right w:val="none" w:sz="0" w:space="0" w:color="auto"/>
      </w:divBdr>
    </w:div>
    <w:div w:id="1340959503">
      <w:bodyDiv w:val="1"/>
      <w:marLeft w:val="0"/>
      <w:marRight w:val="0"/>
      <w:marTop w:val="0"/>
      <w:marBottom w:val="0"/>
      <w:divBdr>
        <w:top w:val="none" w:sz="0" w:space="0" w:color="auto"/>
        <w:left w:val="none" w:sz="0" w:space="0" w:color="auto"/>
        <w:bottom w:val="none" w:sz="0" w:space="0" w:color="auto"/>
        <w:right w:val="none" w:sz="0" w:space="0" w:color="auto"/>
      </w:divBdr>
    </w:div>
    <w:div w:id="1411662318">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917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CB33-23E8-4F73-ACD3-FA02322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5408</Characters>
  <Application>Microsoft Office Word</Application>
  <DocSecurity>0</DocSecurity>
  <Lines>166</Lines>
  <Paragraphs>37</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Review of The Global Education Monitoring Centre</dc:title>
  <dc:subject/>
  <dc:creator/>
  <cp:keywords>[SEC=OFFICIAL]</cp:keywords>
  <cp:lastModifiedBy/>
  <cp:revision>1</cp:revision>
  <dcterms:created xsi:type="dcterms:W3CDTF">2023-03-06T04:55:00Z</dcterms:created>
  <dcterms:modified xsi:type="dcterms:W3CDTF">2023-03-06T04:55:00Z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F0EB2A41EE8548C9B5ECBA36B336579E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2023-03-06T04:55:46Z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E7367CD5DA7FCB5D442DE7BB3778A766</vt:lpwstr>
  </property>
  <property fmtid="{D5CDD505-2E9C-101B-9397-08002B2CF9AE}" pid="21" name="PM_Hash_Salt">
    <vt:lpwstr>D1607923149EC856C8325F0460D1C892</vt:lpwstr>
  </property>
  <property fmtid="{D5CDD505-2E9C-101B-9397-08002B2CF9AE}" pid="22" name="PM_Hash_SHA1">
    <vt:lpwstr>D9FDA1C02B0DD5EE966FD4B3E41DC5864598A182</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