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5A2C9" w14:textId="77777777" w:rsidR="00C871A0" w:rsidRDefault="00C871A0" w:rsidP="00C871A0">
      <w:pPr>
        <w:spacing w:before="360"/>
        <w:jc w:val="center"/>
      </w:pPr>
      <w:r>
        <w:rPr>
          <w:caps/>
          <w:noProof/>
          <w:lang w:eastAsia="en-AU"/>
        </w:rPr>
        <w:drawing>
          <wp:inline distT="0" distB="0" distL="0" distR="0" wp14:anchorId="46CED192" wp14:editId="074AA0B0">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bookmarkStart w:id="0" w:name="_GoBack"/>
      <w:bookmarkEnd w:id="0"/>
    </w:p>
    <w:p w14:paraId="57E2F1E1" w14:textId="77777777" w:rsidR="00C871A0" w:rsidRPr="00964DCA" w:rsidRDefault="00C871A0" w:rsidP="00C871A0">
      <w:pPr>
        <w:spacing w:before="360"/>
        <w:jc w:val="center"/>
        <w:rPr>
          <w:rFonts w:ascii="Times New Roman" w:hAnsi="Times New Roman" w:cs="Times New Roman"/>
          <w:sz w:val="36"/>
          <w:szCs w:val="36"/>
        </w:rPr>
      </w:pPr>
      <w:r w:rsidRPr="00964DCA">
        <w:rPr>
          <w:rFonts w:ascii="Times New Roman" w:hAnsi="Times New Roman" w:cs="Times New Roman"/>
          <w:sz w:val="36"/>
          <w:szCs w:val="36"/>
        </w:rPr>
        <w:t xml:space="preserve">Australian Government response to the </w:t>
      </w:r>
      <w:r w:rsidRPr="00964DCA">
        <w:rPr>
          <w:rFonts w:ascii="Times New Roman" w:hAnsi="Times New Roman" w:cs="Times New Roman"/>
          <w:sz w:val="36"/>
          <w:szCs w:val="36"/>
        </w:rPr>
        <w:br/>
        <w:t>Joint Standing Committee on Foreign Affairs, Defence and Trade</w:t>
      </w:r>
      <w:r>
        <w:rPr>
          <w:rFonts w:ascii="Times New Roman" w:hAnsi="Times New Roman" w:cs="Times New Roman"/>
          <w:sz w:val="36"/>
          <w:szCs w:val="36"/>
        </w:rPr>
        <w:t>,</w:t>
      </w:r>
      <w:r w:rsidRPr="00964DCA">
        <w:rPr>
          <w:rFonts w:ascii="Times New Roman" w:hAnsi="Times New Roman" w:cs="Times New Roman"/>
          <w:sz w:val="36"/>
          <w:szCs w:val="36"/>
        </w:rPr>
        <w:t xml:space="preserve"> Trade Sub-Committee report: </w:t>
      </w:r>
      <w:r>
        <w:rPr>
          <w:rFonts w:ascii="Times New Roman" w:hAnsi="Times New Roman" w:cs="Times New Roman"/>
          <w:sz w:val="36"/>
          <w:szCs w:val="36"/>
        </w:rPr>
        <w:br/>
      </w:r>
      <w:r w:rsidRPr="00964DCA">
        <w:rPr>
          <w:rFonts w:ascii="Times New Roman" w:hAnsi="Times New Roman" w:cs="Times New Roman"/>
          <w:sz w:val="36"/>
          <w:szCs w:val="36"/>
        </w:rPr>
        <w:br/>
        <w:t>From little things big things grow: Supporting Australian SMEs go global</w:t>
      </w:r>
    </w:p>
    <w:p w14:paraId="38661E21" w14:textId="5F87A8EB" w:rsidR="00C871A0" w:rsidRPr="00964DCA" w:rsidRDefault="00024ED0" w:rsidP="00C871A0">
      <w:pPr>
        <w:spacing w:before="6840" w:after="120"/>
        <w:jc w:val="right"/>
        <w:rPr>
          <w:rFonts w:ascii="Times New Roman" w:hAnsi="Times New Roman" w:cs="Times New Roman"/>
          <w:caps/>
          <w:sz w:val="28"/>
          <w:szCs w:val="28"/>
        </w:rPr>
      </w:pPr>
      <w:r>
        <w:rPr>
          <w:rFonts w:ascii="Times New Roman" w:hAnsi="Times New Roman" w:cs="Times New Roman"/>
          <w:caps/>
          <w:sz w:val="28"/>
          <w:szCs w:val="28"/>
        </w:rPr>
        <w:t>DEC</w:t>
      </w:r>
      <w:r w:rsidR="00C95B9C">
        <w:rPr>
          <w:rFonts w:ascii="Times New Roman" w:hAnsi="Times New Roman" w:cs="Times New Roman"/>
          <w:caps/>
          <w:sz w:val="28"/>
          <w:szCs w:val="28"/>
        </w:rPr>
        <w:t>EMBER</w:t>
      </w:r>
      <w:r w:rsidR="0071488E" w:rsidRPr="00964DCA">
        <w:rPr>
          <w:rFonts w:ascii="Times New Roman" w:hAnsi="Times New Roman" w:cs="Times New Roman"/>
          <w:caps/>
          <w:sz w:val="28"/>
          <w:szCs w:val="28"/>
        </w:rPr>
        <w:t xml:space="preserve"> </w:t>
      </w:r>
      <w:r w:rsidR="00C871A0" w:rsidRPr="00964DCA">
        <w:rPr>
          <w:rFonts w:ascii="Times New Roman" w:hAnsi="Times New Roman" w:cs="Times New Roman"/>
          <w:caps/>
          <w:sz w:val="28"/>
          <w:szCs w:val="28"/>
        </w:rPr>
        <w:t>2019</w:t>
      </w:r>
    </w:p>
    <w:p w14:paraId="409EA637" w14:textId="77777777" w:rsidR="00C871A0" w:rsidRDefault="00C871A0">
      <w:pPr>
        <w:rPr>
          <w:rFonts w:asciiTheme="majorHAnsi" w:eastAsia="Palatino Linotype" w:hAnsiTheme="majorHAnsi" w:cstheme="majorHAnsi"/>
          <w:b/>
          <w:sz w:val="46"/>
        </w:rPr>
      </w:pPr>
      <w:r>
        <w:rPr>
          <w:rFonts w:asciiTheme="majorHAnsi" w:hAnsiTheme="majorHAnsi" w:cstheme="majorHAnsi"/>
          <w:sz w:val="46"/>
        </w:rPr>
        <w:br w:type="page"/>
      </w:r>
    </w:p>
    <w:p w14:paraId="215B57BC" w14:textId="77777777" w:rsidR="00E17444" w:rsidRPr="00D705BE" w:rsidRDefault="00232A62" w:rsidP="002F7315">
      <w:pPr>
        <w:pStyle w:val="HouseTitle2"/>
        <w:rPr>
          <w:rFonts w:asciiTheme="majorHAnsi" w:hAnsiTheme="majorHAnsi" w:cstheme="majorHAnsi"/>
          <w:sz w:val="46"/>
        </w:rPr>
      </w:pPr>
      <w:r w:rsidRPr="00D705BE">
        <w:rPr>
          <w:rFonts w:asciiTheme="majorHAnsi" w:hAnsiTheme="majorHAnsi" w:cstheme="majorHAnsi"/>
          <w:sz w:val="46"/>
        </w:rPr>
        <w:lastRenderedPageBreak/>
        <w:t xml:space="preserve">GOVERNMENT </w:t>
      </w:r>
      <w:r w:rsidR="00E17444" w:rsidRPr="00D705BE">
        <w:rPr>
          <w:rFonts w:asciiTheme="majorHAnsi" w:hAnsiTheme="majorHAnsi" w:cstheme="majorHAnsi"/>
          <w:sz w:val="46"/>
        </w:rPr>
        <w:t>RESPONSE</w:t>
      </w:r>
    </w:p>
    <w:p w14:paraId="48419346" w14:textId="294C46C9" w:rsidR="003F719C" w:rsidRDefault="006119E9" w:rsidP="00346ED1">
      <w:pPr>
        <w:pStyle w:val="HouseTitle2"/>
        <w:rPr>
          <w:rFonts w:asciiTheme="majorHAnsi" w:hAnsiTheme="majorHAnsi" w:cstheme="majorHAnsi"/>
          <w:b w:val="0"/>
          <w:sz w:val="46"/>
        </w:rPr>
      </w:pPr>
      <w:r w:rsidRPr="00D705BE">
        <w:rPr>
          <w:rFonts w:asciiTheme="majorHAnsi" w:hAnsiTheme="majorHAnsi" w:cstheme="majorHAnsi"/>
          <w:b w:val="0"/>
          <w:sz w:val="46"/>
        </w:rPr>
        <w:t>From little things big things grow: Supporting Australian SMEs go global</w:t>
      </w:r>
    </w:p>
    <w:p w14:paraId="6E444789" w14:textId="0EE0C6E4" w:rsidR="004F4E6A" w:rsidRPr="004F4E6A" w:rsidRDefault="004F4E6A" w:rsidP="00346ED1">
      <w:pPr>
        <w:pStyle w:val="HouseTitle2"/>
        <w:rPr>
          <w:rFonts w:asciiTheme="majorHAnsi" w:hAnsiTheme="majorHAnsi" w:cstheme="majorHAnsi"/>
          <w:b w:val="0"/>
          <w:sz w:val="46"/>
        </w:rPr>
      </w:pPr>
      <w:r w:rsidRPr="004F4E6A">
        <w:rPr>
          <w:rFonts w:asciiTheme="majorHAnsi" w:hAnsiTheme="majorHAnsi" w:cstheme="majorHAnsi"/>
          <w:b w:val="0"/>
          <w:sz w:val="46"/>
        </w:rPr>
        <w:t>Preamble</w:t>
      </w:r>
    </w:p>
    <w:p w14:paraId="7C7CB535" w14:textId="77777777" w:rsidR="004F4E6A" w:rsidRPr="004F4E6A" w:rsidRDefault="004F4E6A" w:rsidP="004F4E6A">
      <w:pPr>
        <w:rPr>
          <w:rFonts w:asciiTheme="majorHAnsi" w:eastAsia="Times New Roman" w:hAnsiTheme="majorHAnsi" w:cs="Times New Roman"/>
          <w:color w:val="292929"/>
          <w:lang w:eastAsia="en-AU"/>
        </w:rPr>
      </w:pPr>
      <w:r w:rsidRPr="004F4E6A">
        <w:rPr>
          <w:rFonts w:asciiTheme="majorHAnsi" w:eastAsia="Times New Roman" w:hAnsiTheme="majorHAnsi" w:cs="Times New Roman"/>
          <w:color w:val="292929"/>
          <w:lang w:eastAsia="en-AU"/>
        </w:rPr>
        <w:t>The Australian Government (the Government) welcomes the opportunity to respond to the report of the Joint Standing Committee on the Foreign Affairs, Defence and Trade (JSCFADT) Inquiry titled ‘From little things big things grow: Supporting Australian SMEs go global’ (the Report), published in February 2019. The Government regrets the delay in tabling this Response, which was due to the caretaker period.</w:t>
      </w:r>
    </w:p>
    <w:p w14:paraId="5740B886" w14:textId="0CD9DB73" w:rsidR="004F4E6A" w:rsidRPr="004F4E6A" w:rsidRDefault="004F4E6A" w:rsidP="004F4E6A">
      <w:pPr>
        <w:rPr>
          <w:rFonts w:asciiTheme="majorHAnsi" w:hAnsiTheme="majorHAnsi"/>
        </w:rPr>
      </w:pPr>
      <w:r w:rsidRPr="004F4E6A">
        <w:rPr>
          <w:rFonts w:asciiTheme="majorHAnsi" w:eastAsia="Times New Roman" w:hAnsiTheme="majorHAnsi" w:cs="Times New Roman"/>
          <w:color w:val="292929"/>
          <w:lang w:eastAsia="en-AU"/>
        </w:rPr>
        <w:t xml:space="preserve">The Inquiry sought to address concerns relating to difficulties small and medium enterprises face in accessing benefits from Free Trade Agreements (FTAs). The Inquiry undertook detailed stakeholder consultations and received submissions from a broad range of businesses and industry groups. The Report’s 10 recommendations focus on addressing FTA awareness and barriers to implementation, improving consistency across FTAs, placing a greater emphasis on capacity building programs for SMEs, and expanding the provision of effective support structures that address the underlying technical, technological and non-tariff barriers to trade. The Government is supportive of these recommendations and is committed to ensuring that Australian businesses and consumers benefit from our FTAs. We are aware of the challenges facing Australian SMEs seeking to realise their export opportunities. The Government has in place policies to assist SMEs in this regard and will continue to support them to access Australia’s extensive network of FTAs and benefit from the </w:t>
      </w:r>
      <w:r w:rsidR="00864E10">
        <w:rPr>
          <w:rFonts w:asciiTheme="majorHAnsi" w:eastAsia="Times New Roman" w:hAnsiTheme="majorHAnsi" w:cs="Times New Roman"/>
          <w:color w:val="292929"/>
          <w:lang w:eastAsia="en-AU"/>
        </w:rPr>
        <w:t>liberalisation of</w:t>
      </w:r>
      <w:r w:rsidRPr="004F4E6A">
        <w:rPr>
          <w:rFonts w:asciiTheme="majorHAnsi" w:eastAsia="Times New Roman" w:hAnsiTheme="majorHAnsi" w:cs="Times New Roman"/>
          <w:color w:val="292929"/>
          <w:lang w:eastAsia="en-AU"/>
        </w:rPr>
        <w:t xml:space="preserve"> export markets.</w:t>
      </w:r>
    </w:p>
    <w:p w14:paraId="603ACB41" w14:textId="77777777" w:rsidR="004F4E6A" w:rsidRPr="00D705BE" w:rsidRDefault="004F4E6A" w:rsidP="00346ED1">
      <w:pPr>
        <w:pStyle w:val="HouseTitle2"/>
        <w:rPr>
          <w:rFonts w:asciiTheme="majorHAnsi" w:hAnsiTheme="majorHAnsi" w:cstheme="majorHAnsi"/>
          <w:b w:val="0"/>
          <w:sz w:val="46"/>
        </w:rPr>
      </w:pPr>
    </w:p>
    <w:p w14:paraId="5D28B6E5" w14:textId="77777777" w:rsidR="004F4E6A" w:rsidRDefault="004F4E6A" w:rsidP="00346ED1">
      <w:pPr>
        <w:pStyle w:val="RecommendationHeading"/>
      </w:pPr>
      <w:r>
        <w:br w:type="page"/>
      </w:r>
    </w:p>
    <w:p w14:paraId="16BBC551" w14:textId="4316CFA5" w:rsidR="006119E9" w:rsidRPr="00D705BE" w:rsidRDefault="004D4BE9" w:rsidP="00346ED1">
      <w:pPr>
        <w:pStyle w:val="RecommendationHeading"/>
        <w:rPr>
          <w:rFonts w:asciiTheme="majorHAnsi" w:hAnsiTheme="majorHAnsi" w:cstheme="majorHAnsi"/>
          <w:sz w:val="24"/>
          <w:szCs w:val="24"/>
        </w:rPr>
      </w:pPr>
      <w:hyperlink w:anchor="s26759rec1" w:history="1">
        <w:r w:rsidR="006119E9" w:rsidRPr="00D705BE">
          <w:rPr>
            <w:rFonts w:asciiTheme="majorHAnsi" w:hAnsiTheme="majorHAnsi" w:cstheme="majorHAnsi"/>
            <w:sz w:val="24"/>
            <w:szCs w:val="24"/>
          </w:rPr>
          <w:t>Recommendation 1</w:t>
        </w:r>
      </w:hyperlink>
      <w:r w:rsidR="0079227B" w:rsidRPr="00D705BE">
        <w:rPr>
          <w:rFonts w:asciiTheme="majorHAnsi" w:hAnsiTheme="majorHAnsi" w:cstheme="majorHAnsi"/>
          <w:sz w:val="24"/>
          <w:szCs w:val="24"/>
        </w:rPr>
        <w:t xml:space="preserve"> – </w:t>
      </w:r>
      <w:r w:rsidR="0002693C" w:rsidRPr="00D705BE">
        <w:rPr>
          <w:rFonts w:asciiTheme="majorHAnsi" w:hAnsiTheme="majorHAnsi" w:cstheme="majorHAnsi"/>
          <w:sz w:val="24"/>
          <w:szCs w:val="24"/>
        </w:rPr>
        <w:t>Continue to embrace an ambitious Free Trade Agenda</w:t>
      </w:r>
    </w:p>
    <w:p w14:paraId="3C8D6295" w14:textId="77777777" w:rsidR="0079227B" w:rsidRPr="00D705BE" w:rsidRDefault="004047A1" w:rsidP="004047A1">
      <w:pPr>
        <w:pStyle w:val="RecommendationListText"/>
        <w:rPr>
          <w:rFonts w:asciiTheme="majorHAnsi" w:hAnsiTheme="majorHAnsi" w:cstheme="majorHAnsi"/>
          <w:b/>
          <w:i/>
          <w:sz w:val="24"/>
          <w:szCs w:val="24"/>
        </w:rPr>
      </w:pPr>
      <w:r>
        <w:rPr>
          <w:rFonts w:asciiTheme="majorHAnsi" w:hAnsiTheme="majorHAnsi" w:cstheme="majorHAnsi"/>
          <w:b/>
          <w:i/>
          <w:sz w:val="24"/>
          <w:szCs w:val="24"/>
        </w:rPr>
        <w:tab/>
      </w:r>
      <w:r w:rsidR="006119E9" w:rsidRPr="00D705BE">
        <w:rPr>
          <w:rFonts w:asciiTheme="majorHAnsi" w:hAnsiTheme="majorHAnsi" w:cstheme="majorHAnsi"/>
          <w:b/>
          <w:i/>
          <w:sz w:val="24"/>
          <w:szCs w:val="24"/>
        </w:rPr>
        <w:t xml:space="preserve">The Committee recommends that the Australian Government </w:t>
      </w:r>
      <w:proofErr w:type="gramStart"/>
      <w:r>
        <w:rPr>
          <w:rFonts w:asciiTheme="majorHAnsi" w:hAnsiTheme="majorHAnsi" w:cstheme="majorHAnsi"/>
          <w:b/>
          <w:i/>
          <w:sz w:val="24"/>
          <w:szCs w:val="24"/>
        </w:rPr>
        <w:t>continues</w:t>
      </w:r>
      <w:proofErr w:type="gramEnd"/>
      <w:r>
        <w:rPr>
          <w:rFonts w:asciiTheme="majorHAnsi" w:hAnsiTheme="majorHAnsi" w:cstheme="majorHAnsi"/>
          <w:b/>
          <w:i/>
          <w:sz w:val="24"/>
          <w:szCs w:val="24"/>
        </w:rPr>
        <w:t xml:space="preserve"> to embrace an </w:t>
      </w:r>
      <w:r w:rsidR="006119E9" w:rsidRPr="00D705BE">
        <w:rPr>
          <w:rFonts w:asciiTheme="majorHAnsi" w:hAnsiTheme="majorHAnsi" w:cstheme="majorHAnsi"/>
          <w:b/>
          <w:i/>
          <w:sz w:val="24"/>
          <w:szCs w:val="24"/>
        </w:rPr>
        <w:t>ambitious free trade agenda with an expanding network of high quality free trade agreements (FTAs), while acknowledging that FTAs are only one way of enabling international trade</w:t>
      </w:r>
      <w:r w:rsidR="0079227B" w:rsidRPr="00D705BE">
        <w:rPr>
          <w:rFonts w:asciiTheme="majorHAnsi" w:hAnsiTheme="majorHAnsi" w:cstheme="majorHAnsi"/>
          <w:b/>
          <w:i/>
          <w:sz w:val="24"/>
          <w:szCs w:val="24"/>
        </w:rPr>
        <w:t xml:space="preserve"> for Australian businesses.</w:t>
      </w:r>
    </w:p>
    <w:p w14:paraId="170BC3C6" w14:textId="77777777" w:rsidR="00AC1C30" w:rsidRPr="00D705BE" w:rsidRDefault="00AC1C30" w:rsidP="004E6112">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2F7315" w:rsidRPr="004E6112">
        <w:rPr>
          <w:rFonts w:asciiTheme="majorHAnsi" w:hAnsiTheme="majorHAnsi" w:cstheme="majorHAnsi"/>
          <w:i/>
          <w:sz w:val="24"/>
          <w:szCs w:val="24"/>
        </w:rPr>
        <w:t xml:space="preserve">  </w:t>
      </w:r>
      <w:r w:rsidR="004C5A63" w:rsidRPr="00D705BE">
        <w:rPr>
          <w:rFonts w:asciiTheme="majorHAnsi" w:hAnsiTheme="majorHAnsi" w:cstheme="majorHAnsi"/>
          <w:i/>
          <w:sz w:val="24"/>
          <w:szCs w:val="24"/>
        </w:rPr>
        <w:t>Supported</w:t>
      </w:r>
    </w:p>
    <w:p w14:paraId="39624E02" w14:textId="766D1410" w:rsidR="00153A3E" w:rsidRPr="004E6112" w:rsidRDefault="00153A3E" w:rsidP="00D705BE">
      <w:pPr>
        <w:rPr>
          <w:rFonts w:asciiTheme="majorHAnsi" w:hAnsiTheme="majorHAnsi" w:cstheme="majorHAnsi"/>
          <w:sz w:val="24"/>
          <w:szCs w:val="24"/>
        </w:rPr>
      </w:pPr>
      <w:r w:rsidRPr="004E6112">
        <w:rPr>
          <w:rFonts w:asciiTheme="majorHAnsi" w:hAnsiTheme="majorHAnsi" w:cstheme="majorHAnsi"/>
          <w:sz w:val="24"/>
          <w:szCs w:val="24"/>
        </w:rPr>
        <w:t xml:space="preserve">Australia has been at the forefront of developing modern, comprehensive </w:t>
      </w:r>
      <w:r w:rsidR="002C06C7" w:rsidRPr="00D705BE">
        <w:rPr>
          <w:rFonts w:asciiTheme="majorHAnsi" w:hAnsiTheme="majorHAnsi" w:cstheme="majorHAnsi"/>
          <w:sz w:val="24"/>
          <w:szCs w:val="24"/>
        </w:rPr>
        <w:t>F</w:t>
      </w:r>
      <w:r w:rsidR="002F7315" w:rsidRPr="004E6112">
        <w:rPr>
          <w:rFonts w:asciiTheme="majorHAnsi" w:hAnsiTheme="majorHAnsi" w:cstheme="majorHAnsi"/>
          <w:sz w:val="24"/>
          <w:szCs w:val="24"/>
        </w:rPr>
        <w:t>ree Trade Agreements (F</w:t>
      </w:r>
      <w:r w:rsidR="002C06C7" w:rsidRPr="00D705BE">
        <w:rPr>
          <w:rFonts w:asciiTheme="majorHAnsi" w:hAnsiTheme="majorHAnsi" w:cstheme="majorHAnsi"/>
          <w:sz w:val="24"/>
          <w:szCs w:val="24"/>
        </w:rPr>
        <w:t>TAs</w:t>
      </w:r>
      <w:r w:rsidR="002F7315" w:rsidRPr="004E6112">
        <w:rPr>
          <w:rFonts w:asciiTheme="majorHAnsi" w:hAnsiTheme="majorHAnsi" w:cstheme="majorHAnsi"/>
          <w:sz w:val="24"/>
          <w:szCs w:val="24"/>
        </w:rPr>
        <w:t>)</w:t>
      </w:r>
      <w:r w:rsidRPr="004E6112">
        <w:rPr>
          <w:rFonts w:asciiTheme="majorHAnsi" w:hAnsiTheme="majorHAnsi" w:cstheme="majorHAnsi"/>
          <w:sz w:val="24"/>
          <w:szCs w:val="24"/>
        </w:rPr>
        <w:t xml:space="preserve"> that aim to maximise tariff reductions for Australian exporters, open up services markets, and set rules to enhance trade and investm</w:t>
      </w:r>
      <w:r w:rsidR="00876323">
        <w:rPr>
          <w:rFonts w:asciiTheme="majorHAnsi" w:hAnsiTheme="majorHAnsi" w:cstheme="majorHAnsi"/>
          <w:sz w:val="24"/>
          <w:szCs w:val="24"/>
        </w:rPr>
        <w:t>ent and reduce regulatory risk.</w:t>
      </w:r>
    </w:p>
    <w:p w14:paraId="0B577CB8" w14:textId="26D09D09" w:rsidR="002F7315" w:rsidRPr="00D705BE" w:rsidRDefault="00153A3E" w:rsidP="00D705BE">
      <w:pPr>
        <w:rPr>
          <w:rFonts w:asciiTheme="majorHAnsi" w:hAnsiTheme="majorHAnsi" w:cstheme="majorHAnsi"/>
          <w:sz w:val="24"/>
          <w:szCs w:val="24"/>
        </w:rPr>
      </w:pPr>
      <w:r w:rsidRPr="004E6112">
        <w:rPr>
          <w:rFonts w:asciiTheme="majorHAnsi" w:hAnsiTheme="majorHAnsi" w:cstheme="majorHAnsi"/>
          <w:sz w:val="24"/>
          <w:szCs w:val="24"/>
        </w:rPr>
        <w:t>Our FTAs</w:t>
      </w:r>
      <w:r w:rsidR="00DA4C23" w:rsidRPr="00D705BE">
        <w:rPr>
          <w:rStyle w:val="FootnoteReference"/>
          <w:rFonts w:asciiTheme="majorHAnsi" w:hAnsiTheme="majorHAnsi" w:cstheme="majorHAnsi"/>
          <w:sz w:val="24"/>
          <w:szCs w:val="24"/>
        </w:rPr>
        <w:footnoteReference w:id="1"/>
      </w:r>
      <w:r w:rsidR="002C06C7" w:rsidRPr="00D705BE">
        <w:rPr>
          <w:rFonts w:asciiTheme="majorHAnsi" w:hAnsiTheme="majorHAnsi" w:cstheme="majorHAnsi"/>
          <w:sz w:val="24"/>
          <w:szCs w:val="24"/>
        </w:rPr>
        <w:t xml:space="preserve"> </w:t>
      </w:r>
      <w:r w:rsidR="00DA4C23" w:rsidRPr="00D705BE">
        <w:rPr>
          <w:rFonts w:asciiTheme="majorHAnsi" w:hAnsiTheme="majorHAnsi" w:cstheme="majorHAnsi"/>
          <w:sz w:val="24"/>
          <w:szCs w:val="24"/>
        </w:rPr>
        <w:t>cover approximately 70.8 per cent</w:t>
      </w:r>
      <w:r w:rsidR="002F7315" w:rsidRPr="00D705BE">
        <w:rPr>
          <w:rStyle w:val="FootnoteReference"/>
          <w:rFonts w:asciiTheme="majorHAnsi" w:hAnsiTheme="majorHAnsi" w:cstheme="majorHAnsi"/>
          <w:sz w:val="24"/>
          <w:szCs w:val="24"/>
        </w:rPr>
        <w:footnoteReference w:id="2"/>
      </w:r>
      <w:r w:rsidR="00DA4C23" w:rsidRPr="00D705BE">
        <w:rPr>
          <w:rFonts w:asciiTheme="majorHAnsi" w:hAnsiTheme="majorHAnsi" w:cstheme="majorHAnsi"/>
          <w:sz w:val="24"/>
          <w:szCs w:val="24"/>
        </w:rPr>
        <w:t xml:space="preserve"> of our total </w:t>
      </w:r>
      <w:r w:rsidR="002F7315" w:rsidRPr="00D705BE">
        <w:rPr>
          <w:rFonts w:asciiTheme="majorHAnsi" w:hAnsiTheme="majorHAnsi" w:cstheme="majorHAnsi"/>
          <w:sz w:val="24"/>
          <w:szCs w:val="24"/>
        </w:rPr>
        <w:t>two-way trade in goods and services</w:t>
      </w:r>
      <w:r w:rsidR="002F7315" w:rsidRPr="004E6112">
        <w:rPr>
          <w:rFonts w:asciiTheme="majorHAnsi" w:hAnsiTheme="majorHAnsi" w:cstheme="majorHAnsi"/>
          <w:sz w:val="24"/>
          <w:szCs w:val="24"/>
        </w:rPr>
        <w:t>,</w:t>
      </w:r>
      <w:r w:rsidR="002F7315" w:rsidRPr="004E6112">
        <w:rPr>
          <w:rStyle w:val="FootnoteReference"/>
          <w:rFonts w:asciiTheme="majorHAnsi" w:hAnsiTheme="majorHAnsi" w:cstheme="majorHAnsi"/>
          <w:sz w:val="24"/>
          <w:szCs w:val="24"/>
        </w:rPr>
        <w:footnoteReference w:id="3"/>
      </w:r>
      <w:r w:rsidR="002F7315" w:rsidRPr="00D705BE">
        <w:rPr>
          <w:rFonts w:asciiTheme="majorHAnsi" w:hAnsiTheme="majorHAnsi" w:cstheme="majorHAnsi"/>
          <w:sz w:val="24"/>
          <w:szCs w:val="24"/>
        </w:rPr>
        <w:t xml:space="preserve"> compare</w:t>
      </w:r>
      <w:r w:rsidR="002F7315" w:rsidRPr="004E6112">
        <w:rPr>
          <w:rFonts w:asciiTheme="majorHAnsi" w:hAnsiTheme="majorHAnsi" w:cstheme="majorHAnsi"/>
          <w:sz w:val="24"/>
          <w:szCs w:val="24"/>
        </w:rPr>
        <w:t>d</w:t>
      </w:r>
      <w:r w:rsidR="002F7315" w:rsidRPr="00D705BE">
        <w:rPr>
          <w:rFonts w:asciiTheme="majorHAnsi" w:hAnsiTheme="majorHAnsi" w:cstheme="majorHAnsi"/>
          <w:sz w:val="24"/>
          <w:szCs w:val="24"/>
        </w:rPr>
        <w:t xml:space="preserve"> with 27.6 per cent of </w:t>
      </w:r>
      <w:r w:rsidR="00346ED1" w:rsidRPr="004E6112">
        <w:rPr>
          <w:rFonts w:asciiTheme="majorHAnsi" w:hAnsiTheme="majorHAnsi" w:cstheme="majorHAnsi"/>
          <w:sz w:val="24"/>
          <w:szCs w:val="24"/>
        </w:rPr>
        <w:t>our</w:t>
      </w:r>
      <w:r w:rsidR="002F7315" w:rsidRPr="00D705BE">
        <w:rPr>
          <w:rFonts w:asciiTheme="majorHAnsi" w:hAnsiTheme="majorHAnsi" w:cstheme="majorHAnsi"/>
          <w:sz w:val="24"/>
          <w:szCs w:val="24"/>
        </w:rPr>
        <w:t xml:space="preserve"> trade with </w:t>
      </w:r>
      <w:r w:rsidR="00346ED1" w:rsidRPr="004E6112">
        <w:rPr>
          <w:rFonts w:asciiTheme="majorHAnsi" w:hAnsiTheme="majorHAnsi" w:cstheme="majorHAnsi"/>
          <w:sz w:val="24"/>
          <w:szCs w:val="24"/>
        </w:rPr>
        <w:t>FTA partners in</w:t>
      </w:r>
      <w:r w:rsidR="002F7315" w:rsidRPr="00D705BE">
        <w:rPr>
          <w:rFonts w:asciiTheme="majorHAnsi" w:hAnsiTheme="majorHAnsi" w:cstheme="majorHAnsi"/>
          <w:sz w:val="24"/>
          <w:szCs w:val="24"/>
        </w:rPr>
        <w:t xml:space="preserve"> 2012-13</w:t>
      </w:r>
      <w:r w:rsidR="002F7315" w:rsidRPr="004E6112">
        <w:rPr>
          <w:rFonts w:asciiTheme="majorHAnsi" w:hAnsiTheme="majorHAnsi" w:cstheme="majorHAnsi"/>
          <w:sz w:val="24"/>
          <w:szCs w:val="24"/>
        </w:rPr>
        <w:t>.</w:t>
      </w:r>
      <w:r w:rsidR="002F7315" w:rsidRPr="00D705BE">
        <w:rPr>
          <w:rFonts w:asciiTheme="majorHAnsi" w:hAnsiTheme="majorHAnsi" w:cstheme="majorHAnsi"/>
          <w:sz w:val="24"/>
          <w:szCs w:val="24"/>
        </w:rPr>
        <w:t xml:space="preserve"> </w:t>
      </w:r>
      <w:r w:rsidR="00346ED1" w:rsidRPr="004E6112">
        <w:rPr>
          <w:rFonts w:asciiTheme="majorHAnsi" w:hAnsiTheme="majorHAnsi" w:cstheme="majorHAnsi"/>
          <w:sz w:val="24"/>
          <w:szCs w:val="24"/>
        </w:rPr>
        <w:t xml:space="preserve">When </w:t>
      </w:r>
      <w:r w:rsidR="002F7315" w:rsidRPr="00D705BE">
        <w:rPr>
          <w:rFonts w:asciiTheme="majorHAnsi" w:hAnsiTheme="majorHAnsi" w:cstheme="majorHAnsi"/>
          <w:sz w:val="24"/>
          <w:szCs w:val="24"/>
        </w:rPr>
        <w:t xml:space="preserve">all </w:t>
      </w:r>
      <w:r w:rsidR="002F7315" w:rsidRPr="004E6112">
        <w:rPr>
          <w:rFonts w:asciiTheme="majorHAnsi" w:hAnsiTheme="majorHAnsi" w:cstheme="majorHAnsi"/>
          <w:sz w:val="24"/>
          <w:szCs w:val="24"/>
        </w:rPr>
        <w:t>FTA</w:t>
      </w:r>
      <w:r w:rsidR="00835E1A" w:rsidRPr="004E6112">
        <w:rPr>
          <w:rFonts w:asciiTheme="majorHAnsi" w:hAnsiTheme="majorHAnsi" w:cstheme="majorHAnsi"/>
          <w:sz w:val="24"/>
          <w:szCs w:val="24"/>
        </w:rPr>
        <w:t>s under</w:t>
      </w:r>
      <w:r w:rsidR="002F7315" w:rsidRPr="00D705BE">
        <w:rPr>
          <w:rFonts w:asciiTheme="majorHAnsi" w:hAnsiTheme="majorHAnsi" w:cstheme="majorHAnsi"/>
          <w:sz w:val="24"/>
          <w:szCs w:val="24"/>
        </w:rPr>
        <w:t xml:space="preserve"> negotiation</w:t>
      </w:r>
      <w:r w:rsidR="00CF3337">
        <w:rPr>
          <w:rFonts w:asciiTheme="majorHAnsi" w:hAnsiTheme="majorHAnsi" w:cstheme="majorHAnsi"/>
          <w:sz w:val="24"/>
          <w:szCs w:val="24"/>
        </w:rPr>
        <w:t xml:space="preserve"> or active consideration</w:t>
      </w:r>
      <w:r w:rsidR="00835E1A" w:rsidRPr="004E6112">
        <w:rPr>
          <w:rStyle w:val="FootnoteReference"/>
          <w:rFonts w:asciiTheme="majorHAnsi" w:hAnsiTheme="majorHAnsi" w:cstheme="majorHAnsi"/>
          <w:sz w:val="24"/>
          <w:szCs w:val="24"/>
        </w:rPr>
        <w:footnoteReference w:id="4"/>
      </w:r>
      <w:r w:rsidR="00835E1A" w:rsidRPr="004E6112">
        <w:rPr>
          <w:rFonts w:asciiTheme="majorHAnsi" w:hAnsiTheme="majorHAnsi" w:cstheme="majorHAnsi"/>
          <w:sz w:val="24"/>
          <w:szCs w:val="24"/>
        </w:rPr>
        <w:t xml:space="preserve"> </w:t>
      </w:r>
      <w:proofErr w:type="gramStart"/>
      <w:r w:rsidR="00835E1A" w:rsidRPr="004E6112">
        <w:rPr>
          <w:rFonts w:asciiTheme="majorHAnsi" w:hAnsiTheme="majorHAnsi" w:cstheme="majorHAnsi"/>
          <w:sz w:val="24"/>
          <w:szCs w:val="24"/>
        </w:rPr>
        <w:t xml:space="preserve">are </w:t>
      </w:r>
      <w:r w:rsidR="002F7315" w:rsidRPr="00D705BE">
        <w:rPr>
          <w:rFonts w:asciiTheme="majorHAnsi" w:hAnsiTheme="majorHAnsi" w:cstheme="majorHAnsi"/>
          <w:sz w:val="24"/>
          <w:szCs w:val="24"/>
        </w:rPr>
        <w:t>concluded</w:t>
      </w:r>
      <w:proofErr w:type="gramEnd"/>
      <w:r w:rsidR="002F7315" w:rsidRPr="00D705BE">
        <w:rPr>
          <w:rFonts w:asciiTheme="majorHAnsi" w:hAnsiTheme="majorHAnsi" w:cstheme="majorHAnsi"/>
          <w:sz w:val="24"/>
          <w:szCs w:val="24"/>
        </w:rPr>
        <w:t xml:space="preserve">, Australia’s share of two-way trade in goods and services with </w:t>
      </w:r>
      <w:r w:rsidR="00346ED1" w:rsidRPr="004E6112">
        <w:rPr>
          <w:rFonts w:asciiTheme="majorHAnsi" w:hAnsiTheme="majorHAnsi" w:cstheme="majorHAnsi"/>
          <w:sz w:val="24"/>
          <w:szCs w:val="24"/>
        </w:rPr>
        <w:t xml:space="preserve">FTA partners </w:t>
      </w:r>
      <w:r w:rsidR="002F7315" w:rsidRPr="00D705BE">
        <w:rPr>
          <w:rFonts w:asciiTheme="majorHAnsi" w:hAnsiTheme="majorHAnsi" w:cstheme="majorHAnsi"/>
          <w:sz w:val="24"/>
          <w:szCs w:val="24"/>
        </w:rPr>
        <w:t>w</w:t>
      </w:r>
      <w:r w:rsidR="002F7315" w:rsidRPr="004E6112">
        <w:rPr>
          <w:rFonts w:asciiTheme="majorHAnsi" w:hAnsiTheme="majorHAnsi" w:cstheme="majorHAnsi"/>
          <w:sz w:val="24"/>
          <w:szCs w:val="24"/>
        </w:rPr>
        <w:t>ill</w:t>
      </w:r>
      <w:r w:rsidR="002F7315" w:rsidRPr="00D705BE">
        <w:rPr>
          <w:rFonts w:asciiTheme="majorHAnsi" w:hAnsiTheme="majorHAnsi" w:cstheme="majorHAnsi"/>
          <w:sz w:val="24"/>
          <w:szCs w:val="24"/>
        </w:rPr>
        <w:t xml:space="preserve"> reach 87.8 per cent</w:t>
      </w:r>
      <w:r w:rsidR="007D3C5C">
        <w:rPr>
          <w:rFonts w:asciiTheme="majorHAnsi" w:hAnsiTheme="majorHAnsi" w:cstheme="majorHAnsi"/>
          <w:sz w:val="24"/>
          <w:szCs w:val="24"/>
        </w:rPr>
        <w:t>.</w:t>
      </w:r>
      <w:r w:rsidR="00835E1A" w:rsidRPr="004E6112">
        <w:rPr>
          <w:rStyle w:val="FootnoteReference"/>
          <w:rFonts w:asciiTheme="majorHAnsi" w:hAnsiTheme="majorHAnsi" w:cstheme="majorHAnsi"/>
          <w:sz w:val="24"/>
          <w:szCs w:val="24"/>
        </w:rPr>
        <w:footnoteReference w:id="5"/>
      </w:r>
      <w:r w:rsidR="004851A1">
        <w:rPr>
          <w:rFonts w:asciiTheme="majorHAnsi" w:hAnsiTheme="majorHAnsi" w:cstheme="majorHAnsi"/>
          <w:sz w:val="24"/>
          <w:szCs w:val="24"/>
        </w:rPr>
        <w:t xml:space="preserve"> </w:t>
      </w:r>
      <w:r w:rsidR="007D3C5C">
        <w:rPr>
          <w:rFonts w:asciiTheme="majorHAnsi" w:hAnsiTheme="majorHAnsi" w:cstheme="majorHAnsi"/>
          <w:sz w:val="24"/>
          <w:szCs w:val="24"/>
        </w:rPr>
        <w:t>W</w:t>
      </w:r>
      <w:r w:rsidR="004851A1">
        <w:rPr>
          <w:rFonts w:asciiTheme="majorHAnsi" w:hAnsiTheme="majorHAnsi" w:cstheme="majorHAnsi"/>
          <w:sz w:val="24"/>
          <w:szCs w:val="24"/>
        </w:rPr>
        <w:t xml:space="preserve">e are </w:t>
      </w:r>
      <w:r w:rsidR="00746138">
        <w:rPr>
          <w:rFonts w:asciiTheme="majorHAnsi" w:hAnsiTheme="majorHAnsi" w:cstheme="majorHAnsi"/>
          <w:sz w:val="24"/>
          <w:szCs w:val="24"/>
        </w:rPr>
        <w:t xml:space="preserve">currently </w:t>
      </w:r>
      <w:r w:rsidR="00E269A0" w:rsidRPr="004E6112">
        <w:rPr>
          <w:rFonts w:asciiTheme="majorHAnsi" w:hAnsiTheme="majorHAnsi" w:cstheme="majorHAnsi"/>
          <w:sz w:val="24"/>
          <w:szCs w:val="24"/>
        </w:rPr>
        <w:t>on track to meet</w:t>
      </w:r>
      <w:r w:rsidR="00346ED1" w:rsidRPr="004E6112">
        <w:rPr>
          <w:rFonts w:asciiTheme="majorHAnsi" w:hAnsiTheme="majorHAnsi" w:cstheme="majorHAnsi"/>
          <w:sz w:val="24"/>
          <w:szCs w:val="24"/>
        </w:rPr>
        <w:t>ing</w:t>
      </w:r>
      <w:r w:rsidR="00E269A0" w:rsidRPr="004E6112">
        <w:rPr>
          <w:rFonts w:asciiTheme="majorHAnsi" w:hAnsiTheme="majorHAnsi" w:cstheme="majorHAnsi"/>
          <w:sz w:val="24"/>
          <w:szCs w:val="24"/>
        </w:rPr>
        <w:t xml:space="preserve"> the Government</w:t>
      </w:r>
      <w:r w:rsidR="00E269A0" w:rsidRPr="00D705BE">
        <w:rPr>
          <w:rFonts w:asciiTheme="majorHAnsi" w:hAnsiTheme="majorHAnsi" w:cstheme="majorHAnsi"/>
          <w:sz w:val="24"/>
          <w:szCs w:val="24"/>
        </w:rPr>
        <w:t xml:space="preserve">’s Foreign Policy White Paper undertaking to ensure </w:t>
      </w:r>
      <w:r w:rsidR="00346ED1" w:rsidRPr="00D705BE">
        <w:rPr>
          <w:rFonts w:asciiTheme="majorHAnsi" w:hAnsiTheme="majorHAnsi" w:cstheme="majorHAnsi"/>
          <w:sz w:val="24"/>
          <w:szCs w:val="24"/>
        </w:rPr>
        <w:t xml:space="preserve">that </w:t>
      </w:r>
      <w:r w:rsidR="00E269A0" w:rsidRPr="00D705BE">
        <w:rPr>
          <w:rFonts w:asciiTheme="majorHAnsi" w:hAnsiTheme="majorHAnsi" w:cstheme="majorHAnsi"/>
          <w:sz w:val="24"/>
          <w:szCs w:val="24"/>
        </w:rPr>
        <w:t>by 2020 we have FTAs with countries accounting for</w:t>
      </w:r>
      <w:r w:rsidR="00876323">
        <w:rPr>
          <w:rFonts w:asciiTheme="majorHAnsi" w:hAnsiTheme="majorHAnsi" w:cstheme="majorHAnsi"/>
          <w:sz w:val="24"/>
          <w:szCs w:val="24"/>
        </w:rPr>
        <w:t xml:space="preserve"> over 80 per cent of our trade.</w:t>
      </w:r>
    </w:p>
    <w:p w14:paraId="36585817" w14:textId="77777777" w:rsidR="00153A3E" w:rsidRPr="00D705BE" w:rsidRDefault="00E269A0" w:rsidP="00D705BE">
      <w:pPr>
        <w:rPr>
          <w:rFonts w:asciiTheme="majorHAnsi" w:hAnsiTheme="majorHAnsi" w:cstheme="majorHAnsi"/>
          <w:sz w:val="24"/>
          <w:szCs w:val="24"/>
        </w:rPr>
      </w:pPr>
      <w:r w:rsidRPr="004E6112">
        <w:rPr>
          <w:rFonts w:asciiTheme="majorHAnsi" w:hAnsiTheme="majorHAnsi" w:cstheme="majorHAnsi"/>
          <w:sz w:val="24"/>
          <w:szCs w:val="24"/>
        </w:rPr>
        <w:t xml:space="preserve">The Government recognises </w:t>
      </w:r>
      <w:r w:rsidR="002C06C7" w:rsidRPr="00D705BE">
        <w:rPr>
          <w:rFonts w:asciiTheme="majorHAnsi" w:hAnsiTheme="majorHAnsi" w:cstheme="majorHAnsi"/>
          <w:sz w:val="24"/>
          <w:szCs w:val="24"/>
        </w:rPr>
        <w:t>FTAs are only one way of enabling international trade</w:t>
      </w:r>
      <w:r w:rsidR="00C55C0D" w:rsidRPr="004E6112">
        <w:rPr>
          <w:rFonts w:asciiTheme="majorHAnsi" w:hAnsiTheme="majorHAnsi" w:cstheme="majorHAnsi"/>
          <w:sz w:val="24"/>
          <w:szCs w:val="24"/>
        </w:rPr>
        <w:t xml:space="preserve">. </w:t>
      </w:r>
      <w:r w:rsidR="00153A3E" w:rsidRPr="004E6112">
        <w:rPr>
          <w:rFonts w:asciiTheme="majorHAnsi" w:hAnsiTheme="majorHAnsi" w:cstheme="majorHAnsi"/>
          <w:sz w:val="24"/>
          <w:szCs w:val="24"/>
        </w:rPr>
        <w:t xml:space="preserve">A rules-based trading system centred on the WTO is fundamental to Australia’s interests, and </w:t>
      </w:r>
      <w:r w:rsidR="00153A3E" w:rsidRPr="00D705BE">
        <w:rPr>
          <w:rFonts w:asciiTheme="majorHAnsi" w:hAnsiTheme="majorHAnsi" w:cstheme="majorHAnsi"/>
          <w:sz w:val="24"/>
          <w:szCs w:val="24"/>
        </w:rPr>
        <w:t xml:space="preserve">Australia continues to demonstrate leadership, creativity and perseverance in seeking to advance </w:t>
      </w:r>
      <w:r w:rsidR="00576EA4">
        <w:rPr>
          <w:rFonts w:asciiTheme="majorHAnsi" w:hAnsiTheme="majorHAnsi" w:cstheme="majorHAnsi"/>
          <w:sz w:val="24"/>
          <w:szCs w:val="24"/>
        </w:rPr>
        <w:t>liberalisation within the WTO.</w:t>
      </w:r>
    </w:p>
    <w:p w14:paraId="76383B80" w14:textId="3A0DB103" w:rsidR="002C06C7" w:rsidRPr="00D705BE" w:rsidRDefault="00153A3E" w:rsidP="00D705BE">
      <w:pPr>
        <w:rPr>
          <w:rFonts w:asciiTheme="majorHAnsi" w:hAnsiTheme="majorHAnsi" w:cstheme="majorHAnsi"/>
          <w:sz w:val="24"/>
          <w:szCs w:val="24"/>
        </w:rPr>
      </w:pPr>
      <w:r w:rsidRPr="00D705BE">
        <w:rPr>
          <w:rFonts w:asciiTheme="majorHAnsi" w:hAnsiTheme="majorHAnsi" w:cstheme="majorHAnsi"/>
          <w:sz w:val="24"/>
          <w:szCs w:val="24"/>
        </w:rPr>
        <w:t>The Government has also revamped its economic diplomacy efforts to enhance support for Australia’s commercial interests, continues to assist Australian businesses to tack</w:t>
      </w:r>
      <w:r w:rsidR="00346ED1" w:rsidRPr="00D705BE">
        <w:rPr>
          <w:rFonts w:asciiTheme="majorHAnsi" w:hAnsiTheme="majorHAnsi" w:cstheme="majorHAnsi"/>
          <w:sz w:val="24"/>
          <w:szCs w:val="24"/>
        </w:rPr>
        <w:t>le</w:t>
      </w:r>
      <w:r w:rsidRPr="00D705BE">
        <w:rPr>
          <w:rFonts w:asciiTheme="majorHAnsi" w:hAnsiTheme="majorHAnsi" w:cstheme="majorHAnsi"/>
          <w:sz w:val="24"/>
          <w:szCs w:val="24"/>
        </w:rPr>
        <w:t xml:space="preserve"> non-tariff measure</w:t>
      </w:r>
      <w:r w:rsidR="00CA57AE">
        <w:rPr>
          <w:rFonts w:asciiTheme="majorHAnsi" w:hAnsiTheme="majorHAnsi" w:cstheme="majorHAnsi"/>
          <w:sz w:val="24"/>
          <w:szCs w:val="24"/>
        </w:rPr>
        <w:t>s</w:t>
      </w:r>
      <w:r w:rsidRPr="00D705BE">
        <w:rPr>
          <w:rFonts w:asciiTheme="majorHAnsi" w:hAnsiTheme="majorHAnsi" w:cstheme="majorHAnsi"/>
          <w:sz w:val="24"/>
          <w:szCs w:val="24"/>
        </w:rPr>
        <w:t xml:space="preserve"> (</w:t>
      </w:r>
      <w:r w:rsidR="00191B01">
        <w:rPr>
          <w:rFonts w:asciiTheme="majorHAnsi" w:hAnsiTheme="majorHAnsi" w:cstheme="majorHAnsi"/>
          <w:sz w:val="24"/>
          <w:szCs w:val="24"/>
        </w:rPr>
        <w:t>refer Recommendation 2.1)</w:t>
      </w:r>
      <w:r w:rsidRPr="004E6112">
        <w:rPr>
          <w:rFonts w:asciiTheme="majorHAnsi" w:hAnsiTheme="majorHAnsi" w:cstheme="majorHAnsi"/>
          <w:sz w:val="24"/>
          <w:szCs w:val="24"/>
        </w:rPr>
        <w:t xml:space="preserve">, and provides ongoing </w:t>
      </w:r>
      <w:r w:rsidR="002C06C7" w:rsidRPr="00D705BE">
        <w:rPr>
          <w:rFonts w:asciiTheme="majorHAnsi" w:hAnsiTheme="majorHAnsi" w:cstheme="majorHAnsi"/>
          <w:sz w:val="24"/>
          <w:szCs w:val="24"/>
        </w:rPr>
        <w:t>support</w:t>
      </w:r>
      <w:r w:rsidRPr="004E6112">
        <w:rPr>
          <w:rFonts w:asciiTheme="majorHAnsi" w:hAnsiTheme="majorHAnsi" w:cstheme="majorHAnsi"/>
          <w:sz w:val="24"/>
          <w:szCs w:val="24"/>
        </w:rPr>
        <w:t xml:space="preserve"> for Australian businesses, including more than 45,000 small to medium sized enterprises</w:t>
      </w:r>
      <w:r w:rsidR="00346ED1" w:rsidRPr="004E6112">
        <w:rPr>
          <w:rFonts w:asciiTheme="majorHAnsi" w:hAnsiTheme="majorHAnsi" w:cstheme="majorHAnsi"/>
          <w:sz w:val="24"/>
          <w:szCs w:val="24"/>
        </w:rPr>
        <w:t xml:space="preserve"> (SMEs),</w:t>
      </w:r>
      <w:r w:rsidRPr="004E6112">
        <w:rPr>
          <w:rFonts w:asciiTheme="majorHAnsi" w:hAnsiTheme="majorHAnsi" w:cstheme="majorHAnsi"/>
          <w:sz w:val="24"/>
          <w:szCs w:val="24"/>
        </w:rPr>
        <w:t xml:space="preserve"> to access international markets. </w:t>
      </w:r>
      <w:r w:rsidR="002C06C7" w:rsidRPr="00D705BE">
        <w:rPr>
          <w:rFonts w:asciiTheme="majorHAnsi" w:hAnsiTheme="majorHAnsi" w:cstheme="majorHAnsi"/>
          <w:sz w:val="24"/>
          <w:szCs w:val="24"/>
        </w:rPr>
        <w:t>Austrade provides a range of support, from business introductions to market information</w:t>
      </w:r>
      <w:r w:rsidR="00346ED1" w:rsidRPr="004E6112">
        <w:rPr>
          <w:rFonts w:asciiTheme="majorHAnsi" w:hAnsiTheme="majorHAnsi" w:cstheme="majorHAnsi"/>
          <w:sz w:val="24"/>
          <w:szCs w:val="24"/>
        </w:rPr>
        <w:t>, and t</w:t>
      </w:r>
      <w:r w:rsidR="002C06C7" w:rsidRPr="00D705BE">
        <w:rPr>
          <w:rFonts w:asciiTheme="majorHAnsi" w:hAnsiTheme="majorHAnsi" w:cstheme="majorHAnsi"/>
          <w:sz w:val="24"/>
          <w:szCs w:val="24"/>
        </w:rPr>
        <w:t>he Australian Government export credit agency, E</w:t>
      </w:r>
      <w:r w:rsidR="00F3732C">
        <w:rPr>
          <w:rFonts w:asciiTheme="majorHAnsi" w:hAnsiTheme="majorHAnsi" w:cstheme="majorHAnsi"/>
          <w:sz w:val="24"/>
          <w:szCs w:val="24"/>
        </w:rPr>
        <w:t>xport Finance Australia</w:t>
      </w:r>
      <w:r w:rsidR="002C06C7" w:rsidRPr="00D705BE">
        <w:rPr>
          <w:rFonts w:asciiTheme="majorHAnsi" w:hAnsiTheme="majorHAnsi" w:cstheme="majorHAnsi"/>
          <w:sz w:val="24"/>
          <w:szCs w:val="24"/>
        </w:rPr>
        <w:t>, assists businesses to secure finance for export and to invest overseas.</w:t>
      </w:r>
      <w:r w:rsidR="00346ED1" w:rsidRPr="004E6112">
        <w:rPr>
          <w:rFonts w:asciiTheme="majorHAnsi" w:hAnsiTheme="majorHAnsi" w:cstheme="majorHAnsi"/>
          <w:sz w:val="24"/>
          <w:szCs w:val="24"/>
        </w:rPr>
        <w:t xml:space="preserve"> </w:t>
      </w:r>
      <w:r w:rsidR="00CA57AE">
        <w:rPr>
          <w:rFonts w:asciiTheme="majorHAnsi" w:hAnsiTheme="majorHAnsi" w:cstheme="majorHAnsi"/>
          <w:sz w:val="24"/>
          <w:szCs w:val="24"/>
        </w:rPr>
        <w:t>The Department of Industry, Innovation and Science</w:t>
      </w:r>
      <w:r w:rsidR="00D86B1A">
        <w:rPr>
          <w:rFonts w:asciiTheme="majorHAnsi" w:hAnsiTheme="majorHAnsi" w:cstheme="majorHAnsi"/>
          <w:sz w:val="24"/>
          <w:szCs w:val="24"/>
        </w:rPr>
        <w:t xml:space="preserve"> (DIIS)</w:t>
      </w:r>
      <w:r w:rsidR="00CA57AE">
        <w:rPr>
          <w:rFonts w:asciiTheme="majorHAnsi" w:hAnsiTheme="majorHAnsi" w:cstheme="majorHAnsi"/>
          <w:sz w:val="24"/>
          <w:szCs w:val="24"/>
        </w:rPr>
        <w:t xml:space="preserve"> also administers a range of programs and policy initiatives that are aimed at building business capability and helping SMEs become ‘export ready’, including the </w:t>
      </w:r>
      <w:r w:rsidR="000D526C">
        <w:rPr>
          <w:rFonts w:asciiTheme="majorHAnsi" w:hAnsiTheme="majorHAnsi" w:cstheme="majorHAnsi"/>
          <w:sz w:val="24"/>
          <w:szCs w:val="24"/>
        </w:rPr>
        <w:t xml:space="preserve">SME </w:t>
      </w:r>
      <w:r w:rsidR="00CA57AE">
        <w:rPr>
          <w:rFonts w:asciiTheme="majorHAnsi" w:hAnsiTheme="majorHAnsi" w:cstheme="majorHAnsi"/>
          <w:sz w:val="24"/>
          <w:szCs w:val="24"/>
        </w:rPr>
        <w:t>Export Hubs Initiative that aims to help Australian SMEs to grow and improve export performance</w:t>
      </w:r>
      <w:r w:rsidR="00D86B1A">
        <w:rPr>
          <w:rFonts w:asciiTheme="majorHAnsi" w:hAnsiTheme="majorHAnsi" w:cstheme="majorHAnsi"/>
          <w:sz w:val="24"/>
          <w:szCs w:val="24"/>
        </w:rPr>
        <w:t xml:space="preserve"> (refer Recommendation 4)</w:t>
      </w:r>
      <w:r w:rsidR="00CA57AE">
        <w:rPr>
          <w:rFonts w:asciiTheme="majorHAnsi" w:hAnsiTheme="majorHAnsi" w:cstheme="majorHAnsi"/>
          <w:sz w:val="24"/>
          <w:szCs w:val="24"/>
        </w:rPr>
        <w:t>.</w:t>
      </w:r>
      <w:r w:rsidR="00CA57AE" w:rsidRPr="004E6112">
        <w:rPr>
          <w:rFonts w:asciiTheme="majorHAnsi" w:hAnsiTheme="majorHAnsi" w:cstheme="majorHAnsi"/>
          <w:sz w:val="24"/>
          <w:szCs w:val="24"/>
        </w:rPr>
        <w:t xml:space="preserve"> </w:t>
      </w:r>
      <w:r w:rsidR="00982914">
        <w:rPr>
          <w:rFonts w:asciiTheme="majorHAnsi" w:hAnsiTheme="majorHAnsi" w:cstheme="majorHAnsi"/>
          <w:sz w:val="24"/>
          <w:szCs w:val="24"/>
        </w:rPr>
        <w:t>In addition, t</w:t>
      </w:r>
      <w:r w:rsidR="00346ED1" w:rsidRPr="004E6112">
        <w:rPr>
          <w:rFonts w:asciiTheme="majorHAnsi" w:hAnsiTheme="majorHAnsi" w:cstheme="majorHAnsi"/>
          <w:sz w:val="24"/>
          <w:szCs w:val="24"/>
        </w:rPr>
        <w:t xml:space="preserve">he Government is working with the private sector to build the capability of Australian business to engage </w:t>
      </w:r>
      <w:r w:rsidR="00346ED1" w:rsidRPr="00D705BE">
        <w:rPr>
          <w:rFonts w:asciiTheme="majorHAnsi" w:hAnsiTheme="majorHAnsi" w:cstheme="majorHAnsi"/>
          <w:sz w:val="24"/>
          <w:szCs w:val="24"/>
        </w:rPr>
        <w:t xml:space="preserve">successfully in Asian markets, reinforcing high-level advocacy by Australian political and </w:t>
      </w:r>
      <w:r w:rsidR="00346ED1" w:rsidRPr="00D705BE">
        <w:rPr>
          <w:rFonts w:asciiTheme="majorHAnsi" w:hAnsiTheme="majorHAnsi" w:cstheme="majorHAnsi"/>
          <w:sz w:val="24"/>
          <w:szCs w:val="24"/>
        </w:rPr>
        <w:lastRenderedPageBreak/>
        <w:t xml:space="preserve">business leaders, and expanding the number of Agricultural Counsellors overseas who provide in-market support. </w:t>
      </w:r>
    </w:p>
    <w:p w14:paraId="664F92D6" w14:textId="77777777" w:rsidR="006119E9" w:rsidRPr="00D705BE" w:rsidRDefault="004D4BE9" w:rsidP="00D705BE">
      <w:pPr>
        <w:pStyle w:val="RecommendationHeading"/>
        <w:rPr>
          <w:rFonts w:asciiTheme="majorHAnsi" w:hAnsiTheme="majorHAnsi" w:cstheme="majorHAnsi"/>
          <w:sz w:val="24"/>
          <w:szCs w:val="24"/>
        </w:rPr>
      </w:pPr>
      <w:hyperlink w:anchor="s26759rec2" w:history="1">
        <w:r w:rsidR="006119E9" w:rsidRPr="00D705BE">
          <w:rPr>
            <w:rFonts w:asciiTheme="majorHAnsi" w:hAnsiTheme="majorHAnsi" w:cstheme="majorHAnsi"/>
            <w:sz w:val="24"/>
            <w:szCs w:val="24"/>
          </w:rPr>
          <w:t>Recommendation 2</w:t>
        </w:r>
      </w:hyperlink>
      <w:r w:rsidR="0002693C" w:rsidRPr="00D705BE">
        <w:rPr>
          <w:rFonts w:asciiTheme="majorHAnsi" w:hAnsiTheme="majorHAnsi" w:cstheme="majorHAnsi"/>
          <w:sz w:val="24"/>
          <w:szCs w:val="24"/>
        </w:rPr>
        <w:t>.1</w:t>
      </w:r>
      <w:r w:rsidR="0079227B" w:rsidRPr="00D705BE">
        <w:rPr>
          <w:rFonts w:asciiTheme="majorHAnsi" w:hAnsiTheme="majorHAnsi" w:cstheme="majorHAnsi"/>
          <w:sz w:val="24"/>
          <w:szCs w:val="24"/>
        </w:rPr>
        <w:t xml:space="preserve"> –</w:t>
      </w:r>
      <w:r w:rsidR="0002693C" w:rsidRPr="00D705BE">
        <w:rPr>
          <w:rFonts w:asciiTheme="majorHAnsi" w:hAnsiTheme="majorHAnsi" w:cstheme="majorHAnsi"/>
          <w:sz w:val="24"/>
          <w:szCs w:val="24"/>
        </w:rPr>
        <w:t xml:space="preserve"> M</w:t>
      </w:r>
      <w:r w:rsidR="00D86B1A">
        <w:rPr>
          <w:rFonts w:asciiTheme="majorHAnsi" w:hAnsiTheme="majorHAnsi" w:cstheme="majorHAnsi"/>
          <w:sz w:val="24"/>
          <w:szCs w:val="24"/>
        </w:rPr>
        <w:t>inimise n</w:t>
      </w:r>
      <w:r w:rsidR="0002693C" w:rsidRPr="00D705BE">
        <w:rPr>
          <w:rFonts w:asciiTheme="majorHAnsi" w:hAnsiTheme="majorHAnsi" w:cstheme="majorHAnsi"/>
          <w:sz w:val="24"/>
          <w:szCs w:val="24"/>
        </w:rPr>
        <w:t>on-tariff barriers</w:t>
      </w:r>
    </w:p>
    <w:p w14:paraId="15C106F8" w14:textId="77777777" w:rsidR="006119E9" w:rsidRPr="00D705BE" w:rsidRDefault="0002693C"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r>
      <w:r w:rsidR="006119E9" w:rsidRPr="00D705BE">
        <w:rPr>
          <w:rFonts w:asciiTheme="majorHAnsi" w:hAnsiTheme="majorHAnsi" w:cstheme="majorHAnsi"/>
          <w:b/>
          <w:i/>
          <w:sz w:val="24"/>
          <w:szCs w:val="24"/>
        </w:rPr>
        <w:t xml:space="preserve">The Committee recommends that the Australian Government seek to minimise non-tariff barriers to trade by identifying and addressing the range of non-tariff barriers that adversely affect trade outcomes for Australian small </w:t>
      </w:r>
      <w:r w:rsidR="00AC1C30" w:rsidRPr="00D705BE">
        <w:rPr>
          <w:rFonts w:asciiTheme="majorHAnsi" w:hAnsiTheme="majorHAnsi" w:cstheme="majorHAnsi"/>
          <w:b/>
          <w:i/>
          <w:sz w:val="24"/>
          <w:szCs w:val="24"/>
        </w:rPr>
        <w:t>and medium enterprises (SMEs)</w:t>
      </w:r>
      <w:r w:rsidR="00D86B1A">
        <w:rPr>
          <w:rFonts w:asciiTheme="majorHAnsi" w:hAnsiTheme="majorHAnsi" w:cstheme="majorHAnsi"/>
          <w:b/>
          <w:i/>
          <w:sz w:val="24"/>
          <w:szCs w:val="24"/>
        </w:rPr>
        <w:t>.</w:t>
      </w:r>
    </w:p>
    <w:p w14:paraId="293508CD" w14:textId="77777777" w:rsidR="00AC1C30" w:rsidRPr="00D705BE" w:rsidRDefault="00AC1C30"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346ED1" w:rsidRPr="004E6112">
        <w:rPr>
          <w:rFonts w:asciiTheme="majorHAnsi" w:hAnsiTheme="majorHAnsi" w:cstheme="majorHAnsi"/>
          <w:i/>
          <w:sz w:val="24"/>
          <w:szCs w:val="24"/>
        </w:rPr>
        <w:t xml:space="preserve">  </w:t>
      </w:r>
      <w:r w:rsidR="004C5A63" w:rsidRPr="00D705BE">
        <w:rPr>
          <w:rFonts w:asciiTheme="majorHAnsi" w:hAnsiTheme="majorHAnsi" w:cstheme="majorHAnsi"/>
          <w:i/>
          <w:sz w:val="24"/>
          <w:szCs w:val="24"/>
        </w:rPr>
        <w:t>Supported</w:t>
      </w:r>
    </w:p>
    <w:p w14:paraId="729F567E" w14:textId="26E824BD" w:rsidR="00346ED1" w:rsidRPr="004E6112" w:rsidRDefault="009D3E9E"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The Government recognises non-tariff barriers (NTBs) to trade can adversely affect trade outcomes for Australian exporters, including for SMEs. On 7 December 2018</w:t>
      </w:r>
      <w:r w:rsidR="00346ED1" w:rsidRPr="004E6112">
        <w:rPr>
          <w:rFonts w:asciiTheme="majorHAnsi" w:hAnsiTheme="majorHAnsi" w:cstheme="majorHAnsi"/>
          <w:sz w:val="24"/>
          <w:szCs w:val="24"/>
        </w:rPr>
        <w:t>,</w:t>
      </w:r>
      <w:r w:rsidRPr="00D705BE">
        <w:rPr>
          <w:rFonts w:asciiTheme="majorHAnsi" w:hAnsiTheme="majorHAnsi" w:cstheme="majorHAnsi"/>
          <w:sz w:val="24"/>
          <w:szCs w:val="24"/>
        </w:rPr>
        <w:t xml:space="preserve"> </w:t>
      </w:r>
      <w:r w:rsidRPr="00B12CA9">
        <w:rPr>
          <w:rFonts w:asciiTheme="majorHAnsi" w:hAnsiTheme="majorHAnsi" w:cstheme="majorHAnsi"/>
          <w:sz w:val="24"/>
          <w:szCs w:val="24"/>
        </w:rPr>
        <w:t>the Minister for Trade, Tourism and Investment, the</w:t>
      </w:r>
      <w:r w:rsidR="00E779A5">
        <w:rPr>
          <w:rFonts w:asciiTheme="majorHAnsi" w:hAnsiTheme="majorHAnsi" w:cstheme="majorHAnsi"/>
          <w:sz w:val="24"/>
          <w:szCs w:val="24"/>
        </w:rPr>
        <w:t>n-</w:t>
      </w:r>
      <w:r w:rsidRPr="00B12CA9">
        <w:rPr>
          <w:rFonts w:asciiTheme="majorHAnsi" w:hAnsiTheme="majorHAnsi" w:cstheme="majorHAnsi"/>
          <w:sz w:val="24"/>
          <w:szCs w:val="24"/>
        </w:rPr>
        <w:t>Minister for Agriculture and Water Resources, Minister for Industry, Science and Technology, and Assistant Minister for Trade, Tourism and Investment</w:t>
      </w:r>
      <w:r w:rsidRPr="00D705BE">
        <w:rPr>
          <w:rFonts w:asciiTheme="majorHAnsi" w:hAnsiTheme="majorHAnsi" w:cstheme="majorHAnsi"/>
          <w:sz w:val="24"/>
          <w:szCs w:val="24"/>
        </w:rPr>
        <w:t>, announced a new Action Plan to address NTBs. They also launched a new trade barrier gateway (</w:t>
      </w:r>
      <w:hyperlink r:id="rId9" w:history="1">
        <w:r w:rsidR="007D3C5C" w:rsidRPr="00D54538">
          <w:rPr>
            <w:rStyle w:val="Hyperlink"/>
            <w:rFonts w:asciiTheme="majorHAnsi" w:hAnsiTheme="majorHAnsi" w:cstheme="majorHAnsi"/>
            <w:sz w:val="24"/>
            <w:szCs w:val="24"/>
          </w:rPr>
          <w:t>www.tradebarriers.dfat.gov.au</w:t>
        </w:r>
      </w:hyperlink>
      <w:r w:rsidRPr="00D705BE">
        <w:rPr>
          <w:rFonts w:asciiTheme="majorHAnsi" w:hAnsiTheme="majorHAnsi" w:cstheme="majorHAnsi"/>
          <w:sz w:val="24"/>
          <w:szCs w:val="24"/>
        </w:rPr>
        <w:t xml:space="preserve">) to help Australian exporters report identified NTBs to </w:t>
      </w:r>
      <w:r w:rsidR="00346ED1" w:rsidRPr="004E6112">
        <w:rPr>
          <w:rFonts w:asciiTheme="majorHAnsi" w:hAnsiTheme="majorHAnsi" w:cstheme="majorHAnsi"/>
          <w:sz w:val="24"/>
          <w:szCs w:val="24"/>
        </w:rPr>
        <w:t>g</w:t>
      </w:r>
      <w:r w:rsidRPr="00D705BE">
        <w:rPr>
          <w:rFonts w:asciiTheme="majorHAnsi" w:hAnsiTheme="majorHAnsi" w:cstheme="majorHAnsi"/>
          <w:sz w:val="24"/>
          <w:szCs w:val="24"/>
        </w:rPr>
        <w:t>overnment and seek advice on dealing wit</w:t>
      </w:r>
      <w:r w:rsidR="00876323">
        <w:rPr>
          <w:rFonts w:asciiTheme="majorHAnsi" w:hAnsiTheme="majorHAnsi" w:cstheme="majorHAnsi"/>
          <w:sz w:val="24"/>
          <w:szCs w:val="24"/>
        </w:rPr>
        <w:t>h international trade barriers.</w:t>
      </w:r>
    </w:p>
    <w:p w14:paraId="65C61E8D" w14:textId="77777777" w:rsidR="00AC1C30" w:rsidRPr="00D705BE" w:rsidRDefault="009D3E9E"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Action Plan aims to support SMEs by strengthening the partnership between business and </w:t>
      </w:r>
      <w:r w:rsidR="00346ED1" w:rsidRPr="004E6112">
        <w:rPr>
          <w:rFonts w:asciiTheme="majorHAnsi" w:hAnsiTheme="majorHAnsi" w:cstheme="majorHAnsi"/>
          <w:sz w:val="24"/>
          <w:szCs w:val="24"/>
        </w:rPr>
        <w:t>g</w:t>
      </w:r>
      <w:r w:rsidRPr="00D705BE">
        <w:rPr>
          <w:rFonts w:asciiTheme="majorHAnsi" w:hAnsiTheme="majorHAnsi" w:cstheme="majorHAnsi"/>
          <w:sz w:val="24"/>
          <w:szCs w:val="24"/>
        </w:rPr>
        <w:t>overnment agencies across three pillars: access, collaboration</w:t>
      </w:r>
      <w:r w:rsidR="00346ED1" w:rsidRPr="004E6112">
        <w:rPr>
          <w:rFonts w:asciiTheme="majorHAnsi" w:hAnsiTheme="majorHAnsi" w:cstheme="majorHAnsi"/>
          <w:sz w:val="24"/>
          <w:szCs w:val="24"/>
        </w:rPr>
        <w:t>,</w:t>
      </w:r>
      <w:r w:rsidRPr="00D705BE">
        <w:rPr>
          <w:rFonts w:asciiTheme="majorHAnsi" w:hAnsiTheme="majorHAnsi" w:cstheme="majorHAnsi"/>
          <w:sz w:val="24"/>
          <w:szCs w:val="24"/>
        </w:rPr>
        <w:t xml:space="preserve"> and transparency. </w:t>
      </w:r>
      <w:r w:rsidR="00982914">
        <w:rPr>
          <w:rFonts w:asciiTheme="majorHAnsi" w:hAnsiTheme="majorHAnsi" w:cstheme="majorHAnsi"/>
          <w:sz w:val="24"/>
          <w:szCs w:val="24"/>
        </w:rPr>
        <w:t>The Department of Foreign Affairs and Trade (</w:t>
      </w:r>
      <w:r w:rsidRPr="00D705BE">
        <w:rPr>
          <w:rFonts w:asciiTheme="majorHAnsi" w:hAnsiTheme="majorHAnsi" w:cstheme="majorHAnsi"/>
          <w:sz w:val="24"/>
          <w:szCs w:val="24"/>
        </w:rPr>
        <w:t>DFAT</w:t>
      </w:r>
      <w:r w:rsidR="00982914">
        <w:rPr>
          <w:rFonts w:asciiTheme="majorHAnsi" w:hAnsiTheme="majorHAnsi" w:cstheme="majorHAnsi"/>
          <w:sz w:val="24"/>
          <w:szCs w:val="24"/>
        </w:rPr>
        <w:t>)</w:t>
      </w:r>
      <w:r w:rsidRPr="00D705BE">
        <w:rPr>
          <w:rFonts w:asciiTheme="majorHAnsi" w:hAnsiTheme="majorHAnsi" w:cstheme="majorHAnsi"/>
          <w:sz w:val="24"/>
          <w:szCs w:val="24"/>
        </w:rPr>
        <w:t xml:space="preserve"> has also established an NTB C</w:t>
      </w:r>
      <w:r w:rsidR="007F3745" w:rsidRPr="00D705BE">
        <w:rPr>
          <w:rFonts w:asciiTheme="majorHAnsi" w:hAnsiTheme="majorHAnsi" w:cstheme="majorHAnsi"/>
          <w:sz w:val="24"/>
          <w:szCs w:val="24"/>
        </w:rPr>
        <w:t>oordination Unit</w:t>
      </w:r>
      <w:r w:rsidR="00346ED1" w:rsidRPr="004E6112">
        <w:rPr>
          <w:rFonts w:asciiTheme="majorHAnsi" w:hAnsiTheme="majorHAnsi" w:cstheme="majorHAnsi"/>
          <w:sz w:val="24"/>
          <w:szCs w:val="24"/>
        </w:rPr>
        <w:t xml:space="preserve">, which </w:t>
      </w:r>
      <w:proofErr w:type="gramStart"/>
      <w:r w:rsidR="007F3745" w:rsidRPr="00D705BE">
        <w:rPr>
          <w:rFonts w:asciiTheme="majorHAnsi" w:hAnsiTheme="majorHAnsi" w:cstheme="majorHAnsi"/>
          <w:sz w:val="24"/>
          <w:szCs w:val="24"/>
        </w:rPr>
        <w:t>is focus</w:t>
      </w:r>
      <w:r w:rsidRPr="00D705BE">
        <w:rPr>
          <w:rFonts w:asciiTheme="majorHAnsi" w:hAnsiTheme="majorHAnsi" w:cstheme="majorHAnsi"/>
          <w:sz w:val="24"/>
          <w:szCs w:val="24"/>
        </w:rPr>
        <w:t>ed</w:t>
      </w:r>
      <w:proofErr w:type="gramEnd"/>
      <w:r w:rsidRPr="00D705BE">
        <w:rPr>
          <w:rFonts w:asciiTheme="majorHAnsi" w:hAnsiTheme="majorHAnsi" w:cstheme="majorHAnsi"/>
          <w:sz w:val="24"/>
          <w:szCs w:val="24"/>
        </w:rPr>
        <w:t xml:space="preserve"> on implementing the Action Plan, and tracking and coordinating efforts across government on NTBs. </w:t>
      </w:r>
      <w:r w:rsidR="00D86B1A">
        <w:rPr>
          <w:rFonts w:asciiTheme="majorHAnsi" w:hAnsiTheme="majorHAnsi" w:cstheme="majorHAnsi"/>
          <w:sz w:val="24"/>
          <w:szCs w:val="24"/>
        </w:rPr>
        <w:t>DIIS</w:t>
      </w:r>
      <w:r w:rsidRPr="00D705BE">
        <w:rPr>
          <w:rFonts w:asciiTheme="majorHAnsi" w:hAnsiTheme="majorHAnsi" w:cstheme="majorHAnsi"/>
          <w:sz w:val="24"/>
          <w:szCs w:val="24"/>
        </w:rPr>
        <w:t>, the Department of Agriculture and Water Resources</w:t>
      </w:r>
      <w:r w:rsidR="00346ED1" w:rsidRPr="004E6112">
        <w:rPr>
          <w:rFonts w:asciiTheme="majorHAnsi" w:hAnsiTheme="majorHAnsi" w:cstheme="majorHAnsi"/>
          <w:sz w:val="24"/>
          <w:szCs w:val="24"/>
        </w:rPr>
        <w:t>,</w:t>
      </w:r>
      <w:r w:rsidRPr="00D705BE">
        <w:rPr>
          <w:rFonts w:asciiTheme="majorHAnsi" w:hAnsiTheme="majorHAnsi" w:cstheme="majorHAnsi"/>
          <w:sz w:val="24"/>
          <w:szCs w:val="24"/>
        </w:rPr>
        <w:t xml:space="preserve"> and Austrade have been providing ongoing strategic advice and support.</w:t>
      </w:r>
    </w:p>
    <w:p w14:paraId="7C8EEDF2" w14:textId="77777777" w:rsidR="0079227B" w:rsidRPr="00D705BE" w:rsidRDefault="000D6DC0"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02693C" w:rsidRPr="00D705BE">
        <w:rPr>
          <w:rFonts w:asciiTheme="majorHAnsi" w:hAnsiTheme="majorHAnsi" w:cstheme="majorHAnsi"/>
          <w:sz w:val="24"/>
          <w:szCs w:val="24"/>
        </w:rPr>
        <w:t xml:space="preserve">ecommendation </w:t>
      </w:r>
      <w:r w:rsidR="0079227B" w:rsidRPr="00D705BE">
        <w:rPr>
          <w:rFonts w:asciiTheme="majorHAnsi" w:hAnsiTheme="majorHAnsi" w:cstheme="majorHAnsi"/>
          <w:sz w:val="24"/>
          <w:szCs w:val="24"/>
        </w:rPr>
        <w:t>2.2 – Tailored IP advice to navigate frameworks and protect IP</w:t>
      </w:r>
    </w:p>
    <w:p w14:paraId="124B5E3E" w14:textId="77777777" w:rsidR="00AC1C30" w:rsidRPr="00D705BE" w:rsidRDefault="0002693C"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[and by] </w:t>
      </w:r>
      <w:r w:rsidR="00AC1C30" w:rsidRPr="00D705BE">
        <w:rPr>
          <w:rFonts w:asciiTheme="majorHAnsi" w:hAnsiTheme="majorHAnsi" w:cstheme="majorHAnsi"/>
          <w:b/>
          <w:i/>
          <w:sz w:val="24"/>
          <w:szCs w:val="24"/>
        </w:rPr>
        <w:t>Providing more tailored advice from IP Australia, and business chambers or other qualified advisers, to SMEs to help them navigate complicated frameworks protecting intellectual proper</w:t>
      </w:r>
      <w:r w:rsidR="00D86B1A">
        <w:rPr>
          <w:rFonts w:asciiTheme="majorHAnsi" w:hAnsiTheme="majorHAnsi" w:cstheme="majorHAnsi"/>
          <w:b/>
          <w:i/>
          <w:sz w:val="24"/>
          <w:szCs w:val="24"/>
        </w:rPr>
        <w:t>ty (IP) in overseas markets.</w:t>
      </w:r>
    </w:p>
    <w:p w14:paraId="706B37C7" w14:textId="370E1940" w:rsidR="00AC1C30" w:rsidRPr="00D705BE" w:rsidRDefault="00AC1C30"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346ED1" w:rsidRPr="004E6112">
        <w:rPr>
          <w:rFonts w:asciiTheme="majorHAnsi" w:hAnsiTheme="majorHAnsi" w:cstheme="majorHAnsi"/>
          <w:i/>
          <w:sz w:val="24"/>
          <w:szCs w:val="24"/>
        </w:rPr>
        <w:t xml:space="preserve">  </w:t>
      </w:r>
      <w:r w:rsidR="004C5A63" w:rsidRPr="00D705BE">
        <w:rPr>
          <w:rFonts w:asciiTheme="majorHAnsi" w:hAnsiTheme="majorHAnsi" w:cstheme="majorHAnsi"/>
          <w:i/>
          <w:sz w:val="24"/>
          <w:szCs w:val="24"/>
        </w:rPr>
        <w:t>Supported</w:t>
      </w:r>
    </w:p>
    <w:p w14:paraId="5C47C387" w14:textId="77777777" w:rsidR="009D3E9E" w:rsidRPr="00D705BE" w:rsidRDefault="009D3E9E"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IP Australia’s comprehensive website provide</w:t>
      </w:r>
      <w:r w:rsidR="004C5A63" w:rsidRPr="00D705BE">
        <w:rPr>
          <w:rFonts w:asciiTheme="majorHAnsi" w:hAnsiTheme="majorHAnsi" w:cstheme="majorHAnsi"/>
          <w:sz w:val="24"/>
          <w:szCs w:val="24"/>
        </w:rPr>
        <w:t>s</w:t>
      </w:r>
      <w:r w:rsidRPr="00D705BE">
        <w:rPr>
          <w:rFonts w:asciiTheme="majorHAnsi" w:hAnsiTheme="majorHAnsi" w:cstheme="majorHAnsi"/>
          <w:sz w:val="24"/>
          <w:szCs w:val="24"/>
        </w:rPr>
        <w:t xml:space="preserve"> information for exporters</w:t>
      </w:r>
      <w:r w:rsidR="00CF3337">
        <w:rPr>
          <w:rFonts w:asciiTheme="majorHAnsi" w:hAnsiTheme="majorHAnsi" w:cstheme="majorHAnsi"/>
          <w:sz w:val="24"/>
          <w:szCs w:val="24"/>
        </w:rPr>
        <w:t>, including</w:t>
      </w:r>
      <w:r w:rsidRPr="00D705BE">
        <w:rPr>
          <w:rFonts w:asciiTheme="majorHAnsi" w:hAnsiTheme="majorHAnsi" w:cstheme="majorHAnsi"/>
          <w:sz w:val="24"/>
          <w:szCs w:val="24"/>
        </w:rPr>
        <w:t xml:space="preserve"> SMEs</w:t>
      </w:r>
      <w:r w:rsidR="00CF3337">
        <w:rPr>
          <w:rFonts w:asciiTheme="majorHAnsi" w:hAnsiTheme="majorHAnsi" w:cstheme="majorHAnsi"/>
          <w:sz w:val="24"/>
          <w:szCs w:val="24"/>
        </w:rPr>
        <w:t>,</w:t>
      </w:r>
      <w:r w:rsidRPr="00D705BE">
        <w:rPr>
          <w:rFonts w:asciiTheme="majorHAnsi" w:hAnsiTheme="majorHAnsi" w:cstheme="majorHAnsi"/>
          <w:sz w:val="24"/>
          <w:szCs w:val="24"/>
        </w:rPr>
        <w:t xml:space="preserve"> about the value of </w:t>
      </w:r>
      <w:r w:rsidR="00022FC1">
        <w:rPr>
          <w:rFonts w:asciiTheme="majorHAnsi" w:hAnsiTheme="majorHAnsi" w:cstheme="majorHAnsi"/>
          <w:sz w:val="24"/>
          <w:szCs w:val="24"/>
        </w:rPr>
        <w:t>Intellectual Property (I</w:t>
      </w:r>
      <w:r w:rsidRPr="00D705BE">
        <w:rPr>
          <w:rFonts w:asciiTheme="majorHAnsi" w:hAnsiTheme="majorHAnsi" w:cstheme="majorHAnsi"/>
          <w:sz w:val="24"/>
          <w:szCs w:val="24"/>
        </w:rPr>
        <w:t>P</w:t>
      </w:r>
      <w:r w:rsidR="00022FC1">
        <w:rPr>
          <w:rFonts w:asciiTheme="majorHAnsi" w:hAnsiTheme="majorHAnsi" w:cstheme="majorHAnsi"/>
          <w:sz w:val="24"/>
          <w:szCs w:val="24"/>
        </w:rPr>
        <w:t>)</w:t>
      </w:r>
      <w:r w:rsidRPr="00D705BE">
        <w:rPr>
          <w:rFonts w:asciiTheme="majorHAnsi" w:hAnsiTheme="majorHAnsi" w:cstheme="majorHAnsi"/>
          <w:sz w:val="24"/>
          <w:szCs w:val="24"/>
        </w:rPr>
        <w:t xml:space="preserve"> in their business. Content packages</w:t>
      </w:r>
      <w:r w:rsidR="00193F4A" w:rsidRPr="004E6112">
        <w:rPr>
          <w:rFonts w:asciiTheme="majorHAnsi" w:hAnsiTheme="majorHAnsi" w:cstheme="majorHAnsi"/>
          <w:sz w:val="24"/>
          <w:szCs w:val="24"/>
        </w:rPr>
        <w:t xml:space="preserve"> (e.g. </w:t>
      </w:r>
      <w:r w:rsidRPr="00D705BE">
        <w:rPr>
          <w:rFonts w:asciiTheme="majorHAnsi" w:hAnsiTheme="majorHAnsi" w:cstheme="majorHAnsi"/>
          <w:sz w:val="24"/>
          <w:szCs w:val="24"/>
        </w:rPr>
        <w:t xml:space="preserve">IP in </w:t>
      </w:r>
      <w:proofErr w:type="gramStart"/>
      <w:r w:rsidRPr="00D705BE">
        <w:rPr>
          <w:rFonts w:asciiTheme="majorHAnsi" w:hAnsiTheme="majorHAnsi" w:cstheme="majorHAnsi"/>
          <w:sz w:val="24"/>
          <w:szCs w:val="24"/>
        </w:rPr>
        <w:t>China</w:t>
      </w:r>
      <w:r w:rsidR="00193F4A" w:rsidRPr="004E6112">
        <w:rPr>
          <w:rFonts w:asciiTheme="majorHAnsi" w:hAnsiTheme="majorHAnsi" w:cstheme="majorHAnsi"/>
          <w:sz w:val="24"/>
          <w:szCs w:val="24"/>
        </w:rPr>
        <w:t>,</w:t>
      </w:r>
      <w:proofErr w:type="gramEnd"/>
      <w:r w:rsidRPr="00D705BE">
        <w:rPr>
          <w:rFonts w:asciiTheme="majorHAnsi" w:hAnsiTheme="majorHAnsi" w:cstheme="majorHAnsi"/>
          <w:sz w:val="24"/>
          <w:szCs w:val="24"/>
        </w:rPr>
        <w:t xml:space="preserve"> and IP in the USA</w:t>
      </w:r>
      <w:r w:rsidR="00193F4A" w:rsidRPr="004E6112">
        <w:rPr>
          <w:rFonts w:asciiTheme="majorHAnsi" w:hAnsiTheme="majorHAnsi" w:cstheme="majorHAnsi"/>
          <w:sz w:val="24"/>
          <w:szCs w:val="24"/>
        </w:rPr>
        <w:t>)</w:t>
      </w:r>
      <w:r w:rsidRPr="00D705BE">
        <w:rPr>
          <w:rFonts w:asciiTheme="majorHAnsi" w:hAnsiTheme="majorHAnsi" w:cstheme="majorHAnsi"/>
          <w:sz w:val="24"/>
          <w:szCs w:val="24"/>
        </w:rPr>
        <w:t xml:space="preserve"> are tailored specifically for exporting SMEs to equip them with information to protect their IP in a range of countries. For those businesses interested in China in particular, there are also webinars and presentations on various facets of IP protection. These resources, as well as the presence of an Australian IP Counsellor in Beijing, aim to raise awareness among SMEs about IP protection</w:t>
      </w:r>
      <w:r w:rsidR="00193F4A" w:rsidRPr="004E6112">
        <w:rPr>
          <w:rFonts w:asciiTheme="majorHAnsi" w:hAnsiTheme="majorHAnsi" w:cstheme="majorHAnsi"/>
          <w:sz w:val="24"/>
          <w:szCs w:val="24"/>
        </w:rPr>
        <w:t>,</w:t>
      </w:r>
      <w:r w:rsidRPr="00D705BE">
        <w:rPr>
          <w:rFonts w:asciiTheme="majorHAnsi" w:hAnsiTheme="majorHAnsi" w:cstheme="majorHAnsi"/>
          <w:sz w:val="24"/>
          <w:szCs w:val="24"/>
        </w:rPr>
        <w:t xml:space="preserve"> and to help Australian business navigate the Chinese IP system with increasing success. </w:t>
      </w:r>
      <w:r w:rsidR="00D95B26">
        <w:rPr>
          <w:rFonts w:asciiTheme="majorHAnsi" w:hAnsiTheme="majorHAnsi" w:cstheme="majorHAnsi"/>
          <w:sz w:val="24"/>
          <w:szCs w:val="24"/>
        </w:rPr>
        <w:t>IP Australia</w:t>
      </w:r>
      <w:r w:rsidR="00D95B26" w:rsidRPr="00D705BE">
        <w:rPr>
          <w:rFonts w:asciiTheme="majorHAnsi" w:hAnsiTheme="majorHAnsi" w:cstheme="majorHAnsi"/>
          <w:sz w:val="24"/>
          <w:szCs w:val="24"/>
        </w:rPr>
        <w:t xml:space="preserve"> </w:t>
      </w:r>
      <w:r w:rsidR="00A223A1" w:rsidRPr="00D705BE">
        <w:rPr>
          <w:rFonts w:asciiTheme="majorHAnsi" w:hAnsiTheme="majorHAnsi" w:cstheme="majorHAnsi"/>
          <w:sz w:val="24"/>
          <w:szCs w:val="24"/>
        </w:rPr>
        <w:t>continue</w:t>
      </w:r>
      <w:r w:rsidR="00D95B26">
        <w:rPr>
          <w:rFonts w:asciiTheme="majorHAnsi" w:hAnsiTheme="majorHAnsi" w:cstheme="majorHAnsi"/>
          <w:sz w:val="24"/>
          <w:szCs w:val="24"/>
        </w:rPr>
        <w:t>s</w:t>
      </w:r>
      <w:r w:rsidRPr="00D705BE">
        <w:rPr>
          <w:rFonts w:asciiTheme="majorHAnsi" w:hAnsiTheme="majorHAnsi" w:cstheme="majorHAnsi"/>
          <w:sz w:val="24"/>
          <w:szCs w:val="24"/>
        </w:rPr>
        <w:t xml:space="preserve"> to consult IP owners to ensure the content meets the needs of Australian SMEs, and </w:t>
      </w:r>
      <w:r w:rsidR="00D95B26">
        <w:rPr>
          <w:rFonts w:asciiTheme="majorHAnsi" w:hAnsiTheme="majorHAnsi" w:cstheme="majorHAnsi"/>
          <w:sz w:val="24"/>
          <w:szCs w:val="24"/>
        </w:rPr>
        <w:t>is</w:t>
      </w:r>
      <w:r w:rsidR="00D95B26" w:rsidRPr="00D705BE">
        <w:rPr>
          <w:rFonts w:asciiTheme="majorHAnsi" w:hAnsiTheme="majorHAnsi" w:cstheme="majorHAnsi"/>
          <w:sz w:val="24"/>
          <w:szCs w:val="24"/>
        </w:rPr>
        <w:t xml:space="preserve"> </w:t>
      </w:r>
      <w:r w:rsidRPr="00D705BE">
        <w:rPr>
          <w:rFonts w:asciiTheme="majorHAnsi" w:hAnsiTheme="majorHAnsi" w:cstheme="majorHAnsi"/>
          <w:sz w:val="24"/>
          <w:szCs w:val="24"/>
        </w:rPr>
        <w:t xml:space="preserve">commencing work to help SMEs more effectively access IP protection in key export markets through the Madrid </w:t>
      </w:r>
      <w:proofErr w:type="gramStart"/>
      <w:r w:rsidRPr="00D705BE">
        <w:rPr>
          <w:rFonts w:asciiTheme="majorHAnsi" w:hAnsiTheme="majorHAnsi" w:cstheme="majorHAnsi"/>
          <w:sz w:val="24"/>
          <w:szCs w:val="24"/>
        </w:rPr>
        <w:t>trade mark</w:t>
      </w:r>
      <w:proofErr w:type="gramEnd"/>
      <w:r w:rsidRPr="00D705BE">
        <w:rPr>
          <w:rFonts w:asciiTheme="majorHAnsi" w:hAnsiTheme="majorHAnsi" w:cstheme="majorHAnsi"/>
          <w:sz w:val="24"/>
          <w:szCs w:val="24"/>
        </w:rPr>
        <w:t xml:space="preserve"> system.</w:t>
      </w:r>
    </w:p>
    <w:p w14:paraId="48250429" w14:textId="77777777" w:rsidR="00AC1C30" w:rsidRPr="00D705BE" w:rsidRDefault="00D95B26"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 xml:space="preserve">IP Australia has </w:t>
      </w:r>
      <w:r w:rsidR="009D3E9E" w:rsidRPr="00D705BE">
        <w:rPr>
          <w:rFonts w:asciiTheme="majorHAnsi" w:hAnsiTheme="majorHAnsi" w:cstheme="majorHAnsi"/>
          <w:sz w:val="24"/>
          <w:szCs w:val="24"/>
        </w:rPr>
        <w:t>also built strategic partnerships with peak industry bodies</w:t>
      </w:r>
      <w:r w:rsidR="00193F4A" w:rsidRPr="004E6112">
        <w:rPr>
          <w:rFonts w:asciiTheme="majorHAnsi" w:hAnsiTheme="majorHAnsi" w:cstheme="majorHAnsi"/>
          <w:sz w:val="24"/>
          <w:szCs w:val="24"/>
        </w:rPr>
        <w:t>,</w:t>
      </w:r>
      <w:r w:rsidR="009D3E9E" w:rsidRPr="00D705BE">
        <w:rPr>
          <w:rFonts w:asciiTheme="majorHAnsi" w:hAnsiTheme="majorHAnsi" w:cstheme="majorHAnsi"/>
          <w:sz w:val="24"/>
          <w:szCs w:val="24"/>
        </w:rPr>
        <w:t xml:space="preserve"> such as the Export Council of Australia. These partnerships extend the reach of IP messages</w:t>
      </w:r>
      <w:r w:rsidR="00193F4A" w:rsidRPr="004E6112">
        <w:rPr>
          <w:rFonts w:asciiTheme="majorHAnsi" w:hAnsiTheme="majorHAnsi" w:cstheme="majorHAnsi"/>
          <w:sz w:val="24"/>
          <w:szCs w:val="24"/>
        </w:rPr>
        <w:t>,</w:t>
      </w:r>
      <w:r w:rsidR="009D3E9E" w:rsidRPr="00D705BE">
        <w:rPr>
          <w:rFonts w:asciiTheme="majorHAnsi" w:hAnsiTheme="majorHAnsi" w:cstheme="majorHAnsi"/>
          <w:sz w:val="24"/>
          <w:szCs w:val="24"/>
        </w:rPr>
        <w:t xml:space="preserve"> and help to give exporters and SMEs the tools and information they need when trading or preparing to trade overseas. </w:t>
      </w:r>
      <w:r w:rsidR="00A223A1" w:rsidRPr="00D705BE">
        <w:rPr>
          <w:rFonts w:asciiTheme="majorHAnsi" w:hAnsiTheme="majorHAnsi" w:cstheme="majorHAnsi"/>
          <w:sz w:val="24"/>
          <w:szCs w:val="24"/>
        </w:rPr>
        <w:t>The Australian Government</w:t>
      </w:r>
      <w:r w:rsidR="00193F4A" w:rsidRPr="004E6112">
        <w:rPr>
          <w:rFonts w:asciiTheme="majorHAnsi" w:hAnsiTheme="majorHAnsi" w:cstheme="majorHAnsi"/>
          <w:sz w:val="24"/>
          <w:szCs w:val="24"/>
        </w:rPr>
        <w:t xml:space="preserve"> is </w:t>
      </w:r>
      <w:r w:rsidR="009D3E9E" w:rsidRPr="00D705BE">
        <w:rPr>
          <w:rFonts w:asciiTheme="majorHAnsi" w:hAnsiTheme="majorHAnsi" w:cstheme="majorHAnsi"/>
          <w:sz w:val="24"/>
          <w:szCs w:val="24"/>
        </w:rPr>
        <w:t>committed to better understanding the barriers facing Australian businesses in accessing IP protection and enforcement in key markets in order to tar</w:t>
      </w:r>
      <w:r w:rsidR="00A223A1" w:rsidRPr="00D705BE">
        <w:rPr>
          <w:rFonts w:asciiTheme="majorHAnsi" w:hAnsiTheme="majorHAnsi" w:cstheme="majorHAnsi"/>
          <w:sz w:val="24"/>
          <w:szCs w:val="24"/>
        </w:rPr>
        <w:t>get support for our exporters.</w:t>
      </w:r>
    </w:p>
    <w:p w14:paraId="4F1D64DF" w14:textId="77777777" w:rsidR="0079227B" w:rsidRPr="00D705BE" w:rsidRDefault="000D6DC0"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lastRenderedPageBreak/>
        <w:t>R</w:t>
      </w:r>
      <w:r w:rsidR="0002693C" w:rsidRPr="00D705BE">
        <w:rPr>
          <w:rFonts w:asciiTheme="majorHAnsi" w:hAnsiTheme="majorHAnsi" w:cstheme="majorHAnsi"/>
          <w:sz w:val="24"/>
          <w:szCs w:val="24"/>
        </w:rPr>
        <w:t xml:space="preserve">ecommendation </w:t>
      </w:r>
      <w:r w:rsidR="0079227B" w:rsidRPr="00D705BE">
        <w:rPr>
          <w:rFonts w:asciiTheme="majorHAnsi" w:hAnsiTheme="majorHAnsi" w:cstheme="majorHAnsi"/>
          <w:sz w:val="24"/>
          <w:szCs w:val="24"/>
        </w:rPr>
        <w:t>2.</w:t>
      </w:r>
      <w:r w:rsidRPr="00D705BE">
        <w:rPr>
          <w:rFonts w:asciiTheme="majorHAnsi" w:hAnsiTheme="majorHAnsi" w:cstheme="majorHAnsi"/>
          <w:sz w:val="24"/>
          <w:szCs w:val="24"/>
        </w:rPr>
        <w:t>3</w:t>
      </w:r>
      <w:r w:rsidR="0079227B" w:rsidRPr="00D705BE">
        <w:rPr>
          <w:rFonts w:asciiTheme="majorHAnsi" w:hAnsiTheme="majorHAnsi" w:cstheme="majorHAnsi"/>
          <w:sz w:val="24"/>
          <w:szCs w:val="24"/>
        </w:rPr>
        <w:t xml:space="preserve"> – Assess compliance levels to mitigate IP leakage or theft</w:t>
      </w:r>
    </w:p>
    <w:p w14:paraId="35B39FE5" w14:textId="77777777" w:rsidR="0002693C" w:rsidRPr="00D705BE" w:rsidRDefault="0002693C"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[and by] Assessing the level of disclosure required for compliance purposes across different FTA jurisdictions with a view to helping SMEs avoid unnecessary IP disclosures and mitigate risks of IP leakage and theft.</w:t>
      </w:r>
    </w:p>
    <w:p w14:paraId="4709E8B6" w14:textId="77777777" w:rsidR="0002693C" w:rsidRPr="00D705BE" w:rsidRDefault="0002693C" w:rsidP="00D705BE">
      <w:pPr>
        <w:pStyle w:val="BodyText"/>
        <w:ind w:left="0" w:firstLine="0"/>
        <w:rPr>
          <w:rFonts w:asciiTheme="majorHAnsi" w:hAnsiTheme="majorHAnsi" w:cstheme="majorHAnsi"/>
          <w:sz w:val="24"/>
          <w:szCs w:val="24"/>
        </w:rPr>
      </w:pPr>
      <w:r w:rsidRPr="00D705BE">
        <w:rPr>
          <w:rFonts w:asciiTheme="majorHAnsi" w:hAnsiTheme="majorHAnsi" w:cstheme="majorHAnsi"/>
          <w:b/>
          <w:sz w:val="24"/>
          <w:szCs w:val="24"/>
        </w:rPr>
        <w:t>Response:</w:t>
      </w:r>
      <w:r w:rsidR="009D3E9E" w:rsidRPr="00D705BE">
        <w:rPr>
          <w:rFonts w:asciiTheme="majorHAnsi" w:hAnsiTheme="majorHAnsi" w:cstheme="majorHAnsi"/>
          <w:i/>
          <w:sz w:val="24"/>
          <w:szCs w:val="24"/>
        </w:rPr>
        <w:t xml:space="preserve"> </w:t>
      </w:r>
      <w:r w:rsidR="00193F4A">
        <w:rPr>
          <w:rFonts w:asciiTheme="majorHAnsi" w:hAnsiTheme="majorHAnsi" w:cstheme="majorHAnsi"/>
          <w:i/>
          <w:sz w:val="24"/>
          <w:szCs w:val="24"/>
        </w:rPr>
        <w:t xml:space="preserve">  </w:t>
      </w:r>
      <w:r w:rsidR="009D3E9E" w:rsidRPr="00D705BE">
        <w:rPr>
          <w:rFonts w:asciiTheme="majorHAnsi" w:hAnsiTheme="majorHAnsi" w:cstheme="majorHAnsi"/>
          <w:i/>
          <w:sz w:val="24"/>
          <w:szCs w:val="24"/>
        </w:rPr>
        <w:t>Noted</w:t>
      </w:r>
    </w:p>
    <w:p w14:paraId="623163C2" w14:textId="77777777" w:rsidR="00D32D9B" w:rsidRDefault="00973942">
      <w:pPr>
        <w:rPr>
          <w:rFonts w:asciiTheme="majorHAnsi" w:eastAsia="Palatino Linotype" w:hAnsiTheme="majorHAnsi" w:cstheme="majorHAnsi"/>
          <w:b/>
          <w:sz w:val="24"/>
          <w:szCs w:val="24"/>
        </w:rPr>
      </w:pPr>
      <w:r w:rsidRPr="000C618F">
        <w:rPr>
          <w:rFonts w:asciiTheme="majorHAnsi" w:hAnsiTheme="majorHAnsi" w:cstheme="majorHAnsi"/>
          <w:sz w:val="24"/>
          <w:szCs w:val="24"/>
        </w:rPr>
        <w:t xml:space="preserve">Australia looks to include commitments on IP in our free trade agreements </w:t>
      </w:r>
      <w:r w:rsidR="00A31EF8">
        <w:rPr>
          <w:rFonts w:asciiTheme="majorHAnsi" w:hAnsiTheme="majorHAnsi" w:cstheme="majorHAnsi"/>
          <w:sz w:val="24"/>
          <w:szCs w:val="24"/>
        </w:rPr>
        <w:t xml:space="preserve">on a case-by-case basis </w:t>
      </w:r>
      <w:r w:rsidRPr="000C618F">
        <w:rPr>
          <w:rFonts w:asciiTheme="majorHAnsi" w:hAnsiTheme="majorHAnsi" w:cstheme="majorHAnsi"/>
          <w:sz w:val="24"/>
          <w:szCs w:val="24"/>
        </w:rPr>
        <w:t>to address developments in, and achieve a consistent international approach to, IP protection and enforcement. Depending on the circumstances, the inclusion of IP provisions in FTAs can help to reduce the costs and complexities of obtaining IP rights and encourage enforcement of IP rights in other countries. This includes obligations relating to the protection of confidential information and the legal mechanisms to enforce these. The Government will continue to assess the need for such provisions in FTAs and directly engage with other governments where appropriate to affect systems at a practical level.</w:t>
      </w:r>
    </w:p>
    <w:p w14:paraId="1BCCFAEC" w14:textId="77777777" w:rsidR="006119E9" w:rsidRPr="00D705BE" w:rsidRDefault="004D4BE9" w:rsidP="004E6112">
      <w:pPr>
        <w:pStyle w:val="RecommendationHeading"/>
        <w:rPr>
          <w:rFonts w:asciiTheme="majorHAnsi" w:hAnsiTheme="majorHAnsi" w:cstheme="majorHAnsi"/>
          <w:sz w:val="24"/>
          <w:szCs w:val="24"/>
        </w:rPr>
      </w:pPr>
      <w:hyperlink w:anchor="s26681rec3" w:history="1">
        <w:r w:rsidR="006119E9" w:rsidRPr="00D705BE">
          <w:rPr>
            <w:rFonts w:asciiTheme="majorHAnsi" w:hAnsiTheme="majorHAnsi" w:cstheme="majorHAnsi"/>
            <w:sz w:val="24"/>
            <w:szCs w:val="24"/>
          </w:rPr>
          <w:t>Recommendation 3</w:t>
        </w:r>
      </w:hyperlink>
      <w:r w:rsidR="00A16C58" w:rsidRPr="00D705BE">
        <w:rPr>
          <w:rFonts w:asciiTheme="majorHAnsi" w:hAnsiTheme="majorHAnsi" w:cstheme="majorHAnsi"/>
          <w:sz w:val="24"/>
          <w:szCs w:val="24"/>
        </w:rPr>
        <w:t>.1</w:t>
      </w:r>
      <w:r w:rsidR="000D6DC0" w:rsidRPr="00D705BE">
        <w:rPr>
          <w:rFonts w:asciiTheme="majorHAnsi" w:hAnsiTheme="majorHAnsi" w:cstheme="majorHAnsi"/>
          <w:sz w:val="24"/>
          <w:szCs w:val="24"/>
        </w:rPr>
        <w:t xml:space="preserve"> – </w:t>
      </w:r>
      <w:r w:rsidR="0002693C" w:rsidRPr="00D705BE">
        <w:rPr>
          <w:rFonts w:asciiTheme="majorHAnsi" w:hAnsiTheme="majorHAnsi" w:cstheme="majorHAnsi"/>
          <w:sz w:val="24"/>
          <w:szCs w:val="24"/>
        </w:rPr>
        <w:t>Include specific SME chapters/obligations in FTAs</w:t>
      </w:r>
    </w:p>
    <w:p w14:paraId="21C2E35D" w14:textId="77777777" w:rsidR="006119E9" w:rsidRPr="00D705BE" w:rsidRDefault="006119E9" w:rsidP="004E6112">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seek to make free trade agreements (FTA) more relevant to Australian small and medium enterprises (SMEs) by:</w:t>
      </w:r>
    </w:p>
    <w:p w14:paraId="4C992008" w14:textId="77777777" w:rsidR="006119E9" w:rsidRPr="00D705BE" w:rsidRDefault="006119E9"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Including specific </w:t>
      </w:r>
      <w:proofErr w:type="gramStart"/>
      <w:r w:rsidRPr="00D705BE">
        <w:rPr>
          <w:rFonts w:asciiTheme="majorHAnsi" w:hAnsiTheme="majorHAnsi" w:cstheme="majorHAnsi"/>
          <w:b/>
          <w:i/>
          <w:sz w:val="24"/>
          <w:szCs w:val="24"/>
        </w:rPr>
        <w:t>SME</w:t>
      </w:r>
      <w:proofErr w:type="gramEnd"/>
      <w:r w:rsidRPr="00D705BE">
        <w:rPr>
          <w:rFonts w:asciiTheme="majorHAnsi" w:hAnsiTheme="majorHAnsi" w:cstheme="majorHAnsi"/>
          <w:b/>
          <w:i/>
          <w:sz w:val="24"/>
          <w:szCs w:val="24"/>
        </w:rPr>
        <w:t xml:space="preserve"> chapters or specific obligations to assist SMEs to access tra</w:t>
      </w:r>
      <w:r w:rsidR="00D86B1A">
        <w:rPr>
          <w:rFonts w:asciiTheme="majorHAnsi" w:hAnsiTheme="majorHAnsi" w:cstheme="majorHAnsi"/>
          <w:b/>
          <w:i/>
          <w:sz w:val="24"/>
          <w:szCs w:val="24"/>
        </w:rPr>
        <w:t>de opportunities in future FTAs.</w:t>
      </w:r>
    </w:p>
    <w:p w14:paraId="296EA40E" w14:textId="77777777" w:rsidR="0002693C" w:rsidRPr="00D705BE" w:rsidRDefault="0002693C"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193F4A">
        <w:rPr>
          <w:rFonts w:asciiTheme="majorHAnsi" w:hAnsiTheme="majorHAnsi" w:cstheme="majorHAnsi"/>
          <w:i/>
          <w:sz w:val="24"/>
          <w:szCs w:val="24"/>
        </w:rPr>
        <w:t xml:space="preserve">  </w:t>
      </w:r>
      <w:r w:rsidR="001257B6" w:rsidRPr="00D705BE">
        <w:rPr>
          <w:rFonts w:asciiTheme="majorHAnsi" w:hAnsiTheme="majorHAnsi" w:cstheme="majorHAnsi"/>
          <w:i/>
          <w:sz w:val="24"/>
          <w:szCs w:val="24"/>
        </w:rPr>
        <w:t>Supported</w:t>
      </w:r>
    </w:p>
    <w:p w14:paraId="14987C10" w14:textId="1D5D3FBB" w:rsidR="001257B6" w:rsidRPr="00D705BE" w:rsidRDefault="001257B6"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Australian Government supports this recommendation, and recognises that SMEs may benefit from the inclusion of specific chapters and/or obligations to assist them to access FTAs. SME Chapters in recent Australian FTAs </w:t>
      </w:r>
      <w:r w:rsidR="00193F4A">
        <w:rPr>
          <w:rFonts w:asciiTheme="majorHAnsi" w:hAnsiTheme="majorHAnsi" w:cstheme="majorHAnsi"/>
          <w:sz w:val="24"/>
          <w:szCs w:val="24"/>
        </w:rPr>
        <w:t xml:space="preserve">have </w:t>
      </w:r>
      <w:r w:rsidRPr="00D705BE">
        <w:rPr>
          <w:rFonts w:asciiTheme="majorHAnsi" w:hAnsiTheme="majorHAnsi" w:cstheme="majorHAnsi"/>
          <w:sz w:val="24"/>
          <w:szCs w:val="24"/>
        </w:rPr>
        <w:t xml:space="preserve">focused on transparency of trade obligations and cooperation, with a view to increasing FTA usage by SMEs. The SME-specific chapters in the </w:t>
      </w:r>
      <w:r w:rsidR="00193F4A">
        <w:rPr>
          <w:rFonts w:asciiTheme="majorHAnsi" w:hAnsiTheme="majorHAnsi" w:cstheme="majorHAnsi"/>
          <w:sz w:val="24"/>
          <w:szCs w:val="24"/>
        </w:rPr>
        <w:t xml:space="preserve">TPP-11 (or </w:t>
      </w:r>
      <w:r w:rsidRPr="00D705BE">
        <w:rPr>
          <w:rFonts w:asciiTheme="majorHAnsi" w:hAnsiTheme="majorHAnsi" w:cstheme="majorHAnsi"/>
          <w:sz w:val="24"/>
          <w:szCs w:val="24"/>
        </w:rPr>
        <w:t>CPTPP</w:t>
      </w:r>
      <w:r w:rsidR="00193F4A">
        <w:rPr>
          <w:rFonts w:asciiTheme="majorHAnsi" w:hAnsiTheme="majorHAnsi" w:cstheme="majorHAnsi"/>
          <w:sz w:val="24"/>
          <w:szCs w:val="24"/>
        </w:rPr>
        <w:t>)</w:t>
      </w:r>
      <w:r w:rsidR="00D86B1A">
        <w:rPr>
          <w:rFonts w:asciiTheme="majorHAnsi" w:hAnsiTheme="majorHAnsi" w:cstheme="majorHAnsi"/>
          <w:sz w:val="24"/>
          <w:szCs w:val="24"/>
        </w:rPr>
        <w:t xml:space="preserve"> and</w:t>
      </w:r>
      <w:r w:rsidRPr="00D705BE">
        <w:rPr>
          <w:rFonts w:asciiTheme="majorHAnsi" w:hAnsiTheme="majorHAnsi" w:cstheme="majorHAnsi"/>
          <w:sz w:val="24"/>
          <w:szCs w:val="24"/>
        </w:rPr>
        <w:t> Peru-Australia FTA, a</w:t>
      </w:r>
      <w:r w:rsidR="00E779A5">
        <w:rPr>
          <w:rFonts w:asciiTheme="majorHAnsi" w:hAnsiTheme="majorHAnsi" w:cstheme="majorHAnsi"/>
          <w:sz w:val="24"/>
          <w:szCs w:val="24"/>
        </w:rPr>
        <w:t>n</w:t>
      </w:r>
      <w:r w:rsidR="00746138">
        <w:rPr>
          <w:rFonts w:asciiTheme="majorHAnsi" w:hAnsiTheme="majorHAnsi" w:cstheme="majorHAnsi"/>
          <w:sz w:val="24"/>
          <w:szCs w:val="24"/>
        </w:rPr>
        <w:t>d</w:t>
      </w:r>
      <w:r w:rsidR="00E779A5">
        <w:rPr>
          <w:rFonts w:asciiTheme="majorHAnsi" w:hAnsiTheme="majorHAnsi" w:cstheme="majorHAnsi"/>
          <w:sz w:val="24"/>
          <w:szCs w:val="24"/>
        </w:rPr>
        <w:t xml:space="preserve"> agreement to include an SME chapter in</w:t>
      </w:r>
      <w:r w:rsidR="008775BA">
        <w:rPr>
          <w:rFonts w:asciiTheme="majorHAnsi" w:hAnsiTheme="majorHAnsi" w:cstheme="majorHAnsi"/>
          <w:sz w:val="24"/>
          <w:szCs w:val="24"/>
        </w:rPr>
        <w:t xml:space="preserve"> the</w:t>
      </w:r>
      <w:r w:rsidR="00E779A5">
        <w:rPr>
          <w:rFonts w:asciiTheme="majorHAnsi" w:hAnsiTheme="majorHAnsi" w:cstheme="majorHAnsi"/>
          <w:sz w:val="24"/>
          <w:szCs w:val="24"/>
        </w:rPr>
        <w:t xml:space="preserve"> </w:t>
      </w:r>
      <w:r w:rsidRPr="00D705BE">
        <w:rPr>
          <w:rFonts w:asciiTheme="majorHAnsi" w:hAnsiTheme="majorHAnsi" w:cstheme="majorHAnsi"/>
          <w:sz w:val="24"/>
          <w:szCs w:val="24"/>
        </w:rPr>
        <w:t xml:space="preserve">European Union-Australia FTA, are examples of where Australia and </w:t>
      </w:r>
      <w:r w:rsidR="00E779A5">
        <w:rPr>
          <w:rFonts w:asciiTheme="majorHAnsi" w:hAnsiTheme="majorHAnsi" w:cstheme="majorHAnsi"/>
          <w:sz w:val="24"/>
          <w:szCs w:val="24"/>
        </w:rPr>
        <w:t xml:space="preserve">its </w:t>
      </w:r>
      <w:r w:rsidRPr="00D705BE">
        <w:rPr>
          <w:rFonts w:asciiTheme="majorHAnsi" w:hAnsiTheme="majorHAnsi" w:cstheme="majorHAnsi"/>
          <w:sz w:val="24"/>
          <w:szCs w:val="24"/>
        </w:rPr>
        <w:t>negotiating partners have agreed to include specific obligations aimed at SMEs.</w:t>
      </w:r>
    </w:p>
    <w:p w14:paraId="38DC3686" w14:textId="383132F7" w:rsidR="001257B6" w:rsidRPr="00D705BE" w:rsidRDefault="001257B6"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Noting the inclusion of any obligation under an FTA require</w:t>
      </w:r>
      <w:r w:rsidR="00193F4A">
        <w:rPr>
          <w:rFonts w:asciiTheme="majorHAnsi" w:hAnsiTheme="majorHAnsi" w:cstheme="majorHAnsi"/>
          <w:sz w:val="24"/>
          <w:szCs w:val="24"/>
        </w:rPr>
        <w:t>s</w:t>
      </w:r>
      <w:r w:rsidRPr="00D705BE">
        <w:rPr>
          <w:rFonts w:asciiTheme="majorHAnsi" w:hAnsiTheme="majorHAnsi" w:cstheme="majorHAnsi"/>
          <w:sz w:val="24"/>
          <w:szCs w:val="24"/>
        </w:rPr>
        <w:t xml:space="preserve"> the agreement of all negotiating parties, the Australian Government will continue to seek to include SME-specific chapters, </w:t>
      </w:r>
      <w:r w:rsidR="00CF3337">
        <w:rPr>
          <w:rFonts w:asciiTheme="majorHAnsi" w:hAnsiTheme="majorHAnsi" w:cstheme="majorHAnsi"/>
          <w:sz w:val="24"/>
          <w:szCs w:val="24"/>
        </w:rPr>
        <w:t>and/or</w:t>
      </w:r>
      <w:r w:rsidRPr="00D705BE">
        <w:rPr>
          <w:rFonts w:asciiTheme="majorHAnsi" w:hAnsiTheme="majorHAnsi" w:cstheme="majorHAnsi"/>
          <w:sz w:val="24"/>
          <w:szCs w:val="24"/>
        </w:rPr>
        <w:t xml:space="preserve"> SME-specific aspects in traditional chapters such as Services, e-Commerce, Rules of Origin and Government Procurement, </w:t>
      </w:r>
      <w:r w:rsidR="00D86B1A">
        <w:rPr>
          <w:rFonts w:asciiTheme="majorHAnsi" w:hAnsiTheme="majorHAnsi" w:cstheme="majorHAnsi"/>
          <w:sz w:val="24"/>
          <w:szCs w:val="24"/>
        </w:rPr>
        <w:t>with</w:t>
      </w:r>
      <w:r w:rsidRPr="00D705BE">
        <w:rPr>
          <w:rFonts w:asciiTheme="majorHAnsi" w:hAnsiTheme="majorHAnsi" w:cstheme="majorHAnsi"/>
          <w:sz w:val="24"/>
          <w:szCs w:val="24"/>
        </w:rPr>
        <w:t>in our FTAs under negotiation.</w:t>
      </w:r>
    </w:p>
    <w:p w14:paraId="73247BCF" w14:textId="77777777" w:rsidR="00DE0FE9" w:rsidRPr="00D705BE" w:rsidRDefault="00DE0FE9"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02693C"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3.2 – Improve consistency between FTAs</w:t>
      </w:r>
    </w:p>
    <w:p w14:paraId="59AE98D4" w14:textId="77777777" w:rsidR="0002693C" w:rsidRPr="00D705BE" w:rsidRDefault="0002693C"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seek to make free trade agreements (FTA) more relevant to Australian small and medium enterprises (SMEs) by</w:t>
      </w:r>
      <w:r w:rsidR="00193F4A">
        <w:rPr>
          <w:rFonts w:asciiTheme="majorHAnsi" w:hAnsiTheme="majorHAnsi" w:cstheme="majorHAnsi"/>
          <w:b/>
          <w:i/>
          <w:sz w:val="24"/>
          <w:szCs w:val="24"/>
        </w:rPr>
        <w:t>:</w:t>
      </w:r>
    </w:p>
    <w:p w14:paraId="1A29D4C2" w14:textId="77777777" w:rsidR="0002693C" w:rsidRPr="00D705BE" w:rsidRDefault="0002693C"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Improving consistency between overlapping FTAs to reduce complexity for business users where the same exported product, for example, may receive different treatment depending on which</w:t>
      </w:r>
      <w:r w:rsidR="00D86B1A">
        <w:rPr>
          <w:rFonts w:asciiTheme="majorHAnsi" w:hAnsiTheme="majorHAnsi" w:cstheme="majorHAnsi"/>
          <w:b/>
          <w:i/>
          <w:sz w:val="24"/>
          <w:szCs w:val="24"/>
        </w:rPr>
        <w:t xml:space="preserve"> trade agreement is applied.</w:t>
      </w:r>
    </w:p>
    <w:p w14:paraId="51D3E4DA" w14:textId="77777777" w:rsidR="0002693C" w:rsidRPr="00D705BE" w:rsidRDefault="0002693C"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193F4A">
        <w:rPr>
          <w:rFonts w:asciiTheme="majorHAnsi" w:hAnsiTheme="majorHAnsi" w:cstheme="majorHAnsi"/>
          <w:i/>
          <w:sz w:val="24"/>
          <w:szCs w:val="24"/>
        </w:rPr>
        <w:t xml:space="preserve">  </w:t>
      </w:r>
      <w:r w:rsidR="003F3658">
        <w:rPr>
          <w:rFonts w:asciiTheme="majorHAnsi" w:hAnsiTheme="majorHAnsi" w:cstheme="majorHAnsi"/>
          <w:i/>
          <w:sz w:val="24"/>
          <w:szCs w:val="24"/>
        </w:rPr>
        <w:t>Partially Support</w:t>
      </w:r>
    </w:p>
    <w:p w14:paraId="48FF58E2" w14:textId="77777777" w:rsidR="00714BA5" w:rsidRDefault="00714BA5" w:rsidP="00714BA5">
      <w:pPr>
        <w:spacing w:before="113" w:after="113"/>
        <w:rPr>
          <w:rFonts w:ascii="Times New Roman" w:hAnsi="Times New Roman" w:cs="Times New Roman"/>
          <w:sz w:val="24"/>
          <w:szCs w:val="24"/>
          <w:lang w:eastAsia="en-AU"/>
        </w:rPr>
      </w:pPr>
      <w:r>
        <w:rPr>
          <w:rFonts w:ascii="Calibri Light" w:hAnsi="Calibri Light" w:cs="Calibri Light"/>
          <w:sz w:val="24"/>
          <w:szCs w:val="24"/>
        </w:rPr>
        <w:lastRenderedPageBreak/>
        <w:t>The Government is strongly committed to assisting Australian SMEs to derive the maximum benefit from FTAs, including by seeking consistent or improved outcomes for Australian export</w:t>
      </w:r>
      <w:r w:rsidR="00E779A5">
        <w:rPr>
          <w:rFonts w:ascii="Calibri Light" w:hAnsi="Calibri Light" w:cs="Calibri Light"/>
          <w:sz w:val="24"/>
          <w:szCs w:val="24"/>
        </w:rPr>
        <w:t>er</w:t>
      </w:r>
      <w:r>
        <w:rPr>
          <w:rFonts w:ascii="Calibri Light" w:hAnsi="Calibri Light" w:cs="Calibri Light"/>
          <w:sz w:val="24"/>
          <w:szCs w:val="24"/>
        </w:rPr>
        <w:t>s where a new FTA will overlap with an existing FTA. While the Government strives to ensure that rules of origin and other elements of FTAs are as consistent and trade facilitative as possible, consistency with older agreements may not always lead to the most beneficial outcome. Where FTAs overlap, DFAT and Austrade engage in a range of advocacy and outreach efforts to ensure SMEs and other businesses understand the benefits and requirements of the different FTAs. This includes promotion of DFAT’s FTA Portal website, which helps businesses navigate the benefits of overlapping FTAs and enables them to identify and access the most beneficial outcomes (refer Recommendation 9.2).</w:t>
      </w:r>
    </w:p>
    <w:p w14:paraId="0701C034" w14:textId="77777777" w:rsidR="00DE0FE9" w:rsidRPr="00D705BE" w:rsidRDefault="00DE0FE9"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02693C"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3.3 – Strengthen and simplify Certificates of Origin</w:t>
      </w:r>
    </w:p>
    <w:p w14:paraId="69374628" w14:textId="77777777" w:rsidR="0002693C" w:rsidRPr="00D705BE" w:rsidRDefault="0002693C"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seek to make free trade agreements (FTA) more relevant to Australian small and medium enterprises (SMEs) by</w:t>
      </w:r>
      <w:r w:rsidR="00191B01">
        <w:rPr>
          <w:rFonts w:asciiTheme="majorHAnsi" w:hAnsiTheme="majorHAnsi" w:cstheme="majorHAnsi"/>
          <w:b/>
          <w:i/>
          <w:sz w:val="24"/>
          <w:szCs w:val="24"/>
        </w:rPr>
        <w:t>:</w:t>
      </w:r>
    </w:p>
    <w:p w14:paraId="088B6060" w14:textId="77777777" w:rsidR="0002693C" w:rsidRPr="00D705BE" w:rsidRDefault="0002693C"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Strengthening support for a robust system of Certificates of Origin that </w:t>
      </w:r>
      <w:proofErr w:type="gramStart"/>
      <w:r w:rsidRPr="00D705BE">
        <w:rPr>
          <w:rFonts w:asciiTheme="majorHAnsi" w:hAnsiTheme="majorHAnsi" w:cstheme="majorHAnsi"/>
          <w:b/>
          <w:i/>
          <w:sz w:val="24"/>
          <w:szCs w:val="24"/>
        </w:rPr>
        <w:t>are accepted</w:t>
      </w:r>
      <w:proofErr w:type="gramEnd"/>
      <w:r w:rsidRPr="00D705BE">
        <w:rPr>
          <w:rFonts w:asciiTheme="majorHAnsi" w:hAnsiTheme="majorHAnsi" w:cstheme="majorHAnsi"/>
          <w:b/>
          <w:i/>
          <w:sz w:val="24"/>
          <w:szCs w:val="24"/>
        </w:rPr>
        <w:t xml:space="preserve"> globally and for other reputable bodies to issue Certificates of Origin, as long as standards are not compromised.</w:t>
      </w:r>
    </w:p>
    <w:p w14:paraId="65FCEF4E" w14:textId="77777777" w:rsidR="0002693C" w:rsidRPr="00D705BE" w:rsidRDefault="0002693C"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191B01">
        <w:rPr>
          <w:rFonts w:asciiTheme="majorHAnsi" w:hAnsiTheme="majorHAnsi" w:cstheme="majorHAnsi"/>
          <w:i/>
          <w:sz w:val="24"/>
          <w:szCs w:val="24"/>
        </w:rPr>
        <w:t xml:space="preserve">  </w:t>
      </w:r>
      <w:r w:rsidR="00164567" w:rsidRPr="00D705BE">
        <w:rPr>
          <w:rFonts w:asciiTheme="majorHAnsi" w:hAnsiTheme="majorHAnsi" w:cstheme="majorHAnsi"/>
          <w:i/>
          <w:sz w:val="24"/>
          <w:szCs w:val="24"/>
        </w:rPr>
        <w:t>Partially Supported</w:t>
      </w:r>
    </w:p>
    <w:p w14:paraId="33757886" w14:textId="60052537" w:rsidR="00191B01" w:rsidRDefault="00164567"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A single, globally accepted system for Certificates of Origin is not feasible for FTAs. </w:t>
      </w:r>
      <w:r w:rsidR="00CA57AE">
        <w:rPr>
          <w:rFonts w:asciiTheme="majorHAnsi" w:hAnsiTheme="majorHAnsi" w:cstheme="majorHAnsi"/>
          <w:sz w:val="24"/>
          <w:szCs w:val="24"/>
        </w:rPr>
        <w:t>The Australian Government</w:t>
      </w:r>
      <w:r w:rsidRPr="00D705BE">
        <w:rPr>
          <w:rFonts w:asciiTheme="majorHAnsi" w:hAnsiTheme="majorHAnsi" w:cstheme="majorHAnsi"/>
          <w:sz w:val="24"/>
          <w:szCs w:val="24"/>
        </w:rPr>
        <w:t xml:space="preserve"> negotiates origin documentation requirements separately for each FTA, and our approach to origin documentation requirements in FTAs is to be as trade</w:t>
      </w:r>
      <w:r w:rsidR="00D57FA6" w:rsidRPr="00D705BE">
        <w:rPr>
          <w:rFonts w:asciiTheme="majorHAnsi" w:hAnsiTheme="majorHAnsi" w:cstheme="majorHAnsi"/>
          <w:sz w:val="24"/>
          <w:szCs w:val="24"/>
        </w:rPr>
        <w:t>-</w:t>
      </w:r>
      <w:r w:rsidRPr="00D705BE">
        <w:rPr>
          <w:rFonts w:asciiTheme="majorHAnsi" w:hAnsiTheme="majorHAnsi" w:cstheme="majorHAnsi"/>
          <w:sz w:val="24"/>
          <w:szCs w:val="24"/>
        </w:rPr>
        <w:t xml:space="preserve">facilitative as possible. </w:t>
      </w:r>
      <w:r w:rsidR="00D57FA6" w:rsidRPr="00D705BE">
        <w:rPr>
          <w:rFonts w:asciiTheme="majorHAnsi" w:hAnsiTheme="majorHAnsi" w:cstheme="majorHAnsi"/>
          <w:sz w:val="24"/>
          <w:szCs w:val="24"/>
        </w:rPr>
        <w:t>The Government</w:t>
      </w:r>
      <w:r w:rsidRPr="00D705BE">
        <w:rPr>
          <w:rFonts w:asciiTheme="majorHAnsi" w:hAnsiTheme="majorHAnsi" w:cstheme="majorHAnsi"/>
          <w:sz w:val="24"/>
          <w:szCs w:val="24"/>
        </w:rPr>
        <w:t xml:space="preserve"> strives to create common and transparent trade rules between parties so that SMEs </w:t>
      </w:r>
      <w:r w:rsidR="00D57FA6" w:rsidRPr="00D705BE">
        <w:rPr>
          <w:rFonts w:asciiTheme="majorHAnsi" w:hAnsiTheme="majorHAnsi" w:cstheme="majorHAnsi"/>
          <w:sz w:val="24"/>
          <w:szCs w:val="24"/>
        </w:rPr>
        <w:t xml:space="preserve">can </w:t>
      </w:r>
      <w:r w:rsidRPr="00D705BE">
        <w:rPr>
          <w:rFonts w:asciiTheme="majorHAnsi" w:hAnsiTheme="majorHAnsi" w:cstheme="majorHAnsi"/>
          <w:sz w:val="24"/>
          <w:szCs w:val="24"/>
        </w:rPr>
        <w:t>save on administrative costs by being able to trade under one set of rules within an FTA. This includes advocating for the use of a dual system for business, such as self-certification and ce</w:t>
      </w:r>
      <w:r w:rsidR="00876323">
        <w:rPr>
          <w:rFonts w:asciiTheme="majorHAnsi" w:hAnsiTheme="majorHAnsi" w:cstheme="majorHAnsi"/>
          <w:sz w:val="24"/>
          <w:szCs w:val="24"/>
        </w:rPr>
        <w:t>rtification by approved bodies.</w:t>
      </w:r>
    </w:p>
    <w:p w14:paraId="3C9D89D1" w14:textId="77777777" w:rsidR="006119E9" w:rsidRPr="00D705BE" w:rsidRDefault="00164567"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The Australian Government operates transparent and rigorous processes for accrediting bodies through the Joint Accreditation System of Australia and New Zealand (JAS-ANZ) to issue Certificates of Origin</w:t>
      </w:r>
      <w:r w:rsidR="00D57FA6" w:rsidRPr="00D705BE">
        <w:rPr>
          <w:rFonts w:asciiTheme="majorHAnsi" w:hAnsiTheme="majorHAnsi" w:cstheme="majorHAnsi"/>
          <w:sz w:val="24"/>
          <w:szCs w:val="24"/>
        </w:rPr>
        <w:t>,</w:t>
      </w:r>
      <w:r w:rsidRPr="00D705BE">
        <w:rPr>
          <w:rFonts w:asciiTheme="majorHAnsi" w:hAnsiTheme="majorHAnsi" w:cstheme="majorHAnsi"/>
          <w:sz w:val="24"/>
          <w:szCs w:val="24"/>
        </w:rPr>
        <w:t xml:space="preserve"> and DFAT </w:t>
      </w:r>
      <w:r w:rsidR="00CA57AE">
        <w:rPr>
          <w:rFonts w:asciiTheme="majorHAnsi" w:hAnsiTheme="majorHAnsi" w:cstheme="majorHAnsi"/>
          <w:sz w:val="24"/>
          <w:szCs w:val="24"/>
        </w:rPr>
        <w:t xml:space="preserve">and DIIS </w:t>
      </w:r>
      <w:r w:rsidRPr="00D705BE">
        <w:rPr>
          <w:rFonts w:asciiTheme="majorHAnsi" w:hAnsiTheme="majorHAnsi" w:cstheme="majorHAnsi"/>
          <w:sz w:val="24"/>
          <w:szCs w:val="24"/>
        </w:rPr>
        <w:t>will continue to work with Australian businesses and certificate issuing bodies to ensure smooth implementation of certificate requirements within existing and newly agreed FTAs</w:t>
      </w:r>
      <w:r w:rsidR="00D86B1A">
        <w:rPr>
          <w:rFonts w:asciiTheme="majorHAnsi" w:hAnsiTheme="majorHAnsi" w:cstheme="majorHAnsi"/>
          <w:sz w:val="24"/>
          <w:szCs w:val="24"/>
        </w:rPr>
        <w:t>.</w:t>
      </w:r>
    </w:p>
    <w:p w14:paraId="02BCE84D" w14:textId="77777777" w:rsidR="006119E9" w:rsidRPr="00D705BE" w:rsidRDefault="004D4BE9" w:rsidP="00D705BE">
      <w:pPr>
        <w:pStyle w:val="RecommendationHeading"/>
        <w:rPr>
          <w:rFonts w:asciiTheme="majorHAnsi" w:hAnsiTheme="majorHAnsi" w:cstheme="majorHAnsi"/>
          <w:sz w:val="24"/>
          <w:szCs w:val="24"/>
        </w:rPr>
      </w:pPr>
      <w:hyperlink w:anchor="s26682rec4" w:history="1">
        <w:r w:rsidR="006119E9" w:rsidRPr="00D705BE">
          <w:rPr>
            <w:rFonts w:asciiTheme="majorHAnsi" w:hAnsiTheme="majorHAnsi" w:cstheme="majorHAnsi"/>
            <w:sz w:val="24"/>
            <w:szCs w:val="24"/>
          </w:rPr>
          <w:t>Recommendation 4</w:t>
        </w:r>
      </w:hyperlink>
      <w:r w:rsidR="00AC1A9D" w:rsidRPr="00D705BE">
        <w:rPr>
          <w:rFonts w:asciiTheme="majorHAnsi" w:hAnsiTheme="majorHAnsi" w:cstheme="majorHAnsi"/>
          <w:sz w:val="24"/>
          <w:szCs w:val="24"/>
        </w:rPr>
        <w:t xml:space="preserve"> – </w:t>
      </w:r>
      <w:r w:rsidR="0002693C" w:rsidRPr="00D705BE">
        <w:rPr>
          <w:rFonts w:asciiTheme="majorHAnsi" w:hAnsiTheme="majorHAnsi" w:cstheme="majorHAnsi"/>
          <w:sz w:val="24"/>
          <w:szCs w:val="24"/>
        </w:rPr>
        <w:t>Trial a regional grants program for businesses to collaborate on exports</w:t>
      </w:r>
    </w:p>
    <w:p w14:paraId="24288F7E" w14:textId="77777777" w:rsidR="0081389C" w:rsidRPr="00D705BE" w:rsidRDefault="006119E9"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trials a grant programme in selected regional areas for clusters of businesses that wish to collaborate in pursuit of export opportunities, anchored to either geographical </w:t>
      </w:r>
      <w:r w:rsidR="00AC1A9D" w:rsidRPr="00D705BE">
        <w:rPr>
          <w:rFonts w:asciiTheme="majorHAnsi" w:hAnsiTheme="majorHAnsi" w:cstheme="majorHAnsi"/>
          <w:b/>
          <w:i/>
          <w:sz w:val="24"/>
          <w:szCs w:val="24"/>
        </w:rPr>
        <w:t>provenance or specific sectors.</w:t>
      </w:r>
    </w:p>
    <w:p w14:paraId="43158D1F" w14:textId="77777777" w:rsidR="002C06C7" w:rsidRPr="00D705BE" w:rsidRDefault="0002693C" w:rsidP="00D705BE">
      <w:pPr>
        <w:pStyle w:val="BodyText"/>
        <w:rPr>
          <w:rFonts w:asciiTheme="majorHAnsi" w:hAnsiTheme="majorHAnsi" w:cstheme="majorHAnsi"/>
          <w:i/>
          <w:iCs/>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191B01">
        <w:rPr>
          <w:rFonts w:asciiTheme="majorHAnsi" w:hAnsiTheme="majorHAnsi" w:cstheme="majorHAnsi"/>
          <w:i/>
          <w:sz w:val="24"/>
          <w:szCs w:val="24"/>
        </w:rPr>
        <w:t xml:space="preserve">  </w:t>
      </w:r>
      <w:r w:rsidR="00A223A1" w:rsidRPr="00D705BE">
        <w:rPr>
          <w:rFonts w:asciiTheme="majorHAnsi" w:hAnsiTheme="majorHAnsi" w:cstheme="majorHAnsi"/>
          <w:i/>
          <w:iCs/>
          <w:sz w:val="24"/>
          <w:szCs w:val="24"/>
        </w:rPr>
        <w:t>Supported</w:t>
      </w:r>
      <w:r w:rsidR="00DE4331">
        <w:rPr>
          <w:rFonts w:asciiTheme="majorHAnsi" w:hAnsiTheme="majorHAnsi" w:cstheme="majorHAnsi"/>
          <w:i/>
          <w:iCs/>
          <w:sz w:val="24"/>
          <w:szCs w:val="24"/>
        </w:rPr>
        <w:t xml:space="preserve"> in principle</w:t>
      </w:r>
    </w:p>
    <w:p w14:paraId="2CD3BF85" w14:textId="01C32402" w:rsidR="002C06C7" w:rsidRPr="00D705BE" w:rsidRDefault="00DE4331" w:rsidP="00D705BE">
      <w:pPr>
        <w:pStyle w:val="BodyText"/>
        <w:ind w:left="0" w:firstLine="0"/>
        <w:rPr>
          <w:rFonts w:asciiTheme="majorHAnsi" w:hAnsiTheme="majorHAnsi" w:cstheme="majorHAnsi"/>
          <w:iCs/>
          <w:sz w:val="24"/>
          <w:szCs w:val="24"/>
        </w:rPr>
      </w:pPr>
      <w:r w:rsidRPr="00DE4331">
        <w:rPr>
          <w:rFonts w:asciiTheme="majorHAnsi" w:hAnsiTheme="majorHAnsi" w:cstheme="majorHAnsi"/>
          <w:iCs/>
          <w:sz w:val="24"/>
          <w:szCs w:val="24"/>
        </w:rPr>
        <w:t>The Australian Government supports this recommendation in principle</w:t>
      </w:r>
      <w:r w:rsidR="000E0BF6">
        <w:rPr>
          <w:rFonts w:asciiTheme="majorHAnsi" w:hAnsiTheme="majorHAnsi" w:cstheme="majorHAnsi"/>
          <w:iCs/>
          <w:sz w:val="24"/>
          <w:szCs w:val="24"/>
        </w:rPr>
        <w:t>,</w:t>
      </w:r>
      <w:r w:rsidRPr="00DE4331">
        <w:rPr>
          <w:rFonts w:asciiTheme="majorHAnsi" w:hAnsiTheme="majorHAnsi" w:cstheme="majorHAnsi"/>
          <w:iCs/>
          <w:sz w:val="24"/>
          <w:szCs w:val="24"/>
        </w:rPr>
        <w:t xml:space="preserve"> </w:t>
      </w:r>
      <w:r w:rsidR="00746138">
        <w:rPr>
          <w:rFonts w:asciiTheme="majorHAnsi" w:hAnsiTheme="majorHAnsi" w:cstheme="majorHAnsi"/>
          <w:iCs/>
          <w:sz w:val="24"/>
          <w:szCs w:val="24"/>
        </w:rPr>
        <w:t>and</w:t>
      </w:r>
      <w:r w:rsidRPr="00DE4331">
        <w:rPr>
          <w:rFonts w:asciiTheme="majorHAnsi" w:hAnsiTheme="majorHAnsi" w:cstheme="majorHAnsi"/>
          <w:iCs/>
          <w:sz w:val="24"/>
          <w:szCs w:val="24"/>
        </w:rPr>
        <w:t xml:space="preserve"> notes there are already a range of existing programs </w:t>
      </w:r>
      <w:r w:rsidR="00E779A5">
        <w:rPr>
          <w:rFonts w:asciiTheme="majorHAnsi" w:hAnsiTheme="majorHAnsi" w:cstheme="majorHAnsi"/>
          <w:iCs/>
          <w:sz w:val="24"/>
          <w:szCs w:val="24"/>
        </w:rPr>
        <w:t>that</w:t>
      </w:r>
      <w:r w:rsidRPr="00DE4331">
        <w:rPr>
          <w:rFonts w:asciiTheme="majorHAnsi" w:hAnsiTheme="majorHAnsi" w:cstheme="majorHAnsi"/>
          <w:iCs/>
          <w:sz w:val="24"/>
          <w:szCs w:val="24"/>
        </w:rPr>
        <w:t xml:space="preserve"> assist regional businesses and </w:t>
      </w:r>
      <w:r w:rsidR="000E0BF6">
        <w:rPr>
          <w:rFonts w:asciiTheme="majorHAnsi" w:hAnsiTheme="majorHAnsi" w:cstheme="majorHAnsi"/>
          <w:iCs/>
          <w:sz w:val="24"/>
          <w:szCs w:val="24"/>
        </w:rPr>
        <w:t xml:space="preserve">business </w:t>
      </w:r>
      <w:r w:rsidRPr="00DE4331">
        <w:rPr>
          <w:rFonts w:asciiTheme="majorHAnsi" w:hAnsiTheme="majorHAnsi" w:cstheme="majorHAnsi"/>
          <w:iCs/>
          <w:sz w:val="24"/>
          <w:szCs w:val="24"/>
        </w:rPr>
        <w:t>clusters to collaborate in pursuit of export opportunities. In 2018</w:t>
      </w:r>
      <w:r>
        <w:rPr>
          <w:rFonts w:asciiTheme="majorHAnsi" w:hAnsiTheme="majorHAnsi" w:cstheme="majorHAnsi"/>
          <w:iCs/>
          <w:sz w:val="24"/>
          <w:szCs w:val="24"/>
        </w:rPr>
        <w:t xml:space="preserve">, </w:t>
      </w:r>
      <w:r w:rsidRPr="00DE4331">
        <w:rPr>
          <w:rFonts w:asciiTheme="majorHAnsi" w:hAnsiTheme="majorHAnsi" w:cstheme="majorHAnsi"/>
          <w:iCs/>
          <w:sz w:val="24"/>
          <w:szCs w:val="24"/>
        </w:rPr>
        <w:t xml:space="preserve">the Australian Government launched the $20 million SME Export Hubs Initiative, which </w:t>
      </w:r>
      <w:proofErr w:type="gramStart"/>
      <w:r w:rsidRPr="00DE4331">
        <w:rPr>
          <w:rFonts w:asciiTheme="majorHAnsi" w:hAnsiTheme="majorHAnsi" w:cstheme="majorHAnsi"/>
          <w:iCs/>
          <w:sz w:val="24"/>
          <w:szCs w:val="24"/>
        </w:rPr>
        <w:t>is intended</w:t>
      </w:r>
      <w:proofErr w:type="gramEnd"/>
      <w:r w:rsidRPr="00DE4331">
        <w:rPr>
          <w:rFonts w:asciiTheme="majorHAnsi" w:hAnsiTheme="majorHAnsi" w:cstheme="majorHAnsi"/>
          <w:iCs/>
          <w:sz w:val="24"/>
          <w:szCs w:val="24"/>
        </w:rPr>
        <w:t xml:space="preserve"> </w:t>
      </w:r>
      <w:r w:rsidR="00922447" w:rsidRPr="00DE4331">
        <w:rPr>
          <w:rFonts w:asciiTheme="majorHAnsi" w:hAnsiTheme="majorHAnsi" w:cstheme="majorHAnsi"/>
          <w:iCs/>
          <w:sz w:val="24"/>
          <w:szCs w:val="24"/>
        </w:rPr>
        <w:t>to help</w:t>
      </w:r>
      <w:r w:rsidRPr="00DE4331">
        <w:rPr>
          <w:rFonts w:asciiTheme="majorHAnsi" w:hAnsiTheme="majorHAnsi" w:cstheme="majorHAnsi"/>
          <w:iCs/>
          <w:sz w:val="24"/>
          <w:szCs w:val="24"/>
        </w:rPr>
        <w:t xml:space="preserve"> Australian businesses grow</w:t>
      </w:r>
      <w:r w:rsidR="002C06C7" w:rsidRPr="00D705BE">
        <w:rPr>
          <w:rFonts w:asciiTheme="majorHAnsi" w:hAnsiTheme="majorHAnsi" w:cstheme="majorHAnsi"/>
          <w:iCs/>
          <w:sz w:val="24"/>
          <w:szCs w:val="24"/>
        </w:rPr>
        <w:t>,</w:t>
      </w:r>
      <w:r w:rsidR="00E779A5">
        <w:rPr>
          <w:rFonts w:asciiTheme="majorHAnsi" w:hAnsiTheme="majorHAnsi" w:cstheme="majorHAnsi"/>
          <w:iCs/>
          <w:sz w:val="24"/>
          <w:szCs w:val="24"/>
        </w:rPr>
        <w:t xml:space="preserve"> </w:t>
      </w:r>
      <w:r w:rsidR="002C06C7" w:rsidRPr="00D705BE">
        <w:rPr>
          <w:rFonts w:asciiTheme="majorHAnsi" w:hAnsiTheme="majorHAnsi" w:cstheme="majorHAnsi"/>
          <w:iCs/>
          <w:sz w:val="24"/>
          <w:szCs w:val="24"/>
        </w:rPr>
        <w:t>export</w:t>
      </w:r>
      <w:r w:rsidR="00746138">
        <w:rPr>
          <w:rFonts w:asciiTheme="majorHAnsi" w:hAnsiTheme="majorHAnsi" w:cstheme="majorHAnsi"/>
          <w:iCs/>
          <w:sz w:val="24"/>
          <w:szCs w:val="24"/>
        </w:rPr>
        <w:t>s</w:t>
      </w:r>
      <w:r w:rsidR="000E0BF6">
        <w:rPr>
          <w:rFonts w:asciiTheme="majorHAnsi" w:hAnsiTheme="majorHAnsi" w:cstheme="majorHAnsi"/>
          <w:iCs/>
          <w:sz w:val="24"/>
          <w:szCs w:val="24"/>
        </w:rPr>
        <w:t>,</w:t>
      </w:r>
      <w:r w:rsidR="002C06C7" w:rsidRPr="00D705BE">
        <w:rPr>
          <w:rFonts w:asciiTheme="majorHAnsi" w:hAnsiTheme="majorHAnsi" w:cstheme="majorHAnsi"/>
          <w:iCs/>
          <w:sz w:val="24"/>
          <w:szCs w:val="24"/>
        </w:rPr>
        <w:t xml:space="preserve"> and increase local and regional jobs. </w:t>
      </w:r>
      <w:r w:rsidR="000E0BF6">
        <w:rPr>
          <w:rFonts w:asciiTheme="majorHAnsi" w:hAnsiTheme="majorHAnsi" w:cstheme="majorHAnsi"/>
          <w:iCs/>
          <w:sz w:val="24"/>
          <w:szCs w:val="24"/>
        </w:rPr>
        <w:t>SME e</w:t>
      </w:r>
      <w:r w:rsidR="002C06C7" w:rsidRPr="00D705BE">
        <w:rPr>
          <w:rFonts w:asciiTheme="majorHAnsi" w:hAnsiTheme="majorHAnsi" w:cstheme="majorHAnsi"/>
          <w:iCs/>
          <w:sz w:val="24"/>
          <w:szCs w:val="24"/>
        </w:rPr>
        <w:t xml:space="preserve">xport hubs are collaborative business networks that help boost the export capability of local and regional businesses, through </w:t>
      </w:r>
      <w:r w:rsidR="002C06C7" w:rsidRPr="00D705BE">
        <w:rPr>
          <w:rFonts w:asciiTheme="majorHAnsi" w:hAnsiTheme="majorHAnsi" w:cstheme="majorHAnsi"/>
          <w:iCs/>
          <w:sz w:val="24"/>
          <w:szCs w:val="24"/>
        </w:rPr>
        <w:lastRenderedPageBreak/>
        <w:t>supporting activities such as developing collective brands, leveraging local infrastructure to scale business operations</w:t>
      </w:r>
      <w:r w:rsidR="00D86B1A">
        <w:rPr>
          <w:rFonts w:asciiTheme="majorHAnsi" w:hAnsiTheme="majorHAnsi" w:cstheme="majorHAnsi"/>
          <w:iCs/>
          <w:sz w:val="24"/>
          <w:szCs w:val="24"/>
        </w:rPr>
        <w:t>,</w:t>
      </w:r>
      <w:r w:rsidR="002C06C7" w:rsidRPr="00D705BE">
        <w:rPr>
          <w:rFonts w:asciiTheme="majorHAnsi" w:hAnsiTheme="majorHAnsi" w:cstheme="majorHAnsi"/>
          <w:iCs/>
          <w:sz w:val="24"/>
          <w:szCs w:val="24"/>
        </w:rPr>
        <w:t xml:space="preserve"> and positioning regional businesses to participate in global supply chains.</w:t>
      </w:r>
    </w:p>
    <w:p w14:paraId="52672250" w14:textId="147F7A28" w:rsidR="002C06C7" w:rsidRPr="00D705BE" w:rsidRDefault="002C06C7"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The Initiative provides matched funding of up to $1.5 million for up to four years from 2018</w:t>
      </w:r>
      <w:r w:rsidR="00191B01">
        <w:rPr>
          <w:rFonts w:asciiTheme="majorHAnsi" w:hAnsiTheme="majorHAnsi" w:cstheme="majorHAnsi"/>
          <w:iCs/>
          <w:sz w:val="24"/>
          <w:szCs w:val="24"/>
        </w:rPr>
        <w:noBreakHyphen/>
      </w:r>
      <w:r w:rsidR="000B5326">
        <w:rPr>
          <w:rFonts w:asciiTheme="majorHAnsi" w:hAnsiTheme="majorHAnsi" w:cstheme="majorHAnsi"/>
          <w:iCs/>
          <w:sz w:val="24"/>
          <w:szCs w:val="24"/>
        </w:rPr>
        <w:t>19 to 2021</w:t>
      </w:r>
      <w:r w:rsidR="00191B01">
        <w:rPr>
          <w:rFonts w:asciiTheme="majorHAnsi" w:hAnsiTheme="majorHAnsi" w:cstheme="majorHAnsi"/>
          <w:iCs/>
          <w:sz w:val="24"/>
          <w:szCs w:val="24"/>
        </w:rPr>
        <w:noBreakHyphen/>
      </w:r>
      <w:r w:rsidRPr="00D705BE">
        <w:rPr>
          <w:rFonts w:asciiTheme="majorHAnsi" w:hAnsiTheme="majorHAnsi" w:cstheme="majorHAnsi"/>
          <w:iCs/>
          <w:sz w:val="24"/>
          <w:szCs w:val="24"/>
        </w:rPr>
        <w:t>2</w:t>
      </w:r>
      <w:r w:rsidR="000B5326">
        <w:rPr>
          <w:rFonts w:asciiTheme="majorHAnsi" w:hAnsiTheme="majorHAnsi" w:cstheme="majorHAnsi"/>
          <w:iCs/>
          <w:sz w:val="24"/>
          <w:szCs w:val="24"/>
        </w:rPr>
        <w:t>2</w:t>
      </w:r>
      <w:r w:rsidRPr="00D705BE">
        <w:rPr>
          <w:rFonts w:asciiTheme="majorHAnsi" w:hAnsiTheme="majorHAnsi" w:cstheme="majorHAnsi"/>
          <w:iCs/>
          <w:sz w:val="24"/>
          <w:szCs w:val="24"/>
        </w:rPr>
        <w:t xml:space="preserve">. Matched funding can come from sources other than </w:t>
      </w:r>
      <w:r w:rsidR="007C77AB" w:rsidRPr="00D705BE">
        <w:rPr>
          <w:rFonts w:asciiTheme="majorHAnsi" w:hAnsiTheme="majorHAnsi" w:cstheme="majorHAnsi"/>
          <w:iCs/>
          <w:sz w:val="24"/>
          <w:szCs w:val="24"/>
        </w:rPr>
        <w:t xml:space="preserve">the </w:t>
      </w:r>
      <w:r w:rsidRPr="00D705BE">
        <w:rPr>
          <w:rFonts w:asciiTheme="majorHAnsi" w:hAnsiTheme="majorHAnsi" w:cstheme="majorHAnsi"/>
          <w:iCs/>
          <w:sz w:val="24"/>
          <w:szCs w:val="24"/>
        </w:rPr>
        <w:t>Commonwealth</w:t>
      </w:r>
      <w:r w:rsidR="00191B01">
        <w:rPr>
          <w:rFonts w:asciiTheme="majorHAnsi" w:hAnsiTheme="majorHAnsi" w:cstheme="majorHAnsi"/>
          <w:iCs/>
          <w:sz w:val="24"/>
          <w:szCs w:val="24"/>
        </w:rPr>
        <w:t>,</w:t>
      </w:r>
      <w:r w:rsidRPr="00D705BE">
        <w:rPr>
          <w:rFonts w:asciiTheme="majorHAnsi" w:hAnsiTheme="majorHAnsi" w:cstheme="majorHAnsi"/>
          <w:iCs/>
          <w:sz w:val="24"/>
          <w:szCs w:val="24"/>
        </w:rPr>
        <w:t xml:space="preserve"> such as </w:t>
      </w:r>
      <w:r w:rsidR="00191B01">
        <w:rPr>
          <w:rFonts w:asciiTheme="majorHAnsi" w:hAnsiTheme="majorHAnsi" w:cstheme="majorHAnsi"/>
          <w:iCs/>
          <w:sz w:val="24"/>
          <w:szCs w:val="24"/>
        </w:rPr>
        <w:t>S</w:t>
      </w:r>
      <w:r w:rsidRPr="00D705BE">
        <w:rPr>
          <w:rFonts w:asciiTheme="majorHAnsi" w:hAnsiTheme="majorHAnsi" w:cstheme="majorHAnsi"/>
          <w:iCs/>
          <w:sz w:val="24"/>
          <w:szCs w:val="24"/>
        </w:rPr>
        <w:t xml:space="preserve">tate and </w:t>
      </w:r>
      <w:r w:rsidR="00191B01">
        <w:rPr>
          <w:rFonts w:asciiTheme="majorHAnsi" w:hAnsiTheme="majorHAnsi" w:cstheme="majorHAnsi"/>
          <w:iCs/>
          <w:sz w:val="24"/>
          <w:szCs w:val="24"/>
        </w:rPr>
        <w:t>L</w:t>
      </w:r>
      <w:r w:rsidRPr="00D705BE">
        <w:rPr>
          <w:rFonts w:asciiTheme="majorHAnsi" w:hAnsiTheme="majorHAnsi" w:cstheme="majorHAnsi"/>
          <w:iCs/>
          <w:sz w:val="24"/>
          <w:szCs w:val="24"/>
        </w:rPr>
        <w:t xml:space="preserve">ocal </w:t>
      </w:r>
      <w:r w:rsidR="00191B01">
        <w:rPr>
          <w:rFonts w:asciiTheme="majorHAnsi" w:hAnsiTheme="majorHAnsi" w:cstheme="majorHAnsi"/>
          <w:iCs/>
          <w:sz w:val="24"/>
          <w:szCs w:val="24"/>
        </w:rPr>
        <w:t>G</w:t>
      </w:r>
      <w:r w:rsidRPr="00D705BE">
        <w:rPr>
          <w:rFonts w:asciiTheme="majorHAnsi" w:hAnsiTheme="majorHAnsi" w:cstheme="majorHAnsi"/>
          <w:iCs/>
          <w:sz w:val="24"/>
          <w:szCs w:val="24"/>
        </w:rPr>
        <w:t>overnments and industry. This competitive program funds new and existing export hubs in the priority Growth Centre sectors: Advanced Manufacturing; Cyber Security; Food and Agribusiness; Medical Technologies and Pharmaceuticals; Mining Equipment, Technology and Services; and</w:t>
      </w:r>
      <w:r w:rsidR="00876323">
        <w:rPr>
          <w:rFonts w:asciiTheme="majorHAnsi" w:hAnsiTheme="majorHAnsi" w:cstheme="majorHAnsi"/>
          <w:iCs/>
          <w:sz w:val="24"/>
          <w:szCs w:val="24"/>
        </w:rPr>
        <w:t xml:space="preserve"> Oil, Gas and Energy Resources.</w:t>
      </w:r>
    </w:p>
    <w:p w14:paraId="599C3E76" w14:textId="77777777" w:rsidR="002C06C7" w:rsidRPr="00D705BE" w:rsidRDefault="002C06C7" w:rsidP="00D705BE">
      <w:pPr>
        <w:pStyle w:val="BodyText"/>
        <w:ind w:left="0" w:firstLine="0"/>
        <w:rPr>
          <w:rFonts w:asciiTheme="majorHAnsi" w:hAnsiTheme="majorHAnsi" w:cstheme="majorHAnsi"/>
          <w:iCs/>
          <w:sz w:val="24"/>
          <w:szCs w:val="24"/>
        </w:rPr>
      </w:pPr>
      <w:proofErr w:type="gramStart"/>
      <w:r w:rsidRPr="00D705BE">
        <w:rPr>
          <w:rFonts w:asciiTheme="majorHAnsi" w:hAnsiTheme="majorHAnsi" w:cstheme="majorHAnsi"/>
          <w:iCs/>
          <w:sz w:val="24"/>
          <w:szCs w:val="24"/>
        </w:rPr>
        <w:t xml:space="preserve">The SME Export Hubs Initiative complements existing </w:t>
      </w:r>
      <w:r w:rsidR="000969DC">
        <w:rPr>
          <w:rFonts w:asciiTheme="majorHAnsi" w:hAnsiTheme="majorHAnsi" w:cstheme="majorHAnsi"/>
          <w:iCs/>
          <w:sz w:val="24"/>
          <w:szCs w:val="24"/>
        </w:rPr>
        <w:t>programmes</w:t>
      </w:r>
      <w:r w:rsidR="00191B01">
        <w:rPr>
          <w:rFonts w:asciiTheme="majorHAnsi" w:hAnsiTheme="majorHAnsi" w:cstheme="majorHAnsi"/>
          <w:iCs/>
          <w:sz w:val="24"/>
          <w:szCs w:val="24"/>
        </w:rPr>
        <w:t>,</w:t>
      </w:r>
      <w:r w:rsidRPr="00D705BE">
        <w:rPr>
          <w:rFonts w:asciiTheme="majorHAnsi" w:hAnsiTheme="majorHAnsi" w:cstheme="majorHAnsi"/>
          <w:iCs/>
          <w:sz w:val="24"/>
          <w:szCs w:val="24"/>
        </w:rPr>
        <w:t xml:space="preserve"> including the Industry Growth Centres Initiative, the Entrepreneurs’ Programme, the Regional Development Australia Committees, and services and initiatives delivered by Austrade, </w:t>
      </w:r>
      <w:r w:rsidR="000969DC">
        <w:rPr>
          <w:rFonts w:asciiTheme="majorHAnsi" w:hAnsiTheme="majorHAnsi" w:cstheme="majorHAnsi"/>
          <w:iCs/>
          <w:sz w:val="24"/>
          <w:szCs w:val="24"/>
        </w:rPr>
        <w:t>such as</w:t>
      </w:r>
      <w:r w:rsidR="00094373" w:rsidRPr="00D705BE">
        <w:rPr>
          <w:rFonts w:asciiTheme="majorHAnsi" w:hAnsiTheme="majorHAnsi" w:cstheme="majorHAnsi"/>
          <w:iCs/>
          <w:sz w:val="24"/>
          <w:szCs w:val="24"/>
        </w:rPr>
        <w:t xml:space="preserve"> the Export Market Development Grants </w:t>
      </w:r>
      <w:r w:rsidR="00094373">
        <w:rPr>
          <w:rFonts w:asciiTheme="majorHAnsi" w:hAnsiTheme="majorHAnsi" w:cstheme="majorHAnsi"/>
          <w:iCs/>
          <w:sz w:val="24"/>
          <w:szCs w:val="24"/>
        </w:rPr>
        <w:t>S</w:t>
      </w:r>
      <w:r w:rsidR="00094373" w:rsidRPr="00D705BE">
        <w:rPr>
          <w:rFonts w:asciiTheme="majorHAnsi" w:hAnsiTheme="majorHAnsi" w:cstheme="majorHAnsi"/>
          <w:iCs/>
          <w:sz w:val="24"/>
          <w:szCs w:val="24"/>
        </w:rPr>
        <w:t>cheme</w:t>
      </w:r>
      <w:r w:rsidR="00094373">
        <w:rPr>
          <w:rFonts w:asciiTheme="majorHAnsi" w:hAnsiTheme="majorHAnsi" w:cstheme="majorHAnsi"/>
          <w:iCs/>
          <w:sz w:val="24"/>
          <w:szCs w:val="24"/>
        </w:rPr>
        <w:t>,</w:t>
      </w:r>
      <w:r w:rsidR="00094373" w:rsidRPr="00D705BE">
        <w:rPr>
          <w:rFonts w:asciiTheme="majorHAnsi" w:hAnsiTheme="majorHAnsi" w:cstheme="majorHAnsi"/>
          <w:iCs/>
          <w:sz w:val="24"/>
          <w:szCs w:val="24"/>
        </w:rPr>
        <w:t xml:space="preserve"> </w:t>
      </w:r>
      <w:proofErr w:type="spellStart"/>
      <w:r w:rsidR="00094373" w:rsidRPr="00D705BE">
        <w:rPr>
          <w:rFonts w:asciiTheme="majorHAnsi" w:hAnsiTheme="majorHAnsi" w:cstheme="majorHAnsi"/>
          <w:iCs/>
          <w:sz w:val="24"/>
          <w:szCs w:val="24"/>
        </w:rPr>
        <w:t>TradeStart</w:t>
      </w:r>
      <w:proofErr w:type="spellEnd"/>
      <w:r w:rsidR="00094373">
        <w:rPr>
          <w:rFonts w:asciiTheme="majorHAnsi" w:hAnsiTheme="majorHAnsi" w:cstheme="majorHAnsi"/>
          <w:iCs/>
          <w:sz w:val="24"/>
          <w:szCs w:val="24"/>
        </w:rPr>
        <w:t xml:space="preserve">, and the FTA-ME Grant program which aims to </w:t>
      </w:r>
      <w:r w:rsidR="00094373" w:rsidRPr="00321C23">
        <w:rPr>
          <w:rFonts w:asciiTheme="majorHAnsi" w:hAnsiTheme="majorHAnsi" w:cstheme="majorHAnsi"/>
          <w:iCs/>
          <w:sz w:val="24"/>
          <w:szCs w:val="24"/>
        </w:rPr>
        <w:t>generate market entry strategies for Australian SME</w:t>
      </w:r>
      <w:r w:rsidR="000969DC">
        <w:rPr>
          <w:rFonts w:asciiTheme="majorHAnsi" w:hAnsiTheme="majorHAnsi" w:cstheme="majorHAnsi"/>
          <w:iCs/>
          <w:sz w:val="24"/>
          <w:szCs w:val="24"/>
        </w:rPr>
        <w:t>s</w:t>
      </w:r>
      <w:r w:rsidR="00094373" w:rsidRPr="00321C23">
        <w:rPr>
          <w:rFonts w:asciiTheme="majorHAnsi" w:hAnsiTheme="majorHAnsi" w:cstheme="majorHAnsi"/>
          <w:iCs/>
          <w:sz w:val="24"/>
          <w:szCs w:val="24"/>
        </w:rPr>
        <w:t xml:space="preserve"> that lead to opportunities </w:t>
      </w:r>
      <w:r w:rsidR="000969DC">
        <w:rPr>
          <w:rFonts w:asciiTheme="majorHAnsi" w:hAnsiTheme="majorHAnsi" w:cstheme="majorHAnsi"/>
          <w:iCs/>
          <w:sz w:val="24"/>
          <w:szCs w:val="24"/>
        </w:rPr>
        <w:t>to</w:t>
      </w:r>
      <w:r w:rsidR="00094373" w:rsidRPr="00321C23">
        <w:rPr>
          <w:rFonts w:asciiTheme="majorHAnsi" w:hAnsiTheme="majorHAnsi" w:cstheme="majorHAnsi"/>
          <w:iCs/>
          <w:sz w:val="24"/>
          <w:szCs w:val="24"/>
        </w:rPr>
        <w:t xml:space="preserve"> increase utilisation of FTAs in eligible markets</w:t>
      </w:r>
      <w:r w:rsidR="00094373">
        <w:rPr>
          <w:rFonts w:asciiTheme="majorHAnsi" w:hAnsiTheme="majorHAnsi" w:cstheme="majorHAnsi"/>
          <w:iCs/>
          <w:sz w:val="24"/>
          <w:szCs w:val="24"/>
        </w:rPr>
        <w:t>.</w:t>
      </w:r>
      <w:proofErr w:type="gramEnd"/>
    </w:p>
    <w:p w14:paraId="5A15282E" w14:textId="77777777" w:rsidR="006119E9" w:rsidRPr="00D705BE" w:rsidRDefault="004D4BE9" w:rsidP="00D705BE">
      <w:pPr>
        <w:pStyle w:val="RecommendationHeading"/>
        <w:rPr>
          <w:rFonts w:asciiTheme="majorHAnsi" w:hAnsiTheme="majorHAnsi" w:cstheme="majorHAnsi"/>
          <w:sz w:val="24"/>
          <w:szCs w:val="24"/>
        </w:rPr>
      </w:pPr>
      <w:hyperlink w:anchor="s26684rec5" w:history="1">
        <w:r w:rsidR="006119E9" w:rsidRPr="00D705BE">
          <w:rPr>
            <w:rFonts w:asciiTheme="majorHAnsi" w:hAnsiTheme="majorHAnsi" w:cstheme="majorHAnsi"/>
            <w:sz w:val="24"/>
            <w:szCs w:val="24"/>
          </w:rPr>
          <w:t>Recommendation 5</w:t>
        </w:r>
      </w:hyperlink>
      <w:r w:rsidR="0002693C" w:rsidRPr="00D705BE">
        <w:rPr>
          <w:rFonts w:asciiTheme="majorHAnsi" w:hAnsiTheme="majorHAnsi" w:cstheme="majorHAnsi"/>
          <w:sz w:val="24"/>
          <w:szCs w:val="24"/>
        </w:rPr>
        <w:t>.1</w:t>
      </w:r>
      <w:r w:rsidR="00AC1A9D" w:rsidRPr="00D705BE">
        <w:rPr>
          <w:rFonts w:asciiTheme="majorHAnsi" w:hAnsiTheme="majorHAnsi" w:cstheme="majorHAnsi"/>
          <w:sz w:val="24"/>
          <w:szCs w:val="24"/>
        </w:rPr>
        <w:t xml:space="preserve"> – </w:t>
      </w:r>
      <w:r w:rsidR="0002693C" w:rsidRPr="00D705BE">
        <w:rPr>
          <w:rFonts w:asciiTheme="majorHAnsi" w:hAnsiTheme="majorHAnsi" w:cstheme="majorHAnsi"/>
          <w:sz w:val="24"/>
          <w:szCs w:val="24"/>
        </w:rPr>
        <w:t>Review funding arrangements for Austrade</w:t>
      </w:r>
    </w:p>
    <w:p w14:paraId="78B35B74" w14:textId="77777777" w:rsidR="006119E9" w:rsidRPr="00D705BE" w:rsidRDefault="006119E9" w:rsidP="00D705BE">
      <w:pPr>
        <w:pStyle w:val="RecommendationListText"/>
        <w:spacing w:before="0"/>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review the resourcing of agencies and programmes to assist Australian small and medium enterprises (SMEs) trade internationally as follows by:</w:t>
      </w:r>
    </w:p>
    <w:p w14:paraId="13C85CD1" w14:textId="77777777" w:rsidR="00A16C58" w:rsidRPr="00D705BE" w:rsidRDefault="006119E9"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Reviewing the current funding arrangement for the Australian Trade and Investment Commission with a view to ensuring it </w:t>
      </w:r>
      <w:proofErr w:type="gramStart"/>
      <w:r w:rsidRPr="00D705BE">
        <w:rPr>
          <w:rFonts w:asciiTheme="majorHAnsi" w:hAnsiTheme="majorHAnsi" w:cstheme="majorHAnsi"/>
          <w:b/>
          <w:i/>
          <w:sz w:val="24"/>
          <w:szCs w:val="24"/>
        </w:rPr>
        <w:t>is adequately funded</w:t>
      </w:r>
      <w:proofErr w:type="gramEnd"/>
      <w:r w:rsidRPr="00D705BE">
        <w:rPr>
          <w:rFonts w:asciiTheme="majorHAnsi" w:hAnsiTheme="majorHAnsi" w:cstheme="majorHAnsi"/>
          <w:b/>
          <w:i/>
          <w:sz w:val="24"/>
          <w:szCs w:val="24"/>
        </w:rPr>
        <w:t xml:space="preserve"> to continue to deliver high quality services and in line with th</w:t>
      </w:r>
      <w:r w:rsidR="00D86B1A">
        <w:rPr>
          <w:rFonts w:asciiTheme="majorHAnsi" w:hAnsiTheme="majorHAnsi" w:cstheme="majorHAnsi"/>
          <w:b/>
          <w:i/>
          <w:sz w:val="24"/>
          <w:szCs w:val="24"/>
        </w:rPr>
        <w:t>e recommendations of the report.</w:t>
      </w:r>
    </w:p>
    <w:p w14:paraId="089D7228" w14:textId="77777777" w:rsidR="00F05FFE" w:rsidRPr="00D705BE" w:rsidRDefault="00A16C58" w:rsidP="00D705BE">
      <w:pPr>
        <w:pStyle w:val="BodyText"/>
        <w:spacing w:before="0"/>
        <w:rPr>
          <w:rFonts w:asciiTheme="majorHAnsi" w:hAnsiTheme="majorHAnsi" w:cstheme="majorHAnsi"/>
          <w:i/>
          <w:sz w:val="24"/>
          <w:szCs w:val="24"/>
        </w:rPr>
      </w:pPr>
      <w:r w:rsidRPr="00D705BE">
        <w:rPr>
          <w:rFonts w:asciiTheme="majorHAnsi" w:hAnsiTheme="majorHAnsi" w:cstheme="majorHAnsi"/>
          <w:b/>
          <w:sz w:val="24"/>
          <w:szCs w:val="24"/>
        </w:rPr>
        <w:t>Response:</w:t>
      </w:r>
      <w:r w:rsidR="00F05FFE" w:rsidRPr="00D705BE">
        <w:rPr>
          <w:rFonts w:asciiTheme="majorHAnsi" w:hAnsiTheme="majorHAnsi" w:cstheme="majorHAnsi"/>
          <w:i/>
          <w:sz w:val="24"/>
          <w:szCs w:val="24"/>
        </w:rPr>
        <w:t xml:space="preserve"> </w:t>
      </w:r>
      <w:r w:rsidR="00191B01">
        <w:rPr>
          <w:rFonts w:asciiTheme="majorHAnsi" w:hAnsiTheme="majorHAnsi" w:cstheme="majorHAnsi"/>
          <w:i/>
          <w:sz w:val="24"/>
          <w:szCs w:val="24"/>
        </w:rPr>
        <w:t xml:space="preserve">  </w:t>
      </w:r>
      <w:r w:rsidR="00F05FFE" w:rsidRPr="00D705BE">
        <w:rPr>
          <w:rFonts w:asciiTheme="majorHAnsi" w:hAnsiTheme="majorHAnsi" w:cstheme="majorHAnsi"/>
          <w:i/>
          <w:sz w:val="24"/>
          <w:szCs w:val="24"/>
        </w:rPr>
        <w:t>Noted</w:t>
      </w:r>
    </w:p>
    <w:p w14:paraId="1B310CCD" w14:textId="77777777" w:rsidR="00F05FFE" w:rsidRPr="00876323" w:rsidRDefault="00F05FFE" w:rsidP="00D705BE">
      <w:pPr>
        <w:pStyle w:val="BodyText"/>
        <w:spacing w:before="0"/>
        <w:ind w:left="0" w:firstLine="0"/>
        <w:rPr>
          <w:rFonts w:asciiTheme="majorHAnsi" w:hAnsiTheme="majorHAnsi" w:cstheme="majorHAnsi"/>
          <w:sz w:val="24"/>
          <w:szCs w:val="24"/>
        </w:rPr>
      </w:pPr>
      <w:r w:rsidRPr="00D705BE">
        <w:rPr>
          <w:rFonts w:asciiTheme="majorHAnsi" w:hAnsiTheme="majorHAnsi" w:cstheme="majorHAnsi"/>
          <w:sz w:val="24"/>
          <w:szCs w:val="24"/>
        </w:rPr>
        <w:t xml:space="preserve">Austrade’s departmental appropriation </w:t>
      </w:r>
      <w:r w:rsidR="00D86B1A">
        <w:rPr>
          <w:rFonts w:asciiTheme="majorHAnsi" w:hAnsiTheme="majorHAnsi" w:cstheme="majorHAnsi"/>
          <w:sz w:val="24"/>
          <w:szCs w:val="24"/>
        </w:rPr>
        <w:t xml:space="preserve">for </w:t>
      </w:r>
      <w:r w:rsidR="00191B01">
        <w:rPr>
          <w:rFonts w:asciiTheme="majorHAnsi" w:hAnsiTheme="majorHAnsi" w:cstheme="majorHAnsi"/>
          <w:sz w:val="24"/>
          <w:szCs w:val="24"/>
        </w:rPr>
        <w:t xml:space="preserve">2017-18 amounted to </w:t>
      </w:r>
      <w:r w:rsidR="0049681F" w:rsidRPr="00D705BE">
        <w:rPr>
          <w:rFonts w:asciiTheme="majorHAnsi" w:hAnsiTheme="majorHAnsi" w:cstheme="majorHAnsi"/>
          <w:sz w:val="24"/>
          <w:szCs w:val="24"/>
        </w:rPr>
        <w:t>$206</w:t>
      </w:r>
      <w:r w:rsidRPr="00D705BE">
        <w:rPr>
          <w:rFonts w:asciiTheme="majorHAnsi" w:hAnsiTheme="majorHAnsi" w:cstheme="majorHAnsi"/>
          <w:sz w:val="24"/>
          <w:szCs w:val="24"/>
        </w:rPr>
        <w:t xml:space="preserve"> million</w:t>
      </w:r>
      <w:r w:rsidR="00191B01">
        <w:rPr>
          <w:rFonts w:asciiTheme="majorHAnsi" w:hAnsiTheme="majorHAnsi" w:cstheme="majorHAnsi"/>
          <w:sz w:val="24"/>
          <w:szCs w:val="24"/>
        </w:rPr>
        <w:t xml:space="preserve">. Austrade </w:t>
      </w:r>
      <w:r w:rsidRPr="00D705BE">
        <w:rPr>
          <w:rFonts w:asciiTheme="majorHAnsi" w:hAnsiTheme="majorHAnsi" w:cstheme="majorHAnsi"/>
          <w:sz w:val="24"/>
          <w:szCs w:val="24"/>
        </w:rPr>
        <w:t xml:space="preserve">delivered results for Australian exporters and international investors through </w:t>
      </w:r>
      <w:r w:rsidR="00191B01">
        <w:rPr>
          <w:rFonts w:asciiTheme="majorHAnsi" w:hAnsiTheme="majorHAnsi" w:cstheme="majorHAnsi"/>
          <w:sz w:val="24"/>
          <w:szCs w:val="24"/>
        </w:rPr>
        <w:t xml:space="preserve">its </w:t>
      </w:r>
      <w:r w:rsidRPr="00D705BE">
        <w:rPr>
          <w:rFonts w:asciiTheme="majorHAnsi" w:hAnsiTheme="majorHAnsi" w:cstheme="majorHAnsi"/>
          <w:sz w:val="24"/>
          <w:szCs w:val="24"/>
        </w:rPr>
        <w:t>global network, commercial connections and expert market-specific advice.</w:t>
      </w:r>
    </w:p>
    <w:p w14:paraId="43C4C4A7" w14:textId="77777777" w:rsidR="00F05FFE" w:rsidRPr="00D705BE" w:rsidRDefault="00F05FFE" w:rsidP="00D705BE">
      <w:pPr>
        <w:pStyle w:val="BodyText"/>
        <w:spacing w:before="0"/>
        <w:ind w:left="0" w:firstLine="0"/>
        <w:rPr>
          <w:rFonts w:asciiTheme="majorHAnsi" w:hAnsiTheme="majorHAnsi" w:cstheme="majorHAnsi"/>
          <w:sz w:val="24"/>
          <w:szCs w:val="24"/>
        </w:rPr>
      </w:pPr>
      <w:r w:rsidRPr="00D705BE">
        <w:rPr>
          <w:rFonts w:asciiTheme="majorHAnsi" w:hAnsiTheme="majorHAnsi" w:cstheme="majorHAnsi"/>
          <w:sz w:val="24"/>
          <w:szCs w:val="24"/>
        </w:rPr>
        <w:t>In 2017-18</w:t>
      </w:r>
      <w:r w:rsidR="00191B01">
        <w:rPr>
          <w:rFonts w:asciiTheme="majorHAnsi" w:hAnsiTheme="majorHAnsi" w:cstheme="majorHAnsi"/>
          <w:sz w:val="24"/>
          <w:szCs w:val="24"/>
        </w:rPr>
        <w:t>,</w:t>
      </w:r>
      <w:r w:rsidRPr="00D705BE">
        <w:rPr>
          <w:rFonts w:asciiTheme="majorHAnsi" w:hAnsiTheme="majorHAnsi" w:cstheme="majorHAnsi"/>
          <w:sz w:val="24"/>
          <w:szCs w:val="24"/>
        </w:rPr>
        <w:t xml:space="preserve"> Austrade </w:t>
      </w:r>
      <w:proofErr w:type="gramStart"/>
      <w:r w:rsidRPr="00D705BE">
        <w:rPr>
          <w:rFonts w:asciiTheme="majorHAnsi" w:hAnsiTheme="majorHAnsi" w:cstheme="majorHAnsi"/>
          <w:sz w:val="24"/>
          <w:szCs w:val="24"/>
        </w:rPr>
        <w:t>completed</w:t>
      </w:r>
      <w:proofErr w:type="gramEnd"/>
      <w:r w:rsidRPr="00D705BE">
        <w:rPr>
          <w:rFonts w:asciiTheme="majorHAnsi" w:hAnsiTheme="majorHAnsi" w:cstheme="majorHAnsi"/>
          <w:sz w:val="24"/>
          <w:szCs w:val="24"/>
        </w:rPr>
        <w:t xml:space="preserve"> its organisational capability assessment and is implementing a transformation plan that puts </w:t>
      </w:r>
      <w:r w:rsidR="00191B01">
        <w:rPr>
          <w:rFonts w:asciiTheme="majorHAnsi" w:hAnsiTheme="majorHAnsi" w:cstheme="majorHAnsi"/>
          <w:sz w:val="24"/>
          <w:szCs w:val="24"/>
        </w:rPr>
        <w:t>its</w:t>
      </w:r>
      <w:r w:rsidR="00191B01" w:rsidRPr="00D705BE">
        <w:rPr>
          <w:rFonts w:asciiTheme="majorHAnsi" w:hAnsiTheme="majorHAnsi" w:cstheme="majorHAnsi"/>
          <w:sz w:val="24"/>
          <w:szCs w:val="24"/>
        </w:rPr>
        <w:t xml:space="preserve"> </w:t>
      </w:r>
      <w:r w:rsidRPr="00D705BE">
        <w:rPr>
          <w:rFonts w:asciiTheme="majorHAnsi" w:hAnsiTheme="majorHAnsi" w:cstheme="majorHAnsi"/>
          <w:sz w:val="24"/>
          <w:szCs w:val="24"/>
        </w:rPr>
        <w:t xml:space="preserve">clients at the centre of everything </w:t>
      </w:r>
      <w:r w:rsidR="00191B01">
        <w:rPr>
          <w:rFonts w:asciiTheme="majorHAnsi" w:hAnsiTheme="majorHAnsi" w:cstheme="majorHAnsi"/>
          <w:sz w:val="24"/>
          <w:szCs w:val="24"/>
        </w:rPr>
        <w:t>it</w:t>
      </w:r>
      <w:r w:rsidRPr="00D705BE">
        <w:rPr>
          <w:rFonts w:asciiTheme="majorHAnsi" w:hAnsiTheme="majorHAnsi" w:cstheme="majorHAnsi"/>
          <w:sz w:val="24"/>
          <w:szCs w:val="24"/>
        </w:rPr>
        <w:t xml:space="preserve"> do</w:t>
      </w:r>
      <w:r w:rsidR="00191B01">
        <w:rPr>
          <w:rFonts w:asciiTheme="majorHAnsi" w:hAnsiTheme="majorHAnsi" w:cstheme="majorHAnsi"/>
          <w:sz w:val="24"/>
          <w:szCs w:val="24"/>
        </w:rPr>
        <w:t>es</w:t>
      </w:r>
      <w:r w:rsidRPr="00D705BE">
        <w:rPr>
          <w:rFonts w:asciiTheme="majorHAnsi" w:hAnsiTheme="majorHAnsi" w:cstheme="majorHAnsi"/>
          <w:sz w:val="24"/>
          <w:szCs w:val="24"/>
        </w:rPr>
        <w:t>, building on stronger digital services and partnership</w:t>
      </w:r>
      <w:r w:rsidR="00191B01">
        <w:rPr>
          <w:rFonts w:asciiTheme="majorHAnsi" w:hAnsiTheme="majorHAnsi" w:cstheme="majorHAnsi"/>
          <w:sz w:val="24"/>
          <w:szCs w:val="24"/>
        </w:rPr>
        <w:t>,</w:t>
      </w:r>
      <w:r w:rsidRPr="00D705BE">
        <w:rPr>
          <w:rFonts w:asciiTheme="majorHAnsi" w:hAnsiTheme="majorHAnsi" w:cstheme="majorHAnsi"/>
          <w:sz w:val="24"/>
          <w:szCs w:val="24"/>
        </w:rPr>
        <w:t xml:space="preserve"> and collaboration across governments and industry. Client satisfaction with Austrade services has increased from 87 per cent in 2015-16 to 89 per cent in 2016-17 and 2017-18. In 2017-18</w:t>
      </w:r>
      <w:r w:rsidR="00191B01">
        <w:rPr>
          <w:rFonts w:asciiTheme="majorHAnsi" w:hAnsiTheme="majorHAnsi" w:cstheme="majorHAnsi"/>
          <w:sz w:val="24"/>
          <w:szCs w:val="24"/>
        </w:rPr>
        <w:t>,</w:t>
      </w:r>
      <w:r w:rsidRPr="00D705BE">
        <w:rPr>
          <w:rFonts w:asciiTheme="majorHAnsi" w:hAnsiTheme="majorHAnsi" w:cstheme="majorHAnsi"/>
          <w:sz w:val="24"/>
          <w:szCs w:val="24"/>
        </w:rPr>
        <w:t xml:space="preserve"> Austrade provided over 12,000 services to more than 4,800 Australian organisations, helping them to identify export opportunities or partnerships in overseas markets. In the same year</w:t>
      </w:r>
      <w:r w:rsidR="00191B01">
        <w:rPr>
          <w:rFonts w:asciiTheme="majorHAnsi" w:hAnsiTheme="majorHAnsi" w:cstheme="majorHAnsi"/>
          <w:sz w:val="24"/>
          <w:szCs w:val="24"/>
        </w:rPr>
        <w:t>,</w:t>
      </w:r>
      <w:r w:rsidRPr="00D705BE">
        <w:rPr>
          <w:rFonts w:asciiTheme="majorHAnsi" w:hAnsiTheme="majorHAnsi" w:cstheme="majorHAnsi"/>
          <w:sz w:val="24"/>
          <w:szCs w:val="24"/>
        </w:rPr>
        <w:t xml:space="preserve"> Austrade helped facilitate 113 inward investment outcomes worth almost $4.8 billion.</w:t>
      </w:r>
    </w:p>
    <w:p w14:paraId="6EB90CA3" w14:textId="77777777" w:rsidR="00AC1A9D" w:rsidRPr="00D705BE" w:rsidRDefault="00AC1A9D"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02693C"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5.2 – Assess funding arrangements for EMDG</w:t>
      </w:r>
    </w:p>
    <w:p w14:paraId="4C26BE7A" w14:textId="77777777" w:rsidR="0002693C" w:rsidRPr="00D705BE" w:rsidRDefault="0002693C" w:rsidP="00D705BE">
      <w:pPr>
        <w:pStyle w:val="RecommendationListText"/>
        <w:spacing w:before="0"/>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review the resourcing of agencies and programmes to assist Australian small and medium enterprises (SMEs) trade internationally as follows by:</w:t>
      </w:r>
    </w:p>
    <w:p w14:paraId="05663281" w14:textId="77777777" w:rsidR="0002693C" w:rsidRPr="00D705BE" w:rsidRDefault="0002693C"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Assessing the current funding arrangements for the Export Market Development Grant (EMDG) scheme to ensure it meets the growing demand and maintains the </w:t>
      </w:r>
      <w:r w:rsidRPr="00D705BE">
        <w:rPr>
          <w:rFonts w:asciiTheme="majorHAnsi" w:hAnsiTheme="majorHAnsi" w:cstheme="majorHAnsi"/>
          <w:b/>
          <w:i/>
          <w:sz w:val="24"/>
          <w:szCs w:val="24"/>
        </w:rPr>
        <w:lastRenderedPageBreak/>
        <w:t>real value of individual grants under the EMDG scheme, including investigating strategies to better target the sche</w:t>
      </w:r>
      <w:r w:rsidR="00D86B1A">
        <w:rPr>
          <w:rFonts w:asciiTheme="majorHAnsi" w:hAnsiTheme="majorHAnsi" w:cstheme="majorHAnsi"/>
          <w:b/>
          <w:i/>
          <w:sz w:val="24"/>
          <w:szCs w:val="24"/>
        </w:rPr>
        <w:t>me towards high-growth SMEs.</w:t>
      </w:r>
    </w:p>
    <w:p w14:paraId="3CAC2CB8" w14:textId="17B7EFFD" w:rsidR="00A16C58" w:rsidRPr="00D705BE" w:rsidRDefault="00A16C58" w:rsidP="00D705BE">
      <w:pPr>
        <w:pStyle w:val="BodyText"/>
        <w:spacing w:before="0"/>
        <w:rPr>
          <w:rFonts w:asciiTheme="majorHAnsi" w:hAnsiTheme="majorHAnsi" w:cstheme="majorHAnsi"/>
          <w:i/>
          <w:sz w:val="24"/>
          <w:szCs w:val="24"/>
        </w:rPr>
      </w:pPr>
      <w:r w:rsidRPr="00D705BE">
        <w:rPr>
          <w:rFonts w:asciiTheme="majorHAnsi" w:hAnsiTheme="majorHAnsi" w:cstheme="majorHAnsi"/>
          <w:b/>
          <w:sz w:val="24"/>
          <w:szCs w:val="24"/>
        </w:rPr>
        <w:t>Response:</w:t>
      </w:r>
      <w:r w:rsidR="00F05FFE" w:rsidRPr="00D705BE">
        <w:rPr>
          <w:rFonts w:asciiTheme="majorHAnsi" w:hAnsiTheme="majorHAnsi" w:cstheme="majorHAnsi"/>
          <w:i/>
          <w:sz w:val="24"/>
          <w:szCs w:val="24"/>
        </w:rPr>
        <w:t xml:space="preserve"> </w:t>
      </w:r>
      <w:r w:rsidR="00191B01">
        <w:rPr>
          <w:rFonts w:asciiTheme="majorHAnsi" w:hAnsiTheme="majorHAnsi" w:cstheme="majorHAnsi"/>
          <w:i/>
          <w:sz w:val="24"/>
          <w:szCs w:val="24"/>
        </w:rPr>
        <w:t xml:space="preserve">  </w:t>
      </w:r>
      <w:r w:rsidR="00F3732C">
        <w:rPr>
          <w:rFonts w:asciiTheme="majorHAnsi" w:hAnsiTheme="majorHAnsi" w:cstheme="majorHAnsi"/>
          <w:i/>
          <w:sz w:val="24"/>
          <w:szCs w:val="24"/>
        </w:rPr>
        <w:t>Supported</w:t>
      </w:r>
    </w:p>
    <w:p w14:paraId="28A8A667" w14:textId="072035F9" w:rsidR="00F3732C" w:rsidRDefault="00F3732C" w:rsidP="00D705BE">
      <w:pPr>
        <w:pStyle w:val="BodyText"/>
        <w:ind w:left="0" w:firstLine="0"/>
        <w:rPr>
          <w:rFonts w:asciiTheme="majorHAnsi" w:hAnsiTheme="majorHAnsi" w:cstheme="majorHAnsi"/>
          <w:iCs/>
          <w:sz w:val="24"/>
          <w:szCs w:val="24"/>
        </w:rPr>
      </w:pPr>
      <w:r>
        <w:rPr>
          <w:rFonts w:asciiTheme="majorHAnsi" w:hAnsiTheme="majorHAnsi" w:cstheme="majorHAnsi"/>
          <w:iCs/>
          <w:sz w:val="24"/>
          <w:szCs w:val="24"/>
        </w:rPr>
        <w:t>The Australian Government announced a review into the EMDG scheme, and Australian Government Financial Assistance to exporters on 4 October 2019.</w:t>
      </w:r>
    </w:p>
    <w:p w14:paraId="343C6EFA" w14:textId="5FA04631" w:rsidR="00F05FFE" w:rsidRPr="00D705BE" w:rsidRDefault="00F05FFE"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EMDG is one of Australia’s most effective and enduring assistance schemes</w:t>
      </w:r>
      <w:r w:rsidR="00191B01">
        <w:rPr>
          <w:rFonts w:asciiTheme="majorHAnsi" w:hAnsiTheme="majorHAnsi" w:cstheme="majorHAnsi"/>
          <w:iCs/>
          <w:sz w:val="24"/>
          <w:szCs w:val="24"/>
        </w:rPr>
        <w:t>,</w:t>
      </w:r>
      <w:r w:rsidRPr="00D705BE">
        <w:rPr>
          <w:rFonts w:asciiTheme="majorHAnsi" w:hAnsiTheme="majorHAnsi" w:cstheme="majorHAnsi"/>
          <w:iCs/>
          <w:sz w:val="24"/>
          <w:szCs w:val="24"/>
        </w:rPr>
        <w:t xml:space="preserve"> and demand for</w:t>
      </w:r>
      <w:r w:rsidR="00191B01">
        <w:rPr>
          <w:rFonts w:asciiTheme="majorHAnsi" w:hAnsiTheme="majorHAnsi" w:cstheme="majorHAnsi"/>
          <w:iCs/>
          <w:sz w:val="24"/>
          <w:szCs w:val="24"/>
        </w:rPr>
        <w:t xml:space="preserve"> it</w:t>
      </w:r>
      <w:r w:rsidRPr="00D705BE">
        <w:rPr>
          <w:rFonts w:asciiTheme="majorHAnsi" w:hAnsiTheme="majorHAnsi" w:cstheme="majorHAnsi"/>
          <w:iCs/>
          <w:sz w:val="24"/>
          <w:szCs w:val="24"/>
        </w:rPr>
        <w:t xml:space="preserve"> continues to grow. In the 2017-18 grant year 4,000 applications were received – an increase of six</w:t>
      </w:r>
      <w:r w:rsidR="00876323">
        <w:rPr>
          <w:rFonts w:asciiTheme="majorHAnsi" w:hAnsiTheme="majorHAnsi" w:cstheme="majorHAnsi"/>
          <w:iCs/>
          <w:sz w:val="24"/>
          <w:szCs w:val="24"/>
        </w:rPr>
        <w:t> per cent on the previous year.</w:t>
      </w:r>
    </w:p>
    <w:p w14:paraId="0D7A4863" w14:textId="77777777" w:rsidR="00F05FFE" w:rsidRDefault="00F05FFE"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The Government has committed to progressively restoring funding for the EMDG scheme</w:t>
      </w:r>
      <w:r w:rsidR="00191B01">
        <w:rPr>
          <w:rFonts w:asciiTheme="majorHAnsi" w:hAnsiTheme="majorHAnsi" w:cstheme="majorHAnsi"/>
          <w:iCs/>
          <w:sz w:val="24"/>
          <w:szCs w:val="24"/>
        </w:rPr>
        <w:t>, and p</w:t>
      </w:r>
      <w:r w:rsidRPr="00D705BE">
        <w:rPr>
          <w:rFonts w:asciiTheme="majorHAnsi" w:hAnsiTheme="majorHAnsi" w:cstheme="majorHAnsi"/>
          <w:iCs/>
          <w:sz w:val="24"/>
          <w:szCs w:val="24"/>
        </w:rPr>
        <w:t>rovided a $12.5 million a year boost in 2013-14</w:t>
      </w:r>
      <w:r w:rsidR="00191B01">
        <w:rPr>
          <w:rFonts w:asciiTheme="majorHAnsi" w:hAnsiTheme="majorHAnsi" w:cstheme="majorHAnsi"/>
          <w:iCs/>
          <w:sz w:val="24"/>
          <w:szCs w:val="24"/>
        </w:rPr>
        <w:t xml:space="preserve">. </w:t>
      </w:r>
      <w:r w:rsidR="00B63A65">
        <w:rPr>
          <w:rFonts w:asciiTheme="majorHAnsi" w:hAnsiTheme="majorHAnsi" w:cstheme="majorHAnsi"/>
          <w:iCs/>
          <w:sz w:val="24"/>
          <w:szCs w:val="24"/>
        </w:rPr>
        <w:t xml:space="preserve">In the 2019-20 Budget, the Government committed </w:t>
      </w:r>
      <w:r w:rsidR="00F23A4D">
        <w:rPr>
          <w:rFonts w:asciiTheme="majorHAnsi" w:hAnsiTheme="majorHAnsi" w:cstheme="majorHAnsi"/>
          <w:iCs/>
          <w:sz w:val="24"/>
          <w:szCs w:val="24"/>
        </w:rPr>
        <w:t>to</w:t>
      </w:r>
      <w:r w:rsidR="00B63A65">
        <w:rPr>
          <w:rFonts w:asciiTheme="majorHAnsi" w:hAnsiTheme="majorHAnsi" w:cstheme="majorHAnsi"/>
          <w:iCs/>
          <w:sz w:val="24"/>
          <w:szCs w:val="24"/>
        </w:rPr>
        <w:t xml:space="preserve"> additional funding of $60 </w:t>
      </w:r>
      <w:r w:rsidR="00B63A65" w:rsidRPr="00B63A65">
        <w:rPr>
          <w:rFonts w:asciiTheme="majorHAnsi" w:hAnsiTheme="majorHAnsi" w:cstheme="majorHAnsi"/>
          <w:iCs/>
          <w:sz w:val="24"/>
          <w:szCs w:val="24"/>
        </w:rPr>
        <w:t xml:space="preserve">million over three years for the </w:t>
      </w:r>
      <w:r w:rsidR="00B63A65">
        <w:rPr>
          <w:rFonts w:asciiTheme="majorHAnsi" w:hAnsiTheme="majorHAnsi" w:cstheme="majorHAnsi"/>
          <w:iCs/>
          <w:sz w:val="24"/>
          <w:szCs w:val="24"/>
        </w:rPr>
        <w:t>EMDG</w:t>
      </w:r>
      <w:r w:rsidR="00B63A65" w:rsidRPr="00B63A65">
        <w:rPr>
          <w:rFonts w:asciiTheme="majorHAnsi" w:hAnsiTheme="majorHAnsi" w:cstheme="majorHAnsi"/>
          <w:iCs/>
          <w:sz w:val="24"/>
          <w:szCs w:val="24"/>
        </w:rPr>
        <w:t xml:space="preserve"> scheme</w:t>
      </w:r>
      <w:r w:rsidR="00B63A65">
        <w:rPr>
          <w:rFonts w:asciiTheme="majorHAnsi" w:hAnsiTheme="majorHAnsi" w:cstheme="majorHAnsi"/>
          <w:iCs/>
          <w:sz w:val="24"/>
          <w:szCs w:val="24"/>
        </w:rPr>
        <w:t xml:space="preserve">. </w:t>
      </w:r>
      <w:r w:rsidR="00F71A5B">
        <w:rPr>
          <w:rFonts w:asciiTheme="majorHAnsi" w:hAnsiTheme="majorHAnsi" w:cstheme="majorHAnsi"/>
          <w:iCs/>
          <w:sz w:val="24"/>
          <w:szCs w:val="24"/>
        </w:rPr>
        <w:t xml:space="preserve">This </w:t>
      </w:r>
      <w:r w:rsidR="00B63A65" w:rsidRPr="00B63A65">
        <w:rPr>
          <w:rFonts w:asciiTheme="majorHAnsi" w:hAnsiTheme="majorHAnsi" w:cstheme="majorHAnsi"/>
          <w:iCs/>
          <w:sz w:val="24"/>
          <w:szCs w:val="24"/>
        </w:rPr>
        <w:t>bring</w:t>
      </w:r>
      <w:r w:rsidR="00F71A5B">
        <w:rPr>
          <w:rFonts w:asciiTheme="majorHAnsi" w:hAnsiTheme="majorHAnsi" w:cstheme="majorHAnsi"/>
          <w:iCs/>
          <w:sz w:val="24"/>
          <w:szCs w:val="24"/>
        </w:rPr>
        <w:t>s</w:t>
      </w:r>
      <w:r w:rsidR="00B63A65" w:rsidRPr="00B63A65">
        <w:rPr>
          <w:rFonts w:asciiTheme="majorHAnsi" w:hAnsiTheme="majorHAnsi" w:cstheme="majorHAnsi"/>
          <w:iCs/>
          <w:sz w:val="24"/>
          <w:szCs w:val="24"/>
        </w:rPr>
        <w:t xml:space="preserve"> </w:t>
      </w:r>
      <w:r w:rsidR="00F23A4D">
        <w:rPr>
          <w:rFonts w:asciiTheme="majorHAnsi" w:hAnsiTheme="majorHAnsi" w:cstheme="majorHAnsi"/>
          <w:iCs/>
          <w:sz w:val="24"/>
          <w:szCs w:val="24"/>
        </w:rPr>
        <w:t xml:space="preserve">the </w:t>
      </w:r>
      <w:r w:rsidR="00B63A65" w:rsidRPr="00B63A65">
        <w:rPr>
          <w:rFonts w:asciiTheme="majorHAnsi" w:hAnsiTheme="majorHAnsi" w:cstheme="majorHAnsi"/>
          <w:iCs/>
          <w:sz w:val="24"/>
          <w:szCs w:val="24"/>
        </w:rPr>
        <w:t>total investment in the scheme to $157.9 million each year.</w:t>
      </w:r>
    </w:p>
    <w:p w14:paraId="2737B018" w14:textId="77777777" w:rsidR="00B63A65" w:rsidRDefault="00B63A65" w:rsidP="00B63A65">
      <w:pPr>
        <w:pStyle w:val="BodyText"/>
        <w:ind w:left="0" w:firstLine="0"/>
        <w:rPr>
          <w:rFonts w:asciiTheme="majorHAnsi" w:hAnsiTheme="majorHAnsi" w:cstheme="majorHAnsi"/>
          <w:iCs/>
          <w:sz w:val="24"/>
          <w:szCs w:val="24"/>
        </w:rPr>
      </w:pPr>
      <w:r w:rsidRPr="00B63A65">
        <w:rPr>
          <w:rFonts w:asciiTheme="majorHAnsi" w:hAnsiTheme="majorHAnsi" w:cstheme="majorHAnsi"/>
          <w:iCs/>
          <w:sz w:val="24"/>
          <w:szCs w:val="24"/>
        </w:rPr>
        <w:t>Extra funding to the EMDG scheme will help Australian companies get more exposure in international markets, allowing them to develop brand recognition and form relationships with potential customers.</w:t>
      </w:r>
    </w:p>
    <w:p w14:paraId="1E6B500E" w14:textId="77777777" w:rsidR="00A16C58" w:rsidRPr="00D705BE" w:rsidRDefault="00F05FFE"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With a significant proportion of EMDG recipients developing to become high growth firms, analysing EMDG claimant data can help show the characteristics of businesses that have the potential to become high growth firms, and to support these businesses in their export journey through the EMDG scheme.</w:t>
      </w:r>
    </w:p>
    <w:p w14:paraId="15EAD991" w14:textId="77777777" w:rsidR="00AC1A9D" w:rsidRPr="00D705BE" w:rsidRDefault="00AC1A9D"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02693C"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5.3 – Use technology to reduce EMDG’s admin burden for applicants</w:t>
      </w:r>
    </w:p>
    <w:p w14:paraId="6DA95728" w14:textId="77777777" w:rsidR="0002693C" w:rsidRPr="00D705BE" w:rsidRDefault="0002693C" w:rsidP="00D705BE">
      <w:pPr>
        <w:pStyle w:val="RecommendationListText"/>
        <w:spacing w:before="0"/>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review the resourcing of agencies and programmes to assist Australian small and medium enterprises (SMEs) trade internationally as follows by</w:t>
      </w:r>
      <w:r w:rsidR="00D86B1A">
        <w:rPr>
          <w:rFonts w:asciiTheme="majorHAnsi" w:hAnsiTheme="majorHAnsi" w:cstheme="majorHAnsi"/>
          <w:b/>
          <w:i/>
          <w:sz w:val="24"/>
          <w:szCs w:val="24"/>
        </w:rPr>
        <w:t>:</w:t>
      </w:r>
    </w:p>
    <w:p w14:paraId="14817E50" w14:textId="77777777" w:rsidR="0002693C" w:rsidRPr="00D705BE" w:rsidRDefault="0002693C"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Evaluating the potential for using improved digital technology to reduce the administrative burden of the Export Market Development Grants scheme for applicants.</w:t>
      </w:r>
    </w:p>
    <w:p w14:paraId="46D78260"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00F05FFE" w:rsidRPr="00D705BE">
        <w:rPr>
          <w:rFonts w:asciiTheme="majorHAnsi" w:hAnsiTheme="majorHAnsi" w:cstheme="majorHAnsi"/>
          <w:i/>
          <w:sz w:val="24"/>
          <w:szCs w:val="24"/>
        </w:rPr>
        <w:t xml:space="preserve"> </w:t>
      </w:r>
      <w:r w:rsidR="004207C4">
        <w:rPr>
          <w:rFonts w:asciiTheme="majorHAnsi" w:hAnsiTheme="majorHAnsi" w:cstheme="majorHAnsi"/>
          <w:i/>
          <w:sz w:val="24"/>
          <w:szCs w:val="24"/>
        </w:rPr>
        <w:t xml:space="preserve">  </w:t>
      </w:r>
      <w:r w:rsidR="00673BF9">
        <w:rPr>
          <w:rFonts w:asciiTheme="majorHAnsi" w:hAnsiTheme="majorHAnsi" w:cstheme="majorHAnsi"/>
          <w:i/>
          <w:sz w:val="24"/>
          <w:szCs w:val="24"/>
        </w:rPr>
        <w:t>Supported</w:t>
      </w:r>
    </w:p>
    <w:p w14:paraId="5265A526" w14:textId="4AAF9D76" w:rsidR="000D73EA" w:rsidRDefault="000D73EA"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The Australian Government announced a review into the EMDG scheme, and Australian Government Financial Assistance to exporters on 4 October 2019.</w:t>
      </w:r>
    </w:p>
    <w:p w14:paraId="54B1895F" w14:textId="266A2DA4" w:rsidR="00F05FFE" w:rsidRPr="00876323" w:rsidRDefault="00F05FFE" w:rsidP="00D705BE">
      <w:pPr>
        <w:pStyle w:val="BodyText"/>
        <w:ind w:left="0" w:firstLine="0"/>
        <w:rPr>
          <w:rFonts w:asciiTheme="majorHAnsi" w:hAnsiTheme="majorHAnsi" w:cstheme="majorHAnsi"/>
          <w:strike/>
          <w:sz w:val="24"/>
          <w:szCs w:val="24"/>
        </w:rPr>
      </w:pPr>
      <w:r w:rsidRPr="00D705BE">
        <w:rPr>
          <w:rFonts w:asciiTheme="majorHAnsi" w:hAnsiTheme="majorHAnsi" w:cstheme="majorHAnsi"/>
          <w:sz w:val="24"/>
          <w:szCs w:val="24"/>
        </w:rPr>
        <w:t xml:space="preserve">The EMDG application form is completed and lodged online, and </w:t>
      </w:r>
      <w:proofErr w:type="gramStart"/>
      <w:r w:rsidRPr="00D705BE">
        <w:rPr>
          <w:rFonts w:asciiTheme="majorHAnsi" w:hAnsiTheme="majorHAnsi" w:cstheme="majorHAnsi"/>
          <w:sz w:val="24"/>
          <w:szCs w:val="24"/>
        </w:rPr>
        <w:t>is now hosted</w:t>
      </w:r>
      <w:proofErr w:type="gramEnd"/>
      <w:r w:rsidRPr="00D705BE">
        <w:rPr>
          <w:rFonts w:asciiTheme="majorHAnsi" w:hAnsiTheme="majorHAnsi" w:cstheme="majorHAnsi"/>
          <w:sz w:val="24"/>
          <w:szCs w:val="24"/>
        </w:rPr>
        <w:t xml:space="preserve"> in the Cloud. The application form uses rules to assess the amount of documentation an applicant is required to provide, based on the risk profile of the claim. The EMDG Service Improvement Study found that 80 per cent of EMDG applicants rated the ease of using the online form as good, very good</w:t>
      </w:r>
      <w:r w:rsidR="004207C4">
        <w:rPr>
          <w:rFonts w:asciiTheme="majorHAnsi" w:hAnsiTheme="majorHAnsi" w:cstheme="majorHAnsi"/>
          <w:sz w:val="24"/>
          <w:szCs w:val="24"/>
        </w:rPr>
        <w:t>,</w:t>
      </w:r>
      <w:r w:rsidRPr="00D705BE">
        <w:rPr>
          <w:rFonts w:asciiTheme="majorHAnsi" w:hAnsiTheme="majorHAnsi" w:cstheme="majorHAnsi"/>
          <w:sz w:val="24"/>
          <w:szCs w:val="24"/>
        </w:rPr>
        <w:t xml:space="preserve"> or excellent. Each year Austrade reassesses the amount of information a bu</w:t>
      </w:r>
      <w:r w:rsidR="00FA34A3" w:rsidRPr="00D705BE">
        <w:rPr>
          <w:rFonts w:asciiTheme="majorHAnsi" w:hAnsiTheme="majorHAnsi" w:cstheme="majorHAnsi"/>
          <w:sz w:val="24"/>
          <w:szCs w:val="24"/>
        </w:rPr>
        <w:t>siness is required to provide.</w:t>
      </w:r>
      <w:r w:rsidR="0007124A" w:rsidRPr="0007124A">
        <w:rPr>
          <w:rFonts w:asciiTheme="majorHAnsi" w:hAnsiTheme="majorHAnsi" w:cstheme="majorHAnsi"/>
          <w:sz w:val="24"/>
          <w:szCs w:val="24"/>
        </w:rPr>
        <w:t xml:space="preserve"> </w:t>
      </w:r>
      <w:r w:rsidR="0007124A" w:rsidRPr="00BD2A59">
        <w:rPr>
          <w:rFonts w:asciiTheme="majorHAnsi" w:hAnsiTheme="majorHAnsi" w:cstheme="majorHAnsi"/>
          <w:sz w:val="24"/>
          <w:szCs w:val="24"/>
        </w:rPr>
        <w:t>Contrary to the statement made in a submission to the Inquiry (6.52 of the report refers), the intensity of the claim assessment is based on the risk profile of the applicant and its expenditure</w:t>
      </w:r>
      <w:r w:rsidR="0007124A">
        <w:rPr>
          <w:rFonts w:asciiTheme="majorHAnsi" w:hAnsiTheme="majorHAnsi" w:cstheme="majorHAnsi"/>
          <w:sz w:val="24"/>
          <w:szCs w:val="24"/>
        </w:rPr>
        <w:t>.</w:t>
      </w:r>
    </w:p>
    <w:p w14:paraId="39EFDBF3" w14:textId="3F93A7B7" w:rsidR="006119E9" w:rsidRPr="00D705BE" w:rsidRDefault="004D4BE9" w:rsidP="00D705BE">
      <w:pPr>
        <w:pStyle w:val="RecommendationHeading"/>
        <w:rPr>
          <w:rFonts w:asciiTheme="majorHAnsi" w:hAnsiTheme="majorHAnsi" w:cstheme="majorHAnsi"/>
          <w:sz w:val="24"/>
          <w:szCs w:val="24"/>
        </w:rPr>
      </w:pPr>
      <w:hyperlink w:anchor="s26684rec6" w:history="1">
        <w:r w:rsidR="006119E9" w:rsidRPr="00D705BE">
          <w:rPr>
            <w:rFonts w:asciiTheme="majorHAnsi" w:hAnsiTheme="majorHAnsi" w:cstheme="majorHAnsi"/>
            <w:sz w:val="24"/>
            <w:szCs w:val="24"/>
          </w:rPr>
          <w:t>Recommendation 6</w:t>
        </w:r>
      </w:hyperlink>
      <w:r w:rsidR="0002693C" w:rsidRPr="00D705BE">
        <w:rPr>
          <w:rFonts w:asciiTheme="majorHAnsi" w:hAnsiTheme="majorHAnsi" w:cstheme="majorHAnsi"/>
          <w:sz w:val="24"/>
          <w:szCs w:val="24"/>
        </w:rPr>
        <w:t>.1</w:t>
      </w:r>
      <w:r w:rsidR="0010604F" w:rsidRPr="00D705BE">
        <w:rPr>
          <w:rFonts w:asciiTheme="majorHAnsi" w:hAnsiTheme="majorHAnsi" w:cstheme="majorHAnsi"/>
          <w:sz w:val="24"/>
          <w:szCs w:val="24"/>
        </w:rPr>
        <w:t xml:space="preserve"> – </w:t>
      </w:r>
      <w:r w:rsidR="0002693C" w:rsidRPr="00D705BE">
        <w:rPr>
          <w:rFonts w:asciiTheme="majorHAnsi" w:hAnsiTheme="majorHAnsi" w:cstheme="majorHAnsi"/>
          <w:sz w:val="24"/>
          <w:szCs w:val="24"/>
        </w:rPr>
        <w:t>Develop closer links between E</w:t>
      </w:r>
      <w:r w:rsidR="00F3732C">
        <w:rPr>
          <w:rFonts w:asciiTheme="majorHAnsi" w:hAnsiTheme="majorHAnsi" w:cstheme="majorHAnsi"/>
          <w:sz w:val="24"/>
          <w:szCs w:val="24"/>
        </w:rPr>
        <w:t>FA and Councils/CCIs to promote EFA</w:t>
      </w:r>
    </w:p>
    <w:p w14:paraId="41D5DC55" w14:textId="77777777" w:rsidR="006119E9" w:rsidRPr="00D705BE" w:rsidRDefault="006119E9"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makes</w:t>
      </w:r>
      <w:proofErr w:type="gramEnd"/>
      <w:r w:rsidRPr="00D705BE">
        <w:rPr>
          <w:rFonts w:asciiTheme="majorHAnsi" w:hAnsiTheme="majorHAnsi" w:cstheme="majorHAnsi"/>
          <w:b/>
          <w:i/>
          <w:sz w:val="24"/>
          <w:szCs w:val="24"/>
        </w:rPr>
        <w:t xml:space="preserve"> its free trade agreements (FTA) more user-friendly for Australian small and medium enterprises (SMEs) by:</w:t>
      </w:r>
    </w:p>
    <w:p w14:paraId="447287AA" w14:textId="26224D88" w:rsidR="006119E9" w:rsidRPr="00D705BE" w:rsidRDefault="006119E9"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Developing closer linkages between the Export Finance </w:t>
      </w:r>
      <w:r w:rsidR="00F3732C">
        <w:rPr>
          <w:rFonts w:asciiTheme="majorHAnsi" w:hAnsiTheme="majorHAnsi" w:cstheme="majorHAnsi"/>
          <w:b/>
          <w:i/>
          <w:sz w:val="24"/>
          <w:szCs w:val="24"/>
        </w:rPr>
        <w:t>Australia</w:t>
      </w:r>
      <w:r w:rsidRPr="00D705BE">
        <w:rPr>
          <w:rFonts w:asciiTheme="majorHAnsi" w:hAnsiTheme="majorHAnsi" w:cstheme="majorHAnsi"/>
          <w:b/>
          <w:i/>
          <w:sz w:val="24"/>
          <w:szCs w:val="24"/>
        </w:rPr>
        <w:t xml:space="preserve"> and municipal councils and local chambers of commerce so their networks can help promote E</w:t>
      </w:r>
      <w:r w:rsidR="00F3732C">
        <w:rPr>
          <w:rFonts w:asciiTheme="majorHAnsi" w:hAnsiTheme="majorHAnsi" w:cstheme="majorHAnsi"/>
          <w:b/>
          <w:i/>
          <w:sz w:val="24"/>
          <w:szCs w:val="24"/>
        </w:rPr>
        <w:t>FA</w:t>
      </w:r>
      <w:r w:rsidRPr="00D705BE">
        <w:rPr>
          <w:rFonts w:asciiTheme="majorHAnsi" w:hAnsiTheme="majorHAnsi" w:cstheme="majorHAnsi"/>
          <w:b/>
          <w:i/>
          <w:sz w:val="24"/>
          <w:szCs w:val="24"/>
        </w:rPr>
        <w:t xml:space="preserve">’s </w:t>
      </w:r>
      <w:r w:rsidR="00D86B1A">
        <w:rPr>
          <w:rFonts w:asciiTheme="majorHAnsi" w:hAnsiTheme="majorHAnsi" w:cstheme="majorHAnsi"/>
          <w:b/>
          <w:i/>
          <w:sz w:val="24"/>
          <w:szCs w:val="24"/>
        </w:rPr>
        <w:t>services to Australian SMEs.</w:t>
      </w:r>
    </w:p>
    <w:p w14:paraId="78CB55FA" w14:textId="77777777" w:rsidR="00A16C58" w:rsidRPr="00D705BE" w:rsidRDefault="00A16C58" w:rsidP="00D705BE">
      <w:pPr>
        <w:pStyle w:val="BodyText"/>
        <w:spacing w:before="0"/>
        <w:rPr>
          <w:rFonts w:asciiTheme="majorHAnsi" w:hAnsiTheme="majorHAnsi" w:cstheme="majorHAnsi"/>
          <w:i/>
          <w:sz w:val="24"/>
          <w:szCs w:val="24"/>
        </w:rPr>
      </w:pPr>
      <w:r w:rsidRPr="00D705BE">
        <w:rPr>
          <w:rFonts w:asciiTheme="majorHAnsi" w:hAnsiTheme="majorHAnsi" w:cstheme="majorHAnsi"/>
          <w:b/>
          <w:sz w:val="24"/>
          <w:szCs w:val="24"/>
        </w:rPr>
        <w:t>Response:</w:t>
      </w:r>
      <w:r w:rsidR="00666DAA" w:rsidRPr="00D705BE">
        <w:rPr>
          <w:rFonts w:asciiTheme="majorHAnsi" w:hAnsiTheme="majorHAnsi" w:cstheme="majorHAnsi"/>
          <w:i/>
          <w:sz w:val="24"/>
          <w:szCs w:val="24"/>
        </w:rPr>
        <w:t xml:space="preserve"> </w:t>
      </w:r>
      <w:r w:rsidR="004207C4">
        <w:rPr>
          <w:rFonts w:asciiTheme="majorHAnsi" w:hAnsiTheme="majorHAnsi" w:cstheme="majorHAnsi"/>
          <w:i/>
          <w:sz w:val="24"/>
          <w:szCs w:val="24"/>
        </w:rPr>
        <w:t xml:space="preserve">  </w:t>
      </w:r>
      <w:r w:rsidR="00666DAA" w:rsidRPr="00D705BE">
        <w:rPr>
          <w:rFonts w:asciiTheme="majorHAnsi" w:hAnsiTheme="majorHAnsi" w:cstheme="majorHAnsi"/>
          <w:i/>
          <w:sz w:val="24"/>
          <w:szCs w:val="24"/>
        </w:rPr>
        <w:t>Noted</w:t>
      </w:r>
    </w:p>
    <w:p w14:paraId="2BAE5421" w14:textId="78B57DF4" w:rsidR="00C871A0" w:rsidRDefault="00666DAA"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 xml:space="preserve">The Australian Government will review </w:t>
      </w:r>
      <w:r w:rsidR="004207C4">
        <w:rPr>
          <w:rFonts w:asciiTheme="majorHAnsi" w:hAnsiTheme="majorHAnsi" w:cstheme="majorHAnsi"/>
          <w:iCs/>
          <w:sz w:val="24"/>
          <w:szCs w:val="24"/>
        </w:rPr>
        <w:t xml:space="preserve">this recommendation </w:t>
      </w:r>
      <w:r w:rsidRPr="00D705BE">
        <w:rPr>
          <w:rFonts w:asciiTheme="majorHAnsi" w:hAnsiTheme="majorHAnsi" w:cstheme="majorHAnsi"/>
          <w:iCs/>
          <w:sz w:val="24"/>
          <w:szCs w:val="24"/>
        </w:rPr>
        <w:t xml:space="preserve">in the broader context of looking at </w:t>
      </w:r>
      <w:r w:rsidR="00F3732C">
        <w:rPr>
          <w:rFonts w:asciiTheme="majorHAnsi" w:hAnsiTheme="majorHAnsi" w:cstheme="majorHAnsi"/>
          <w:iCs/>
          <w:sz w:val="24"/>
          <w:szCs w:val="24"/>
        </w:rPr>
        <w:t>EFA’s</w:t>
      </w:r>
      <w:r w:rsidRPr="00D705BE">
        <w:rPr>
          <w:rFonts w:asciiTheme="majorHAnsi" w:hAnsiTheme="majorHAnsi" w:cstheme="majorHAnsi"/>
          <w:iCs/>
          <w:sz w:val="24"/>
          <w:szCs w:val="24"/>
        </w:rPr>
        <w:t xml:space="preserve"> alliances with key stakeholders in a range of levels of industry and government.</w:t>
      </w:r>
      <w:r w:rsidR="005F0AEF">
        <w:rPr>
          <w:rFonts w:asciiTheme="majorHAnsi" w:hAnsiTheme="majorHAnsi" w:cstheme="majorHAnsi"/>
          <w:iCs/>
          <w:sz w:val="24"/>
          <w:szCs w:val="24"/>
        </w:rPr>
        <w:t xml:space="preserve"> E</w:t>
      </w:r>
      <w:r w:rsidR="00F3732C">
        <w:rPr>
          <w:rFonts w:asciiTheme="majorHAnsi" w:hAnsiTheme="majorHAnsi" w:cstheme="majorHAnsi"/>
          <w:iCs/>
          <w:sz w:val="24"/>
          <w:szCs w:val="24"/>
        </w:rPr>
        <w:t>FA</w:t>
      </w:r>
      <w:r w:rsidR="005F0AEF">
        <w:rPr>
          <w:rFonts w:asciiTheme="majorHAnsi" w:hAnsiTheme="majorHAnsi" w:cstheme="majorHAnsi"/>
          <w:iCs/>
          <w:sz w:val="24"/>
          <w:szCs w:val="24"/>
        </w:rPr>
        <w:t xml:space="preserve"> and Austrade are currently working together to further strengthen the working relationship between the two agencies, to ensure that </w:t>
      </w:r>
      <w:r w:rsidR="003D24FC">
        <w:rPr>
          <w:rFonts w:asciiTheme="majorHAnsi" w:hAnsiTheme="majorHAnsi" w:cstheme="majorHAnsi"/>
          <w:iCs/>
          <w:sz w:val="24"/>
          <w:szCs w:val="24"/>
        </w:rPr>
        <w:t xml:space="preserve">they </w:t>
      </w:r>
      <w:r w:rsidR="005F0AEF">
        <w:rPr>
          <w:rFonts w:asciiTheme="majorHAnsi" w:hAnsiTheme="majorHAnsi" w:cstheme="majorHAnsi"/>
          <w:iCs/>
          <w:sz w:val="24"/>
          <w:szCs w:val="24"/>
        </w:rPr>
        <w:t>provide a seamless and enhanced service offering to Australian businesses looking to expand in</w:t>
      </w:r>
      <w:r w:rsidR="003D24FC">
        <w:rPr>
          <w:rFonts w:asciiTheme="majorHAnsi" w:hAnsiTheme="majorHAnsi" w:cstheme="majorHAnsi"/>
          <w:iCs/>
          <w:sz w:val="24"/>
          <w:szCs w:val="24"/>
        </w:rPr>
        <w:t>to</w:t>
      </w:r>
      <w:r w:rsidR="005F0AEF">
        <w:rPr>
          <w:rFonts w:asciiTheme="majorHAnsi" w:hAnsiTheme="majorHAnsi" w:cstheme="majorHAnsi"/>
          <w:iCs/>
          <w:sz w:val="24"/>
          <w:szCs w:val="24"/>
        </w:rPr>
        <w:t xml:space="preserve"> international markets.</w:t>
      </w:r>
    </w:p>
    <w:p w14:paraId="59DE36A6" w14:textId="77777777" w:rsidR="0010604F" w:rsidRPr="00D705BE" w:rsidRDefault="0002693C" w:rsidP="004E6112">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A16C58"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6.2a</w:t>
      </w:r>
      <w:r w:rsidR="0010604F" w:rsidRPr="00D705BE">
        <w:rPr>
          <w:rFonts w:asciiTheme="majorHAnsi" w:hAnsiTheme="majorHAnsi" w:cstheme="majorHAnsi"/>
          <w:sz w:val="24"/>
          <w:szCs w:val="24"/>
        </w:rPr>
        <w:t xml:space="preserve"> – </w:t>
      </w:r>
      <w:r w:rsidRPr="00D705BE">
        <w:rPr>
          <w:rFonts w:asciiTheme="majorHAnsi" w:hAnsiTheme="majorHAnsi" w:cstheme="majorHAnsi"/>
          <w:sz w:val="24"/>
          <w:szCs w:val="24"/>
        </w:rPr>
        <w:t>Establish a Single Trade Window to guide exporters to education and services</w:t>
      </w:r>
    </w:p>
    <w:p w14:paraId="3CE37524" w14:textId="77777777" w:rsidR="00A16C58" w:rsidRPr="00D705BE" w:rsidRDefault="00A16C58" w:rsidP="004E6112">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makes</w:t>
      </w:r>
      <w:proofErr w:type="gramEnd"/>
      <w:r w:rsidRPr="00D705BE">
        <w:rPr>
          <w:rFonts w:asciiTheme="majorHAnsi" w:hAnsiTheme="majorHAnsi" w:cstheme="majorHAnsi"/>
          <w:b/>
          <w:i/>
          <w:sz w:val="24"/>
          <w:szCs w:val="24"/>
        </w:rPr>
        <w:t xml:space="preserve"> its free trade agreements (FTA) more user-friendly for Australian small and medium enterprises (SMEs) by</w:t>
      </w:r>
      <w:r w:rsidR="004207C4">
        <w:rPr>
          <w:rFonts w:asciiTheme="majorHAnsi" w:hAnsiTheme="majorHAnsi" w:cstheme="majorHAnsi"/>
          <w:b/>
          <w:i/>
          <w:sz w:val="24"/>
          <w:szCs w:val="24"/>
        </w:rPr>
        <w:t>:</w:t>
      </w:r>
    </w:p>
    <w:p w14:paraId="7D11C310" w14:textId="77777777" w:rsidR="00A16C58" w:rsidRPr="00D705BE" w:rsidRDefault="00A16C58"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Establishing a 'single trade window' for SME exporters to guide them to education, products and services that meet their needs</w:t>
      </w:r>
      <w:r w:rsidR="00D86B1A">
        <w:rPr>
          <w:rFonts w:asciiTheme="majorHAnsi" w:hAnsiTheme="majorHAnsi" w:cstheme="majorHAnsi"/>
          <w:b/>
          <w:i/>
          <w:sz w:val="24"/>
          <w:szCs w:val="24"/>
        </w:rPr>
        <w:t>.</w:t>
      </w:r>
    </w:p>
    <w:p w14:paraId="2D75269D" w14:textId="77777777" w:rsidR="00A16C58" w:rsidRPr="00D705BE" w:rsidRDefault="00A16C58" w:rsidP="00D705BE">
      <w:pPr>
        <w:pStyle w:val="BodyText"/>
        <w:spacing w:before="0"/>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4207C4">
        <w:rPr>
          <w:rFonts w:asciiTheme="majorHAnsi" w:hAnsiTheme="majorHAnsi" w:cstheme="majorHAnsi"/>
          <w:i/>
          <w:sz w:val="24"/>
          <w:szCs w:val="24"/>
        </w:rPr>
        <w:t xml:space="preserve">  </w:t>
      </w:r>
      <w:r w:rsidR="00DD6A0B">
        <w:rPr>
          <w:rFonts w:asciiTheme="majorHAnsi" w:hAnsiTheme="majorHAnsi" w:cstheme="majorHAnsi"/>
          <w:i/>
          <w:sz w:val="24"/>
          <w:szCs w:val="24"/>
        </w:rPr>
        <w:t>Noted</w:t>
      </w:r>
    </w:p>
    <w:p w14:paraId="02571ACC" w14:textId="5ADA2A89" w:rsidR="00F6334C" w:rsidRPr="00D705BE" w:rsidRDefault="00F6334C"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 xml:space="preserve">The Department of Home Affairs is leading a whole-of-government agenda to transform and modernise international trade that flows </w:t>
      </w:r>
      <w:r w:rsidR="00DD6A0B">
        <w:rPr>
          <w:rFonts w:asciiTheme="majorHAnsi" w:hAnsiTheme="majorHAnsi" w:cstheme="majorHAnsi"/>
          <w:iCs/>
          <w:sz w:val="24"/>
          <w:szCs w:val="24"/>
        </w:rPr>
        <w:t>a</w:t>
      </w:r>
      <w:r w:rsidRPr="00D705BE">
        <w:rPr>
          <w:rFonts w:asciiTheme="majorHAnsi" w:hAnsiTheme="majorHAnsi" w:cstheme="majorHAnsi"/>
          <w:iCs/>
          <w:sz w:val="24"/>
          <w:szCs w:val="24"/>
        </w:rPr>
        <w:t>cross Australia’s border. This agenda aims to create a future international trade system for Australia that is digital, seamless</w:t>
      </w:r>
      <w:r w:rsidR="004207C4">
        <w:rPr>
          <w:rFonts w:asciiTheme="majorHAnsi" w:hAnsiTheme="majorHAnsi" w:cstheme="majorHAnsi"/>
          <w:iCs/>
          <w:sz w:val="24"/>
          <w:szCs w:val="24"/>
        </w:rPr>
        <w:t>,</w:t>
      </w:r>
      <w:r w:rsidRPr="00D705BE">
        <w:rPr>
          <w:rFonts w:asciiTheme="majorHAnsi" w:hAnsiTheme="majorHAnsi" w:cstheme="majorHAnsi"/>
          <w:iCs/>
          <w:sz w:val="24"/>
          <w:szCs w:val="24"/>
        </w:rPr>
        <w:t xml:space="preserve"> and secure. This system </w:t>
      </w:r>
      <w:proofErr w:type="gramStart"/>
      <w:r w:rsidRPr="00D705BE">
        <w:rPr>
          <w:rFonts w:asciiTheme="majorHAnsi" w:hAnsiTheme="majorHAnsi" w:cstheme="majorHAnsi"/>
          <w:iCs/>
          <w:sz w:val="24"/>
          <w:szCs w:val="24"/>
        </w:rPr>
        <w:t>would be underpinned</w:t>
      </w:r>
      <w:proofErr w:type="gramEnd"/>
      <w:r w:rsidRPr="00D705BE">
        <w:rPr>
          <w:rFonts w:asciiTheme="majorHAnsi" w:hAnsiTheme="majorHAnsi" w:cstheme="majorHAnsi"/>
          <w:iCs/>
          <w:sz w:val="24"/>
          <w:szCs w:val="24"/>
        </w:rPr>
        <w:t xml:space="preserve"> by an enhanced single window for international trade. Australia already has a customs single window, the Integrated Cargo System. </w:t>
      </w:r>
      <w:r w:rsidR="00E779A5">
        <w:rPr>
          <w:rFonts w:asciiTheme="majorHAnsi" w:hAnsiTheme="majorHAnsi" w:cstheme="majorHAnsi"/>
          <w:iCs/>
          <w:sz w:val="24"/>
          <w:szCs w:val="24"/>
        </w:rPr>
        <w:t xml:space="preserve">The Department of Home Affairs is </w:t>
      </w:r>
      <w:r w:rsidRPr="00D705BE">
        <w:rPr>
          <w:rFonts w:asciiTheme="majorHAnsi" w:hAnsiTheme="majorHAnsi" w:cstheme="majorHAnsi"/>
          <w:iCs/>
          <w:sz w:val="24"/>
          <w:szCs w:val="24"/>
        </w:rPr>
        <w:t>engag</w:t>
      </w:r>
      <w:r w:rsidR="00E779A5">
        <w:rPr>
          <w:rFonts w:asciiTheme="majorHAnsi" w:hAnsiTheme="majorHAnsi" w:cstheme="majorHAnsi"/>
          <w:iCs/>
          <w:sz w:val="24"/>
          <w:szCs w:val="24"/>
        </w:rPr>
        <w:t xml:space="preserve">ing with SMEs </w:t>
      </w:r>
      <w:r w:rsidRPr="00D705BE">
        <w:rPr>
          <w:rFonts w:asciiTheme="majorHAnsi" w:hAnsiTheme="majorHAnsi" w:cstheme="majorHAnsi"/>
          <w:iCs/>
          <w:sz w:val="24"/>
          <w:szCs w:val="24"/>
        </w:rPr>
        <w:t>on trade modernisation reforms.</w:t>
      </w:r>
    </w:p>
    <w:p w14:paraId="62ABBBB4" w14:textId="77777777" w:rsidR="00625A9B" w:rsidRDefault="00F6334C" w:rsidP="00D705BE">
      <w:pPr>
        <w:pStyle w:val="BodyText"/>
        <w:ind w:left="0" w:firstLine="0"/>
        <w:rPr>
          <w:rFonts w:asciiTheme="majorHAnsi" w:hAnsiTheme="majorHAnsi" w:cstheme="majorHAnsi"/>
          <w:iCs/>
          <w:sz w:val="24"/>
          <w:szCs w:val="24"/>
        </w:rPr>
      </w:pPr>
      <w:r w:rsidRPr="00D705BE">
        <w:rPr>
          <w:rFonts w:asciiTheme="majorHAnsi" w:hAnsiTheme="majorHAnsi" w:cstheme="majorHAnsi"/>
          <w:iCs/>
          <w:sz w:val="24"/>
          <w:szCs w:val="24"/>
        </w:rPr>
        <w:t xml:space="preserve">Austrade is also developing the ‘Export Support Finder’ (ESF), a digital tool that will help any exporter, or potential exporter, </w:t>
      </w:r>
      <w:proofErr w:type="gramStart"/>
      <w:r w:rsidRPr="00D705BE">
        <w:rPr>
          <w:rFonts w:asciiTheme="majorHAnsi" w:hAnsiTheme="majorHAnsi" w:cstheme="majorHAnsi"/>
          <w:iCs/>
          <w:sz w:val="24"/>
          <w:szCs w:val="24"/>
        </w:rPr>
        <w:t>to quickly and easily find</w:t>
      </w:r>
      <w:proofErr w:type="gramEnd"/>
      <w:r w:rsidRPr="00D705BE">
        <w:rPr>
          <w:rFonts w:asciiTheme="majorHAnsi" w:hAnsiTheme="majorHAnsi" w:cstheme="majorHAnsi"/>
          <w:iCs/>
          <w:sz w:val="24"/>
          <w:szCs w:val="24"/>
        </w:rPr>
        <w:t xml:space="preserve"> information and services provided by Government and other expert sources to support their export journey. The ESF will focus initially on service</w:t>
      </w:r>
      <w:r w:rsidR="003D24FC">
        <w:rPr>
          <w:rFonts w:asciiTheme="majorHAnsi" w:hAnsiTheme="majorHAnsi" w:cstheme="majorHAnsi"/>
          <w:iCs/>
          <w:sz w:val="24"/>
          <w:szCs w:val="24"/>
        </w:rPr>
        <w:t>s</w:t>
      </w:r>
      <w:r w:rsidRPr="00D705BE">
        <w:rPr>
          <w:rFonts w:asciiTheme="majorHAnsi" w:hAnsiTheme="majorHAnsi" w:cstheme="majorHAnsi"/>
          <w:iCs/>
          <w:sz w:val="24"/>
          <w:szCs w:val="24"/>
        </w:rPr>
        <w:t xml:space="preserve"> exports</w:t>
      </w:r>
      <w:r w:rsidR="004207C4">
        <w:rPr>
          <w:rFonts w:asciiTheme="majorHAnsi" w:hAnsiTheme="majorHAnsi" w:cstheme="majorHAnsi"/>
          <w:iCs/>
          <w:sz w:val="24"/>
          <w:szCs w:val="24"/>
        </w:rPr>
        <w:t>,</w:t>
      </w:r>
      <w:r w:rsidRPr="00D705BE">
        <w:rPr>
          <w:rFonts w:asciiTheme="majorHAnsi" w:hAnsiTheme="majorHAnsi" w:cstheme="majorHAnsi"/>
          <w:iCs/>
          <w:sz w:val="24"/>
          <w:szCs w:val="24"/>
        </w:rPr>
        <w:t xml:space="preserve"> and </w:t>
      </w:r>
      <w:proofErr w:type="gramStart"/>
      <w:r w:rsidRPr="00D705BE">
        <w:rPr>
          <w:rFonts w:asciiTheme="majorHAnsi" w:hAnsiTheme="majorHAnsi" w:cstheme="majorHAnsi"/>
          <w:iCs/>
          <w:sz w:val="24"/>
          <w:szCs w:val="24"/>
        </w:rPr>
        <w:t>will be expanded</w:t>
      </w:r>
      <w:proofErr w:type="gramEnd"/>
      <w:r w:rsidRPr="00D705BE">
        <w:rPr>
          <w:rFonts w:asciiTheme="majorHAnsi" w:hAnsiTheme="majorHAnsi" w:cstheme="majorHAnsi"/>
          <w:iCs/>
          <w:sz w:val="24"/>
          <w:szCs w:val="24"/>
        </w:rPr>
        <w:t xml:space="preserve"> to accommodate other export categories in response to client demand over time. The ESF will draw on Austrade’s existing knowledge base and systems, its experience of enquiries from clients</w:t>
      </w:r>
      <w:r w:rsidR="004207C4">
        <w:rPr>
          <w:rFonts w:asciiTheme="majorHAnsi" w:hAnsiTheme="majorHAnsi" w:cstheme="majorHAnsi"/>
          <w:iCs/>
          <w:sz w:val="24"/>
          <w:szCs w:val="24"/>
        </w:rPr>
        <w:t>,</w:t>
      </w:r>
      <w:r w:rsidRPr="00D705BE">
        <w:rPr>
          <w:rFonts w:asciiTheme="majorHAnsi" w:hAnsiTheme="majorHAnsi" w:cstheme="majorHAnsi"/>
          <w:iCs/>
          <w:sz w:val="24"/>
          <w:szCs w:val="24"/>
        </w:rPr>
        <w:t xml:space="preserve"> and the knowledge base of selected Austrade partners.</w:t>
      </w:r>
    </w:p>
    <w:p w14:paraId="2D3C46A3" w14:textId="13E053B5" w:rsidR="006119E9" w:rsidRPr="00D705BE" w:rsidRDefault="00625A9B" w:rsidP="00C95B9C">
      <w:pPr>
        <w:pStyle w:val="RecommendationHeading"/>
        <w:rPr>
          <w:rFonts w:asciiTheme="majorHAnsi" w:hAnsiTheme="majorHAnsi" w:cstheme="majorHAnsi"/>
          <w:sz w:val="24"/>
          <w:szCs w:val="24"/>
        </w:rPr>
      </w:pPr>
      <w:r>
        <w:rPr>
          <w:rFonts w:asciiTheme="majorHAnsi" w:hAnsiTheme="majorHAnsi" w:cstheme="majorHAnsi"/>
          <w:iCs/>
          <w:sz w:val="24"/>
          <w:szCs w:val="24"/>
        </w:rPr>
        <w:br w:type="page"/>
      </w:r>
      <w:r w:rsidR="0010604F" w:rsidRPr="00D705BE">
        <w:rPr>
          <w:rFonts w:asciiTheme="majorHAnsi" w:hAnsiTheme="majorHAnsi" w:cstheme="majorHAnsi"/>
          <w:sz w:val="24"/>
          <w:szCs w:val="24"/>
        </w:rPr>
        <w:lastRenderedPageBreak/>
        <w:t>R</w:t>
      </w:r>
      <w:r w:rsidR="00A16C58" w:rsidRPr="00D705BE">
        <w:rPr>
          <w:rFonts w:asciiTheme="majorHAnsi" w:hAnsiTheme="majorHAnsi" w:cstheme="majorHAnsi"/>
          <w:sz w:val="24"/>
          <w:szCs w:val="24"/>
        </w:rPr>
        <w:t xml:space="preserve">ecommendation </w:t>
      </w:r>
      <w:r w:rsidR="0010604F" w:rsidRPr="00D705BE">
        <w:rPr>
          <w:rFonts w:asciiTheme="majorHAnsi" w:hAnsiTheme="majorHAnsi" w:cstheme="majorHAnsi"/>
          <w:sz w:val="24"/>
          <w:szCs w:val="24"/>
        </w:rPr>
        <w:t>6.2</w:t>
      </w:r>
      <w:r w:rsidR="00A16C58" w:rsidRPr="00D705BE">
        <w:rPr>
          <w:rFonts w:asciiTheme="majorHAnsi" w:hAnsiTheme="majorHAnsi" w:cstheme="majorHAnsi"/>
          <w:sz w:val="24"/>
          <w:szCs w:val="24"/>
        </w:rPr>
        <w:t>b</w:t>
      </w:r>
      <w:r w:rsidR="0010604F" w:rsidRPr="00D705BE">
        <w:rPr>
          <w:rFonts w:asciiTheme="majorHAnsi" w:hAnsiTheme="majorHAnsi" w:cstheme="majorHAnsi"/>
          <w:sz w:val="24"/>
          <w:szCs w:val="24"/>
        </w:rPr>
        <w:t xml:space="preserve"> – </w:t>
      </w:r>
      <w:r w:rsidR="00A16C58" w:rsidRPr="00D705BE">
        <w:rPr>
          <w:rFonts w:asciiTheme="majorHAnsi" w:hAnsiTheme="majorHAnsi" w:cstheme="majorHAnsi"/>
          <w:sz w:val="24"/>
          <w:szCs w:val="24"/>
        </w:rPr>
        <w:t>Improve access of SMEs to centralised trade resource</w:t>
      </w:r>
      <w:r w:rsidR="006119E9" w:rsidRPr="00D705BE">
        <w:rPr>
          <w:rFonts w:asciiTheme="majorHAnsi" w:hAnsiTheme="majorHAnsi" w:cstheme="majorHAnsi"/>
          <w:sz w:val="24"/>
          <w:szCs w:val="24"/>
        </w:rPr>
        <w:t xml:space="preserve"> </w:t>
      </w:r>
    </w:p>
    <w:p w14:paraId="7C6EB50D" w14:textId="77777777" w:rsidR="00A16C58" w:rsidRPr="00D705BE" w:rsidRDefault="00A16C58"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makes</w:t>
      </w:r>
      <w:proofErr w:type="gramEnd"/>
      <w:r w:rsidRPr="00D705BE">
        <w:rPr>
          <w:rFonts w:asciiTheme="majorHAnsi" w:hAnsiTheme="majorHAnsi" w:cstheme="majorHAnsi"/>
          <w:b/>
          <w:i/>
          <w:sz w:val="24"/>
          <w:szCs w:val="24"/>
        </w:rPr>
        <w:t xml:space="preserve"> its free trade agreements (FTA) more user-friendly for Australian small and medium enterprises (SMEs) by:</w:t>
      </w:r>
    </w:p>
    <w:p w14:paraId="3E24ABC2" w14:textId="77777777" w:rsidR="00A16C58" w:rsidRPr="00D705BE" w:rsidRDefault="00A16C58" w:rsidP="00D705BE">
      <w:pPr>
        <w:pStyle w:val="RecommendationListBullet1"/>
        <w:rPr>
          <w:rFonts w:asciiTheme="majorHAnsi" w:hAnsiTheme="majorHAnsi" w:cstheme="majorHAnsi"/>
          <w:b/>
          <w:i/>
          <w:sz w:val="24"/>
          <w:szCs w:val="24"/>
        </w:rPr>
      </w:pPr>
      <w:proofErr w:type="gramStart"/>
      <w:r w:rsidRPr="00D705BE">
        <w:rPr>
          <w:rFonts w:asciiTheme="majorHAnsi" w:hAnsiTheme="majorHAnsi" w:cstheme="majorHAnsi"/>
          <w:b/>
          <w:i/>
          <w:sz w:val="24"/>
          <w:szCs w:val="24"/>
        </w:rPr>
        <w:t>improve</w:t>
      </w:r>
      <w:proofErr w:type="gramEnd"/>
      <w:r w:rsidRPr="00D705BE">
        <w:rPr>
          <w:rFonts w:asciiTheme="majorHAnsi" w:hAnsiTheme="majorHAnsi" w:cstheme="majorHAnsi"/>
          <w:b/>
          <w:i/>
          <w:sz w:val="24"/>
          <w:szCs w:val="24"/>
        </w:rPr>
        <w:t xml:space="preserve"> the access of SMEs to a centralised source of trade resources, from government agencies such as the Department of Foreign Affairs and Trade, Australian Trade and Investment Commission, Department of Home Affairs, Department of Agriculture and Water Resources, Export Finance and Insurance Corporation, Department of Industry, Innovation and Science, and the Department of Jobs and Small Business.</w:t>
      </w:r>
    </w:p>
    <w:p w14:paraId="1FDE0B05"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00C54542" w:rsidRPr="00D705BE">
        <w:rPr>
          <w:rFonts w:asciiTheme="majorHAnsi" w:hAnsiTheme="majorHAnsi" w:cstheme="majorHAnsi"/>
          <w:i/>
          <w:sz w:val="24"/>
          <w:szCs w:val="24"/>
        </w:rPr>
        <w:t xml:space="preserve"> </w:t>
      </w:r>
      <w:r w:rsidR="004207C4">
        <w:rPr>
          <w:rFonts w:asciiTheme="majorHAnsi" w:hAnsiTheme="majorHAnsi" w:cstheme="majorHAnsi"/>
          <w:i/>
          <w:sz w:val="24"/>
          <w:szCs w:val="24"/>
        </w:rPr>
        <w:t xml:space="preserve">  </w:t>
      </w:r>
      <w:r w:rsidR="00C54542" w:rsidRPr="00D705BE">
        <w:rPr>
          <w:rFonts w:asciiTheme="majorHAnsi" w:hAnsiTheme="majorHAnsi" w:cstheme="majorHAnsi"/>
          <w:i/>
          <w:sz w:val="24"/>
          <w:szCs w:val="24"/>
        </w:rPr>
        <w:t>Noted</w:t>
      </w:r>
    </w:p>
    <w:p w14:paraId="2459749E" w14:textId="40DD8048" w:rsidR="00D32D9B" w:rsidRDefault="00C54542" w:rsidP="00C871A0">
      <w:pPr>
        <w:spacing w:before="120" w:after="120"/>
        <w:rPr>
          <w:rFonts w:asciiTheme="majorHAnsi" w:eastAsia="Palatino Linotype" w:hAnsiTheme="majorHAnsi" w:cstheme="majorHAnsi"/>
          <w:b/>
          <w:sz w:val="24"/>
          <w:szCs w:val="24"/>
        </w:rPr>
      </w:pPr>
      <w:r w:rsidRPr="00D705BE">
        <w:rPr>
          <w:rFonts w:asciiTheme="majorHAnsi" w:hAnsiTheme="majorHAnsi" w:cstheme="majorHAnsi"/>
          <w:sz w:val="24"/>
          <w:szCs w:val="24"/>
        </w:rPr>
        <w:t xml:space="preserve">The Australian Government notes that a single </w:t>
      </w:r>
      <w:r w:rsidR="00473DE5" w:rsidRPr="00D705BE">
        <w:rPr>
          <w:rFonts w:asciiTheme="majorHAnsi" w:hAnsiTheme="majorHAnsi" w:cstheme="majorHAnsi"/>
          <w:sz w:val="24"/>
          <w:szCs w:val="24"/>
        </w:rPr>
        <w:t>source of trade resources</w:t>
      </w:r>
      <w:r w:rsidRPr="00D705BE">
        <w:rPr>
          <w:rFonts w:asciiTheme="majorHAnsi" w:hAnsiTheme="majorHAnsi" w:cstheme="majorHAnsi"/>
          <w:sz w:val="24"/>
          <w:szCs w:val="24"/>
        </w:rPr>
        <w:t xml:space="preserve"> for businesses already exists </w:t>
      </w:r>
      <w:r w:rsidR="00473DE5" w:rsidRPr="00D705BE">
        <w:rPr>
          <w:rFonts w:asciiTheme="majorHAnsi" w:hAnsiTheme="majorHAnsi" w:cstheme="majorHAnsi"/>
          <w:sz w:val="24"/>
          <w:szCs w:val="24"/>
        </w:rPr>
        <w:t>–</w:t>
      </w:r>
      <w:r w:rsidRPr="00D705BE">
        <w:rPr>
          <w:rFonts w:asciiTheme="majorHAnsi" w:hAnsiTheme="majorHAnsi" w:cstheme="majorHAnsi"/>
          <w:sz w:val="24"/>
          <w:szCs w:val="24"/>
        </w:rPr>
        <w:t xml:space="preserve"> </w:t>
      </w:r>
      <w:hyperlink r:id="rId10" w:history="1">
        <w:r w:rsidR="004207C4" w:rsidRPr="00B23776">
          <w:rPr>
            <w:rStyle w:val="Hyperlink"/>
            <w:rFonts w:asciiTheme="majorHAnsi" w:hAnsiTheme="majorHAnsi" w:cstheme="majorHAnsi"/>
            <w:sz w:val="24"/>
            <w:szCs w:val="24"/>
          </w:rPr>
          <w:t>www.</w:t>
        </w:r>
        <w:r w:rsidR="004207C4" w:rsidRPr="00D705BE">
          <w:rPr>
            <w:rStyle w:val="Hyperlink"/>
            <w:rFonts w:asciiTheme="majorHAnsi" w:hAnsiTheme="majorHAnsi" w:cstheme="majorHAnsi"/>
            <w:sz w:val="24"/>
            <w:szCs w:val="24"/>
          </w:rPr>
          <w:t>business.gov.au</w:t>
        </w:r>
      </w:hyperlink>
      <w:r w:rsidRPr="00D705BE">
        <w:rPr>
          <w:rFonts w:asciiTheme="majorHAnsi" w:hAnsiTheme="majorHAnsi" w:cstheme="majorHAnsi"/>
          <w:sz w:val="24"/>
          <w:szCs w:val="24"/>
        </w:rPr>
        <w:t xml:space="preserve">. The </w:t>
      </w:r>
      <w:r w:rsidR="00473DE5" w:rsidRPr="00D705BE">
        <w:rPr>
          <w:rFonts w:asciiTheme="majorHAnsi" w:hAnsiTheme="majorHAnsi" w:cstheme="majorHAnsi"/>
          <w:sz w:val="24"/>
          <w:szCs w:val="24"/>
        </w:rPr>
        <w:t>website</w:t>
      </w:r>
      <w:r w:rsidRPr="00D705BE">
        <w:rPr>
          <w:rFonts w:asciiTheme="majorHAnsi" w:hAnsiTheme="majorHAnsi" w:cstheme="majorHAnsi"/>
          <w:sz w:val="24"/>
          <w:szCs w:val="24"/>
        </w:rPr>
        <w:t xml:space="preserve"> is a trusted one-stop shop for </w:t>
      </w:r>
      <w:r w:rsidR="00473DE5" w:rsidRPr="00D705BE">
        <w:rPr>
          <w:rFonts w:asciiTheme="majorHAnsi" w:hAnsiTheme="majorHAnsi" w:cstheme="majorHAnsi"/>
          <w:sz w:val="24"/>
          <w:szCs w:val="24"/>
        </w:rPr>
        <w:t>SMEs</w:t>
      </w:r>
      <w:r w:rsidRPr="00D705BE">
        <w:rPr>
          <w:rFonts w:asciiTheme="majorHAnsi" w:hAnsiTheme="majorHAnsi" w:cstheme="majorHAnsi"/>
          <w:sz w:val="24"/>
          <w:szCs w:val="24"/>
        </w:rPr>
        <w:t xml:space="preserve"> with relevant links to specific exporting information (Austrade), </w:t>
      </w:r>
      <w:r w:rsidR="00CA57AE" w:rsidRPr="00E373E6">
        <w:rPr>
          <w:rFonts w:asciiTheme="majorHAnsi" w:hAnsiTheme="majorHAnsi" w:cstheme="majorHAnsi"/>
          <w:sz w:val="24"/>
          <w:szCs w:val="24"/>
        </w:rPr>
        <w:t xml:space="preserve">business competitiveness and productivity </w:t>
      </w:r>
      <w:r w:rsidR="00CA57AE">
        <w:rPr>
          <w:rFonts w:asciiTheme="majorHAnsi" w:hAnsiTheme="majorHAnsi" w:cstheme="majorHAnsi"/>
          <w:sz w:val="24"/>
          <w:szCs w:val="24"/>
        </w:rPr>
        <w:t>support (</w:t>
      </w:r>
      <w:r w:rsidR="003D24FC">
        <w:rPr>
          <w:rFonts w:asciiTheme="majorHAnsi" w:hAnsiTheme="majorHAnsi" w:cstheme="majorHAnsi"/>
          <w:sz w:val="24"/>
          <w:szCs w:val="24"/>
        </w:rPr>
        <w:t>DIIS</w:t>
      </w:r>
      <w:r w:rsidR="00CA57AE">
        <w:rPr>
          <w:rFonts w:asciiTheme="majorHAnsi" w:hAnsiTheme="majorHAnsi" w:cstheme="majorHAnsi"/>
          <w:sz w:val="24"/>
          <w:szCs w:val="24"/>
        </w:rPr>
        <w:t xml:space="preserve">), </w:t>
      </w:r>
      <w:r w:rsidRPr="00D705BE">
        <w:rPr>
          <w:rFonts w:asciiTheme="majorHAnsi" w:hAnsiTheme="majorHAnsi" w:cstheme="majorHAnsi"/>
          <w:sz w:val="24"/>
          <w:szCs w:val="24"/>
        </w:rPr>
        <w:t xml:space="preserve">customs information (Home Affairs) and </w:t>
      </w:r>
      <w:r w:rsidR="00473DE5" w:rsidRPr="00D705BE">
        <w:rPr>
          <w:rFonts w:asciiTheme="majorHAnsi" w:hAnsiTheme="majorHAnsi" w:cstheme="majorHAnsi"/>
          <w:sz w:val="24"/>
          <w:szCs w:val="24"/>
        </w:rPr>
        <w:t>FTAs</w:t>
      </w:r>
      <w:r w:rsidRPr="00D705BE">
        <w:rPr>
          <w:rFonts w:asciiTheme="majorHAnsi" w:hAnsiTheme="majorHAnsi" w:cstheme="majorHAnsi"/>
          <w:sz w:val="24"/>
          <w:szCs w:val="24"/>
        </w:rPr>
        <w:t xml:space="preserve"> (</w:t>
      </w:r>
      <w:r w:rsidR="003D24FC">
        <w:rPr>
          <w:rFonts w:asciiTheme="majorHAnsi" w:hAnsiTheme="majorHAnsi" w:cstheme="majorHAnsi"/>
          <w:sz w:val="24"/>
          <w:szCs w:val="24"/>
        </w:rPr>
        <w:t>DFAT</w:t>
      </w:r>
      <w:r w:rsidRPr="00D705BE">
        <w:rPr>
          <w:rFonts w:asciiTheme="majorHAnsi" w:hAnsiTheme="majorHAnsi" w:cstheme="majorHAnsi"/>
          <w:sz w:val="24"/>
          <w:szCs w:val="24"/>
        </w:rPr>
        <w:t>). The Government will consider expanding trade</w:t>
      </w:r>
      <w:r w:rsidR="00D90FAD">
        <w:rPr>
          <w:rFonts w:asciiTheme="majorHAnsi" w:hAnsiTheme="majorHAnsi" w:cstheme="majorHAnsi"/>
          <w:sz w:val="24"/>
          <w:szCs w:val="24"/>
        </w:rPr>
        <w:t>-</w:t>
      </w:r>
      <w:r w:rsidRPr="00D705BE">
        <w:rPr>
          <w:rFonts w:asciiTheme="majorHAnsi" w:hAnsiTheme="majorHAnsi" w:cstheme="majorHAnsi"/>
          <w:sz w:val="24"/>
          <w:szCs w:val="24"/>
        </w:rPr>
        <w:t xml:space="preserve">related information on </w:t>
      </w:r>
      <w:hyperlink r:id="rId11" w:history="1">
        <w:r w:rsidR="004207C4" w:rsidRPr="00B23776">
          <w:rPr>
            <w:rStyle w:val="Hyperlink"/>
            <w:rFonts w:asciiTheme="majorHAnsi" w:hAnsiTheme="majorHAnsi" w:cstheme="majorHAnsi"/>
            <w:sz w:val="24"/>
            <w:szCs w:val="24"/>
          </w:rPr>
          <w:t>www.</w:t>
        </w:r>
        <w:r w:rsidR="004207C4" w:rsidRPr="00D705BE">
          <w:rPr>
            <w:rStyle w:val="Hyperlink"/>
            <w:rFonts w:asciiTheme="majorHAnsi" w:hAnsiTheme="majorHAnsi" w:cstheme="majorHAnsi"/>
            <w:sz w:val="24"/>
            <w:szCs w:val="24"/>
          </w:rPr>
          <w:t>business.gov.au</w:t>
        </w:r>
      </w:hyperlink>
      <w:r w:rsidR="004207C4">
        <w:rPr>
          <w:rFonts w:asciiTheme="majorHAnsi" w:hAnsiTheme="majorHAnsi" w:cstheme="majorHAnsi"/>
          <w:sz w:val="24"/>
          <w:szCs w:val="24"/>
        </w:rPr>
        <w:t xml:space="preserve"> </w:t>
      </w:r>
      <w:r w:rsidRPr="00D705BE">
        <w:rPr>
          <w:rFonts w:asciiTheme="majorHAnsi" w:hAnsiTheme="majorHAnsi" w:cstheme="majorHAnsi"/>
          <w:sz w:val="24"/>
          <w:szCs w:val="24"/>
        </w:rPr>
        <w:t>to include exporting digital goods and services.</w:t>
      </w:r>
      <w:r w:rsidR="00465731">
        <w:rPr>
          <w:rFonts w:asciiTheme="majorHAnsi" w:hAnsiTheme="majorHAnsi" w:cstheme="majorHAnsi"/>
          <w:sz w:val="24"/>
          <w:szCs w:val="24"/>
        </w:rPr>
        <w:t xml:space="preserve"> </w:t>
      </w:r>
      <w:r w:rsidR="00982914">
        <w:rPr>
          <w:rFonts w:asciiTheme="majorHAnsi" w:hAnsiTheme="majorHAnsi" w:cstheme="majorHAnsi"/>
          <w:sz w:val="24"/>
          <w:szCs w:val="24"/>
        </w:rPr>
        <w:t>In addition, the award winning FTA Portal provides SMEs with valuable information regarding exporting</w:t>
      </w:r>
      <w:r w:rsidR="00CF3337">
        <w:rPr>
          <w:rFonts w:asciiTheme="majorHAnsi" w:hAnsiTheme="majorHAnsi" w:cstheme="majorHAnsi"/>
          <w:sz w:val="24"/>
          <w:szCs w:val="24"/>
        </w:rPr>
        <w:t xml:space="preserve"> or importing</w:t>
      </w:r>
      <w:r w:rsidR="00982914">
        <w:rPr>
          <w:rFonts w:asciiTheme="majorHAnsi" w:hAnsiTheme="majorHAnsi" w:cstheme="majorHAnsi"/>
          <w:sz w:val="24"/>
          <w:szCs w:val="24"/>
        </w:rPr>
        <w:t xml:space="preserve"> goods and services </w:t>
      </w:r>
      <w:r w:rsidR="00CF3337">
        <w:rPr>
          <w:rFonts w:asciiTheme="majorHAnsi" w:hAnsiTheme="majorHAnsi" w:cstheme="majorHAnsi"/>
          <w:sz w:val="24"/>
          <w:szCs w:val="24"/>
        </w:rPr>
        <w:t>from</w:t>
      </w:r>
      <w:r w:rsidR="00982914">
        <w:rPr>
          <w:rFonts w:asciiTheme="majorHAnsi" w:hAnsiTheme="majorHAnsi" w:cstheme="majorHAnsi"/>
          <w:sz w:val="24"/>
          <w:szCs w:val="24"/>
        </w:rPr>
        <w:t xml:space="preserve"> our FTA partners </w:t>
      </w:r>
      <w:r w:rsidR="00465731">
        <w:rPr>
          <w:rFonts w:asciiTheme="majorHAnsi" w:hAnsiTheme="majorHAnsi" w:cstheme="majorHAnsi"/>
          <w:sz w:val="24"/>
          <w:szCs w:val="24"/>
        </w:rPr>
        <w:t>(refer Recommendation 9.2).</w:t>
      </w:r>
    </w:p>
    <w:p w14:paraId="16DB94E9" w14:textId="77777777" w:rsidR="00EF52FF" w:rsidRPr="00D705BE" w:rsidRDefault="00EF52FF"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A16C58"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7.1 – Support smaller non-Ministerial trade delegations</w:t>
      </w:r>
    </w:p>
    <w:p w14:paraId="00EC7B60" w14:textId="77777777" w:rsidR="00DB26DF" w:rsidRPr="00D705BE" w:rsidRDefault="00DB26DF"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strengthen its Team Australia approach in target markets by:</w:t>
      </w:r>
    </w:p>
    <w:p w14:paraId="0B45C55B" w14:textId="77777777" w:rsidR="00DB26DF" w:rsidRPr="00D705BE" w:rsidRDefault="00DB26DF"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Supporting an increase in the number of smaller, non-Ministerial, industry-focused trade delegations with an emphasis on one-on-one business meetings to achieve </w:t>
      </w:r>
      <w:r w:rsidR="00D86B1A">
        <w:rPr>
          <w:rFonts w:asciiTheme="majorHAnsi" w:hAnsiTheme="majorHAnsi" w:cstheme="majorHAnsi"/>
          <w:b/>
          <w:i/>
          <w:sz w:val="24"/>
          <w:szCs w:val="24"/>
        </w:rPr>
        <w:t>more tangible trade outcomes.</w:t>
      </w:r>
    </w:p>
    <w:p w14:paraId="0EB0DF5F"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004207C4">
        <w:rPr>
          <w:rFonts w:asciiTheme="majorHAnsi" w:hAnsiTheme="majorHAnsi" w:cstheme="majorHAnsi"/>
          <w:b/>
          <w:sz w:val="24"/>
          <w:szCs w:val="24"/>
        </w:rPr>
        <w:t xml:space="preserve">  </w:t>
      </w:r>
      <w:r w:rsidR="00F05FFE" w:rsidRPr="00D705BE">
        <w:rPr>
          <w:rFonts w:asciiTheme="majorHAnsi" w:hAnsiTheme="majorHAnsi" w:cstheme="majorHAnsi"/>
          <w:i/>
          <w:sz w:val="24"/>
          <w:szCs w:val="24"/>
        </w:rPr>
        <w:t xml:space="preserve"> Noted</w:t>
      </w:r>
    </w:p>
    <w:p w14:paraId="3275FE0A" w14:textId="77777777" w:rsidR="004207C4" w:rsidRDefault="00F05FFE" w:rsidP="00D705BE">
      <w:pPr>
        <w:pStyle w:val="BodyText"/>
        <w:tabs>
          <w:tab w:val="clear" w:pos="624"/>
        </w:tabs>
        <w:ind w:left="0" w:firstLine="0"/>
        <w:rPr>
          <w:rFonts w:asciiTheme="majorHAnsi" w:hAnsiTheme="majorHAnsi" w:cstheme="majorHAnsi"/>
          <w:sz w:val="24"/>
          <w:szCs w:val="24"/>
        </w:rPr>
      </w:pPr>
      <w:r w:rsidRPr="00D705BE">
        <w:rPr>
          <w:rFonts w:asciiTheme="majorHAnsi" w:hAnsiTheme="majorHAnsi" w:cstheme="majorHAnsi"/>
          <w:sz w:val="24"/>
          <w:szCs w:val="24"/>
        </w:rPr>
        <w:t xml:space="preserve">Austrade runs a number of smaller, targeted trade delegations as part of its routine industry and market plans. </w:t>
      </w:r>
      <w:proofErr w:type="gramStart"/>
      <w:r w:rsidRPr="00D705BE">
        <w:rPr>
          <w:rFonts w:asciiTheme="majorHAnsi" w:hAnsiTheme="majorHAnsi" w:cstheme="majorHAnsi"/>
          <w:sz w:val="24"/>
          <w:szCs w:val="24"/>
        </w:rPr>
        <w:t>These can be led by Austrade, industry associations</w:t>
      </w:r>
      <w:r w:rsidR="004207C4">
        <w:rPr>
          <w:rFonts w:asciiTheme="majorHAnsi" w:hAnsiTheme="majorHAnsi" w:cstheme="majorHAnsi"/>
          <w:sz w:val="24"/>
          <w:szCs w:val="24"/>
        </w:rPr>
        <w:t>,</w:t>
      </w:r>
      <w:r w:rsidRPr="00D705BE">
        <w:rPr>
          <w:rFonts w:asciiTheme="majorHAnsi" w:hAnsiTheme="majorHAnsi" w:cstheme="majorHAnsi"/>
          <w:sz w:val="24"/>
          <w:szCs w:val="24"/>
        </w:rPr>
        <w:t xml:space="preserve"> or other partners</w:t>
      </w:r>
      <w:proofErr w:type="gramEnd"/>
      <w:r w:rsidRPr="00D705BE">
        <w:rPr>
          <w:rFonts w:asciiTheme="majorHAnsi" w:hAnsiTheme="majorHAnsi" w:cstheme="majorHAnsi"/>
          <w:sz w:val="24"/>
          <w:szCs w:val="24"/>
        </w:rPr>
        <w:t>. For example, in 2017-18 Austrade</w:t>
      </w:r>
      <w:r w:rsidR="004207C4">
        <w:rPr>
          <w:rFonts w:asciiTheme="majorHAnsi" w:hAnsiTheme="majorHAnsi" w:cstheme="majorHAnsi"/>
          <w:sz w:val="24"/>
          <w:szCs w:val="24"/>
        </w:rPr>
        <w:t>:</w:t>
      </w:r>
    </w:p>
    <w:p w14:paraId="739FA281" w14:textId="74079FE7" w:rsidR="004207C4" w:rsidRDefault="00F05FFE" w:rsidP="00D705BE">
      <w:pPr>
        <w:pStyle w:val="BodyText"/>
        <w:numPr>
          <w:ilvl w:val="0"/>
          <w:numId w:val="11"/>
        </w:numPr>
        <w:tabs>
          <w:tab w:val="clear" w:pos="624"/>
        </w:tabs>
        <w:rPr>
          <w:rFonts w:asciiTheme="majorHAnsi" w:hAnsiTheme="majorHAnsi" w:cstheme="majorHAnsi"/>
          <w:sz w:val="24"/>
          <w:szCs w:val="24"/>
        </w:rPr>
      </w:pPr>
      <w:r w:rsidRPr="00D705BE">
        <w:rPr>
          <w:rFonts w:asciiTheme="majorHAnsi" w:hAnsiTheme="majorHAnsi" w:cstheme="majorHAnsi"/>
          <w:sz w:val="24"/>
          <w:szCs w:val="24"/>
        </w:rPr>
        <w:t xml:space="preserve">partnered with </w:t>
      </w:r>
      <w:proofErr w:type="spellStart"/>
      <w:r w:rsidRPr="00D705BE">
        <w:rPr>
          <w:rFonts w:asciiTheme="majorHAnsi" w:hAnsiTheme="majorHAnsi" w:cstheme="majorHAnsi"/>
          <w:sz w:val="24"/>
          <w:szCs w:val="24"/>
        </w:rPr>
        <w:t>AustCyber</w:t>
      </w:r>
      <w:proofErr w:type="spellEnd"/>
      <w:r w:rsidRPr="00D705BE">
        <w:rPr>
          <w:rFonts w:asciiTheme="majorHAnsi" w:hAnsiTheme="majorHAnsi" w:cstheme="majorHAnsi"/>
          <w:sz w:val="24"/>
          <w:szCs w:val="24"/>
        </w:rPr>
        <w:t xml:space="preserve"> to deliver a mission of 65 participants from 44 companies to the world-leading RSA conference in San Francisco</w:t>
      </w:r>
      <w:r w:rsidR="00876323">
        <w:rPr>
          <w:rFonts w:asciiTheme="majorHAnsi" w:hAnsiTheme="majorHAnsi" w:cstheme="majorHAnsi"/>
          <w:sz w:val="24"/>
          <w:szCs w:val="24"/>
        </w:rPr>
        <w:t>;</w:t>
      </w:r>
    </w:p>
    <w:p w14:paraId="4E2A2164" w14:textId="77777777" w:rsidR="004207C4" w:rsidRDefault="00F05FFE" w:rsidP="00D705BE">
      <w:pPr>
        <w:pStyle w:val="BodyText"/>
        <w:numPr>
          <w:ilvl w:val="0"/>
          <w:numId w:val="11"/>
        </w:numPr>
        <w:tabs>
          <w:tab w:val="clear" w:pos="624"/>
        </w:tabs>
        <w:rPr>
          <w:rFonts w:asciiTheme="majorHAnsi" w:hAnsiTheme="majorHAnsi" w:cstheme="majorHAnsi"/>
          <w:sz w:val="24"/>
          <w:szCs w:val="24"/>
        </w:rPr>
      </w:pPr>
      <w:r w:rsidRPr="00D705BE">
        <w:rPr>
          <w:rFonts w:asciiTheme="majorHAnsi" w:hAnsiTheme="majorHAnsi" w:cstheme="majorHAnsi"/>
          <w:sz w:val="24"/>
          <w:szCs w:val="24"/>
        </w:rPr>
        <w:t xml:space="preserve">sponsored the Australian </w:t>
      </w:r>
      <w:proofErr w:type="spellStart"/>
      <w:r w:rsidRPr="00D705BE">
        <w:rPr>
          <w:rFonts w:asciiTheme="majorHAnsi" w:hAnsiTheme="majorHAnsi" w:cstheme="majorHAnsi"/>
          <w:sz w:val="24"/>
          <w:szCs w:val="24"/>
        </w:rPr>
        <w:t>Block</w:t>
      </w:r>
      <w:r w:rsidR="00D86B1A">
        <w:rPr>
          <w:rFonts w:asciiTheme="majorHAnsi" w:hAnsiTheme="majorHAnsi" w:cstheme="majorHAnsi"/>
          <w:sz w:val="24"/>
          <w:szCs w:val="24"/>
        </w:rPr>
        <w:t>chain</w:t>
      </w:r>
      <w:proofErr w:type="spellEnd"/>
      <w:r w:rsidR="00D86B1A">
        <w:rPr>
          <w:rFonts w:asciiTheme="majorHAnsi" w:hAnsiTheme="majorHAnsi" w:cstheme="majorHAnsi"/>
          <w:sz w:val="24"/>
          <w:szCs w:val="24"/>
        </w:rPr>
        <w:t xml:space="preserve"> Mission to the Consensus C</w:t>
      </w:r>
      <w:r w:rsidRPr="00D705BE">
        <w:rPr>
          <w:rFonts w:asciiTheme="majorHAnsi" w:hAnsiTheme="majorHAnsi" w:cstheme="majorHAnsi"/>
          <w:sz w:val="24"/>
          <w:szCs w:val="24"/>
        </w:rPr>
        <w:t>onference in partnership with the Australian Digital Com</w:t>
      </w:r>
      <w:r w:rsidR="00D86B1A">
        <w:rPr>
          <w:rFonts w:asciiTheme="majorHAnsi" w:hAnsiTheme="majorHAnsi" w:cstheme="majorHAnsi"/>
          <w:sz w:val="24"/>
          <w:szCs w:val="24"/>
        </w:rPr>
        <w:t>merce Association, CSIRO’s Data</w:t>
      </w:r>
      <w:r w:rsidRPr="00D705BE">
        <w:rPr>
          <w:rFonts w:asciiTheme="majorHAnsi" w:hAnsiTheme="majorHAnsi" w:cstheme="majorHAnsi"/>
          <w:sz w:val="24"/>
          <w:szCs w:val="24"/>
        </w:rPr>
        <w:t>61</w:t>
      </w:r>
      <w:r w:rsidR="004207C4">
        <w:rPr>
          <w:rFonts w:asciiTheme="majorHAnsi" w:hAnsiTheme="majorHAnsi" w:cstheme="majorHAnsi"/>
          <w:sz w:val="24"/>
          <w:szCs w:val="24"/>
        </w:rPr>
        <w:t>,</w:t>
      </w:r>
      <w:r w:rsidRPr="00D705BE">
        <w:rPr>
          <w:rFonts w:asciiTheme="majorHAnsi" w:hAnsiTheme="majorHAnsi" w:cstheme="majorHAnsi"/>
          <w:sz w:val="24"/>
          <w:szCs w:val="24"/>
        </w:rPr>
        <w:t xml:space="preserve"> and the NSW Government</w:t>
      </w:r>
      <w:r w:rsidR="004207C4" w:rsidRPr="004E6112">
        <w:rPr>
          <w:rFonts w:asciiTheme="majorHAnsi" w:hAnsiTheme="majorHAnsi" w:cstheme="majorHAnsi"/>
          <w:sz w:val="24"/>
          <w:szCs w:val="24"/>
        </w:rPr>
        <w:t>;</w:t>
      </w:r>
      <w:r w:rsidRPr="00D705BE">
        <w:rPr>
          <w:rFonts w:asciiTheme="majorHAnsi" w:hAnsiTheme="majorHAnsi" w:cstheme="majorHAnsi"/>
          <w:sz w:val="24"/>
          <w:szCs w:val="24"/>
        </w:rPr>
        <w:t xml:space="preserve"> and</w:t>
      </w:r>
    </w:p>
    <w:p w14:paraId="414FD890" w14:textId="77777777" w:rsidR="00F05FFE" w:rsidRPr="00D705BE" w:rsidRDefault="00F05FFE" w:rsidP="00D705BE">
      <w:pPr>
        <w:pStyle w:val="BodyText"/>
        <w:numPr>
          <w:ilvl w:val="0"/>
          <w:numId w:val="11"/>
        </w:numPr>
        <w:tabs>
          <w:tab w:val="clear" w:pos="624"/>
        </w:tabs>
        <w:rPr>
          <w:rFonts w:asciiTheme="majorHAnsi" w:hAnsiTheme="majorHAnsi" w:cstheme="majorHAnsi"/>
          <w:sz w:val="24"/>
          <w:szCs w:val="24"/>
        </w:rPr>
      </w:pPr>
      <w:proofErr w:type="gramStart"/>
      <w:r w:rsidRPr="00D705BE">
        <w:rPr>
          <w:rFonts w:asciiTheme="majorHAnsi" w:hAnsiTheme="majorHAnsi" w:cstheme="majorHAnsi"/>
          <w:sz w:val="24"/>
          <w:szCs w:val="24"/>
        </w:rPr>
        <w:t>led</w:t>
      </w:r>
      <w:proofErr w:type="gramEnd"/>
      <w:r w:rsidRPr="00D705BE">
        <w:rPr>
          <w:rFonts w:asciiTheme="majorHAnsi" w:hAnsiTheme="majorHAnsi" w:cstheme="majorHAnsi"/>
          <w:sz w:val="24"/>
          <w:szCs w:val="24"/>
        </w:rPr>
        <w:t xml:space="preserve"> a 25-member </w:t>
      </w:r>
      <w:proofErr w:type="spellStart"/>
      <w:r w:rsidRPr="00D705BE">
        <w:rPr>
          <w:rFonts w:asciiTheme="majorHAnsi" w:hAnsiTheme="majorHAnsi" w:cstheme="majorHAnsi"/>
          <w:sz w:val="24"/>
          <w:szCs w:val="24"/>
        </w:rPr>
        <w:t>Ag</w:t>
      </w:r>
      <w:r w:rsidR="009526EE" w:rsidRPr="00D705BE">
        <w:rPr>
          <w:rFonts w:asciiTheme="majorHAnsi" w:hAnsiTheme="majorHAnsi" w:cstheme="majorHAnsi"/>
          <w:sz w:val="24"/>
          <w:szCs w:val="24"/>
        </w:rPr>
        <w:t>ri</w:t>
      </w:r>
      <w:proofErr w:type="spellEnd"/>
      <w:r w:rsidR="009526EE" w:rsidRPr="00D705BE">
        <w:rPr>
          <w:rFonts w:asciiTheme="majorHAnsi" w:hAnsiTheme="majorHAnsi" w:cstheme="majorHAnsi"/>
          <w:sz w:val="24"/>
          <w:szCs w:val="24"/>
        </w:rPr>
        <w:t>-T</w:t>
      </w:r>
      <w:r w:rsidRPr="00D705BE">
        <w:rPr>
          <w:rFonts w:asciiTheme="majorHAnsi" w:hAnsiTheme="majorHAnsi" w:cstheme="majorHAnsi"/>
          <w:sz w:val="24"/>
          <w:szCs w:val="24"/>
        </w:rPr>
        <w:t>ec</w:t>
      </w:r>
      <w:r w:rsidR="009526EE" w:rsidRPr="00D705BE">
        <w:rPr>
          <w:rFonts w:asciiTheme="majorHAnsi" w:hAnsiTheme="majorHAnsi" w:cstheme="majorHAnsi"/>
          <w:sz w:val="24"/>
          <w:szCs w:val="24"/>
        </w:rPr>
        <w:t>h</w:t>
      </w:r>
      <w:r w:rsidRPr="00D705BE">
        <w:rPr>
          <w:rFonts w:asciiTheme="majorHAnsi" w:hAnsiTheme="majorHAnsi" w:cstheme="majorHAnsi"/>
          <w:sz w:val="24"/>
          <w:szCs w:val="24"/>
        </w:rPr>
        <w:t xml:space="preserve"> delegati</w:t>
      </w:r>
      <w:r w:rsidR="00D35250" w:rsidRPr="00D705BE">
        <w:rPr>
          <w:rFonts w:asciiTheme="majorHAnsi" w:hAnsiTheme="majorHAnsi" w:cstheme="majorHAnsi"/>
          <w:sz w:val="24"/>
          <w:szCs w:val="24"/>
        </w:rPr>
        <w:t>on to San Francisco and the US M</w:t>
      </w:r>
      <w:r w:rsidR="00576EA4">
        <w:rPr>
          <w:rFonts w:asciiTheme="majorHAnsi" w:hAnsiTheme="majorHAnsi" w:cstheme="majorHAnsi"/>
          <w:sz w:val="24"/>
          <w:szCs w:val="24"/>
        </w:rPr>
        <w:t>idwest.</w:t>
      </w:r>
    </w:p>
    <w:p w14:paraId="2F33E0FC" w14:textId="77777777" w:rsidR="00A34B3C" w:rsidRDefault="00F05FFE" w:rsidP="00A34B3C">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Ministerial-led business missions are a key element of the Australian Government’s agenda to strengthen economic and commercial ties in priority markets</w:t>
      </w:r>
      <w:r w:rsidR="00D35250" w:rsidRPr="00D705BE">
        <w:rPr>
          <w:rFonts w:asciiTheme="majorHAnsi" w:hAnsiTheme="majorHAnsi" w:cstheme="majorHAnsi"/>
          <w:sz w:val="24"/>
          <w:szCs w:val="24"/>
        </w:rPr>
        <w:t xml:space="preserve">. </w:t>
      </w:r>
      <w:r w:rsidRPr="00D705BE">
        <w:rPr>
          <w:rFonts w:asciiTheme="majorHAnsi" w:hAnsiTheme="majorHAnsi" w:cstheme="majorHAnsi"/>
          <w:sz w:val="24"/>
          <w:szCs w:val="24"/>
        </w:rPr>
        <w:t>They help to promote Australia’s capabilities as a trade and investment partner and destination for tourism and education. At the firm level</w:t>
      </w:r>
      <w:r w:rsidR="004207C4">
        <w:rPr>
          <w:rFonts w:asciiTheme="majorHAnsi" w:hAnsiTheme="majorHAnsi" w:cstheme="majorHAnsi"/>
          <w:sz w:val="24"/>
          <w:szCs w:val="24"/>
        </w:rPr>
        <w:t>,</w:t>
      </w:r>
      <w:r w:rsidRPr="00D705BE">
        <w:rPr>
          <w:rFonts w:asciiTheme="majorHAnsi" w:hAnsiTheme="majorHAnsi" w:cstheme="majorHAnsi"/>
          <w:sz w:val="24"/>
          <w:szCs w:val="24"/>
        </w:rPr>
        <w:t xml:space="preserve"> they provide opportunities to explore new markets, network with peers and </w:t>
      </w:r>
      <w:r w:rsidRPr="00D705BE">
        <w:rPr>
          <w:rFonts w:asciiTheme="majorHAnsi" w:hAnsiTheme="majorHAnsi" w:cstheme="majorHAnsi"/>
          <w:sz w:val="24"/>
          <w:szCs w:val="24"/>
        </w:rPr>
        <w:lastRenderedPageBreak/>
        <w:t xml:space="preserve">identify potential business partners. In 2017-18, 98 per cent of surveyed respondents who participated in seminars and </w:t>
      </w:r>
      <w:r w:rsidR="004207C4">
        <w:rPr>
          <w:rFonts w:asciiTheme="majorHAnsi" w:hAnsiTheme="majorHAnsi" w:cstheme="majorHAnsi"/>
          <w:sz w:val="24"/>
          <w:szCs w:val="24"/>
        </w:rPr>
        <w:t>M</w:t>
      </w:r>
      <w:r w:rsidRPr="00D705BE">
        <w:rPr>
          <w:rFonts w:asciiTheme="majorHAnsi" w:hAnsiTheme="majorHAnsi" w:cstheme="majorHAnsi"/>
          <w:sz w:val="24"/>
          <w:szCs w:val="24"/>
        </w:rPr>
        <w:t>inister</w:t>
      </w:r>
      <w:r w:rsidR="000802A6">
        <w:rPr>
          <w:rFonts w:asciiTheme="majorHAnsi" w:hAnsiTheme="majorHAnsi" w:cstheme="majorHAnsi"/>
          <w:sz w:val="24"/>
          <w:szCs w:val="24"/>
        </w:rPr>
        <w:t>ial</w:t>
      </w:r>
      <w:r w:rsidRPr="00D705BE">
        <w:rPr>
          <w:rFonts w:asciiTheme="majorHAnsi" w:hAnsiTheme="majorHAnsi" w:cstheme="majorHAnsi"/>
          <w:sz w:val="24"/>
          <w:szCs w:val="24"/>
        </w:rPr>
        <w:t xml:space="preserve">-led missions reported </w:t>
      </w:r>
      <w:r w:rsidR="005C2DE2">
        <w:rPr>
          <w:rFonts w:asciiTheme="majorHAnsi" w:hAnsiTheme="majorHAnsi" w:cstheme="majorHAnsi"/>
          <w:sz w:val="24"/>
          <w:szCs w:val="24"/>
        </w:rPr>
        <w:t xml:space="preserve">that </w:t>
      </w:r>
      <w:r w:rsidRPr="00D705BE">
        <w:rPr>
          <w:rFonts w:asciiTheme="majorHAnsi" w:hAnsiTheme="majorHAnsi" w:cstheme="majorHAnsi"/>
          <w:sz w:val="24"/>
          <w:szCs w:val="24"/>
        </w:rPr>
        <w:t>their participation had resulted in an advantage for their organisation.</w:t>
      </w:r>
      <w:r w:rsidR="000802A6">
        <w:rPr>
          <w:rFonts w:asciiTheme="majorHAnsi" w:hAnsiTheme="majorHAnsi" w:cstheme="majorHAnsi"/>
          <w:sz w:val="24"/>
          <w:szCs w:val="24"/>
        </w:rPr>
        <w:t xml:space="preserve"> </w:t>
      </w:r>
      <w:r w:rsidR="00A34B3C">
        <w:rPr>
          <w:rFonts w:asciiTheme="majorHAnsi" w:hAnsiTheme="majorHAnsi" w:cstheme="majorHAnsi"/>
          <w:sz w:val="24"/>
          <w:szCs w:val="24"/>
        </w:rPr>
        <w:t xml:space="preserve">Since February 2014, Austrade has coordinated 41 ministerial-led business missions, involving over 3,600 delegates. These comprise 34 smaller sector-focused missions and </w:t>
      </w:r>
      <w:proofErr w:type="gramStart"/>
      <w:r w:rsidR="00A34B3C">
        <w:rPr>
          <w:rFonts w:asciiTheme="majorHAnsi" w:hAnsiTheme="majorHAnsi" w:cstheme="majorHAnsi"/>
          <w:sz w:val="24"/>
          <w:szCs w:val="24"/>
        </w:rPr>
        <w:t>seven</w:t>
      </w:r>
      <w:proofErr w:type="gramEnd"/>
      <w:r w:rsidR="00A34B3C">
        <w:rPr>
          <w:rFonts w:asciiTheme="majorHAnsi" w:hAnsiTheme="majorHAnsi" w:cstheme="majorHAnsi"/>
          <w:sz w:val="24"/>
          <w:szCs w:val="24"/>
        </w:rPr>
        <w:t xml:space="preserve"> </w:t>
      </w:r>
      <w:r w:rsidR="000802A6">
        <w:rPr>
          <w:rFonts w:asciiTheme="majorHAnsi" w:hAnsiTheme="majorHAnsi" w:cstheme="majorHAnsi"/>
          <w:sz w:val="24"/>
          <w:szCs w:val="24"/>
        </w:rPr>
        <w:t>‘</w:t>
      </w:r>
      <w:r w:rsidR="001472B7">
        <w:rPr>
          <w:rFonts w:asciiTheme="majorHAnsi" w:hAnsiTheme="majorHAnsi" w:cstheme="majorHAnsi"/>
          <w:sz w:val="24"/>
          <w:szCs w:val="24"/>
        </w:rPr>
        <w:t>Australia Weeks</w:t>
      </w:r>
      <w:r w:rsidR="000802A6">
        <w:rPr>
          <w:rFonts w:asciiTheme="majorHAnsi" w:hAnsiTheme="majorHAnsi" w:cstheme="majorHAnsi"/>
          <w:sz w:val="24"/>
          <w:szCs w:val="24"/>
        </w:rPr>
        <w:t>’</w:t>
      </w:r>
      <w:r w:rsidR="001472B7">
        <w:rPr>
          <w:rFonts w:asciiTheme="majorHAnsi" w:hAnsiTheme="majorHAnsi" w:cstheme="majorHAnsi"/>
          <w:sz w:val="24"/>
          <w:szCs w:val="24"/>
        </w:rPr>
        <w:t>. T</w:t>
      </w:r>
      <w:r w:rsidR="00A34B3C">
        <w:rPr>
          <w:rFonts w:asciiTheme="majorHAnsi" w:hAnsiTheme="majorHAnsi" w:cstheme="majorHAnsi"/>
          <w:sz w:val="24"/>
          <w:szCs w:val="24"/>
        </w:rPr>
        <w:t>he last ten Minister</w:t>
      </w:r>
      <w:r w:rsidR="000802A6">
        <w:rPr>
          <w:rFonts w:asciiTheme="majorHAnsi" w:hAnsiTheme="majorHAnsi" w:cstheme="majorHAnsi"/>
          <w:sz w:val="24"/>
          <w:szCs w:val="24"/>
        </w:rPr>
        <w:t>ial</w:t>
      </w:r>
      <w:r w:rsidR="00A34B3C">
        <w:rPr>
          <w:rFonts w:asciiTheme="majorHAnsi" w:hAnsiTheme="majorHAnsi" w:cstheme="majorHAnsi"/>
          <w:sz w:val="24"/>
          <w:szCs w:val="24"/>
        </w:rPr>
        <w:t xml:space="preserve">-led missions </w:t>
      </w:r>
      <w:r w:rsidR="00BE57C4">
        <w:rPr>
          <w:rFonts w:asciiTheme="majorHAnsi" w:hAnsiTheme="majorHAnsi" w:cstheme="majorHAnsi"/>
          <w:sz w:val="24"/>
          <w:szCs w:val="24"/>
        </w:rPr>
        <w:t xml:space="preserve">spanned North and Southeast Asia, India, the Americas and the Middle East, and </w:t>
      </w:r>
      <w:r w:rsidR="00A34B3C">
        <w:rPr>
          <w:rFonts w:asciiTheme="majorHAnsi" w:hAnsiTheme="majorHAnsi" w:cstheme="majorHAnsi"/>
          <w:sz w:val="24"/>
          <w:szCs w:val="24"/>
        </w:rPr>
        <w:t>focused on</w:t>
      </w:r>
      <w:r w:rsidR="00BE57C4">
        <w:rPr>
          <w:rFonts w:asciiTheme="majorHAnsi" w:hAnsiTheme="majorHAnsi" w:cstheme="majorHAnsi"/>
          <w:sz w:val="24"/>
          <w:szCs w:val="24"/>
        </w:rPr>
        <w:t xml:space="preserve"> priority sectors including food and agribusiness, resources and energy, financial and professional services</w:t>
      </w:r>
      <w:r w:rsidR="005C2DE2">
        <w:rPr>
          <w:rFonts w:asciiTheme="majorHAnsi" w:hAnsiTheme="majorHAnsi" w:cstheme="majorHAnsi"/>
          <w:sz w:val="24"/>
          <w:szCs w:val="24"/>
        </w:rPr>
        <w:t>,</w:t>
      </w:r>
      <w:r w:rsidR="00BE57C4">
        <w:rPr>
          <w:rFonts w:asciiTheme="majorHAnsi" w:hAnsiTheme="majorHAnsi" w:cstheme="majorHAnsi"/>
          <w:sz w:val="24"/>
          <w:szCs w:val="24"/>
        </w:rPr>
        <w:t xml:space="preserve"> and innovation.</w:t>
      </w:r>
    </w:p>
    <w:p w14:paraId="744AE0C3" w14:textId="77777777" w:rsidR="00C871A0" w:rsidRDefault="00BE57C4" w:rsidP="00BE57C4">
      <w:pPr>
        <w:rPr>
          <w:rFonts w:asciiTheme="majorHAnsi" w:eastAsia="Palatino Linotype" w:hAnsiTheme="majorHAnsi" w:cstheme="majorHAnsi"/>
          <w:sz w:val="24"/>
          <w:szCs w:val="24"/>
        </w:rPr>
      </w:pPr>
      <w:r>
        <w:rPr>
          <w:rFonts w:asciiTheme="majorHAnsi" w:hAnsiTheme="majorHAnsi" w:cstheme="majorHAnsi"/>
          <w:sz w:val="24"/>
          <w:szCs w:val="24"/>
        </w:rPr>
        <w:t xml:space="preserve">In addition to </w:t>
      </w:r>
      <w:r w:rsidR="000802A6">
        <w:rPr>
          <w:rFonts w:asciiTheme="majorHAnsi" w:hAnsiTheme="majorHAnsi" w:cstheme="majorHAnsi"/>
          <w:sz w:val="24"/>
          <w:szCs w:val="24"/>
        </w:rPr>
        <w:t>M</w:t>
      </w:r>
      <w:r>
        <w:rPr>
          <w:rFonts w:asciiTheme="majorHAnsi" w:hAnsiTheme="majorHAnsi" w:cstheme="majorHAnsi"/>
          <w:sz w:val="24"/>
          <w:szCs w:val="24"/>
        </w:rPr>
        <w:t xml:space="preserve">inisterial-led missions, Austrade has led </w:t>
      </w:r>
      <w:r w:rsidR="00094373">
        <w:rPr>
          <w:rFonts w:asciiTheme="majorHAnsi" w:hAnsiTheme="majorHAnsi" w:cstheme="majorHAnsi"/>
          <w:sz w:val="24"/>
          <w:szCs w:val="24"/>
        </w:rPr>
        <w:t>over 60</w:t>
      </w:r>
      <w:r>
        <w:rPr>
          <w:rFonts w:asciiTheme="majorHAnsi" w:hAnsiTheme="majorHAnsi" w:cstheme="majorHAnsi"/>
          <w:sz w:val="24"/>
          <w:szCs w:val="24"/>
        </w:rPr>
        <w:t xml:space="preserve"> business missions in the past year, most with a specific industry focus</w:t>
      </w:r>
      <w:r w:rsidR="004B6CDC">
        <w:rPr>
          <w:rFonts w:asciiTheme="majorHAnsi" w:hAnsiTheme="majorHAnsi" w:cstheme="majorHAnsi"/>
          <w:sz w:val="24"/>
          <w:szCs w:val="24"/>
        </w:rPr>
        <w:t>,</w:t>
      </w:r>
      <w:r>
        <w:rPr>
          <w:rFonts w:asciiTheme="majorHAnsi" w:hAnsiTheme="majorHAnsi" w:cstheme="majorHAnsi"/>
          <w:sz w:val="24"/>
          <w:szCs w:val="24"/>
        </w:rPr>
        <w:t xml:space="preserve"> covering 30 countries. </w:t>
      </w:r>
      <w:r w:rsidRPr="00321C23">
        <w:rPr>
          <w:rFonts w:asciiTheme="majorHAnsi" w:eastAsia="Palatino Linotype" w:hAnsiTheme="majorHAnsi" w:cstheme="majorHAnsi"/>
          <w:sz w:val="24"/>
          <w:szCs w:val="24"/>
        </w:rPr>
        <w:t>These missions provide networking, presentation</w:t>
      </w:r>
      <w:r w:rsidR="004B6CDC">
        <w:rPr>
          <w:rFonts w:asciiTheme="majorHAnsi" w:eastAsia="Palatino Linotype" w:hAnsiTheme="majorHAnsi" w:cstheme="majorHAnsi"/>
          <w:sz w:val="24"/>
          <w:szCs w:val="24"/>
        </w:rPr>
        <w:t>,</w:t>
      </w:r>
      <w:r w:rsidRPr="00321C23">
        <w:rPr>
          <w:rFonts w:asciiTheme="majorHAnsi" w:eastAsia="Palatino Linotype" w:hAnsiTheme="majorHAnsi" w:cstheme="majorHAnsi"/>
          <w:sz w:val="24"/>
          <w:szCs w:val="24"/>
        </w:rPr>
        <w:t xml:space="preserve"> and market analysis opportunities for attendees, improving their understanding of the market and the possibilities for entry. A key element for Australian participants is the </w:t>
      </w:r>
      <w:proofErr w:type="gramStart"/>
      <w:r w:rsidRPr="00321C23">
        <w:rPr>
          <w:rFonts w:asciiTheme="majorHAnsi" w:eastAsia="Palatino Linotype" w:hAnsiTheme="majorHAnsi" w:cstheme="majorHAnsi"/>
          <w:sz w:val="24"/>
          <w:szCs w:val="24"/>
        </w:rPr>
        <w:t>business matching</w:t>
      </w:r>
      <w:proofErr w:type="gramEnd"/>
      <w:r w:rsidRPr="00321C23">
        <w:rPr>
          <w:rFonts w:asciiTheme="majorHAnsi" w:eastAsia="Palatino Linotype" w:hAnsiTheme="majorHAnsi" w:cstheme="majorHAnsi"/>
          <w:sz w:val="24"/>
          <w:szCs w:val="24"/>
        </w:rPr>
        <w:t xml:space="preserve"> program, designed to match their products, services and solutions with clients, customers and potential partners/investors in foreign markets.</w:t>
      </w:r>
    </w:p>
    <w:p w14:paraId="779D8209" w14:textId="77777777" w:rsidR="00EF52FF" w:rsidRPr="00D705BE" w:rsidRDefault="00EF52FF" w:rsidP="004E6112">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A16C58"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7.2 – Coordinate Australia’s international trade efforts with State Gov</w:t>
      </w:r>
      <w:r w:rsidR="004207C4">
        <w:rPr>
          <w:rFonts w:asciiTheme="majorHAnsi" w:hAnsiTheme="majorHAnsi" w:cstheme="majorHAnsi"/>
          <w:sz w:val="24"/>
          <w:szCs w:val="24"/>
        </w:rPr>
        <w:t>ernment</w:t>
      </w:r>
      <w:r w:rsidRPr="00D705BE">
        <w:rPr>
          <w:rFonts w:asciiTheme="majorHAnsi" w:hAnsiTheme="majorHAnsi" w:cstheme="majorHAnsi"/>
          <w:sz w:val="24"/>
          <w:szCs w:val="24"/>
        </w:rPr>
        <w:t>s to create a more coherent approach to businesses</w:t>
      </w:r>
    </w:p>
    <w:p w14:paraId="7092945E" w14:textId="77777777" w:rsidR="00DB26DF" w:rsidRPr="00D705BE" w:rsidRDefault="00DB26DF" w:rsidP="004E6112">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The Committee recommends that the Australian Government strengthen its Team Australia approach in target markets by:</w:t>
      </w:r>
    </w:p>
    <w:p w14:paraId="4252D927" w14:textId="77777777" w:rsidR="00587802" w:rsidRPr="00D705BE" w:rsidRDefault="00587802"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Undertaking a joint study with </w:t>
      </w:r>
      <w:r w:rsidR="004207C4">
        <w:rPr>
          <w:rFonts w:asciiTheme="majorHAnsi" w:hAnsiTheme="majorHAnsi" w:cstheme="majorHAnsi"/>
          <w:b/>
          <w:i/>
          <w:sz w:val="24"/>
          <w:szCs w:val="24"/>
        </w:rPr>
        <w:t>S</w:t>
      </w:r>
      <w:r w:rsidRPr="00D705BE">
        <w:rPr>
          <w:rFonts w:asciiTheme="majorHAnsi" w:hAnsiTheme="majorHAnsi" w:cstheme="majorHAnsi"/>
          <w:b/>
          <w:i/>
          <w:sz w:val="24"/>
          <w:szCs w:val="24"/>
        </w:rPr>
        <w:t xml:space="preserve">tate and </w:t>
      </w:r>
      <w:r w:rsidR="004207C4">
        <w:rPr>
          <w:rFonts w:asciiTheme="majorHAnsi" w:hAnsiTheme="majorHAnsi" w:cstheme="majorHAnsi"/>
          <w:b/>
          <w:i/>
          <w:sz w:val="24"/>
          <w:szCs w:val="24"/>
        </w:rPr>
        <w:t>T</w:t>
      </w:r>
      <w:r w:rsidRPr="00D705BE">
        <w:rPr>
          <w:rFonts w:asciiTheme="majorHAnsi" w:hAnsiTheme="majorHAnsi" w:cstheme="majorHAnsi"/>
          <w:b/>
          <w:i/>
          <w:sz w:val="24"/>
          <w:szCs w:val="24"/>
        </w:rPr>
        <w:t xml:space="preserve">erritory </w:t>
      </w:r>
      <w:r w:rsidR="004207C4">
        <w:rPr>
          <w:rFonts w:asciiTheme="majorHAnsi" w:hAnsiTheme="majorHAnsi" w:cstheme="majorHAnsi"/>
          <w:b/>
          <w:i/>
          <w:sz w:val="24"/>
          <w:szCs w:val="24"/>
        </w:rPr>
        <w:t>G</w:t>
      </w:r>
      <w:r w:rsidRPr="00D705BE">
        <w:rPr>
          <w:rFonts w:asciiTheme="majorHAnsi" w:hAnsiTheme="majorHAnsi" w:cstheme="majorHAnsi"/>
          <w:b/>
          <w:i/>
          <w:sz w:val="24"/>
          <w:szCs w:val="24"/>
        </w:rPr>
        <w:t>overnments of Australia’s trade promotion efforts internationally, with a view to pursuing reforms that will ensure a better coordinated, unified and coherent approach for businesses, including SMEs, to better engaged with all tiers of Australian government promoting Austr</w:t>
      </w:r>
      <w:r w:rsidR="00D86B1A">
        <w:rPr>
          <w:rFonts w:asciiTheme="majorHAnsi" w:hAnsiTheme="majorHAnsi" w:cstheme="majorHAnsi"/>
          <w:b/>
          <w:i/>
          <w:sz w:val="24"/>
          <w:szCs w:val="24"/>
        </w:rPr>
        <w:t>alia’s commercial interests.</w:t>
      </w:r>
    </w:p>
    <w:p w14:paraId="7F618282" w14:textId="6AF3B705"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4207C4">
        <w:rPr>
          <w:rFonts w:asciiTheme="majorHAnsi" w:hAnsiTheme="majorHAnsi" w:cstheme="majorHAnsi"/>
          <w:i/>
          <w:sz w:val="24"/>
          <w:szCs w:val="24"/>
        </w:rPr>
        <w:t xml:space="preserve">  </w:t>
      </w:r>
      <w:r w:rsidR="00367FD9">
        <w:rPr>
          <w:rFonts w:asciiTheme="majorHAnsi" w:hAnsiTheme="majorHAnsi" w:cstheme="majorHAnsi"/>
          <w:i/>
          <w:sz w:val="24"/>
          <w:szCs w:val="24"/>
        </w:rPr>
        <w:t>Noted</w:t>
      </w:r>
    </w:p>
    <w:p w14:paraId="5AD8B128" w14:textId="77777777" w:rsidR="00D35250" w:rsidRPr="00D705BE" w:rsidRDefault="00D35250" w:rsidP="00D705BE">
      <w:pPr>
        <w:pStyle w:val="BodyText"/>
        <w:tabs>
          <w:tab w:val="clear" w:pos="624"/>
        </w:tabs>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Government </w:t>
      </w:r>
      <w:r w:rsidR="00F21436" w:rsidRPr="00D705BE">
        <w:rPr>
          <w:rFonts w:asciiTheme="majorHAnsi" w:hAnsiTheme="majorHAnsi" w:cstheme="majorHAnsi"/>
          <w:sz w:val="24"/>
          <w:szCs w:val="24"/>
        </w:rPr>
        <w:t>operate</w:t>
      </w:r>
      <w:r w:rsidR="004207C4">
        <w:rPr>
          <w:rFonts w:asciiTheme="majorHAnsi" w:hAnsiTheme="majorHAnsi" w:cstheme="majorHAnsi"/>
          <w:sz w:val="24"/>
          <w:szCs w:val="24"/>
        </w:rPr>
        <w:t>s</w:t>
      </w:r>
      <w:r w:rsidRPr="00D705BE">
        <w:rPr>
          <w:rFonts w:asciiTheme="majorHAnsi" w:hAnsiTheme="majorHAnsi" w:cstheme="majorHAnsi"/>
          <w:sz w:val="24"/>
          <w:szCs w:val="24"/>
        </w:rPr>
        <w:t xml:space="preserve"> a robust and multi-level governance </w:t>
      </w:r>
      <w:r w:rsidR="00501124">
        <w:rPr>
          <w:rFonts w:asciiTheme="majorHAnsi" w:hAnsiTheme="majorHAnsi" w:cstheme="majorHAnsi"/>
          <w:sz w:val="24"/>
          <w:szCs w:val="24"/>
        </w:rPr>
        <w:t xml:space="preserve">and coordination </w:t>
      </w:r>
      <w:r w:rsidRPr="00D705BE">
        <w:rPr>
          <w:rFonts w:asciiTheme="majorHAnsi" w:hAnsiTheme="majorHAnsi" w:cstheme="majorHAnsi"/>
          <w:sz w:val="24"/>
          <w:szCs w:val="24"/>
        </w:rPr>
        <w:t>structure to promote, review and drive a Team Australia approach for all Australian business</w:t>
      </w:r>
      <w:r w:rsidR="00501124">
        <w:rPr>
          <w:rFonts w:asciiTheme="majorHAnsi" w:hAnsiTheme="majorHAnsi" w:cstheme="majorHAnsi"/>
          <w:sz w:val="24"/>
          <w:szCs w:val="24"/>
        </w:rPr>
        <w:t>es</w:t>
      </w:r>
      <w:r w:rsidRPr="00D705BE">
        <w:rPr>
          <w:rFonts w:asciiTheme="majorHAnsi" w:hAnsiTheme="majorHAnsi" w:cstheme="majorHAnsi"/>
          <w:sz w:val="24"/>
          <w:szCs w:val="24"/>
        </w:rPr>
        <w:t>, including SMEs.</w:t>
      </w:r>
      <w:r w:rsidR="00501124">
        <w:rPr>
          <w:rFonts w:asciiTheme="majorHAnsi" w:hAnsiTheme="majorHAnsi" w:cstheme="majorHAnsi"/>
          <w:sz w:val="24"/>
          <w:szCs w:val="24"/>
        </w:rPr>
        <w:t xml:space="preserve"> This includes </w:t>
      </w:r>
      <w:r w:rsidRPr="00D705BE">
        <w:rPr>
          <w:rFonts w:asciiTheme="majorHAnsi" w:hAnsiTheme="majorHAnsi" w:cstheme="majorHAnsi"/>
          <w:sz w:val="24"/>
          <w:szCs w:val="24"/>
        </w:rPr>
        <w:t>a number of support systems that exist to coordinate international trade promotion with State and Territory Governments</w:t>
      </w:r>
      <w:r w:rsidR="00501124">
        <w:rPr>
          <w:rFonts w:asciiTheme="majorHAnsi" w:hAnsiTheme="majorHAnsi" w:cstheme="majorHAnsi"/>
          <w:sz w:val="24"/>
          <w:szCs w:val="24"/>
        </w:rPr>
        <w:t xml:space="preserve"> (e.g. </w:t>
      </w:r>
      <w:r w:rsidRPr="00D705BE">
        <w:rPr>
          <w:rFonts w:asciiTheme="majorHAnsi" w:hAnsiTheme="majorHAnsi" w:cstheme="majorHAnsi"/>
          <w:sz w:val="24"/>
          <w:szCs w:val="24"/>
        </w:rPr>
        <w:t>the Senior Officials Trade and Investment Group, and the Trade and Investment Ministers Meetings</w:t>
      </w:r>
      <w:r w:rsidR="00501124">
        <w:rPr>
          <w:rFonts w:asciiTheme="majorHAnsi" w:hAnsiTheme="majorHAnsi" w:cstheme="majorHAnsi"/>
          <w:sz w:val="24"/>
          <w:szCs w:val="24"/>
        </w:rPr>
        <w:t xml:space="preserve">), </w:t>
      </w:r>
      <w:r w:rsidRPr="00D705BE">
        <w:rPr>
          <w:rFonts w:asciiTheme="majorHAnsi" w:hAnsiTheme="majorHAnsi" w:cstheme="majorHAnsi"/>
          <w:sz w:val="24"/>
          <w:szCs w:val="24"/>
        </w:rPr>
        <w:t xml:space="preserve">through which </w:t>
      </w:r>
      <w:r w:rsidR="00501124">
        <w:rPr>
          <w:rFonts w:asciiTheme="majorHAnsi" w:hAnsiTheme="majorHAnsi" w:cstheme="majorHAnsi"/>
          <w:sz w:val="24"/>
          <w:szCs w:val="24"/>
        </w:rPr>
        <w:t xml:space="preserve">the Australian Government and its </w:t>
      </w:r>
      <w:r w:rsidRPr="00D705BE">
        <w:rPr>
          <w:rFonts w:asciiTheme="majorHAnsi" w:hAnsiTheme="majorHAnsi" w:cstheme="majorHAnsi"/>
          <w:sz w:val="24"/>
          <w:szCs w:val="24"/>
        </w:rPr>
        <w:t>State and Territory</w:t>
      </w:r>
      <w:r w:rsidR="00501124">
        <w:rPr>
          <w:rFonts w:asciiTheme="majorHAnsi" w:hAnsiTheme="majorHAnsi" w:cstheme="majorHAnsi"/>
          <w:sz w:val="24"/>
          <w:szCs w:val="24"/>
        </w:rPr>
        <w:t xml:space="preserve"> </w:t>
      </w:r>
      <w:r w:rsidRPr="00D705BE">
        <w:rPr>
          <w:rFonts w:asciiTheme="majorHAnsi" w:hAnsiTheme="majorHAnsi" w:cstheme="majorHAnsi"/>
          <w:sz w:val="24"/>
          <w:szCs w:val="24"/>
        </w:rPr>
        <w:t xml:space="preserve">counterparts identify opportunities to collaborate across all levels of government to support </w:t>
      </w:r>
      <w:r w:rsidR="00576EA4">
        <w:rPr>
          <w:rFonts w:asciiTheme="majorHAnsi" w:hAnsiTheme="majorHAnsi" w:cstheme="majorHAnsi"/>
          <w:sz w:val="24"/>
          <w:szCs w:val="24"/>
        </w:rPr>
        <w:t>trade and investment outcomes.</w:t>
      </w:r>
    </w:p>
    <w:p w14:paraId="46113627" w14:textId="77777777" w:rsidR="000B5E37" w:rsidRDefault="00501124"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In addition</w:t>
      </w:r>
      <w:r w:rsidR="00D35250" w:rsidRPr="00D705BE">
        <w:rPr>
          <w:rFonts w:asciiTheme="majorHAnsi" w:hAnsiTheme="majorHAnsi" w:cstheme="majorHAnsi"/>
          <w:sz w:val="24"/>
          <w:szCs w:val="24"/>
        </w:rPr>
        <w:t>,</w:t>
      </w:r>
      <w:r w:rsidR="00F21436" w:rsidRPr="00D705BE">
        <w:rPr>
          <w:rFonts w:asciiTheme="majorHAnsi" w:hAnsiTheme="majorHAnsi" w:cstheme="majorHAnsi"/>
          <w:sz w:val="24"/>
          <w:szCs w:val="24"/>
        </w:rPr>
        <w:t xml:space="preserve"> the Australian Government, through</w:t>
      </w:r>
      <w:r w:rsidR="00D35250" w:rsidRPr="00D705BE">
        <w:rPr>
          <w:rFonts w:asciiTheme="majorHAnsi" w:hAnsiTheme="majorHAnsi" w:cstheme="majorHAnsi"/>
          <w:sz w:val="24"/>
          <w:szCs w:val="24"/>
        </w:rPr>
        <w:t xml:space="preserve"> Austrade</w:t>
      </w:r>
      <w:r w:rsidR="00F21436" w:rsidRPr="00D705BE">
        <w:rPr>
          <w:rFonts w:asciiTheme="majorHAnsi" w:hAnsiTheme="majorHAnsi" w:cstheme="majorHAnsi"/>
          <w:sz w:val="24"/>
          <w:szCs w:val="24"/>
        </w:rPr>
        <w:t>,</w:t>
      </w:r>
      <w:r w:rsidR="00D35250" w:rsidRPr="00D705BE">
        <w:rPr>
          <w:rFonts w:asciiTheme="majorHAnsi" w:hAnsiTheme="majorHAnsi" w:cstheme="majorHAnsi"/>
          <w:sz w:val="24"/>
          <w:szCs w:val="24"/>
        </w:rPr>
        <w:t xml:space="preserve"> </w:t>
      </w:r>
      <w:r>
        <w:rPr>
          <w:rFonts w:asciiTheme="majorHAnsi" w:hAnsiTheme="majorHAnsi" w:cstheme="majorHAnsi"/>
          <w:sz w:val="24"/>
          <w:szCs w:val="24"/>
        </w:rPr>
        <w:t xml:space="preserve">consults </w:t>
      </w:r>
      <w:r w:rsidR="00D35250" w:rsidRPr="00D705BE">
        <w:rPr>
          <w:rFonts w:asciiTheme="majorHAnsi" w:hAnsiTheme="majorHAnsi" w:cstheme="majorHAnsi"/>
          <w:sz w:val="24"/>
          <w:szCs w:val="24"/>
        </w:rPr>
        <w:t>extensively across government, industry</w:t>
      </w:r>
      <w:r>
        <w:rPr>
          <w:rFonts w:asciiTheme="majorHAnsi" w:hAnsiTheme="majorHAnsi" w:cstheme="majorHAnsi"/>
          <w:sz w:val="24"/>
          <w:szCs w:val="24"/>
        </w:rPr>
        <w:t>,</w:t>
      </w:r>
      <w:r w:rsidR="00D35250" w:rsidRPr="00D705BE">
        <w:rPr>
          <w:rFonts w:asciiTheme="majorHAnsi" w:hAnsiTheme="majorHAnsi" w:cstheme="majorHAnsi"/>
          <w:sz w:val="24"/>
          <w:szCs w:val="24"/>
        </w:rPr>
        <w:t xml:space="preserve"> and community groups in all</w:t>
      </w:r>
      <w:r>
        <w:rPr>
          <w:rFonts w:asciiTheme="majorHAnsi" w:hAnsiTheme="majorHAnsi" w:cstheme="majorHAnsi"/>
          <w:sz w:val="24"/>
          <w:szCs w:val="24"/>
        </w:rPr>
        <w:t xml:space="preserve"> S</w:t>
      </w:r>
      <w:r w:rsidR="00D35250" w:rsidRPr="00D705BE">
        <w:rPr>
          <w:rFonts w:asciiTheme="majorHAnsi" w:hAnsiTheme="majorHAnsi" w:cstheme="majorHAnsi"/>
          <w:sz w:val="24"/>
          <w:szCs w:val="24"/>
        </w:rPr>
        <w:t xml:space="preserve">tates and </w:t>
      </w:r>
      <w:r>
        <w:rPr>
          <w:rFonts w:asciiTheme="majorHAnsi" w:hAnsiTheme="majorHAnsi" w:cstheme="majorHAnsi"/>
          <w:sz w:val="24"/>
          <w:szCs w:val="24"/>
        </w:rPr>
        <w:t>T</w:t>
      </w:r>
      <w:r w:rsidR="00D35250" w:rsidRPr="00D705BE">
        <w:rPr>
          <w:rFonts w:asciiTheme="majorHAnsi" w:hAnsiTheme="majorHAnsi" w:cstheme="majorHAnsi"/>
          <w:sz w:val="24"/>
          <w:szCs w:val="24"/>
        </w:rPr>
        <w:t>erritories to develop the nation</w:t>
      </w:r>
      <w:r>
        <w:rPr>
          <w:rFonts w:asciiTheme="majorHAnsi" w:hAnsiTheme="majorHAnsi" w:cstheme="majorHAnsi"/>
          <w:sz w:val="24"/>
          <w:szCs w:val="24"/>
        </w:rPr>
        <w:t>al</w:t>
      </w:r>
      <w:r w:rsidR="00D35250" w:rsidRPr="00D705BE">
        <w:rPr>
          <w:rFonts w:asciiTheme="majorHAnsi" w:hAnsiTheme="majorHAnsi" w:cstheme="majorHAnsi"/>
          <w:sz w:val="24"/>
          <w:szCs w:val="24"/>
        </w:rPr>
        <w:t xml:space="preserve"> brand. As identified in the 2017 Foreign Affairs White Paper, this work </w:t>
      </w:r>
      <w:r w:rsidR="00CF3337">
        <w:rPr>
          <w:rFonts w:asciiTheme="majorHAnsi" w:hAnsiTheme="majorHAnsi" w:cstheme="majorHAnsi"/>
          <w:sz w:val="24"/>
          <w:szCs w:val="24"/>
        </w:rPr>
        <w:t>recognises</w:t>
      </w:r>
      <w:r w:rsidR="00D35250" w:rsidRPr="00D705BE">
        <w:rPr>
          <w:rFonts w:asciiTheme="majorHAnsi" w:hAnsiTheme="majorHAnsi" w:cstheme="majorHAnsi"/>
          <w:sz w:val="24"/>
          <w:szCs w:val="24"/>
        </w:rPr>
        <w:t xml:space="preserve"> that a unified, national, strategic representation of Australia’s capabilities internationally will improve Australia’s reputation and competitiveness across all industry sectors, helping exporters sell more of their goods and services to the world. Consultation with </w:t>
      </w:r>
      <w:r>
        <w:rPr>
          <w:rFonts w:asciiTheme="majorHAnsi" w:hAnsiTheme="majorHAnsi" w:cstheme="majorHAnsi"/>
          <w:sz w:val="24"/>
          <w:szCs w:val="24"/>
        </w:rPr>
        <w:t>S</w:t>
      </w:r>
      <w:r w:rsidR="00D35250" w:rsidRPr="00D705BE">
        <w:rPr>
          <w:rFonts w:asciiTheme="majorHAnsi" w:hAnsiTheme="majorHAnsi" w:cstheme="majorHAnsi"/>
          <w:sz w:val="24"/>
          <w:szCs w:val="24"/>
        </w:rPr>
        <w:t xml:space="preserve">tates and </w:t>
      </w:r>
      <w:r>
        <w:rPr>
          <w:rFonts w:asciiTheme="majorHAnsi" w:hAnsiTheme="majorHAnsi" w:cstheme="majorHAnsi"/>
          <w:sz w:val="24"/>
          <w:szCs w:val="24"/>
        </w:rPr>
        <w:t>T</w:t>
      </w:r>
      <w:r w:rsidR="00D35250" w:rsidRPr="00D705BE">
        <w:rPr>
          <w:rFonts w:asciiTheme="majorHAnsi" w:hAnsiTheme="majorHAnsi" w:cstheme="majorHAnsi"/>
          <w:sz w:val="24"/>
          <w:szCs w:val="24"/>
        </w:rPr>
        <w:t xml:space="preserve">erritories will </w:t>
      </w:r>
      <w:proofErr w:type="gramStart"/>
      <w:r w:rsidR="00D35250" w:rsidRPr="00D705BE">
        <w:rPr>
          <w:rFonts w:asciiTheme="majorHAnsi" w:hAnsiTheme="majorHAnsi" w:cstheme="majorHAnsi"/>
          <w:sz w:val="24"/>
          <w:szCs w:val="24"/>
        </w:rPr>
        <w:t>continue</w:t>
      </w:r>
      <w:proofErr w:type="gramEnd"/>
      <w:r w:rsidR="00D35250" w:rsidRPr="00D705BE">
        <w:rPr>
          <w:rFonts w:asciiTheme="majorHAnsi" w:hAnsiTheme="majorHAnsi" w:cstheme="majorHAnsi"/>
          <w:sz w:val="24"/>
          <w:szCs w:val="24"/>
        </w:rPr>
        <w:t xml:space="preserve"> as the national brand is developed to ensure alignment </w:t>
      </w:r>
      <w:r>
        <w:rPr>
          <w:rFonts w:asciiTheme="majorHAnsi" w:hAnsiTheme="majorHAnsi" w:cstheme="majorHAnsi"/>
          <w:sz w:val="24"/>
          <w:szCs w:val="24"/>
        </w:rPr>
        <w:t>across all levels of government</w:t>
      </w:r>
      <w:r w:rsidR="00D35250" w:rsidRPr="00D705BE">
        <w:rPr>
          <w:rFonts w:asciiTheme="majorHAnsi" w:hAnsiTheme="majorHAnsi" w:cstheme="majorHAnsi"/>
          <w:sz w:val="24"/>
          <w:szCs w:val="24"/>
        </w:rPr>
        <w:t>.</w:t>
      </w:r>
    </w:p>
    <w:p w14:paraId="1D576238" w14:textId="5733F9DB" w:rsidR="00C2388E" w:rsidRPr="00D705BE" w:rsidRDefault="00C2388E"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Given these existing mechanisms, the Government does not bel</w:t>
      </w:r>
      <w:r w:rsidR="00876323">
        <w:rPr>
          <w:rFonts w:asciiTheme="majorHAnsi" w:hAnsiTheme="majorHAnsi" w:cstheme="majorHAnsi"/>
          <w:sz w:val="24"/>
          <w:szCs w:val="24"/>
        </w:rPr>
        <w:t>ieve a joint study is necessary.</w:t>
      </w:r>
    </w:p>
    <w:p w14:paraId="3C5FAEF9" w14:textId="77777777" w:rsidR="00EF52FF" w:rsidRPr="00D705BE" w:rsidRDefault="00EF52FF"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lastRenderedPageBreak/>
        <w:t>R</w:t>
      </w:r>
      <w:r w:rsidR="00DB26DF"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 xml:space="preserve">8.1 </w:t>
      </w:r>
      <w:r w:rsidR="0047559A" w:rsidRPr="00D705BE">
        <w:rPr>
          <w:rFonts w:asciiTheme="majorHAnsi" w:hAnsiTheme="majorHAnsi" w:cstheme="majorHAnsi"/>
          <w:sz w:val="24"/>
          <w:szCs w:val="24"/>
        </w:rPr>
        <w:t>–</w:t>
      </w:r>
      <w:r w:rsidRPr="00D705BE">
        <w:rPr>
          <w:rFonts w:asciiTheme="majorHAnsi" w:hAnsiTheme="majorHAnsi" w:cstheme="majorHAnsi"/>
          <w:sz w:val="24"/>
          <w:szCs w:val="24"/>
        </w:rPr>
        <w:t xml:space="preserve"> </w:t>
      </w:r>
      <w:r w:rsidR="0047559A" w:rsidRPr="00D705BE">
        <w:rPr>
          <w:rFonts w:asciiTheme="majorHAnsi" w:hAnsiTheme="majorHAnsi" w:cstheme="majorHAnsi"/>
          <w:sz w:val="24"/>
          <w:szCs w:val="24"/>
        </w:rPr>
        <w:t>Support trade by running targeted</w:t>
      </w:r>
      <w:r w:rsidR="00DB26DF" w:rsidRPr="00D705BE">
        <w:rPr>
          <w:rFonts w:asciiTheme="majorHAnsi" w:hAnsiTheme="majorHAnsi" w:cstheme="majorHAnsi"/>
          <w:sz w:val="24"/>
          <w:szCs w:val="24"/>
        </w:rPr>
        <w:t xml:space="preserve"> regional FTA</w:t>
      </w:r>
      <w:r w:rsidR="0047559A" w:rsidRPr="00D705BE">
        <w:rPr>
          <w:rFonts w:asciiTheme="majorHAnsi" w:hAnsiTheme="majorHAnsi" w:cstheme="majorHAnsi"/>
          <w:sz w:val="24"/>
          <w:szCs w:val="24"/>
        </w:rPr>
        <w:t xml:space="preserve"> awareness and education programs</w:t>
      </w:r>
    </w:p>
    <w:p w14:paraId="3DC85BE0" w14:textId="77777777" w:rsidR="00BC0BDF" w:rsidRPr="00D705BE" w:rsidRDefault="00BC0BDF"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adopts</w:t>
      </w:r>
      <w:proofErr w:type="gramEnd"/>
      <w:r w:rsidRPr="00D705BE">
        <w:rPr>
          <w:rFonts w:asciiTheme="majorHAnsi" w:hAnsiTheme="majorHAnsi" w:cstheme="majorHAnsi"/>
          <w:b/>
          <w:i/>
          <w:sz w:val="24"/>
          <w:szCs w:val="24"/>
        </w:rPr>
        <w:t xml:space="preserve"> a more holistic approach to encouraging Australian small and medium enterprises (SMEs) to trade internationally and utilise free trade agreements (FTA) by:</w:t>
      </w:r>
    </w:p>
    <w:p w14:paraId="4A797CE9" w14:textId="77777777" w:rsidR="00BC0BDF" w:rsidRPr="00D705BE" w:rsidRDefault="00BC0BDF"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Targeting service delivery of FTA awareness and education programmes to SMEs based in regional areas by matching the content of seminars and workshops to the specific economic profile of the regions, drawing upon local success stories and providing direct advice about market access and promotion relevant to the </w:t>
      </w:r>
      <w:r w:rsidR="00D86B1A">
        <w:rPr>
          <w:rFonts w:asciiTheme="majorHAnsi" w:hAnsiTheme="majorHAnsi" w:cstheme="majorHAnsi"/>
          <w:b/>
          <w:i/>
          <w:sz w:val="24"/>
          <w:szCs w:val="24"/>
        </w:rPr>
        <w:t>key industries of those regions.</w:t>
      </w:r>
    </w:p>
    <w:p w14:paraId="31B9DCFF"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501124">
        <w:rPr>
          <w:rFonts w:asciiTheme="majorHAnsi" w:hAnsiTheme="majorHAnsi" w:cstheme="majorHAnsi"/>
          <w:i/>
          <w:sz w:val="24"/>
          <w:szCs w:val="24"/>
        </w:rPr>
        <w:t xml:space="preserve">  </w:t>
      </w:r>
      <w:r w:rsidR="00D35250" w:rsidRPr="00D705BE">
        <w:rPr>
          <w:rFonts w:asciiTheme="majorHAnsi" w:hAnsiTheme="majorHAnsi" w:cstheme="majorHAnsi"/>
          <w:i/>
          <w:sz w:val="24"/>
          <w:szCs w:val="24"/>
        </w:rPr>
        <w:t>Supported</w:t>
      </w:r>
    </w:p>
    <w:p w14:paraId="4260011F" w14:textId="110718A1" w:rsidR="00D35250" w:rsidRPr="00D705BE" w:rsidRDefault="00D35250" w:rsidP="00D705BE">
      <w:pPr>
        <w:pStyle w:val="BodyText"/>
        <w:tabs>
          <w:tab w:val="clear" w:pos="624"/>
        </w:tabs>
        <w:ind w:left="0" w:firstLine="0"/>
        <w:rPr>
          <w:rFonts w:asciiTheme="majorHAnsi" w:hAnsiTheme="majorHAnsi" w:cstheme="majorHAnsi"/>
          <w:sz w:val="24"/>
          <w:szCs w:val="24"/>
        </w:rPr>
      </w:pPr>
      <w:r w:rsidRPr="00D705BE">
        <w:rPr>
          <w:rFonts w:asciiTheme="majorHAnsi" w:hAnsiTheme="majorHAnsi" w:cstheme="majorHAnsi"/>
          <w:sz w:val="24"/>
          <w:szCs w:val="24"/>
        </w:rPr>
        <w:t>T</w:t>
      </w:r>
      <w:r w:rsidR="00501124">
        <w:rPr>
          <w:rFonts w:asciiTheme="majorHAnsi" w:hAnsiTheme="majorHAnsi" w:cstheme="majorHAnsi"/>
          <w:sz w:val="24"/>
          <w:szCs w:val="24"/>
        </w:rPr>
        <w:t>he</w:t>
      </w:r>
      <w:r w:rsidRPr="00D705BE">
        <w:rPr>
          <w:rFonts w:asciiTheme="majorHAnsi" w:hAnsiTheme="majorHAnsi" w:cstheme="majorHAnsi"/>
          <w:sz w:val="24"/>
          <w:szCs w:val="24"/>
        </w:rPr>
        <w:t xml:space="preserve"> Government conducts FTA information seminars in rural, regional</w:t>
      </w:r>
      <w:r w:rsidR="00501124">
        <w:rPr>
          <w:rFonts w:asciiTheme="majorHAnsi" w:hAnsiTheme="majorHAnsi" w:cstheme="majorHAnsi"/>
          <w:sz w:val="24"/>
          <w:szCs w:val="24"/>
        </w:rPr>
        <w:t>,</w:t>
      </w:r>
      <w:r w:rsidRPr="00D705BE">
        <w:rPr>
          <w:rFonts w:asciiTheme="majorHAnsi" w:hAnsiTheme="majorHAnsi" w:cstheme="majorHAnsi"/>
          <w:sz w:val="24"/>
          <w:szCs w:val="24"/>
        </w:rPr>
        <w:t xml:space="preserve"> and metropolitan locations to help regional Australian </w:t>
      </w:r>
      <w:r w:rsidR="003A4289">
        <w:rPr>
          <w:rFonts w:asciiTheme="majorHAnsi" w:hAnsiTheme="majorHAnsi" w:cstheme="majorHAnsi"/>
          <w:sz w:val="24"/>
          <w:szCs w:val="24"/>
        </w:rPr>
        <w:t xml:space="preserve">SMEs and other </w:t>
      </w:r>
      <w:r w:rsidRPr="00D705BE">
        <w:rPr>
          <w:rFonts w:asciiTheme="majorHAnsi" w:hAnsiTheme="majorHAnsi" w:cstheme="majorHAnsi"/>
          <w:sz w:val="24"/>
          <w:szCs w:val="24"/>
        </w:rPr>
        <w:t xml:space="preserve">businesses connect with global markets. </w:t>
      </w:r>
      <w:r w:rsidR="003A4289">
        <w:rPr>
          <w:rFonts w:asciiTheme="majorHAnsi" w:hAnsiTheme="majorHAnsi" w:cstheme="majorHAnsi"/>
          <w:sz w:val="24"/>
          <w:szCs w:val="24"/>
        </w:rPr>
        <w:t>As of May</w:t>
      </w:r>
      <w:r w:rsidRPr="00D705BE">
        <w:rPr>
          <w:rFonts w:asciiTheme="majorHAnsi" w:hAnsiTheme="majorHAnsi" w:cstheme="majorHAnsi"/>
          <w:sz w:val="24"/>
          <w:szCs w:val="24"/>
        </w:rPr>
        <w:t xml:space="preserve"> 2019, 12</w:t>
      </w:r>
      <w:r w:rsidR="003A4289">
        <w:rPr>
          <w:rFonts w:asciiTheme="majorHAnsi" w:hAnsiTheme="majorHAnsi" w:cstheme="majorHAnsi"/>
          <w:sz w:val="24"/>
          <w:szCs w:val="24"/>
        </w:rPr>
        <w:t>3</w:t>
      </w:r>
      <w:r w:rsidRPr="00D705BE">
        <w:rPr>
          <w:rFonts w:asciiTheme="majorHAnsi" w:hAnsiTheme="majorHAnsi" w:cstheme="majorHAnsi"/>
          <w:sz w:val="24"/>
          <w:szCs w:val="24"/>
        </w:rPr>
        <w:t xml:space="preserve"> FTA seminars </w:t>
      </w:r>
      <w:proofErr w:type="gramStart"/>
      <w:r w:rsidRPr="00D705BE">
        <w:rPr>
          <w:rFonts w:asciiTheme="majorHAnsi" w:hAnsiTheme="majorHAnsi" w:cstheme="majorHAnsi"/>
          <w:sz w:val="24"/>
          <w:szCs w:val="24"/>
        </w:rPr>
        <w:t>have been held</w:t>
      </w:r>
      <w:proofErr w:type="gramEnd"/>
      <w:r w:rsidRPr="00D705BE">
        <w:rPr>
          <w:rFonts w:asciiTheme="majorHAnsi" w:hAnsiTheme="majorHAnsi" w:cstheme="majorHAnsi"/>
          <w:sz w:val="24"/>
          <w:szCs w:val="24"/>
        </w:rPr>
        <w:t xml:space="preserve"> across Australia, with </w:t>
      </w:r>
      <w:r w:rsidR="003A4289">
        <w:rPr>
          <w:rFonts w:asciiTheme="majorHAnsi" w:hAnsiTheme="majorHAnsi" w:cstheme="majorHAnsi"/>
          <w:sz w:val="24"/>
          <w:szCs w:val="24"/>
        </w:rPr>
        <w:t>two thirds of these seminars</w:t>
      </w:r>
      <w:r w:rsidR="003A4289" w:rsidRPr="00D705BE">
        <w:rPr>
          <w:rFonts w:asciiTheme="majorHAnsi" w:hAnsiTheme="majorHAnsi" w:cstheme="majorHAnsi"/>
          <w:sz w:val="24"/>
          <w:szCs w:val="24"/>
        </w:rPr>
        <w:t xml:space="preserve"> </w:t>
      </w:r>
      <w:r w:rsidRPr="00D705BE">
        <w:rPr>
          <w:rFonts w:asciiTheme="majorHAnsi" w:hAnsiTheme="majorHAnsi" w:cstheme="majorHAnsi"/>
          <w:sz w:val="24"/>
          <w:szCs w:val="24"/>
        </w:rPr>
        <w:t>held in regional area</w:t>
      </w:r>
      <w:r w:rsidR="00501124">
        <w:rPr>
          <w:rFonts w:asciiTheme="majorHAnsi" w:hAnsiTheme="majorHAnsi" w:cstheme="majorHAnsi"/>
          <w:sz w:val="24"/>
          <w:szCs w:val="24"/>
        </w:rPr>
        <w:t>s</w:t>
      </w:r>
      <w:r w:rsidRPr="00D705BE">
        <w:rPr>
          <w:rFonts w:asciiTheme="majorHAnsi" w:hAnsiTheme="majorHAnsi" w:cstheme="majorHAnsi"/>
          <w:sz w:val="24"/>
          <w:szCs w:val="24"/>
        </w:rPr>
        <w:t xml:space="preserve">. The seminars promote </w:t>
      </w:r>
      <w:r w:rsidR="00526E96">
        <w:rPr>
          <w:rFonts w:asciiTheme="majorHAnsi" w:hAnsiTheme="majorHAnsi" w:cstheme="majorHAnsi"/>
          <w:sz w:val="24"/>
          <w:szCs w:val="24"/>
        </w:rPr>
        <w:t xml:space="preserve">FTA </w:t>
      </w:r>
      <w:r w:rsidRPr="00D705BE">
        <w:rPr>
          <w:rFonts w:asciiTheme="majorHAnsi" w:hAnsiTheme="majorHAnsi" w:cstheme="majorHAnsi"/>
          <w:sz w:val="24"/>
          <w:szCs w:val="24"/>
        </w:rPr>
        <w:t>awareness</w:t>
      </w:r>
      <w:r w:rsidR="00501124">
        <w:rPr>
          <w:rFonts w:asciiTheme="majorHAnsi" w:hAnsiTheme="majorHAnsi" w:cstheme="majorHAnsi"/>
          <w:sz w:val="24"/>
          <w:szCs w:val="24"/>
        </w:rPr>
        <w:t>,</w:t>
      </w:r>
      <w:r w:rsidRPr="00D705BE">
        <w:rPr>
          <w:rFonts w:asciiTheme="majorHAnsi" w:hAnsiTheme="majorHAnsi" w:cstheme="majorHAnsi"/>
          <w:sz w:val="24"/>
          <w:szCs w:val="24"/>
        </w:rPr>
        <w:t xml:space="preserve"> and include information about how to take advantage of Australia’s FTAs, including new agreements once they </w:t>
      </w:r>
      <w:r w:rsidR="00F21436" w:rsidRPr="00D705BE">
        <w:rPr>
          <w:rFonts w:asciiTheme="majorHAnsi" w:hAnsiTheme="majorHAnsi" w:cstheme="majorHAnsi"/>
          <w:sz w:val="24"/>
          <w:szCs w:val="24"/>
        </w:rPr>
        <w:t>enter into force.</w:t>
      </w:r>
      <w:r w:rsidR="00094373">
        <w:rPr>
          <w:rFonts w:asciiTheme="majorHAnsi" w:hAnsiTheme="majorHAnsi" w:cstheme="majorHAnsi"/>
          <w:sz w:val="24"/>
          <w:szCs w:val="24"/>
        </w:rPr>
        <w:t xml:space="preserve"> This is in addition to the FTA-ME Grants program </w:t>
      </w:r>
      <w:r w:rsidR="000802A6">
        <w:rPr>
          <w:rFonts w:asciiTheme="majorHAnsi" w:hAnsiTheme="majorHAnsi" w:cstheme="majorHAnsi"/>
          <w:sz w:val="24"/>
          <w:szCs w:val="24"/>
        </w:rPr>
        <w:t>(refer Recommendation 4)</w:t>
      </w:r>
      <w:r w:rsidR="0044573C">
        <w:rPr>
          <w:rFonts w:asciiTheme="majorHAnsi" w:hAnsiTheme="majorHAnsi" w:cstheme="majorHAnsi"/>
          <w:sz w:val="24"/>
          <w:szCs w:val="24"/>
        </w:rPr>
        <w:t>,</w:t>
      </w:r>
      <w:r w:rsidR="000802A6">
        <w:rPr>
          <w:rFonts w:asciiTheme="majorHAnsi" w:hAnsiTheme="majorHAnsi" w:cstheme="majorHAnsi"/>
          <w:sz w:val="24"/>
          <w:szCs w:val="24"/>
        </w:rPr>
        <w:t xml:space="preserve"> </w:t>
      </w:r>
      <w:r w:rsidR="00094373">
        <w:rPr>
          <w:rFonts w:asciiTheme="majorHAnsi" w:hAnsiTheme="majorHAnsi" w:cstheme="majorHAnsi"/>
          <w:sz w:val="24"/>
          <w:szCs w:val="24"/>
        </w:rPr>
        <w:t xml:space="preserve">which is </w:t>
      </w:r>
      <w:r w:rsidR="00094373" w:rsidRPr="00321C23">
        <w:rPr>
          <w:rFonts w:asciiTheme="majorHAnsi" w:hAnsiTheme="majorHAnsi" w:cstheme="majorHAnsi"/>
          <w:sz w:val="24"/>
          <w:szCs w:val="24"/>
        </w:rPr>
        <w:t xml:space="preserve">designed to </w:t>
      </w:r>
      <w:r w:rsidR="00094373">
        <w:rPr>
          <w:rFonts w:asciiTheme="majorHAnsi" w:hAnsiTheme="majorHAnsi" w:cstheme="majorHAnsi"/>
          <w:sz w:val="24"/>
          <w:szCs w:val="24"/>
        </w:rPr>
        <w:t xml:space="preserve">support member-based organisations to </w:t>
      </w:r>
      <w:r w:rsidR="00094373" w:rsidRPr="00321C23">
        <w:rPr>
          <w:rFonts w:asciiTheme="majorHAnsi" w:hAnsiTheme="majorHAnsi" w:cstheme="majorHAnsi"/>
          <w:sz w:val="24"/>
          <w:szCs w:val="24"/>
        </w:rPr>
        <w:t xml:space="preserve">deliver business strategies </w:t>
      </w:r>
      <w:r w:rsidR="00094373">
        <w:rPr>
          <w:rFonts w:asciiTheme="majorHAnsi" w:hAnsiTheme="majorHAnsi" w:cstheme="majorHAnsi"/>
          <w:sz w:val="24"/>
          <w:szCs w:val="24"/>
        </w:rPr>
        <w:t>to</w:t>
      </w:r>
      <w:r w:rsidR="00094373" w:rsidRPr="00321C23">
        <w:rPr>
          <w:rFonts w:asciiTheme="majorHAnsi" w:hAnsiTheme="majorHAnsi" w:cstheme="majorHAnsi"/>
          <w:sz w:val="24"/>
          <w:szCs w:val="24"/>
        </w:rPr>
        <w:t xml:space="preserve"> both educate and increase the potential for</w:t>
      </w:r>
      <w:r w:rsidR="0044573C">
        <w:rPr>
          <w:rFonts w:asciiTheme="majorHAnsi" w:hAnsiTheme="majorHAnsi" w:cstheme="majorHAnsi"/>
          <w:sz w:val="24"/>
          <w:szCs w:val="24"/>
        </w:rPr>
        <w:t xml:space="preserve"> SMEs to achieve</w:t>
      </w:r>
      <w:r w:rsidR="00094373" w:rsidRPr="00321C23">
        <w:rPr>
          <w:rFonts w:asciiTheme="majorHAnsi" w:hAnsiTheme="majorHAnsi" w:cstheme="majorHAnsi"/>
          <w:sz w:val="24"/>
          <w:szCs w:val="24"/>
        </w:rPr>
        <w:t xml:space="preserve"> tangible outcomes in FTA markets</w:t>
      </w:r>
      <w:r w:rsidR="00094373">
        <w:rPr>
          <w:rFonts w:asciiTheme="majorHAnsi" w:hAnsiTheme="majorHAnsi" w:cstheme="majorHAnsi"/>
          <w:sz w:val="24"/>
          <w:szCs w:val="24"/>
        </w:rPr>
        <w:t>.</w:t>
      </w:r>
    </w:p>
    <w:p w14:paraId="7817DDF9" w14:textId="2A6662FA" w:rsidR="00D35250" w:rsidRPr="00D705BE" w:rsidRDefault="00526E96" w:rsidP="00D705BE">
      <w:pPr>
        <w:pStyle w:val="BodyText"/>
        <w:tabs>
          <w:tab w:val="clear" w:pos="624"/>
        </w:tabs>
        <w:ind w:left="0" w:firstLine="0"/>
        <w:rPr>
          <w:rFonts w:asciiTheme="majorHAnsi" w:hAnsiTheme="majorHAnsi" w:cstheme="majorHAnsi"/>
          <w:sz w:val="24"/>
          <w:szCs w:val="24"/>
        </w:rPr>
      </w:pPr>
      <w:r>
        <w:rPr>
          <w:rFonts w:asciiTheme="majorHAnsi" w:hAnsiTheme="majorHAnsi" w:cstheme="majorHAnsi"/>
          <w:sz w:val="24"/>
          <w:szCs w:val="24"/>
        </w:rPr>
        <w:t>In addition to FTA information seminars, t</w:t>
      </w:r>
      <w:r w:rsidR="00F21436" w:rsidRPr="00D705BE">
        <w:rPr>
          <w:rFonts w:asciiTheme="majorHAnsi" w:hAnsiTheme="majorHAnsi" w:cstheme="majorHAnsi"/>
          <w:sz w:val="24"/>
          <w:szCs w:val="24"/>
        </w:rPr>
        <w:t>he Australian Government</w:t>
      </w:r>
      <w:r w:rsidR="00D35250" w:rsidRPr="00D705BE">
        <w:rPr>
          <w:rFonts w:asciiTheme="majorHAnsi" w:hAnsiTheme="majorHAnsi" w:cstheme="majorHAnsi"/>
          <w:sz w:val="24"/>
          <w:szCs w:val="24"/>
        </w:rPr>
        <w:t xml:space="preserve"> will continue to </w:t>
      </w:r>
      <w:r w:rsidRPr="00526E96">
        <w:rPr>
          <w:rFonts w:asciiTheme="majorHAnsi" w:hAnsiTheme="majorHAnsi" w:cstheme="majorHAnsi"/>
          <w:sz w:val="24"/>
          <w:szCs w:val="24"/>
        </w:rPr>
        <w:t>undertake bespoke FTA outreach</w:t>
      </w:r>
      <w:r>
        <w:rPr>
          <w:rFonts w:asciiTheme="majorHAnsi" w:hAnsiTheme="majorHAnsi" w:cstheme="majorHAnsi"/>
          <w:sz w:val="24"/>
          <w:szCs w:val="24"/>
        </w:rPr>
        <w:t xml:space="preserve"> that </w:t>
      </w:r>
      <w:proofErr w:type="gramStart"/>
      <w:r>
        <w:rPr>
          <w:rFonts w:asciiTheme="majorHAnsi" w:hAnsiTheme="majorHAnsi" w:cstheme="majorHAnsi"/>
          <w:sz w:val="24"/>
          <w:szCs w:val="24"/>
        </w:rPr>
        <w:t>is</w:t>
      </w:r>
      <w:r w:rsidRPr="00526E96">
        <w:rPr>
          <w:rFonts w:asciiTheme="majorHAnsi" w:hAnsiTheme="majorHAnsi" w:cstheme="majorHAnsi"/>
          <w:sz w:val="24"/>
          <w:szCs w:val="24"/>
        </w:rPr>
        <w:t xml:space="preserve"> tailored</w:t>
      </w:r>
      <w:proofErr w:type="gramEnd"/>
      <w:r w:rsidRPr="00526E96">
        <w:rPr>
          <w:rFonts w:asciiTheme="majorHAnsi" w:hAnsiTheme="majorHAnsi" w:cstheme="majorHAnsi"/>
          <w:sz w:val="24"/>
          <w:szCs w:val="24"/>
        </w:rPr>
        <w:t>, as appropriate, to the characteristics of specific industries, sectors and regions</w:t>
      </w:r>
      <w:r w:rsidR="00922447" w:rsidRPr="00526E96">
        <w:rPr>
          <w:rFonts w:asciiTheme="majorHAnsi" w:hAnsiTheme="majorHAnsi" w:cstheme="majorHAnsi"/>
          <w:sz w:val="24"/>
          <w:szCs w:val="24"/>
        </w:rPr>
        <w:t>.</w:t>
      </w:r>
    </w:p>
    <w:p w14:paraId="3C55E6A1" w14:textId="77777777" w:rsidR="00B44C3F" w:rsidRPr="00D705BE" w:rsidRDefault="00B44C3F" w:rsidP="00D705BE">
      <w:pPr>
        <w:pStyle w:val="BodyText"/>
        <w:tabs>
          <w:tab w:val="clear" w:pos="624"/>
        </w:tabs>
        <w:suppressAutoHyphens w:val="0"/>
        <w:ind w:left="0" w:firstLine="0"/>
        <w:rPr>
          <w:rFonts w:asciiTheme="majorHAnsi" w:hAnsiTheme="majorHAnsi" w:cstheme="majorHAnsi"/>
          <w:sz w:val="24"/>
          <w:szCs w:val="24"/>
        </w:rPr>
      </w:pPr>
      <w:r w:rsidRPr="00D705BE">
        <w:rPr>
          <w:rFonts w:asciiTheme="majorHAnsi" w:hAnsiTheme="majorHAnsi" w:cstheme="majorHAnsi"/>
          <w:sz w:val="24"/>
          <w:szCs w:val="24"/>
        </w:rPr>
        <w:t>While the Government’s FTA outreach needs to remain relevant to all SMEs and other businesses, we will continue to explore where there is scope for more tailored advocacy</w:t>
      </w:r>
      <w:r w:rsidR="00652C59" w:rsidRPr="00D705BE">
        <w:rPr>
          <w:rFonts w:asciiTheme="majorHAnsi" w:hAnsiTheme="majorHAnsi" w:cstheme="majorHAnsi"/>
          <w:sz w:val="24"/>
          <w:szCs w:val="24"/>
        </w:rPr>
        <w:t>.</w:t>
      </w:r>
    </w:p>
    <w:p w14:paraId="467D8D0C" w14:textId="77777777" w:rsidR="0047559A" w:rsidRPr="00D705BE" w:rsidRDefault="0047559A"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DB26DF"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8.2 – Invite active industry participation in FTA programs</w:t>
      </w:r>
    </w:p>
    <w:p w14:paraId="5998E80A" w14:textId="77777777" w:rsidR="00BC0BDF" w:rsidRPr="00D705BE" w:rsidRDefault="00BC0BDF"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adopts</w:t>
      </w:r>
      <w:proofErr w:type="gramEnd"/>
      <w:r w:rsidRPr="00D705BE">
        <w:rPr>
          <w:rFonts w:asciiTheme="majorHAnsi" w:hAnsiTheme="majorHAnsi" w:cstheme="majorHAnsi"/>
          <w:b/>
          <w:i/>
          <w:sz w:val="24"/>
          <w:szCs w:val="24"/>
        </w:rPr>
        <w:t xml:space="preserve"> a more holistic approach to encouraging Australian small and medium enterprises (SMEs) to trade internationally and utilise free trade agreements (FTA) by:</w:t>
      </w:r>
    </w:p>
    <w:p w14:paraId="5A0AA9F0" w14:textId="77777777" w:rsidR="00BC0BDF" w:rsidRPr="00D705BE" w:rsidRDefault="00BC0BDF"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Inviting the active participation of industry representative bodies, such as those representing customs agents and freight forwarders, in FTA awareness and education programs to educate SMEs about the export</w:t>
      </w:r>
      <w:r w:rsidR="00D86B1A">
        <w:rPr>
          <w:rFonts w:asciiTheme="majorHAnsi" w:hAnsiTheme="majorHAnsi" w:cstheme="majorHAnsi"/>
          <w:b/>
          <w:i/>
          <w:sz w:val="24"/>
          <w:szCs w:val="24"/>
        </w:rPr>
        <w:t xml:space="preserve"> services their members provide.</w:t>
      </w:r>
    </w:p>
    <w:p w14:paraId="66264203"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501124">
        <w:rPr>
          <w:rFonts w:asciiTheme="majorHAnsi" w:hAnsiTheme="majorHAnsi" w:cstheme="majorHAnsi"/>
          <w:i/>
          <w:sz w:val="24"/>
          <w:szCs w:val="24"/>
        </w:rPr>
        <w:t xml:space="preserve">  </w:t>
      </w:r>
      <w:r w:rsidR="00F21436" w:rsidRPr="00D705BE">
        <w:rPr>
          <w:rFonts w:asciiTheme="majorHAnsi" w:hAnsiTheme="majorHAnsi" w:cstheme="majorHAnsi"/>
          <w:i/>
          <w:sz w:val="24"/>
          <w:szCs w:val="24"/>
        </w:rPr>
        <w:t>Supported</w:t>
      </w:r>
    </w:p>
    <w:p w14:paraId="64BF6785" w14:textId="63F18A19" w:rsidR="005A2025" w:rsidRDefault="00F21436" w:rsidP="00D705BE">
      <w:pPr>
        <w:pStyle w:val="BodyText"/>
        <w:tabs>
          <w:tab w:val="clear" w:pos="624"/>
        </w:tabs>
        <w:ind w:left="0" w:firstLine="0"/>
        <w:rPr>
          <w:rFonts w:asciiTheme="majorHAnsi" w:hAnsiTheme="majorHAnsi" w:cstheme="majorHAnsi"/>
          <w:sz w:val="24"/>
          <w:szCs w:val="24"/>
        </w:rPr>
      </w:pPr>
      <w:r w:rsidRPr="00D705BE">
        <w:rPr>
          <w:rFonts w:asciiTheme="majorHAnsi" w:hAnsiTheme="majorHAnsi" w:cstheme="majorHAnsi"/>
          <w:sz w:val="24"/>
          <w:szCs w:val="24"/>
        </w:rPr>
        <w:t>The Government</w:t>
      </w:r>
      <w:r w:rsidR="00501124">
        <w:rPr>
          <w:rFonts w:asciiTheme="majorHAnsi" w:hAnsiTheme="majorHAnsi" w:cstheme="majorHAnsi"/>
          <w:sz w:val="24"/>
          <w:szCs w:val="24"/>
        </w:rPr>
        <w:t xml:space="preserve">, through </w:t>
      </w:r>
      <w:r w:rsidRPr="00D705BE">
        <w:rPr>
          <w:rFonts w:asciiTheme="majorHAnsi" w:hAnsiTheme="majorHAnsi" w:cstheme="majorHAnsi"/>
          <w:sz w:val="24"/>
          <w:szCs w:val="24"/>
        </w:rPr>
        <w:t>DFAT and Austrade</w:t>
      </w:r>
      <w:r w:rsidR="00501124">
        <w:rPr>
          <w:rFonts w:asciiTheme="majorHAnsi" w:hAnsiTheme="majorHAnsi" w:cstheme="majorHAnsi"/>
          <w:sz w:val="24"/>
          <w:szCs w:val="24"/>
        </w:rPr>
        <w:t>,</w:t>
      </w:r>
      <w:r w:rsidRPr="00D705BE">
        <w:rPr>
          <w:rFonts w:asciiTheme="majorHAnsi" w:hAnsiTheme="majorHAnsi" w:cstheme="majorHAnsi"/>
          <w:sz w:val="24"/>
          <w:szCs w:val="24"/>
        </w:rPr>
        <w:t xml:space="preserve"> have a close working relationship with trade facilitators, including peak bodies such as the</w:t>
      </w:r>
      <w:r w:rsidR="00D86B1A">
        <w:rPr>
          <w:rFonts w:asciiTheme="majorHAnsi" w:hAnsiTheme="majorHAnsi" w:cstheme="majorHAnsi"/>
          <w:sz w:val="24"/>
          <w:szCs w:val="24"/>
        </w:rPr>
        <w:t xml:space="preserve"> Freight and Trade Alliance</w:t>
      </w:r>
      <w:r w:rsidRPr="00D705BE">
        <w:rPr>
          <w:rFonts w:asciiTheme="majorHAnsi" w:hAnsiTheme="majorHAnsi" w:cstheme="majorHAnsi"/>
          <w:sz w:val="24"/>
          <w:szCs w:val="24"/>
        </w:rPr>
        <w:t>, the Customs Brokers and Forwa</w:t>
      </w:r>
      <w:r w:rsidR="00D86B1A">
        <w:rPr>
          <w:rFonts w:asciiTheme="majorHAnsi" w:hAnsiTheme="majorHAnsi" w:cstheme="majorHAnsi"/>
          <w:sz w:val="24"/>
          <w:szCs w:val="24"/>
        </w:rPr>
        <w:t>rders Council of Australia</w:t>
      </w:r>
      <w:r w:rsidRPr="00D705BE">
        <w:rPr>
          <w:rFonts w:asciiTheme="majorHAnsi" w:hAnsiTheme="majorHAnsi" w:cstheme="majorHAnsi"/>
          <w:sz w:val="24"/>
          <w:szCs w:val="24"/>
        </w:rPr>
        <w:t xml:space="preserve">, and the Exporters Council of Australia. </w:t>
      </w:r>
      <w:r w:rsidR="005A2025">
        <w:rPr>
          <w:rFonts w:asciiTheme="majorHAnsi" w:hAnsiTheme="majorHAnsi" w:cstheme="majorHAnsi"/>
          <w:sz w:val="24"/>
          <w:szCs w:val="24"/>
        </w:rPr>
        <w:t xml:space="preserve">This includes </w:t>
      </w:r>
      <w:r w:rsidR="00814409">
        <w:rPr>
          <w:rFonts w:asciiTheme="majorHAnsi" w:hAnsiTheme="majorHAnsi" w:cstheme="majorHAnsi"/>
          <w:sz w:val="24"/>
          <w:szCs w:val="24"/>
        </w:rPr>
        <w:t xml:space="preserve">through </w:t>
      </w:r>
      <w:r w:rsidR="005A2025">
        <w:rPr>
          <w:rFonts w:asciiTheme="majorHAnsi" w:hAnsiTheme="majorHAnsi" w:cstheme="majorHAnsi"/>
          <w:sz w:val="24"/>
          <w:szCs w:val="24"/>
        </w:rPr>
        <w:t>the FTA-ME Grant program, which has been designed to e</w:t>
      </w:r>
      <w:r w:rsidR="005A2025" w:rsidRPr="00321C23">
        <w:rPr>
          <w:rFonts w:asciiTheme="majorHAnsi" w:hAnsiTheme="majorHAnsi" w:cstheme="majorHAnsi"/>
          <w:sz w:val="24"/>
          <w:szCs w:val="24"/>
        </w:rPr>
        <w:t xml:space="preserve">nsure adequate information and knowledge based training is available to support Australian businesses </w:t>
      </w:r>
      <w:r w:rsidR="0044573C">
        <w:rPr>
          <w:rFonts w:asciiTheme="majorHAnsi" w:hAnsiTheme="majorHAnsi" w:cstheme="majorHAnsi"/>
          <w:sz w:val="24"/>
          <w:szCs w:val="24"/>
        </w:rPr>
        <w:t xml:space="preserve">to </w:t>
      </w:r>
      <w:r w:rsidR="005A2025" w:rsidRPr="00321C23">
        <w:rPr>
          <w:rFonts w:asciiTheme="majorHAnsi" w:hAnsiTheme="majorHAnsi" w:cstheme="majorHAnsi"/>
          <w:sz w:val="24"/>
          <w:szCs w:val="24"/>
        </w:rPr>
        <w:t>understand sound market entry strategies and opportunities in FTA target markets</w:t>
      </w:r>
      <w:r w:rsidR="00876323">
        <w:rPr>
          <w:rFonts w:asciiTheme="majorHAnsi" w:hAnsiTheme="majorHAnsi" w:cstheme="majorHAnsi"/>
          <w:sz w:val="24"/>
          <w:szCs w:val="24"/>
        </w:rPr>
        <w:t>.</w:t>
      </w:r>
    </w:p>
    <w:p w14:paraId="1DF351E1" w14:textId="77777777" w:rsidR="005A2025" w:rsidRDefault="005A2025" w:rsidP="00D705BE">
      <w:pPr>
        <w:pStyle w:val="BodyText"/>
        <w:tabs>
          <w:tab w:val="clear" w:pos="624"/>
        </w:tabs>
        <w:ind w:left="0" w:firstLine="0"/>
        <w:rPr>
          <w:rFonts w:asciiTheme="majorHAnsi" w:hAnsiTheme="majorHAnsi" w:cstheme="majorHAnsi"/>
          <w:sz w:val="24"/>
          <w:szCs w:val="24"/>
        </w:rPr>
      </w:pPr>
      <w:r>
        <w:rPr>
          <w:rFonts w:asciiTheme="majorHAnsi" w:hAnsiTheme="majorHAnsi" w:cstheme="majorHAnsi"/>
          <w:sz w:val="24"/>
          <w:szCs w:val="24"/>
        </w:rPr>
        <w:lastRenderedPageBreak/>
        <w:t>We also rely on regional Chambers of Commerce and individual businesses to boost attendance at FTA seminars, and (</w:t>
      </w:r>
      <w:proofErr w:type="gramStart"/>
      <w:r w:rsidR="000802A6">
        <w:rPr>
          <w:rFonts w:asciiTheme="majorHAnsi" w:hAnsiTheme="majorHAnsi" w:cstheme="majorHAnsi"/>
          <w:sz w:val="24"/>
          <w:szCs w:val="24"/>
        </w:rPr>
        <w:t>with regards to</w:t>
      </w:r>
      <w:proofErr w:type="gramEnd"/>
      <w:r>
        <w:rPr>
          <w:rFonts w:asciiTheme="majorHAnsi" w:hAnsiTheme="majorHAnsi" w:cstheme="majorHAnsi"/>
          <w:sz w:val="24"/>
          <w:szCs w:val="24"/>
        </w:rPr>
        <w:t xml:space="preserve"> case study businesses) to share their experience with exporting in order to help others navigate the process. The selection of partners and case studies is important because</w:t>
      </w:r>
      <w:r w:rsidR="000802A6">
        <w:rPr>
          <w:rFonts w:asciiTheme="majorHAnsi" w:hAnsiTheme="majorHAnsi" w:cstheme="majorHAnsi"/>
          <w:sz w:val="24"/>
          <w:szCs w:val="24"/>
        </w:rPr>
        <w:t xml:space="preserve">, </w:t>
      </w:r>
      <w:r>
        <w:rPr>
          <w:rFonts w:asciiTheme="majorHAnsi" w:hAnsiTheme="majorHAnsi" w:cstheme="majorHAnsi"/>
          <w:sz w:val="24"/>
          <w:szCs w:val="24"/>
        </w:rPr>
        <w:t>for example</w:t>
      </w:r>
      <w:r w:rsidR="000802A6">
        <w:rPr>
          <w:rFonts w:asciiTheme="majorHAnsi" w:hAnsiTheme="majorHAnsi" w:cstheme="majorHAnsi"/>
          <w:sz w:val="24"/>
          <w:szCs w:val="24"/>
        </w:rPr>
        <w:t>,</w:t>
      </w:r>
      <w:r>
        <w:rPr>
          <w:rFonts w:asciiTheme="majorHAnsi" w:hAnsiTheme="majorHAnsi" w:cstheme="majorHAnsi"/>
          <w:sz w:val="24"/>
          <w:szCs w:val="24"/>
        </w:rPr>
        <w:t xml:space="preserve"> it will not always be appropriate to include freight forwarders in FTA awareness campaigns if exporters in a particular region are mainly service suppliers. The Government welcomes peak body contributions to its trade advocacy efforts where those contributions enhance the effectiveness of outreach.</w:t>
      </w:r>
    </w:p>
    <w:p w14:paraId="1A98E22F" w14:textId="77777777" w:rsidR="0047559A" w:rsidRPr="00D705BE" w:rsidRDefault="0047559A"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DB26DF"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8.3 – Strengthen capacity development of SMEs on assessing export options</w:t>
      </w:r>
    </w:p>
    <w:p w14:paraId="7629D673" w14:textId="77777777" w:rsidR="00BC0BDF" w:rsidRPr="00D705BE" w:rsidRDefault="00BC0BDF"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adopts</w:t>
      </w:r>
      <w:proofErr w:type="gramEnd"/>
      <w:r w:rsidRPr="00D705BE">
        <w:rPr>
          <w:rFonts w:asciiTheme="majorHAnsi" w:hAnsiTheme="majorHAnsi" w:cstheme="majorHAnsi"/>
          <w:b/>
          <w:i/>
          <w:sz w:val="24"/>
          <w:szCs w:val="24"/>
        </w:rPr>
        <w:t xml:space="preserve"> a more holistic approach to encouraging Australian small and medium enterprises (SMEs) to trade internationally and utilise free trade agreements (FTA) by:</w:t>
      </w:r>
    </w:p>
    <w:p w14:paraId="3E14EE84" w14:textId="77777777" w:rsidR="00BC0BDF" w:rsidRPr="00D705BE" w:rsidRDefault="00BC0BDF"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Strengthening capacity development of SMEs so they become more import/export ready, including knowing how to assess destinations and business partners, and using technology to support international engagement and tradin</w:t>
      </w:r>
      <w:r w:rsidR="00D86B1A">
        <w:rPr>
          <w:rFonts w:asciiTheme="majorHAnsi" w:hAnsiTheme="majorHAnsi" w:cstheme="majorHAnsi"/>
          <w:b/>
          <w:i/>
          <w:sz w:val="24"/>
          <w:szCs w:val="24"/>
        </w:rPr>
        <w:t>g activities.</w:t>
      </w:r>
    </w:p>
    <w:p w14:paraId="440F17CB"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4E6112">
        <w:rPr>
          <w:rFonts w:asciiTheme="majorHAnsi" w:hAnsiTheme="majorHAnsi" w:cstheme="majorHAnsi"/>
          <w:i/>
          <w:sz w:val="24"/>
          <w:szCs w:val="24"/>
        </w:rPr>
        <w:t xml:space="preserve">  </w:t>
      </w:r>
      <w:r w:rsidR="00755E85" w:rsidRPr="00D705BE">
        <w:rPr>
          <w:rFonts w:asciiTheme="majorHAnsi" w:hAnsiTheme="majorHAnsi" w:cstheme="majorHAnsi"/>
          <w:i/>
          <w:sz w:val="24"/>
          <w:szCs w:val="24"/>
        </w:rPr>
        <w:t>Partially Supported</w:t>
      </w:r>
    </w:p>
    <w:p w14:paraId="1210986C" w14:textId="77777777" w:rsidR="00A16C58" w:rsidRPr="00D705BE" w:rsidRDefault="00755E85"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The intent behind th</w:t>
      </w:r>
      <w:r w:rsidR="004E6112">
        <w:rPr>
          <w:rFonts w:asciiTheme="majorHAnsi" w:hAnsiTheme="majorHAnsi" w:cstheme="majorHAnsi"/>
          <w:sz w:val="24"/>
          <w:szCs w:val="24"/>
        </w:rPr>
        <w:t>is</w:t>
      </w:r>
      <w:r w:rsidR="00AA6AAD">
        <w:rPr>
          <w:rFonts w:asciiTheme="majorHAnsi" w:hAnsiTheme="majorHAnsi" w:cstheme="majorHAnsi"/>
          <w:sz w:val="24"/>
          <w:szCs w:val="24"/>
        </w:rPr>
        <w:t xml:space="preserve"> recommendation will be </w:t>
      </w:r>
      <w:r w:rsidRPr="00D705BE">
        <w:rPr>
          <w:rFonts w:asciiTheme="majorHAnsi" w:hAnsiTheme="majorHAnsi" w:cstheme="majorHAnsi"/>
          <w:sz w:val="24"/>
          <w:szCs w:val="24"/>
        </w:rPr>
        <w:t xml:space="preserve">met </w:t>
      </w:r>
      <w:r w:rsidR="004E6112">
        <w:rPr>
          <w:rFonts w:asciiTheme="majorHAnsi" w:hAnsiTheme="majorHAnsi" w:cstheme="majorHAnsi"/>
          <w:sz w:val="24"/>
          <w:szCs w:val="24"/>
        </w:rPr>
        <w:t xml:space="preserve">by </w:t>
      </w:r>
      <w:r w:rsidRPr="00D705BE">
        <w:rPr>
          <w:rFonts w:asciiTheme="majorHAnsi" w:hAnsiTheme="majorHAnsi" w:cstheme="majorHAnsi"/>
          <w:sz w:val="24"/>
          <w:szCs w:val="24"/>
        </w:rPr>
        <w:t>Austrade’s Export Support Finder project (refer Recommendation 6.2a)</w:t>
      </w:r>
      <w:r w:rsidR="004E6112">
        <w:rPr>
          <w:rFonts w:asciiTheme="majorHAnsi" w:hAnsiTheme="majorHAnsi" w:cstheme="majorHAnsi"/>
          <w:sz w:val="24"/>
          <w:szCs w:val="24"/>
        </w:rPr>
        <w:t xml:space="preserve">, </w:t>
      </w:r>
      <w:r w:rsidRPr="00D705BE">
        <w:rPr>
          <w:rFonts w:asciiTheme="majorHAnsi" w:hAnsiTheme="majorHAnsi" w:cstheme="majorHAnsi"/>
          <w:sz w:val="24"/>
          <w:szCs w:val="24"/>
        </w:rPr>
        <w:t>and under the current review of services offering (</w:t>
      </w:r>
      <w:r w:rsidR="004E6112">
        <w:rPr>
          <w:rFonts w:asciiTheme="majorHAnsi" w:hAnsiTheme="majorHAnsi" w:cstheme="majorHAnsi"/>
          <w:sz w:val="24"/>
          <w:szCs w:val="24"/>
        </w:rPr>
        <w:t xml:space="preserve">refer </w:t>
      </w:r>
      <w:r w:rsidRPr="00D705BE">
        <w:rPr>
          <w:rFonts w:asciiTheme="majorHAnsi" w:hAnsiTheme="majorHAnsi" w:cstheme="majorHAnsi"/>
          <w:sz w:val="24"/>
          <w:szCs w:val="24"/>
        </w:rPr>
        <w:t>Recommendation 8.4).</w:t>
      </w:r>
    </w:p>
    <w:p w14:paraId="21B41A43" w14:textId="5D129EB1" w:rsidR="00814409" w:rsidRDefault="00814409" w:rsidP="00814409">
      <w:pPr>
        <w:pStyle w:val="BodyText"/>
        <w:ind w:left="0" w:firstLine="0"/>
        <w:rPr>
          <w:rFonts w:asciiTheme="majorHAnsi" w:hAnsiTheme="majorHAnsi" w:cstheme="majorHAnsi"/>
          <w:sz w:val="24"/>
          <w:szCs w:val="24"/>
        </w:rPr>
      </w:pPr>
      <w:r>
        <w:rPr>
          <w:rFonts w:asciiTheme="majorHAnsi" w:hAnsiTheme="majorHAnsi" w:cstheme="majorHAnsi"/>
          <w:sz w:val="24"/>
          <w:szCs w:val="24"/>
        </w:rPr>
        <w:t xml:space="preserve">The Government has a role to play, in Australia and offshore, to help Australian companies become effective and sustainable exporters or importers. Austrade provides grants to enhance export readiness, and delivers in-market support and advice on distribution channels, advertising, finance, and market structure. Austrade’s </w:t>
      </w:r>
      <w:proofErr w:type="spellStart"/>
      <w:r>
        <w:rPr>
          <w:rFonts w:asciiTheme="majorHAnsi" w:hAnsiTheme="majorHAnsi" w:cstheme="majorHAnsi"/>
          <w:sz w:val="24"/>
          <w:szCs w:val="24"/>
        </w:rPr>
        <w:t>TradeStart</w:t>
      </w:r>
      <w:proofErr w:type="spellEnd"/>
      <w:r>
        <w:rPr>
          <w:rFonts w:asciiTheme="majorHAnsi" w:hAnsiTheme="majorHAnsi" w:cstheme="majorHAnsi"/>
          <w:sz w:val="24"/>
          <w:szCs w:val="24"/>
        </w:rPr>
        <w:t xml:space="preserve"> network helps Australian companies strengthen their capacity in export options, including by offering tailored workshops (</w:t>
      </w:r>
      <w:r w:rsidR="0044573C">
        <w:rPr>
          <w:rFonts w:asciiTheme="majorHAnsi" w:hAnsiTheme="majorHAnsi" w:cstheme="majorHAnsi"/>
          <w:sz w:val="24"/>
          <w:szCs w:val="24"/>
        </w:rPr>
        <w:t>for example,</w:t>
      </w:r>
      <w:r>
        <w:rPr>
          <w:rFonts w:asciiTheme="majorHAnsi" w:hAnsiTheme="majorHAnsi" w:cstheme="majorHAnsi"/>
          <w:sz w:val="24"/>
          <w:szCs w:val="24"/>
        </w:rPr>
        <w:t xml:space="preserve"> about how to assess business partners and markets) in regional Australia, and by ensuring exporters know where to find relevant information.</w:t>
      </w:r>
    </w:p>
    <w:p w14:paraId="15604A91" w14:textId="306E5E02" w:rsidR="00652C59" w:rsidRPr="00D705BE" w:rsidRDefault="000B5326"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 xml:space="preserve">More broadly, the </w:t>
      </w:r>
      <w:r w:rsidR="00CA57AE">
        <w:rPr>
          <w:rFonts w:asciiTheme="majorHAnsi" w:hAnsiTheme="majorHAnsi" w:cstheme="majorHAnsi"/>
          <w:sz w:val="24"/>
          <w:szCs w:val="24"/>
        </w:rPr>
        <w:t xml:space="preserve">DIIS </w:t>
      </w:r>
      <w:r>
        <w:rPr>
          <w:rFonts w:asciiTheme="majorHAnsi" w:hAnsiTheme="majorHAnsi" w:cstheme="majorHAnsi"/>
          <w:sz w:val="24"/>
          <w:szCs w:val="24"/>
        </w:rPr>
        <w:t xml:space="preserve">SME Export Hubs Initiative </w:t>
      </w:r>
      <w:r w:rsidR="00D86B1A">
        <w:rPr>
          <w:rFonts w:asciiTheme="majorHAnsi" w:hAnsiTheme="majorHAnsi" w:cstheme="majorHAnsi"/>
          <w:sz w:val="24"/>
          <w:szCs w:val="24"/>
        </w:rPr>
        <w:t xml:space="preserve">(refer Recommendation 4) </w:t>
      </w:r>
      <w:r>
        <w:rPr>
          <w:rFonts w:asciiTheme="majorHAnsi" w:hAnsiTheme="majorHAnsi" w:cstheme="majorHAnsi"/>
          <w:sz w:val="24"/>
          <w:szCs w:val="24"/>
        </w:rPr>
        <w:t xml:space="preserve">also helps </w:t>
      </w:r>
      <w:r w:rsidRPr="0098325E">
        <w:rPr>
          <w:rFonts w:asciiTheme="majorHAnsi" w:hAnsiTheme="majorHAnsi" w:cstheme="majorHAnsi"/>
          <w:sz w:val="24"/>
          <w:szCs w:val="24"/>
        </w:rPr>
        <w:t>boost the export capability of local and regional businesses</w:t>
      </w:r>
      <w:r>
        <w:rPr>
          <w:rFonts w:asciiTheme="majorHAnsi" w:hAnsiTheme="majorHAnsi" w:cstheme="majorHAnsi"/>
          <w:sz w:val="24"/>
          <w:szCs w:val="24"/>
        </w:rPr>
        <w:t xml:space="preserve"> </w:t>
      </w:r>
      <w:r w:rsidR="00CA57AE">
        <w:rPr>
          <w:rFonts w:asciiTheme="majorHAnsi" w:hAnsiTheme="majorHAnsi" w:cstheme="majorHAnsi"/>
          <w:sz w:val="24"/>
          <w:szCs w:val="24"/>
        </w:rPr>
        <w:t>through developing</w:t>
      </w:r>
      <w:r w:rsidR="00982914">
        <w:rPr>
          <w:rFonts w:asciiTheme="majorHAnsi" w:hAnsiTheme="majorHAnsi" w:cstheme="majorHAnsi"/>
          <w:sz w:val="24"/>
          <w:szCs w:val="24"/>
        </w:rPr>
        <w:t xml:space="preserve"> business collaborations (H</w:t>
      </w:r>
      <w:r w:rsidR="00CA57AE" w:rsidRPr="00642999">
        <w:rPr>
          <w:rFonts w:asciiTheme="majorHAnsi" w:hAnsiTheme="majorHAnsi" w:cstheme="majorHAnsi"/>
          <w:sz w:val="24"/>
          <w:szCs w:val="24"/>
        </w:rPr>
        <w:t>ubs)</w:t>
      </w:r>
      <w:r w:rsidR="00CA57AE">
        <w:rPr>
          <w:rFonts w:asciiTheme="majorHAnsi" w:hAnsiTheme="majorHAnsi" w:cstheme="majorHAnsi"/>
          <w:sz w:val="24"/>
          <w:szCs w:val="24"/>
        </w:rPr>
        <w:t xml:space="preserve">. </w:t>
      </w:r>
      <w:r w:rsidR="00CA57AE" w:rsidRPr="00642999">
        <w:rPr>
          <w:rFonts w:asciiTheme="majorHAnsi" w:hAnsiTheme="majorHAnsi" w:cstheme="majorHAnsi"/>
          <w:sz w:val="24"/>
          <w:szCs w:val="24"/>
        </w:rPr>
        <w:t xml:space="preserve">The </w:t>
      </w:r>
      <w:r w:rsidR="00982914">
        <w:rPr>
          <w:rFonts w:asciiTheme="majorHAnsi" w:hAnsiTheme="majorHAnsi" w:cstheme="majorHAnsi"/>
          <w:sz w:val="24"/>
          <w:szCs w:val="24"/>
        </w:rPr>
        <w:t>H</w:t>
      </w:r>
      <w:r w:rsidR="00CA57AE" w:rsidRPr="00642999">
        <w:rPr>
          <w:rFonts w:asciiTheme="majorHAnsi" w:hAnsiTheme="majorHAnsi" w:cstheme="majorHAnsi"/>
          <w:sz w:val="24"/>
          <w:szCs w:val="24"/>
        </w:rPr>
        <w:t>ubs will help SMEs work together to access new markets and global supply chains by identifying export opportunities, creating scale</w:t>
      </w:r>
      <w:r w:rsidR="0044573C">
        <w:rPr>
          <w:rFonts w:asciiTheme="majorHAnsi" w:hAnsiTheme="majorHAnsi" w:cstheme="majorHAnsi"/>
          <w:sz w:val="24"/>
          <w:szCs w:val="24"/>
        </w:rPr>
        <w:t>,</w:t>
      </w:r>
      <w:r w:rsidR="00CA57AE" w:rsidRPr="00642999">
        <w:rPr>
          <w:rFonts w:asciiTheme="majorHAnsi" w:hAnsiTheme="majorHAnsi" w:cstheme="majorHAnsi"/>
          <w:sz w:val="24"/>
          <w:szCs w:val="24"/>
        </w:rPr>
        <w:t xml:space="preserve"> and building on regional competitive strengths</w:t>
      </w:r>
      <w:r w:rsidR="00D32D9B">
        <w:rPr>
          <w:rFonts w:asciiTheme="majorHAnsi" w:hAnsiTheme="majorHAnsi" w:cstheme="majorHAnsi"/>
          <w:sz w:val="24"/>
          <w:szCs w:val="24"/>
        </w:rPr>
        <w:t xml:space="preserve">. </w:t>
      </w:r>
      <w:r w:rsidR="00652C59" w:rsidRPr="00D705BE">
        <w:rPr>
          <w:rFonts w:asciiTheme="majorHAnsi" w:hAnsiTheme="majorHAnsi" w:cstheme="majorHAnsi"/>
          <w:sz w:val="24"/>
          <w:szCs w:val="24"/>
        </w:rPr>
        <w:t xml:space="preserve">Technology, particularly e-commerce, can help </w:t>
      </w:r>
      <w:r w:rsidR="00ED53ED" w:rsidRPr="00D705BE">
        <w:rPr>
          <w:rFonts w:asciiTheme="majorHAnsi" w:hAnsiTheme="majorHAnsi" w:cstheme="majorHAnsi"/>
          <w:sz w:val="24"/>
          <w:szCs w:val="24"/>
        </w:rPr>
        <w:t>SMEs</w:t>
      </w:r>
      <w:r w:rsidR="00652C59" w:rsidRPr="00D705BE">
        <w:rPr>
          <w:rFonts w:asciiTheme="majorHAnsi" w:hAnsiTheme="majorHAnsi" w:cstheme="majorHAnsi"/>
          <w:sz w:val="24"/>
          <w:szCs w:val="24"/>
        </w:rPr>
        <w:t xml:space="preserve"> access promising markets </w:t>
      </w:r>
      <w:r w:rsidR="004E6112">
        <w:rPr>
          <w:rFonts w:asciiTheme="majorHAnsi" w:hAnsiTheme="majorHAnsi" w:cstheme="majorHAnsi"/>
          <w:sz w:val="24"/>
          <w:szCs w:val="24"/>
        </w:rPr>
        <w:t>that</w:t>
      </w:r>
      <w:r w:rsidR="004E6112" w:rsidRPr="00D705BE">
        <w:rPr>
          <w:rFonts w:asciiTheme="majorHAnsi" w:hAnsiTheme="majorHAnsi" w:cstheme="majorHAnsi"/>
          <w:sz w:val="24"/>
          <w:szCs w:val="24"/>
        </w:rPr>
        <w:t xml:space="preserve"> </w:t>
      </w:r>
      <w:r w:rsidR="00652C59" w:rsidRPr="00D705BE">
        <w:rPr>
          <w:rFonts w:asciiTheme="majorHAnsi" w:hAnsiTheme="majorHAnsi" w:cstheme="majorHAnsi"/>
          <w:sz w:val="24"/>
          <w:szCs w:val="24"/>
        </w:rPr>
        <w:t>might otherwise be too risky or present a dif</w:t>
      </w:r>
      <w:r w:rsidR="00951A1F">
        <w:rPr>
          <w:rFonts w:asciiTheme="majorHAnsi" w:hAnsiTheme="majorHAnsi" w:cstheme="majorHAnsi"/>
          <w:sz w:val="24"/>
          <w:szCs w:val="24"/>
        </w:rPr>
        <w:t>ficult regulatory environment. </w:t>
      </w:r>
      <w:r w:rsidR="00652C59" w:rsidRPr="00D705BE">
        <w:rPr>
          <w:rFonts w:asciiTheme="majorHAnsi" w:hAnsiTheme="majorHAnsi" w:cstheme="majorHAnsi"/>
          <w:sz w:val="24"/>
          <w:szCs w:val="24"/>
        </w:rPr>
        <w:t xml:space="preserve">We expect there will be ongoing demand for </w:t>
      </w:r>
      <w:r w:rsidR="00C95B9C">
        <w:rPr>
          <w:rFonts w:asciiTheme="majorHAnsi" w:hAnsiTheme="majorHAnsi" w:cstheme="majorHAnsi"/>
          <w:sz w:val="24"/>
          <w:szCs w:val="24"/>
        </w:rPr>
        <w:t>advice about the potential of e</w:t>
      </w:r>
      <w:r w:rsidR="00C95B9C">
        <w:rPr>
          <w:rFonts w:asciiTheme="majorHAnsi" w:hAnsiTheme="majorHAnsi" w:cstheme="majorHAnsi"/>
          <w:sz w:val="24"/>
          <w:szCs w:val="24"/>
        </w:rPr>
        <w:noBreakHyphen/>
      </w:r>
      <w:r w:rsidR="00652C59" w:rsidRPr="00D705BE">
        <w:rPr>
          <w:rFonts w:asciiTheme="majorHAnsi" w:hAnsiTheme="majorHAnsi" w:cstheme="majorHAnsi"/>
          <w:sz w:val="24"/>
          <w:szCs w:val="24"/>
        </w:rPr>
        <w:t>commerce for SME exporters</w:t>
      </w:r>
      <w:r w:rsidR="00CA57AE">
        <w:rPr>
          <w:rFonts w:asciiTheme="majorHAnsi" w:hAnsiTheme="majorHAnsi" w:cstheme="majorHAnsi"/>
          <w:sz w:val="24"/>
          <w:szCs w:val="24"/>
        </w:rPr>
        <w:t>.</w:t>
      </w:r>
      <w:r w:rsidR="00652C59" w:rsidRPr="00D705BE">
        <w:rPr>
          <w:rFonts w:asciiTheme="majorHAnsi" w:hAnsiTheme="majorHAnsi" w:cstheme="majorHAnsi"/>
          <w:sz w:val="24"/>
          <w:szCs w:val="24"/>
        </w:rPr>
        <w:t xml:space="preserve"> Austrade </w:t>
      </w:r>
      <w:proofErr w:type="gramStart"/>
      <w:r w:rsidR="00652C59" w:rsidRPr="00D705BE">
        <w:rPr>
          <w:rFonts w:asciiTheme="majorHAnsi" w:hAnsiTheme="majorHAnsi" w:cstheme="majorHAnsi"/>
          <w:sz w:val="24"/>
          <w:szCs w:val="24"/>
        </w:rPr>
        <w:t xml:space="preserve">is </w:t>
      </w:r>
      <w:r w:rsidR="00D32D9B" w:rsidRPr="00D705BE">
        <w:rPr>
          <w:rFonts w:asciiTheme="majorHAnsi" w:hAnsiTheme="majorHAnsi" w:cstheme="majorHAnsi"/>
          <w:sz w:val="24"/>
          <w:szCs w:val="24"/>
        </w:rPr>
        <w:t>well placed</w:t>
      </w:r>
      <w:proofErr w:type="gramEnd"/>
      <w:r w:rsidR="00652C59" w:rsidRPr="00D705BE">
        <w:rPr>
          <w:rFonts w:asciiTheme="majorHAnsi" w:hAnsiTheme="majorHAnsi" w:cstheme="majorHAnsi"/>
          <w:sz w:val="24"/>
          <w:szCs w:val="24"/>
        </w:rPr>
        <w:t xml:space="preserve"> to provide </w:t>
      </w:r>
      <w:r w:rsidR="00CA57AE">
        <w:rPr>
          <w:rFonts w:asciiTheme="majorHAnsi" w:hAnsiTheme="majorHAnsi" w:cstheme="majorHAnsi"/>
          <w:sz w:val="24"/>
          <w:szCs w:val="24"/>
        </w:rPr>
        <w:t xml:space="preserve">this </w:t>
      </w:r>
      <w:r w:rsidR="00652C59" w:rsidRPr="00D705BE">
        <w:rPr>
          <w:rFonts w:asciiTheme="majorHAnsi" w:hAnsiTheme="majorHAnsi" w:cstheme="majorHAnsi"/>
          <w:sz w:val="24"/>
          <w:szCs w:val="24"/>
        </w:rPr>
        <w:t>through its global network</w:t>
      </w:r>
      <w:r w:rsidR="00CA57AE">
        <w:rPr>
          <w:rFonts w:asciiTheme="majorHAnsi" w:hAnsiTheme="majorHAnsi" w:cstheme="majorHAnsi"/>
          <w:sz w:val="24"/>
          <w:szCs w:val="24"/>
        </w:rPr>
        <w:t xml:space="preserve">, and DIIS supports this through its Digital Economy Strategy and the Empowering Business to </w:t>
      </w:r>
      <w:r w:rsidR="00D86B1A">
        <w:rPr>
          <w:rFonts w:asciiTheme="majorHAnsi" w:hAnsiTheme="majorHAnsi" w:cstheme="majorHAnsi"/>
          <w:sz w:val="24"/>
          <w:szCs w:val="24"/>
        </w:rPr>
        <w:t>G</w:t>
      </w:r>
      <w:r w:rsidR="00CA57AE">
        <w:rPr>
          <w:rFonts w:asciiTheme="majorHAnsi" w:hAnsiTheme="majorHAnsi" w:cstheme="majorHAnsi"/>
          <w:sz w:val="24"/>
          <w:szCs w:val="24"/>
        </w:rPr>
        <w:t xml:space="preserve">o Digital program, </w:t>
      </w:r>
      <w:r w:rsidR="00465731">
        <w:rPr>
          <w:rFonts w:asciiTheme="majorHAnsi" w:hAnsiTheme="majorHAnsi" w:cstheme="majorHAnsi"/>
          <w:sz w:val="24"/>
          <w:szCs w:val="24"/>
        </w:rPr>
        <w:t>which funds efforts to increase small business awareness and adoption of digital economy.</w:t>
      </w:r>
    </w:p>
    <w:p w14:paraId="2A19686E" w14:textId="77777777" w:rsidR="0047559A" w:rsidRPr="00D705BE" w:rsidRDefault="0047559A"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DB26DF"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8.4 – Adopt a tiered pricing structure for service delivery</w:t>
      </w:r>
    </w:p>
    <w:p w14:paraId="2BC80FF1" w14:textId="77777777" w:rsidR="00BC0BDF" w:rsidRPr="00D705BE" w:rsidRDefault="00BC0BDF"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adopts</w:t>
      </w:r>
      <w:proofErr w:type="gramEnd"/>
      <w:r w:rsidRPr="00D705BE">
        <w:rPr>
          <w:rFonts w:asciiTheme="majorHAnsi" w:hAnsiTheme="majorHAnsi" w:cstheme="majorHAnsi"/>
          <w:b/>
          <w:i/>
          <w:sz w:val="24"/>
          <w:szCs w:val="24"/>
        </w:rPr>
        <w:t xml:space="preserve"> a more holistic approach to encouraging Australian small and medium enterprises (SMEs) to trade internationally and utilise free trade agreements (FTA) by:</w:t>
      </w:r>
    </w:p>
    <w:p w14:paraId="35184B12" w14:textId="77777777" w:rsidR="00BC0BDF" w:rsidRPr="00D705BE" w:rsidRDefault="00BC0BDF"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lastRenderedPageBreak/>
        <w:t>Adopting a tiered pricing structure for service delivery by the Australian Trade and Investment Commission and the departments of Agriculture and Water Resources and Home Affairs that takes into account business size and export volumes.</w:t>
      </w:r>
    </w:p>
    <w:p w14:paraId="0004C610"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002236A4" w:rsidRPr="00D705BE">
        <w:rPr>
          <w:rFonts w:asciiTheme="majorHAnsi" w:hAnsiTheme="majorHAnsi" w:cstheme="majorHAnsi"/>
          <w:i/>
          <w:sz w:val="24"/>
          <w:szCs w:val="24"/>
        </w:rPr>
        <w:t xml:space="preserve"> </w:t>
      </w:r>
      <w:r w:rsidR="004E6112">
        <w:rPr>
          <w:rFonts w:asciiTheme="majorHAnsi" w:hAnsiTheme="majorHAnsi" w:cstheme="majorHAnsi"/>
          <w:i/>
          <w:sz w:val="24"/>
          <w:szCs w:val="24"/>
        </w:rPr>
        <w:t xml:space="preserve">  </w:t>
      </w:r>
      <w:r w:rsidR="002236A4" w:rsidRPr="00D705BE">
        <w:rPr>
          <w:rFonts w:asciiTheme="majorHAnsi" w:hAnsiTheme="majorHAnsi" w:cstheme="majorHAnsi"/>
          <w:i/>
          <w:sz w:val="24"/>
          <w:szCs w:val="24"/>
        </w:rPr>
        <w:t>Noted</w:t>
      </w:r>
    </w:p>
    <w:p w14:paraId="522F0317" w14:textId="32E154CC" w:rsidR="002236A4" w:rsidRPr="00D705BE" w:rsidRDefault="004E6112"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 xml:space="preserve">The Australian </w:t>
      </w:r>
      <w:r w:rsidR="002236A4" w:rsidRPr="00D705BE">
        <w:rPr>
          <w:rFonts w:asciiTheme="majorHAnsi" w:hAnsiTheme="majorHAnsi" w:cstheme="majorHAnsi"/>
          <w:sz w:val="24"/>
          <w:szCs w:val="24"/>
        </w:rPr>
        <w:t>Government</w:t>
      </w:r>
      <w:r>
        <w:rPr>
          <w:rFonts w:asciiTheme="majorHAnsi" w:hAnsiTheme="majorHAnsi" w:cstheme="majorHAnsi"/>
          <w:sz w:val="24"/>
          <w:szCs w:val="24"/>
        </w:rPr>
        <w:t>’s</w:t>
      </w:r>
      <w:r w:rsidR="002236A4" w:rsidRPr="00D705BE">
        <w:rPr>
          <w:rFonts w:asciiTheme="majorHAnsi" w:hAnsiTheme="majorHAnsi" w:cstheme="majorHAnsi"/>
          <w:sz w:val="24"/>
          <w:szCs w:val="24"/>
        </w:rPr>
        <w:t xml:space="preserve"> cost recovery policy provides that where a regulatory function is provided to an identifiable group</w:t>
      </w:r>
      <w:r w:rsidR="00D86B1A">
        <w:rPr>
          <w:rFonts w:asciiTheme="majorHAnsi" w:hAnsiTheme="majorHAnsi" w:cstheme="majorHAnsi"/>
          <w:sz w:val="24"/>
          <w:szCs w:val="24"/>
        </w:rPr>
        <w:t>,</w:t>
      </w:r>
      <w:r w:rsidR="002236A4" w:rsidRPr="00D705BE">
        <w:rPr>
          <w:rFonts w:asciiTheme="majorHAnsi" w:hAnsiTheme="majorHAnsi" w:cstheme="majorHAnsi"/>
          <w:sz w:val="24"/>
          <w:szCs w:val="24"/>
        </w:rPr>
        <w:t xml:space="preserve"> that group should bear the full costs of the regulatory function, </w:t>
      </w:r>
      <w:r w:rsidR="00D86B1A">
        <w:rPr>
          <w:rFonts w:asciiTheme="majorHAnsi" w:hAnsiTheme="majorHAnsi" w:cstheme="majorHAnsi"/>
          <w:sz w:val="24"/>
          <w:szCs w:val="24"/>
        </w:rPr>
        <w:t>rather than</w:t>
      </w:r>
      <w:r w:rsidR="002236A4" w:rsidRPr="00D705BE">
        <w:rPr>
          <w:rFonts w:asciiTheme="majorHAnsi" w:hAnsiTheme="majorHAnsi" w:cstheme="majorHAnsi"/>
          <w:sz w:val="24"/>
          <w:szCs w:val="24"/>
        </w:rPr>
        <w:t xml:space="preserve"> general taxpayers. The current export certification fees and charges include fees per application and document as well as a levy charge based on export volume – which results in higher charges for higher export volume.</w:t>
      </w:r>
    </w:p>
    <w:p w14:paraId="70967ACC" w14:textId="61C2FD3F" w:rsidR="002236A4" w:rsidRPr="00D705BE" w:rsidRDefault="002236A4"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While the Government is committed to trade facilitation, the role of many Departments in export certification, such as the </w:t>
      </w:r>
      <w:r w:rsidR="00936461">
        <w:rPr>
          <w:rFonts w:asciiTheme="majorHAnsi" w:hAnsiTheme="majorHAnsi" w:cstheme="majorHAnsi"/>
          <w:sz w:val="24"/>
          <w:szCs w:val="24"/>
        </w:rPr>
        <w:t>DAWR</w:t>
      </w:r>
      <w:r w:rsidRPr="00D705BE">
        <w:rPr>
          <w:rFonts w:asciiTheme="majorHAnsi" w:hAnsiTheme="majorHAnsi" w:cstheme="majorHAnsi"/>
          <w:sz w:val="24"/>
          <w:szCs w:val="24"/>
        </w:rPr>
        <w:t xml:space="preserve"> and </w:t>
      </w:r>
      <w:r w:rsidR="00D86B1A">
        <w:rPr>
          <w:rFonts w:asciiTheme="majorHAnsi" w:hAnsiTheme="majorHAnsi" w:cstheme="majorHAnsi"/>
          <w:sz w:val="24"/>
          <w:szCs w:val="24"/>
        </w:rPr>
        <w:t xml:space="preserve">Department of </w:t>
      </w:r>
      <w:r w:rsidRPr="00D705BE">
        <w:rPr>
          <w:rFonts w:asciiTheme="majorHAnsi" w:hAnsiTheme="majorHAnsi" w:cstheme="majorHAnsi"/>
          <w:sz w:val="24"/>
          <w:szCs w:val="24"/>
        </w:rPr>
        <w:t>Home Affairs, is that of regulator</w:t>
      </w:r>
      <w:r w:rsidR="00D86B1A">
        <w:rPr>
          <w:rFonts w:asciiTheme="majorHAnsi" w:hAnsiTheme="majorHAnsi" w:cstheme="majorHAnsi"/>
          <w:sz w:val="24"/>
          <w:szCs w:val="24"/>
        </w:rPr>
        <w:t>,</w:t>
      </w:r>
      <w:r w:rsidRPr="00D705BE">
        <w:rPr>
          <w:rFonts w:asciiTheme="majorHAnsi" w:hAnsiTheme="majorHAnsi" w:cstheme="majorHAnsi"/>
          <w:sz w:val="24"/>
          <w:szCs w:val="24"/>
        </w:rPr>
        <w:t xml:space="preserve"> not service provider. The primary responsibility is </w:t>
      </w:r>
      <w:proofErr w:type="gramStart"/>
      <w:r w:rsidRPr="00D705BE">
        <w:rPr>
          <w:rFonts w:asciiTheme="majorHAnsi" w:hAnsiTheme="majorHAnsi" w:cstheme="majorHAnsi"/>
          <w:sz w:val="24"/>
          <w:szCs w:val="24"/>
        </w:rPr>
        <w:t>to effectively meet</w:t>
      </w:r>
      <w:proofErr w:type="gramEnd"/>
      <w:r w:rsidRPr="00D705BE">
        <w:rPr>
          <w:rFonts w:asciiTheme="majorHAnsi" w:hAnsiTheme="majorHAnsi" w:cstheme="majorHAnsi"/>
          <w:sz w:val="24"/>
          <w:szCs w:val="24"/>
        </w:rPr>
        <w:t xml:space="preserve"> regulatory obligations, recognising the need to do so as efficiently as possible.</w:t>
      </w:r>
    </w:p>
    <w:p w14:paraId="57F1CBF5" w14:textId="107A44D0" w:rsidR="00D32D9B" w:rsidRPr="00876323" w:rsidRDefault="00AA6AAD" w:rsidP="00C871A0">
      <w:pPr>
        <w:pStyle w:val="BodyText"/>
        <w:ind w:left="0" w:firstLine="0"/>
        <w:rPr>
          <w:rFonts w:asciiTheme="majorHAnsi" w:hAnsiTheme="majorHAnsi" w:cstheme="majorHAnsi"/>
          <w:sz w:val="24"/>
          <w:szCs w:val="24"/>
        </w:rPr>
      </w:pPr>
      <w:r>
        <w:rPr>
          <w:rFonts w:asciiTheme="majorHAnsi" w:hAnsiTheme="majorHAnsi" w:cstheme="majorHAnsi"/>
          <w:sz w:val="24"/>
          <w:szCs w:val="24"/>
        </w:rPr>
        <w:t>Austrade</w:t>
      </w:r>
      <w:r w:rsidR="002236A4" w:rsidRPr="00D705BE">
        <w:rPr>
          <w:rFonts w:asciiTheme="majorHAnsi" w:hAnsiTheme="majorHAnsi" w:cstheme="majorHAnsi"/>
          <w:sz w:val="24"/>
          <w:szCs w:val="24"/>
        </w:rPr>
        <w:t xml:space="preserve"> is currently reviewing its service offering following extensive research into the needs of Australian businesses seeking to internationalise. The new service offering </w:t>
      </w:r>
      <w:proofErr w:type="gramStart"/>
      <w:r w:rsidR="002236A4" w:rsidRPr="00D705BE">
        <w:rPr>
          <w:rFonts w:asciiTheme="majorHAnsi" w:hAnsiTheme="majorHAnsi" w:cstheme="majorHAnsi"/>
          <w:sz w:val="24"/>
          <w:szCs w:val="24"/>
        </w:rPr>
        <w:t>will be designed</w:t>
      </w:r>
      <w:proofErr w:type="gramEnd"/>
      <w:r w:rsidR="002236A4" w:rsidRPr="00D705BE">
        <w:rPr>
          <w:rFonts w:asciiTheme="majorHAnsi" w:hAnsiTheme="majorHAnsi" w:cstheme="majorHAnsi"/>
          <w:sz w:val="24"/>
          <w:szCs w:val="24"/>
        </w:rPr>
        <w:t xml:space="preserve"> to maximise the impact of Australian </w:t>
      </w:r>
      <w:r w:rsidR="00C073A1">
        <w:rPr>
          <w:rFonts w:asciiTheme="majorHAnsi" w:hAnsiTheme="majorHAnsi" w:cstheme="majorHAnsi"/>
          <w:sz w:val="24"/>
          <w:szCs w:val="24"/>
        </w:rPr>
        <w:t>G</w:t>
      </w:r>
      <w:r w:rsidR="002236A4" w:rsidRPr="00D705BE">
        <w:rPr>
          <w:rFonts w:asciiTheme="majorHAnsi" w:hAnsiTheme="majorHAnsi" w:cstheme="majorHAnsi"/>
          <w:sz w:val="24"/>
          <w:szCs w:val="24"/>
        </w:rPr>
        <w:t xml:space="preserve">overnment support and address the specific issues businesses experience when seeking to export. New services </w:t>
      </w:r>
      <w:proofErr w:type="gramStart"/>
      <w:r w:rsidR="002236A4" w:rsidRPr="00D705BE">
        <w:rPr>
          <w:rFonts w:asciiTheme="majorHAnsi" w:hAnsiTheme="majorHAnsi" w:cstheme="majorHAnsi"/>
          <w:sz w:val="24"/>
          <w:szCs w:val="24"/>
        </w:rPr>
        <w:t>will be co-designed</w:t>
      </w:r>
      <w:proofErr w:type="gramEnd"/>
      <w:r w:rsidR="002236A4" w:rsidRPr="00D705BE">
        <w:rPr>
          <w:rFonts w:asciiTheme="majorHAnsi" w:hAnsiTheme="majorHAnsi" w:cstheme="majorHAnsi"/>
          <w:sz w:val="24"/>
          <w:szCs w:val="24"/>
        </w:rPr>
        <w:t xml:space="preserve"> with relevant stakeholders, including public sector, industry and b</w:t>
      </w:r>
      <w:r w:rsidR="00C073A1">
        <w:rPr>
          <w:rFonts w:asciiTheme="majorHAnsi" w:hAnsiTheme="majorHAnsi" w:cstheme="majorHAnsi"/>
          <w:sz w:val="24"/>
          <w:szCs w:val="24"/>
        </w:rPr>
        <w:t>i</w:t>
      </w:r>
      <w:r w:rsidR="002236A4" w:rsidRPr="00D705BE">
        <w:rPr>
          <w:rFonts w:asciiTheme="majorHAnsi" w:hAnsiTheme="majorHAnsi" w:cstheme="majorHAnsi"/>
          <w:sz w:val="24"/>
          <w:szCs w:val="24"/>
        </w:rPr>
        <w:t xml:space="preserve">lateral associations to leverage expertise and avoid duplication. New delivery models and charging arrangements </w:t>
      </w:r>
      <w:proofErr w:type="gramStart"/>
      <w:r w:rsidR="002236A4" w:rsidRPr="00D705BE">
        <w:rPr>
          <w:rFonts w:asciiTheme="majorHAnsi" w:hAnsiTheme="majorHAnsi" w:cstheme="majorHAnsi"/>
          <w:sz w:val="24"/>
          <w:szCs w:val="24"/>
        </w:rPr>
        <w:t>will be considered</w:t>
      </w:r>
      <w:proofErr w:type="gramEnd"/>
      <w:r w:rsidR="002236A4" w:rsidRPr="00D705BE">
        <w:rPr>
          <w:rFonts w:asciiTheme="majorHAnsi" w:hAnsiTheme="majorHAnsi" w:cstheme="majorHAnsi"/>
          <w:sz w:val="24"/>
          <w:szCs w:val="24"/>
        </w:rPr>
        <w:t xml:space="preserve"> in the service review.</w:t>
      </w:r>
    </w:p>
    <w:p w14:paraId="722A6CEA" w14:textId="77777777" w:rsidR="006119E9" w:rsidRPr="00D705BE" w:rsidRDefault="004D4BE9" w:rsidP="00D705BE">
      <w:pPr>
        <w:pStyle w:val="RecommendationHeading"/>
        <w:rPr>
          <w:rFonts w:asciiTheme="majorHAnsi" w:hAnsiTheme="majorHAnsi" w:cstheme="majorHAnsi"/>
          <w:sz w:val="24"/>
          <w:szCs w:val="24"/>
        </w:rPr>
      </w:pPr>
      <w:hyperlink w:anchor="s26685rec9" w:history="1">
        <w:r w:rsidR="006119E9" w:rsidRPr="00D705BE">
          <w:rPr>
            <w:rFonts w:asciiTheme="majorHAnsi" w:hAnsiTheme="majorHAnsi" w:cstheme="majorHAnsi"/>
            <w:sz w:val="24"/>
            <w:szCs w:val="24"/>
          </w:rPr>
          <w:t>Recommendation 9</w:t>
        </w:r>
      </w:hyperlink>
      <w:r w:rsidR="00A16C58" w:rsidRPr="00D705BE">
        <w:rPr>
          <w:rFonts w:asciiTheme="majorHAnsi" w:hAnsiTheme="majorHAnsi" w:cstheme="majorHAnsi"/>
          <w:sz w:val="24"/>
          <w:szCs w:val="24"/>
        </w:rPr>
        <w:t>.1</w:t>
      </w:r>
      <w:r w:rsidR="00B702DF" w:rsidRPr="00D705BE">
        <w:rPr>
          <w:rFonts w:asciiTheme="majorHAnsi" w:hAnsiTheme="majorHAnsi" w:cstheme="majorHAnsi"/>
          <w:sz w:val="24"/>
          <w:szCs w:val="24"/>
        </w:rPr>
        <w:t xml:space="preserve"> – </w:t>
      </w:r>
      <w:r w:rsidR="00A16C58" w:rsidRPr="00D705BE">
        <w:rPr>
          <w:rFonts w:asciiTheme="majorHAnsi" w:hAnsiTheme="majorHAnsi" w:cstheme="majorHAnsi"/>
          <w:sz w:val="24"/>
          <w:szCs w:val="24"/>
        </w:rPr>
        <w:t>Embrace e-commerce</w:t>
      </w:r>
    </w:p>
    <w:p w14:paraId="60A130F6" w14:textId="77777777" w:rsidR="006119E9" w:rsidRPr="00D705BE" w:rsidRDefault="006119E9"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makes better use of data and technology for identifying and helping Australian small and medium </w:t>
      </w:r>
      <w:proofErr w:type="gramStart"/>
      <w:r w:rsidRPr="00D705BE">
        <w:rPr>
          <w:rFonts w:asciiTheme="majorHAnsi" w:hAnsiTheme="majorHAnsi" w:cstheme="majorHAnsi"/>
          <w:b/>
          <w:i/>
          <w:sz w:val="24"/>
          <w:szCs w:val="24"/>
        </w:rPr>
        <w:t>enterprises</w:t>
      </w:r>
      <w:proofErr w:type="gramEnd"/>
      <w:r w:rsidRPr="00D705BE">
        <w:rPr>
          <w:rFonts w:asciiTheme="majorHAnsi" w:hAnsiTheme="majorHAnsi" w:cstheme="majorHAnsi"/>
          <w:b/>
          <w:i/>
          <w:sz w:val="24"/>
          <w:szCs w:val="24"/>
        </w:rPr>
        <w:t xml:space="preserve"> (SMEs) capture international trade opportunities by:</w:t>
      </w:r>
    </w:p>
    <w:p w14:paraId="22E03332" w14:textId="77777777" w:rsidR="006119E9" w:rsidRPr="00D705BE" w:rsidRDefault="006119E9"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Embracing e-commerce as a key enabler of trade and including e-commerce </w:t>
      </w:r>
      <w:r w:rsidR="00D86B1A">
        <w:rPr>
          <w:rFonts w:asciiTheme="majorHAnsi" w:hAnsiTheme="majorHAnsi" w:cstheme="majorHAnsi"/>
          <w:b/>
          <w:i/>
          <w:sz w:val="24"/>
          <w:szCs w:val="24"/>
        </w:rPr>
        <w:t>as a key feature in future FTAs.</w:t>
      </w:r>
    </w:p>
    <w:p w14:paraId="0E18D93D"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C073A1">
        <w:rPr>
          <w:rFonts w:asciiTheme="majorHAnsi" w:hAnsiTheme="majorHAnsi" w:cstheme="majorHAnsi"/>
          <w:i/>
          <w:sz w:val="24"/>
          <w:szCs w:val="24"/>
        </w:rPr>
        <w:t xml:space="preserve">  </w:t>
      </w:r>
      <w:r w:rsidR="00A350DA" w:rsidRPr="00D705BE">
        <w:rPr>
          <w:rFonts w:asciiTheme="majorHAnsi" w:hAnsiTheme="majorHAnsi" w:cstheme="majorHAnsi"/>
          <w:i/>
          <w:sz w:val="24"/>
          <w:szCs w:val="24"/>
        </w:rPr>
        <w:t>Supported</w:t>
      </w:r>
    </w:p>
    <w:p w14:paraId="6A52A4FE" w14:textId="184EA608" w:rsidR="00231723" w:rsidRPr="00D705BE" w:rsidRDefault="00231723"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The Government is committed to e-commerce as a key enabler of trade, including as a way for Australian SMEs to reach new markets globally. Through our participation in FTAs and active engagement in international fora, the Australian Government is shaping s</w:t>
      </w:r>
      <w:r w:rsidR="00C95B9C">
        <w:rPr>
          <w:rFonts w:asciiTheme="majorHAnsi" w:hAnsiTheme="majorHAnsi" w:cstheme="majorHAnsi"/>
          <w:sz w:val="24"/>
          <w:szCs w:val="24"/>
        </w:rPr>
        <w:t>trong global rule</w:t>
      </w:r>
      <w:r w:rsidR="00C95B9C">
        <w:rPr>
          <w:rFonts w:asciiTheme="majorHAnsi" w:hAnsiTheme="majorHAnsi" w:cstheme="majorHAnsi"/>
          <w:sz w:val="24"/>
          <w:szCs w:val="24"/>
        </w:rPr>
        <w:noBreakHyphen/>
      </w:r>
      <w:r w:rsidRPr="00D705BE">
        <w:rPr>
          <w:rFonts w:asciiTheme="majorHAnsi" w:hAnsiTheme="majorHAnsi" w:cstheme="majorHAnsi"/>
          <w:sz w:val="24"/>
          <w:szCs w:val="24"/>
        </w:rPr>
        <w:t xml:space="preserve">making on digital trade by advocating for international rules that facilitate trade and build trust in the online environment for both business and consumers. These include rules that provide certainty to Australian businesses about how and when they can transfer data across borders and limit local data storage requirements </w:t>
      </w:r>
      <w:r w:rsidR="00CF3337">
        <w:rPr>
          <w:rFonts w:asciiTheme="majorHAnsi" w:hAnsiTheme="majorHAnsi" w:cstheme="majorHAnsi"/>
          <w:sz w:val="24"/>
          <w:szCs w:val="24"/>
        </w:rPr>
        <w:t xml:space="preserve">applied </w:t>
      </w:r>
      <w:r w:rsidRPr="00D705BE">
        <w:rPr>
          <w:rFonts w:asciiTheme="majorHAnsi" w:hAnsiTheme="majorHAnsi" w:cstheme="majorHAnsi"/>
          <w:sz w:val="24"/>
          <w:szCs w:val="24"/>
        </w:rPr>
        <w:t>by our trading partners. These rules allow our SMEs to make decisions that best reflect their business needs and allow them to be competitive and innovative. This is particularly important as the costs to locate and store data in overseas countries can be pa</w:t>
      </w:r>
      <w:r w:rsidR="00876323">
        <w:rPr>
          <w:rFonts w:asciiTheme="majorHAnsi" w:hAnsiTheme="majorHAnsi" w:cstheme="majorHAnsi"/>
          <w:sz w:val="24"/>
          <w:szCs w:val="24"/>
        </w:rPr>
        <w:t>rticularly prohibitive to SMEs.</w:t>
      </w:r>
    </w:p>
    <w:p w14:paraId="7F908813" w14:textId="77777777" w:rsidR="00231723" w:rsidRPr="00D705BE" w:rsidRDefault="00231723"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The Government’s most recently concluded FTAs</w:t>
      </w:r>
      <w:r w:rsidR="008B0AB4">
        <w:rPr>
          <w:rFonts w:asciiTheme="majorHAnsi" w:hAnsiTheme="majorHAnsi" w:cstheme="majorHAnsi"/>
          <w:sz w:val="24"/>
          <w:szCs w:val="24"/>
        </w:rPr>
        <w:t xml:space="preserve"> </w:t>
      </w:r>
      <w:r w:rsidRPr="00D705BE">
        <w:rPr>
          <w:rFonts w:asciiTheme="majorHAnsi" w:hAnsiTheme="majorHAnsi" w:cstheme="majorHAnsi"/>
          <w:sz w:val="24"/>
          <w:szCs w:val="24"/>
        </w:rPr>
        <w:t>— the TPP</w:t>
      </w:r>
      <w:r w:rsidR="00C073A1" w:rsidRPr="00D705BE">
        <w:rPr>
          <w:rFonts w:asciiTheme="majorHAnsi" w:hAnsiTheme="majorHAnsi" w:cstheme="majorHAnsi"/>
          <w:sz w:val="24"/>
          <w:szCs w:val="24"/>
        </w:rPr>
        <w:t>-11</w:t>
      </w:r>
      <w:r w:rsidR="00D86B1A">
        <w:rPr>
          <w:rFonts w:asciiTheme="majorHAnsi" w:hAnsiTheme="majorHAnsi" w:cstheme="majorHAnsi"/>
          <w:sz w:val="24"/>
          <w:szCs w:val="24"/>
        </w:rPr>
        <w:t xml:space="preserve"> (or CPTPP)</w:t>
      </w:r>
      <w:r w:rsidRPr="00D705BE">
        <w:rPr>
          <w:rFonts w:asciiTheme="majorHAnsi" w:hAnsiTheme="majorHAnsi" w:cstheme="majorHAnsi"/>
          <w:sz w:val="24"/>
          <w:szCs w:val="24"/>
        </w:rPr>
        <w:t>, the Peru-Australia F</w:t>
      </w:r>
      <w:r w:rsidR="00D86B1A">
        <w:rPr>
          <w:rFonts w:asciiTheme="majorHAnsi" w:hAnsiTheme="majorHAnsi" w:cstheme="majorHAnsi"/>
          <w:sz w:val="24"/>
          <w:szCs w:val="24"/>
        </w:rPr>
        <w:t>TA</w:t>
      </w:r>
      <w:r w:rsidRPr="00D705BE">
        <w:rPr>
          <w:rFonts w:asciiTheme="majorHAnsi" w:hAnsiTheme="majorHAnsi" w:cstheme="majorHAnsi"/>
          <w:sz w:val="24"/>
          <w:szCs w:val="24"/>
        </w:rPr>
        <w:t xml:space="preserve"> and IA-CEPA, and the 2017 review of Australia’s </w:t>
      </w:r>
      <w:r w:rsidR="00C073A1" w:rsidRPr="00D705BE">
        <w:rPr>
          <w:rFonts w:asciiTheme="majorHAnsi" w:hAnsiTheme="majorHAnsi" w:cstheme="majorHAnsi"/>
          <w:sz w:val="24"/>
          <w:szCs w:val="24"/>
        </w:rPr>
        <w:t xml:space="preserve">FTA with </w:t>
      </w:r>
      <w:r w:rsidRPr="00D705BE">
        <w:rPr>
          <w:rFonts w:asciiTheme="majorHAnsi" w:hAnsiTheme="majorHAnsi" w:cstheme="majorHAnsi"/>
          <w:sz w:val="24"/>
          <w:szCs w:val="24"/>
        </w:rPr>
        <w:t>Singapore</w:t>
      </w:r>
      <w:r w:rsidR="008B0AB4">
        <w:rPr>
          <w:rFonts w:asciiTheme="majorHAnsi" w:hAnsiTheme="majorHAnsi" w:cstheme="majorHAnsi"/>
          <w:sz w:val="24"/>
          <w:szCs w:val="24"/>
        </w:rPr>
        <w:t xml:space="preserve"> </w:t>
      </w:r>
      <w:r w:rsidRPr="00D705BE">
        <w:rPr>
          <w:rFonts w:asciiTheme="majorHAnsi" w:hAnsiTheme="majorHAnsi" w:cstheme="majorHAnsi"/>
          <w:sz w:val="24"/>
          <w:szCs w:val="24"/>
        </w:rPr>
        <w:t>—</w:t>
      </w:r>
      <w:r w:rsidR="008B0AB4">
        <w:rPr>
          <w:rFonts w:asciiTheme="majorHAnsi" w:hAnsiTheme="majorHAnsi" w:cstheme="majorHAnsi"/>
          <w:sz w:val="24"/>
          <w:szCs w:val="24"/>
        </w:rPr>
        <w:t xml:space="preserve"> </w:t>
      </w:r>
      <w:r w:rsidRPr="00D705BE">
        <w:rPr>
          <w:rFonts w:asciiTheme="majorHAnsi" w:hAnsiTheme="majorHAnsi" w:cstheme="majorHAnsi"/>
          <w:sz w:val="24"/>
          <w:szCs w:val="24"/>
        </w:rPr>
        <w:t>contain some of the most ambitious e-commerce provisions in the world</w:t>
      </w:r>
      <w:r w:rsidR="00D86B1A">
        <w:rPr>
          <w:rFonts w:asciiTheme="majorHAnsi" w:hAnsiTheme="majorHAnsi" w:cstheme="majorHAnsi"/>
          <w:sz w:val="24"/>
          <w:szCs w:val="24"/>
        </w:rPr>
        <w:t>,</w:t>
      </w:r>
      <w:r w:rsidRPr="00D705BE">
        <w:rPr>
          <w:rFonts w:asciiTheme="majorHAnsi" w:hAnsiTheme="majorHAnsi" w:cstheme="majorHAnsi"/>
          <w:sz w:val="24"/>
          <w:szCs w:val="24"/>
        </w:rPr>
        <w:t xml:space="preserve"> including rules targeting restrictions on data flows and data localisation requirements. We have </w:t>
      </w:r>
      <w:r w:rsidR="00C073A1" w:rsidRPr="00D705BE">
        <w:rPr>
          <w:rFonts w:asciiTheme="majorHAnsi" w:hAnsiTheme="majorHAnsi" w:cstheme="majorHAnsi"/>
          <w:sz w:val="24"/>
          <w:szCs w:val="24"/>
        </w:rPr>
        <w:t xml:space="preserve">also </w:t>
      </w:r>
      <w:r w:rsidRPr="00D705BE">
        <w:rPr>
          <w:rFonts w:asciiTheme="majorHAnsi" w:hAnsiTheme="majorHAnsi" w:cstheme="majorHAnsi"/>
          <w:sz w:val="24"/>
          <w:szCs w:val="24"/>
        </w:rPr>
        <w:t xml:space="preserve">achieved ambitious </w:t>
      </w:r>
      <w:r w:rsidRPr="00D705BE">
        <w:rPr>
          <w:rFonts w:asciiTheme="majorHAnsi" w:hAnsiTheme="majorHAnsi" w:cstheme="majorHAnsi"/>
          <w:sz w:val="24"/>
          <w:szCs w:val="24"/>
        </w:rPr>
        <w:lastRenderedPageBreak/>
        <w:t xml:space="preserve">commitments in </w:t>
      </w:r>
      <w:r w:rsidR="00C073A1" w:rsidRPr="00D705BE">
        <w:rPr>
          <w:rFonts w:asciiTheme="majorHAnsi" w:hAnsiTheme="majorHAnsi" w:cstheme="majorHAnsi"/>
          <w:sz w:val="24"/>
          <w:szCs w:val="24"/>
        </w:rPr>
        <w:t xml:space="preserve">our FTA with </w:t>
      </w:r>
      <w:r w:rsidRPr="00D705BE">
        <w:rPr>
          <w:rFonts w:asciiTheme="majorHAnsi" w:hAnsiTheme="majorHAnsi" w:cstheme="majorHAnsi"/>
          <w:sz w:val="24"/>
          <w:szCs w:val="24"/>
        </w:rPr>
        <w:t>Hong Kong, and are pushing for high standard e-commerce outcomes in ongoing</w:t>
      </w:r>
      <w:r w:rsidR="00C073A1" w:rsidRPr="00D705BE">
        <w:rPr>
          <w:rFonts w:asciiTheme="majorHAnsi" w:hAnsiTheme="majorHAnsi" w:cstheme="majorHAnsi"/>
          <w:sz w:val="24"/>
          <w:szCs w:val="24"/>
        </w:rPr>
        <w:t xml:space="preserve"> negotiations under RCEP, the Pacific Alliance and our FTA with the European Union</w:t>
      </w:r>
      <w:r w:rsidRPr="00D705BE">
        <w:rPr>
          <w:rFonts w:asciiTheme="majorHAnsi" w:hAnsiTheme="majorHAnsi" w:cstheme="majorHAnsi"/>
          <w:sz w:val="24"/>
          <w:szCs w:val="24"/>
        </w:rPr>
        <w:t>.</w:t>
      </w:r>
    </w:p>
    <w:p w14:paraId="66C13F01" w14:textId="6A193F89" w:rsidR="00231723" w:rsidRPr="00D705BE" w:rsidRDefault="00C073A1" w:rsidP="00D705BE">
      <w:pPr>
        <w:pStyle w:val="BodyText"/>
        <w:ind w:left="0" w:firstLine="0"/>
        <w:rPr>
          <w:rFonts w:asciiTheme="majorHAnsi" w:hAnsiTheme="majorHAnsi" w:cstheme="majorHAnsi"/>
          <w:sz w:val="24"/>
          <w:szCs w:val="24"/>
        </w:rPr>
      </w:pPr>
      <w:proofErr w:type="gramStart"/>
      <w:r>
        <w:rPr>
          <w:rFonts w:asciiTheme="majorHAnsi" w:hAnsiTheme="majorHAnsi" w:cstheme="majorHAnsi"/>
          <w:sz w:val="24"/>
          <w:szCs w:val="24"/>
        </w:rPr>
        <w:t xml:space="preserve">The Australian Government has </w:t>
      </w:r>
      <w:r w:rsidR="00231723" w:rsidRPr="00D705BE">
        <w:rPr>
          <w:rFonts w:asciiTheme="majorHAnsi" w:hAnsiTheme="majorHAnsi" w:cstheme="majorHAnsi"/>
          <w:sz w:val="24"/>
          <w:szCs w:val="24"/>
        </w:rPr>
        <w:t>also taken on a leadership role in the WTO, and w</w:t>
      </w:r>
      <w:r>
        <w:rPr>
          <w:rFonts w:asciiTheme="majorHAnsi" w:hAnsiTheme="majorHAnsi" w:cstheme="majorHAnsi"/>
          <w:sz w:val="24"/>
          <w:szCs w:val="24"/>
        </w:rPr>
        <w:t>as</w:t>
      </w:r>
      <w:r w:rsidR="00231723" w:rsidRPr="00D705BE">
        <w:rPr>
          <w:rFonts w:asciiTheme="majorHAnsi" w:hAnsiTheme="majorHAnsi" w:cstheme="majorHAnsi"/>
          <w:sz w:val="24"/>
          <w:szCs w:val="24"/>
        </w:rPr>
        <w:t xml:space="preserve"> instrumental in seeing 76 members sign on to and release the </w:t>
      </w:r>
      <w:r w:rsidR="00231723" w:rsidRPr="00746138">
        <w:rPr>
          <w:rFonts w:asciiTheme="majorHAnsi" w:hAnsiTheme="majorHAnsi" w:cstheme="majorHAnsi"/>
          <w:i/>
          <w:sz w:val="24"/>
          <w:szCs w:val="24"/>
        </w:rPr>
        <w:t>Joint Statement on Electronic Commerce</w:t>
      </w:r>
      <w:r w:rsidR="00231723" w:rsidRPr="00D705BE">
        <w:rPr>
          <w:rFonts w:asciiTheme="majorHAnsi" w:hAnsiTheme="majorHAnsi" w:cstheme="majorHAnsi"/>
          <w:sz w:val="24"/>
          <w:szCs w:val="24"/>
        </w:rPr>
        <w:t>, signalling their intention to move to negotiation</w:t>
      </w:r>
      <w:r w:rsidR="00C95B9C">
        <w:rPr>
          <w:rFonts w:asciiTheme="majorHAnsi" w:hAnsiTheme="majorHAnsi" w:cstheme="majorHAnsi"/>
          <w:sz w:val="24"/>
          <w:szCs w:val="24"/>
        </w:rPr>
        <w:t>s on trade-related aspects of e</w:t>
      </w:r>
      <w:r w:rsidR="00C95B9C">
        <w:rPr>
          <w:rFonts w:asciiTheme="majorHAnsi" w:hAnsiTheme="majorHAnsi" w:cstheme="majorHAnsi"/>
          <w:sz w:val="24"/>
          <w:szCs w:val="24"/>
        </w:rPr>
        <w:noBreakHyphen/>
      </w:r>
      <w:r w:rsidR="00231723" w:rsidRPr="00D705BE">
        <w:rPr>
          <w:rFonts w:asciiTheme="majorHAnsi" w:hAnsiTheme="majorHAnsi" w:cstheme="majorHAnsi"/>
          <w:sz w:val="24"/>
          <w:szCs w:val="24"/>
        </w:rPr>
        <w:t>commerce.</w:t>
      </w:r>
      <w:proofErr w:type="gramEnd"/>
    </w:p>
    <w:p w14:paraId="1E9AFE2E" w14:textId="77777777" w:rsidR="00231723" w:rsidRPr="00D705BE" w:rsidRDefault="00231723"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Government has further been developing a global e-commerce strategy, including </w:t>
      </w:r>
      <w:r w:rsidR="00D9547A" w:rsidRPr="00D705BE">
        <w:rPr>
          <w:rFonts w:asciiTheme="majorHAnsi" w:hAnsiTheme="majorHAnsi" w:cstheme="majorHAnsi"/>
          <w:sz w:val="24"/>
          <w:szCs w:val="24"/>
        </w:rPr>
        <w:t>by</w:t>
      </w:r>
      <w:r w:rsidRPr="00D705BE">
        <w:rPr>
          <w:rFonts w:asciiTheme="majorHAnsi" w:hAnsiTheme="majorHAnsi" w:cstheme="majorHAnsi"/>
          <w:sz w:val="24"/>
          <w:szCs w:val="24"/>
        </w:rPr>
        <w:t xml:space="preserve"> </w:t>
      </w:r>
      <w:r w:rsidR="00AA6AAD">
        <w:rPr>
          <w:rFonts w:asciiTheme="majorHAnsi" w:hAnsiTheme="majorHAnsi" w:cstheme="majorHAnsi"/>
          <w:sz w:val="24"/>
          <w:szCs w:val="24"/>
        </w:rPr>
        <w:t>Austrade’s launch of</w:t>
      </w:r>
      <w:r w:rsidR="00D9547A" w:rsidRPr="00D705BE">
        <w:rPr>
          <w:rFonts w:asciiTheme="majorHAnsi" w:hAnsiTheme="majorHAnsi" w:cstheme="majorHAnsi"/>
          <w:sz w:val="24"/>
          <w:szCs w:val="24"/>
        </w:rPr>
        <w:t xml:space="preserve"> a</w:t>
      </w:r>
      <w:r w:rsidRPr="00D705BE">
        <w:rPr>
          <w:rFonts w:asciiTheme="majorHAnsi" w:hAnsiTheme="majorHAnsi" w:cstheme="majorHAnsi"/>
          <w:sz w:val="24"/>
          <w:szCs w:val="24"/>
        </w:rPr>
        <w:t xml:space="preserve"> Guide to Online Exporting </w:t>
      </w:r>
      <w:r w:rsidR="00D86B1A">
        <w:rPr>
          <w:rFonts w:asciiTheme="majorHAnsi" w:hAnsiTheme="majorHAnsi" w:cstheme="majorHAnsi"/>
          <w:sz w:val="24"/>
          <w:szCs w:val="24"/>
        </w:rPr>
        <w:t xml:space="preserve">designed </w:t>
      </w:r>
      <w:r w:rsidRPr="00D705BE">
        <w:rPr>
          <w:rFonts w:asciiTheme="majorHAnsi" w:hAnsiTheme="majorHAnsi" w:cstheme="majorHAnsi"/>
          <w:sz w:val="24"/>
          <w:szCs w:val="24"/>
        </w:rPr>
        <w:t xml:space="preserve">to help exporters understand the </w:t>
      </w:r>
      <w:r w:rsidR="00D86B1A">
        <w:rPr>
          <w:rFonts w:asciiTheme="majorHAnsi" w:hAnsiTheme="majorHAnsi" w:cstheme="majorHAnsi"/>
          <w:sz w:val="24"/>
          <w:szCs w:val="24"/>
        </w:rPr>
        <w:t>business models available to using</w:t>
      </w:r>
      <w:r w:rsidRPr="00D705BE">
        <w:rPr>
          <w:rFonts w:asciiTheme="majorHAnsi" w:hAnsiTheme="majorHAnsi" w:cstheme="majorHAnsi"/>
          <w:sz w:val="24"/>
          <w:szCs w:val="24"/>
        </w:rPr>
        <w:t xml:space="preserve"> e-comme</w:t>
      </w:r>
      <w:r w:rsidR="00D9547A" w:rsidRPr="00D705BE">
        <w:rPr>
          <w:rFonts w:asciiTheme="majorHAnsi" w:hAnsiTheme="majorHAnsi" w:cstheme="majorHAnsi"/>
          <w:sz w:val="24"/>
          <w:szCs w:val="24"/>
        </w:rPr>
        <w:t xml:space="preserve">rce as a market entry channel. </w:t>
      </w:r>
      <w:r w:rsidRPr="00D705BE">
        <w:rPr>
          <w:rFonts w:asciiTheme="majorHAnsi" w:hAnsiTheme="majorHAnsi" w:cstheme="majorHAnsi"/>
          <w:sz w:val="24"/>
          <w:szCs w:val="24"/>
        </w:rPr>
        <w:t>Austrade conducts ongoing research and produces written guides for a range of markets in Asia. In 2017-18, as part of Austrade’s strategic collaboration agreement, Alibaba launched a dedicated channel on their video-sharing platform t</w:t>
      </w:r>
      <w:r w:rsidR="00951A1F">
        <w:rPr>
          <w:rFonts w:asciiTheme="majorHAnsi" w:hAnsiTheme="majorHAnsi" w:cstheme="majorHAnsi"/>
          <w:sz w:val="24"/>
          <w:szCs w:val="24"/>
        </w:rPr>
        <w:t xml:space="preserve">o promote Australian products. </w:t>
      </w:r>
      <w:r w:rsidR="00D9547A" w:rsidRPr="00D705BE">
        <w:rPr>
          <w:rFonts w:asciiTheme="majorHAnsi" w:hAnsiTheme="majorHAnsi" w:cstheme="majorHAnsi"/>
          <w:sz w:val="24"/>
          <w:szCs w:val="24"/>
        </w:rPr>
        <w:t>We</w:t>
      </w:r>
      <w:r w:rsidRPr="00D705BE">
        <w:rPr>
          <w:rFonts w:asciiTheme="majorHAnsi" w:hAnsiTheme="majorHAnsi" w:cstheme="majorHAnsi"/>
          <w:sz w:val="24"/>
          <w:szCs w:val="24"/>
        </w:rPr>
        <w:t xml:space="preserve"> ha</w:t>
      </w:r>
      <w:r w:rsidR="00D9547A" w:rsidRPr="00D705BE">
        <w:rPr>
          <w:rFonts w:asciiTheme="majorHAnsi" w:hAnsiTheme="majorHAnsi" w:cstheme="majorHAnsi"/>
          <w:sz w:val="24"/>
          <w:szCs w:val="24"/>
        </w:rPr>
        <w:t>ve</w:t>
      </w:r>
      <w:r w:rsidRPr="00D705BE">
        <w:rPr>
          <w:rFonts w:asciiTheme="majorHAnsi" w:hAnsiTheme="majorHAnsi" w:cstheme="majorHAnsi"/>
          <w:sz w:val="24"/>
          <w:szCs w:val="24"/>
        </w:rPr>
        <w:t xml:space="preserve"> begun discussions with platforms in other markets to educate Australian exporters</w:t>
      </w:r>
      <w:r w:rsidR="00D86B1A">
        <w:rPr>
          <w:rFonts w:asciiTheme="majorHAnsi" w:hAnsiTheme="majorHAnsi" w:cstheme="majorHAnsi"/>
          <w:sz w:val="24"/>
          <w:szCs w:val="24"/>
        </w:rPr>
        <w:t xml:space="preserve"> on opportunities and direct-to-</w:t>
      </w:r>
      <w:r w:rsidRPr="00D705BE">
        <w:rPr>
          <w:rFonts w:asciiTheme="majorHAnsi" w:hAnsiTheme="majorHAnsi" w:cstheme="majorHAnsi"/>
          <w:sz w:val="24"/>
          <w:szCs w:val="24"/>
        </w:rPr>
        <w:t>consumer supply chains</w:t>
      </w:r>
      <w:r w:rsidR="00D9547A" w:rsidRPr="00D705BE">
        <w:rPr>
          <w:rFonts w:asciiTheme="majorHAnsi" w:hAnsiTheme="majorHAnsi" w:cstheme="majorHAnsi"/>
          <w:sz w:val="24"/>
          <w:szCs w:val="24"/>
        </w:rPr>
        <w:t>.</w:t>
      </w:r>
    </w:p>
    <w:p w14:paraId="3B15E501" w14:textId="77777777" w:rsidR="00580D36" w:rsidRPr="00D705BE" w:rsidRDefault="00580D36"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t>R</w:t>
      </w:r>
      <w:r w:rsidR="00A16C58"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9.2 – Deliver simplified digital resources to make information easier to find</w:t>
      </w:r>
    </w:p>
    <w:p w14:paraId="51FF3D57" w14:textId="77777777" w:rsidR="00A16C58" w:rsidRPr="00D705BE" w:rsidRDefault="00A16C58"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makes better use of data and technology for identifying and helping Australian small and medium </w:t>
      </w:r>
      <w:proofErr w:type="gramStart"/>
      <w:r w:rsidRPr="00D705BE">
        <w:rPr>
          <w:rFonts w:asciiTheme="majorHAnsi" w:hAnsiTheme="majorHAnsi" w:cstheme="majorHAnsi"/>
          <w:b/>
          <w:i/>
          <w:sz w:val="24"/>
          <w:szCs w:val="24"/>
        </w:rPr>
        <w:t>enterprises</w:t>
      </w:r>
      <w:proofErr w:type="gramEnd"/>
      <w:r w:rsidRPr="00D705BE">
        <w:rPr>
          <w:rFonts w:asciiTheme="majorHAnsi" w:hAnsiTheme="majorHAnsi" w:cstheme="majorHAnsi"/>
          <w:b/>
          <w:i/>
          <w:sz w:val="24"/>
          <w:szCs w:val="24"/>
        </w:rPr>
        <w:t xml:space="preserve"> (SMEs) capture international trade opportunities by:</w:t>
      </w:r>
    </w:p>
    <w:p w14:paraId="47E1149D" w14:textId="77777777" w:rsidR="00A16C58" w:rsidRPr="00D705BE" w:rsidRDefault="00A16C58"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Delivering simplified, user-friendly digital resources and trade technologies to assist SMEs by making it easier to find the export information re</w:t>
      </w:r>
      <w:r w:rsidR="00D86B1A">
        <w:rPr>
          <w:rFonts w:asciiTheme="majorHAnsi" w:hAnsiTheme="majorHAnsi" w:cstheme="majorHAnsi"/>
          <w:b/>
          <w:i/>
          <w:sz w:val="24"/>
          <w:szCs w:val="24"/>
        </w:rPr>
        <w:t>quired for each trade agreement.</w:t>
      </w:r>
    </w:p>
    <w:p w14:paraId="20E094FE" w14:textId="77777777" w:rsidR="002C06C7" w:rsidRPr="00D705BE" w:rsidRDefault="002C06C7"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C073A1">
        <w:rPr>
          <w:rFonts w:asciiTheme="majorHAnsi" w:hAnsiTheme="majorHAnsi" w:cstheme="majorHAnsi"/>
          <w:i/>
          <w:sz w:val="24"/>
          <w:szCs w:val="24"/>
        </w:rPr>
        <w:t xml:space="preserve">  </w:t>
      </w:r>
      <w:r w:rsidR="008C4978" w:rsidRPr="00D705BE">
        <w:rPr>
          <w:rFonts w:asciiTheme="majorHAnsi" w:hAnsiTheme="majorHAnsi" w:cstheme="majorHAnsi"/>
          <w:i/>
          <w:sz w:val="24"/>
          <w:szCs w:val="24"/>
        </w:rPr>
        <w:t>Supported</w:t>
      </w:r>
    </w:p>
    <w:p w14:paraId="62C09276" w14:textId="069BBFF6" w:rsidR="00D32D9B" w:rsidRDefault="00FA34A3" w:rsidP="00D705BE">
      <w:pPr>
        <w:rPr>
          <w:rFonts w:asciiTheme="majorHAnsi" w:hAnsiTheme="majorHAnsi" w:cstheme="majorHAnsi"/>
          <w:sz w:val="24"/>
          <w:szCs w:val="24"/>
        </w:rPr>
      </w:pPr>
      <w:r w:rsidRPr="00D705BE">
        <w:rPr>
          <w:rFonts w:asciiTheme="majorHAnsi" w:hAnsiTheme="majorHAnsi" w:cstheme="majorHAnsi"/>
          <w:sz w:val="24"/>
          <w:szCs w:val="24"/>
        </w:rPr>
        <w:t xml:space="preserve">The Government </w:t>
      </w:r>
      <w:r w:rsidR="00C073A1">
        <w:rPr>
          <w:rFonts w:asciiTheme="majorHAnsi" w:hAnsiTheme="majorHAnsi" w:cstheme="majorHAnsi"/>
          <w:sz w:val="24"/>
          <w:szCs w:val="24"/>
        </w:rPr>
        <w:t xml:space="preserve">continues to enhance its </w:t>
      </w:r>
      <w:r w:rsidRPr="00D705BE">
        <w:rPr>
          <w:rFonts w:asciiTheme="majorHAnsi" w:hAnsiTheme="majorHAnsi" w:cstheme="majorHAnsi"/>
          <w:sz w:val="24"/>
          <w:szCs w:val="24"/>
        </w:rPr>
        <w:t>range of user</w:t>
      </w:r>
      <w:r w:rsidR="00C073A1">
        <w:rPr>
          <w:rFonts w:asciiTheme="majorHAnsi" w:hAnsiTheme="majorHAnsi" w:cstheme="majorHAnsi"/>
          <w:sz w:val="24"/>
          <w:szCs w:val="24"/>
        </w:rPr>
        <w:t>-</w:t>
      </w:r>
      <w:r w:rsidRPr="00D705BE">
        <w:rPr>
          <w:rFonts w:asciiTheme="majorHAnsi" w:hAnsiTheme="majorHAnsi" w:cstheme="majorHAnsi"/>
          <w:sz w:val="24"/>
          <w:szCs w:val="24"/>
        </w:rPr>
        <w:t>friendly digital resources to assist S</w:t>
      </w:r>
      <w:r w:rsidR="00D86B1A">
        <w:rPr>
          <w:rFonts w:asciiTheme="majorHAnsi" w:hAnsiTheme="majorHAnsi" w:cstheme="majorHAnsi"/>
          <w:sz w:val="24"/>
          <w:szCs w:val="24"/>
        </w:rPr>
        <w:t xml:space="preserve">MEs, including the FTA portal. </w:t>
      </w:r>
      <w:r w:rsidRPr="00D705BE">
        <w:rPr>
          <w:rFonts w:asciiTheme="majorHAnsi" w:hAnsiTheme="majorHAnsi" w:cstheme="majorHAnsi"/>
          <w:sz w:val="24"/>
          <w:szCs w:val="24"/>
        </w:rPr>
        <w:t xml:space="preserve">The </w:t>
      </w:r>
      <w:r w:rsidR="00C073A1">
        <w:rPr>
          <w:rFonts w:asciiTheme="majorHAnsi" w:hAnsiTheme="majorHAnsi" w:cstheme="majorHAnsi"/>
          <w:sz w:val="24"/>
          <w:szCs w:val="24"/>
        </w:rPr>
        <w:t xml:space="preserve">FTA </w:t>
      </w:r>
      <w:r w:rsidRPr="00D705BE">
        <w:rPr>
          <w:rFonts w:asciiTheme="majorHAnsi" w:hAnsiTheme="majorHAnsi" w:cstheme="majorHAnsi"/>
          <w:sz w:val="24"/>
          <w:szCs w:val="24"/>
        </w:rPr>
        <w:t>Portal (</w:t>
      </w:r>
      <w:hyperlink r:id="rId12" w:history="1">
        <w:r w:rsidR="00C073A1" w:rsidRPr="00B23776">
          <w:rPr>
            <w:rStyle w:val="Hyperlink"/>
            <w:rFonts w:asciiTheme="majorHAnsi" w:hAnsiTheme="majorHAnsi" w:cstheme="majorHAnsi"/>
            <w:sz w:val="24"/>
            <w:szCs w:val="24"/>
          </w:rPr>
          <w:t>www.</w:t>
        </w:r>
        <w:r w:rsidR="00C073A1" w:rsidRPr="00D705BE">
          <w:rPr>
            <w:rStyle w:val="Hyperlink"/>
            <w:rFonts w:asciiTheme="majorHAnsi" w:hAnsiTheme="majorHAnsi" w:cstheme="majorHAnsi"/>
            <w:sz w:val="24"/>
            <w:szCs w:val="24"/>
          </w:rPr>
          <w:t>ftaportal.dfat.gov.au</w:t>
        </w:r>
      </w:hyperlink>
      <w:r w:rsidR="00C95B9C">
        <w:rPr>
          <w:rFonts w:asciiTheme="majorHAnsi" w:hAnsiTheme="majorHAnsi" w:cstheme="majorHAnsi"/>
          <w:sz w:val="24"/>
          <w:szCs w:val="24"/>
        </w:rPr>
        <w:t>) is a simple, user</w:t>
      </w:r>
      <w:r w:rsidR="00C95B9C">
        <w:rPr>
          <w:rFonts w:asciiTheme="majorHAnsi" w:hAnsiTheme="majorHAnsi" w:cstheme="majorHAnsi"/>
          <w:sz w:val="24"/>
          <w:szCs w:val="24"/>
        </w:rPr>
        <w:noBreakHyphen/>
      </w:r>
      <w:r w:rsidRPr="00D705BE">
        <w:rPr>
          <w:rFonts w:asciiTheme="majorHAnsi" w:hAnsiTheme="majorHAnsi" w:cstheme="majorHAnsi"/>
          <w:sz w:val="24"/>
          <w:szCs w:val="24"/>
        </w:rPr>
        <w:t xml:space="preserve">focused tool that </w:t>
      </w:r>
      <w:r w:rsidR="00C073A1">
        <w:rPr>
          <w:rFonts w:asciiTheme="majorHAnsi" w:hAnsiTheme="majorHAnsi" w:cstheme="majorHAnsi"/>
          <w:sz w:val="24"/>
          <w:szCs w:val="24"/>
        </w:rPr>
        <w:t xml:space="preserve">allows exporters </w:t>
      </w:r>
      <w:r w:rsidRPr="00D705BE">
        <w:rPr>
          <w:rFonts w:asciiTheme="majorHAnsi" w:hAnsiTheme="majorHAnsi" w:cstheme="majorHAnsi"/>
          <w:sz w:val="24"/>
          <w:szCs w:val="24"/>
        </w:rPr>
        <w:t>to explore how they can benefit from Australia’s FTAs. It features a sophisticated tariff finder, rules of origin guide, trade data on individual markets</w:t>
      </w:r>
      <w:r w:rsidR="00C073A1">
        <w:rPr>
          <w:rFonts w:asciiTheme="majorHAnsi" w:hAnsiTheme="majorHAnsi" w:cstheme="majorHAnsi"/>
          <w:sz w:val="24"/>
          <w:szCs w:val="24"/>
        </w:rPr>
        <w:t>,</w:t>
      </w:r>
      <w:r w:rsidRPr="00D705BE">
        <w:rPr>
          <w:rFonts w:asciiTheme="majorHAnsi" w:hAnsiTheme="majorHAnsi" w:cstheme="majorHAnsi"/>
          <w:sz w:val="24"/>
          <w:szCs w:val="24"/>
        </w:rPr>
        <w:t xml:space="preserve"> and relevant links to help businesses make trade decisions. The Portal also helps businesses overcome the so-called ‘noodle bowl’ effect of overlapping FTAs by allowing them to </w:t>
      </w:r>
      <w:r w:rsidR="00CF3337">
        <w:rPr>
          <w:rFonts w:asciiTheme="majorHAnsi" w:hAnsiTheme="majorHAnsi" w:cstheme="majorHAnsi"/>
          <w:sz w:val="24"/>
          <w:szCs w:val="24"/>
        </w:rPr>
        <w:t xml:space="preserve">compare and then </w:t>
      </w:r>
      <w:r w:rsidRPr="00D705BE">
        <w:rPr>
          <w:rFonts w:asciiTheme="majorHAnsi" w:hAnsiTheme="majorHAnsi" w:cstheme="majorHAnsi"/>
          <w:sz w:val="24"/>
          <w:szCs w:val="24"/>
        </w:rPr>
        <w:t xml:space="preserve">choose the FTA </w:t>
      </w:r>
      <w:r w:rsidR="00616727">
        <w:rPr>
          <w:rFonts w:asciiTheme="majorHAnsi" w:hAnsiTheme="majorHAnsi" w:cstheme="majorHAnsi"/>
          <w:sz w:val="24"/>
          <w:szCs w:val="24"/>
        </w:rPr>
        <w:t>that</w:t>
      </w:r>
      <w:r w:rsidR="00616727" w:rsidRPr="00D705BE">
        <w:rPr>
          <w:rFonts w:asciiTheme="majorHAnsi" w:hAnsiTheme="majorHAnsi" w:cstheme="majorHAnsi"/>
          <w:sz w:val="24"/>
          <w:szCs w:val="24"/>
        </w:rPr>
        <w:t xml:space="preserve"> </w:t>
      </w:r>
      <w:r w:rsidRPr="00D705BE">
        <w:rPr>
          <w:rFonts w:asciiTheme="majorHAnsi" w:hAnsiTheme="majorHAnsi" w:cstheme="majorHAnsi"/>
          <w:sz w:val="24"/>
          <w:szCs w:val="24"/>
        </w:rPr>
        <w:t>offe</w:t>
      </w:r>
      <w:r w:rsidR="00951A1F">
        <w:rPr>
          <w:rFonts w:asciiTheme="majorHAnsi" w:hAnsiTheme="majorHAnsi" w:cstheme="majorHAnsi"/>
          <w:sz w:val="24"/>
          <w:szCs w:val="24"/>
        </w:rPr>
        <w:t>rs them the greatest benefits.</w:t>
      </w:r>
    </w:p>
    <w:p w14:paraId="10BFAFEE" w14:textId="3F90E5D0" w:rsidR="00FA34A3" w:rsidRDefault="00FA34A3" w:rsidP="00D705BE">
      <w:pPr>
        <w:rPr>
          <w:rFonts w:asciiTheme="majorHAnsi" w:hAnsiTheme="majorHAnsi" w:cstheme="majorHAnsi"/>
          <w:sz w:val="24"/>
          <w:szCs w:val="24"/>
        </w:rPr>
      </w:pPr>
      <w:r w:rsidRPr="00D705BE">
        <w:rPr>
          <w:rFonts w:asciiTheme="majorHAnsi" w:hAnsiTheme="majorHAnsi" w:cstheme="majorHAnsi"/>
          <w:sz w:val="24"/>
          <w:szCs w:val="24"/>
        </w:rPr>
        <w:t xml:space="preserve">The </w:t>
      </w:r>
      <w:r w:rsidR="00616727">
        <w:rPr>
          <w:rFonts w:asciiTheme="majorHAnsi" w:hAnsiTheme="majorHAnsi" w:cstheme="majorHAnsi"/>
          <w:sz w:val="24"/>
          <w:szCs w:val="24"/>
        </w:rPr>
        <w:t>P</w:t>
      </w:r>
      <w:r w:rsidRPr="00D705BE">
        <w:rPr>
          <w:rFonts w:asciiTheme="majorHAnsi" w:hAnsiTheme="majorHAnsi" w:cstheme="majorHAnsi"/>
          <w:sz w:val="24"/>
          <w:szCs w:val="24"/>
        </w:rPr>
        <w:t>ortal has received broad and consistently positive feedback from industry stakehold</w:t>
      </w:r>
      <w:r w:rsidR="00D32D9B">
        <w:rPr>
          <w:rFonts w:asciiTheme="majorHAnsi" w:hAnsiTheme="majorHAnsi" w:cstheme="majorHAnsi"/>
          <w:sz w:val="24"/>
          <w:szCs w:val="24"/>
        </w:rPr>
        <w:t>ers, including as part of this I</w:t>
      </w:r>
      <w:r w:rsidR="00951A1F">
        <w:rPr>
          <w:rFonts w:asciiTheme="majorHAnsi" w:hAnsiTheme="majorHAnsi" w:cstheme="majorHAnsi"/>
          <w:sz w:val="24"/>
          <w:szCs w:val="24"/>
        </w:rPr>
        <w:t>nquiry.</w:t>
      </w:r>
      <w:r w:rsidRPr="00D705BE">
        <w:rPr>
          <w:rFonts w:asciiTheme="majorHAnsi" w:hAnsiTheme="majorHAnsi" w:cstheme="majorHAnsi"/>
          <w:sz w:val="24"/>
          <w:szCs w:val="24"/>
        </w:rPr>
        <w:t xml:space="preserve"> As of </w:t>
      </w:r>
      <w:r w:rsidR="008775BA">
        <w:rPr>
          <w:rFonts w:asciiTheme="majorHAnsi" w:hAnsiTheme="majorHAnsi" w:cstheme="majorHAnsi"/>
          <w:sz w:val="24"/>
          <w:szCs w:val="24"/>
        </w:rPr>
        <w:t>May </w:t>
      </w:r>
      <w:r w:rsidRPr="00D705BE">
        <w:rPr>
          <w:rFonts w:asciiTheme="majorHAnsi" w:hAnsiTheme="majorHAnsi" w:cstheme="majorHAnsi"/>
          <w:sz w:val="24"/>
          <w:szCs w:val="24"/>
        </w:rPr>
        <w:t>2019, the Portal has attracted around 2</w:t>
      </w:r>
      <w:r w:rsidR="008775BA">
        <w:rPr>
          <w:rFonts w:asciiTheme="majorHAnsi" w:hAnsiTheme="majorHAnsi" w:cstheme="majorHAnsi"/>
          <w:sz w:val="24"/>
          <w:szCs w:val="24"/>
        </w:rPr>
        <w:t>8</w:t>
      </w:r>
      <w:r w:rsidRPr="00D705BE">
        <w:rPr>
          <w:rFonts w:asciiTheme="majorHAnsi" w:hAnsiTheme="majorHAnsi" w:cstheme="majorHAnsi"/>
          <w:sz w:val="24"/>
          <w:szCs w:val="24"/>
        </w:rPr>
        <w:t>0,000 users</w:t>
      </w:r>
      <w:r w:rsidR="00616727">
        <w:rPr>
          <w:rFonts w:asciiTheme="majorHAnsi" w:hAnsiTheme="majorHAnsi" w:cstheme="majorHAnsi"/>
          <w:sz w:val="24"/>
          <w:szCs w:val="24"/>
        </w:rPr>
        <w:t xml:space="preserve">. </w:t>
      </w:r>
      <w:proofErr w:type="gramStart"/>
      <w:r w:rsidR="00616727">
        <w:rPr>
          <w:rFonts w:asciiTheme="majorHAnsi" w:hAnsiTheme="majorHAnsi" w:cstheme="majorHAnsi"/>
          <w:sz w:val="24"/>
          <w:szCs w:val="24"/>
        </w:rPr>
        <w:t xml:space="preserve">It is </w:t>
      </w:r>
      <w:r w:rsidRPr="00D705BE">
        <w:rPr>
          <w:rFonts w:asciiTheme="majorHAnsi" w:hAnsiTheme="majorHAnsi" w:cstheme="majorHAnsi"/>
          <w:sz w:val="24"/>
          <w:szCs w:val="24"/>
        </w:rPr>
        <w:t xml:space="preserve">visited by </w:t>
      </w:r>
      <w:r w:rsidR="00616727">
        <w:rPr>
          <w:rFonts w:asciiTheme="majorHAnsi" w:hAnsiTheme="majorHAnsi" w:cstheme="majorHAnsi"/>
          <w:sz w:val="24"/>
          <w:szCs w:val="24"/>
        </w:rPr>
        <w:t xml:space="preserve">around </w:t>
      </w:r>
      <w:r w:rsidRPr="00D705BE">
        <w:rPr>
          <w:rFonts w:asciiTheme="majorHAnsi" w:hAnsiTheme="majorHAnsi" w:cstheme="majorHAnsi"/>
          <w:bCs/>
          <w:sz w:val="24"/>
          <w:szCs w:val="24"/>
        </w:rPr>
        <w:t>2,600</w:t>
      </w:r>
      <w:r w:rsidR="00616727">
        <w:rPr>
          <w:rFonts w:asciiTheme="majorHAnsi" w:hAnsiTheme="majorHAnsi" w:cstheme="majorHAnsi"/>
          <w:bCs/>
          <w:sz w:val="24"/>
          <w:szCs w:val="24"/>
        </w:rPr>
        <w:t xml:space="preserve"> </w:t>
      </w:r>
      <w:r w:rsidRPr="00D705BE">
        <w:rPr>
          <w:rFonts w:asciiTheme="majorHAnsi" w:hAnsiTheme="majorHAnsi" w:cstheme="majorHAnsi"/>
          <w:sz w:val="24"/>
          <w:szCs w:val="24"/>
        </w:rPr>
        <w:t>users per week</w:t>
      </w:r>
      <w:proofErr w:type="gramEnd"/>
      <w:r w:rsidRPr="00D705BE">
        <w:rPr>
          <w:rFonts w:asciiTheme="majorHAnsi" w:hAnsiTheme="majorHAnsi" w:cstheme="majorHAnsi"/>
          <w:sz w:val="24"/>
          <w:szCs w:val="24"/>
        </w:rPr>
        <w:t xml:space="preserve">. </w:t>
      </w:r>
      <w:r w:rsidR="00616727">
        <w:rPr>
          <w:rFonts w:asciiTheme="majorHAnsi" w:hAnsiTheme="majorHAnsi" w:cstheme="majorHAnsi"/>
          <w:sz w:val="24"/>
          <w:szCs w:val="24"/>
        </w:rPr>
        <w:t>In addition, comprehensive f</w:t>
      </w:r>
      <w:r w:rsidRPr="00D705BE">
        <w:rPr>
          <w:rFonts w:asciiTheme="majorHAnsi" w:hAnsiTheme="majorHAnsi" w:cstheme="majorHAnsi"/>
          <w:sz w:val="24"/>
          <w:szCs w:val="24"/>
        </w:rPr>
        <w:t>actsheets, user guides and case studies are available on DFAT’s FTA website (</w:t>
      </w:r>
      <w:hyperlink r:id="rId13" w:history="1">
        <w:r w:rsidR="00616727" w:rsidRPr="00D705BE">
          <w:rPr>
            <w:rStyle w:val="Hyperlink"/>
            <w:rFonts w:asciiTheme="majorHAnsi" w:hAnsiTheme="majorHAnsi" w:cstheme="majorHAnsi"/>
            <w:sz w:val="24"/>
            <w:szCs w:val="24"/>
          </w:rPr>
          <w:t>www.fta.gov.au</w:t>
        </w:r>
      </w:hyperlink>
      <w:r w:rsidRPr="00D705BE">
        <w:rPr>
          <w:rFonts w:asciiTheme="majorHAnsi" w:hAnsiTheme="majorHAnsi" w:cstheme="majorHAnsi"/>
          <w:sz w:val="24"/>
          <w:szCs w:val="24"/>
        </w:rPr>
        <w:t>)</w:t>
      </w:r>
      <w:r w:rsidR="00616727">
        <w:rPr>
          <w:rFonts w:asciiTheme="majorHAnsi" w:hAnsiTheme="majorHAnsi" w:cstheme="majorHAnsi"/>
          <w:sz w:val="24"/>
          <w:szCs w:val="24"/>
        </w:rPr>
        <w:t xml:space="preserve"> </w:t>
      </w:r>
      <w:r w:rsidRPr="00D705BE">
        <w:rPr>
          <w:rFonts w:asciiTheme="majorHAnsi" w:hAnsiTheme="majorHAnsi" w:cstheme="majorHAnsi"/>
          <w:sz w:val="24"/>
          <w:szCs w:val="24"/>
        </w:rPr>
        <w:t>and Austrade</w:t>
      </w:r>
      <w:r w:rsidR="00616727">
        <w:rPr>
          <w:rFonts w:asciiTheme="majorHAnsi" w:hAnsiTheme="majorHAnsi" w:cstheme="majorHAnsi"/>
          <w:sz w:val="24"/>
          <w:szCs w:val="24"/>
        </w:rPr>
        <w:t>’s</w:t>
      </w:r>
      <w:r w:rsidRPr="00D705BE">
        <w:rPr>
          <w:rFonts w:asciiTheme="majorHAnsi" w:hAnsiTheme="majorHAnsi" w:cstheme="majorHAnsi"/>
          <w:sz w:val="24"/>
          <w:szCs w:val="24"/>
        </w:rPr>
        <w:t xml:space="preserve"> website (</w:t>
      </w:r>
      <w:hyperlink r:id="rId14" w:history="1">
        <w:r w:rsidR="00616727" w:rsidRPr="00D705BE">
          <w:rPr>
            <w:rStyle w:val="Hyperlink"/>
            <w:rFonts w:asciiTheme="majorHAnsi" w:hAnsiTheme="majorHAnsi" w:cstheme="majorHAnsi"/>
            <w:sz w:val="24"/>
            <w:szCs w:val="24"/>
          </w:rPr>
          <w:t>www.austrade.gov.au/fta</w:t>
        </w:r>
      </w:hyperlink>
      <w:r w:rsidRPr="00D705BE">
        <w:rPr>
          <w:rFonts w:asciiTheme="majorHAnsi" w:hAnsiTheme="majorHAnsi" w:cstheme="majorHAnsi"/>
          <w:sz w:val="24"/>
          <w:szCs w:val="24"/>
        </w:rPr>
        <w:t>)</w:t>
      </w:r>
      <w:r w:rsidR="00616727">
        <w:rPr>
          <w:rFonts w:asciiTheme="majorHAnsi" w:hAnsiTheme="majorHAnsi" w:cstheme="majorHAnsi"/>
          <w:sz w:val="24"/>
          <w:szCs w:val="24"/>
        </w:rPr>
        <w:t xml:space="preserve">, which </w:t>
      </w:r>
      <w:r w:rsidRPr="00D705BE">
        <w:rPr>
          <w:rFonts w:asciiTheme="majorHAnsi" w:hAnsiTheme="majorHAnsi" w:cstheme="majorHAnsi"/>
          <w:sz w:val="24"/>
          <w:szCs w:val="24"/>
        </w:rPr>
        <w:t>provide focused and practical information to assist SMEs to export to specific markets.</w:t>
      </w:r>
      <w:r w:rsidR="007F298F">
        <w:rPr>
          <w:rFonts w:asciiTheme="majorHAnsi" w:hAnsiTheme="majorHAnsi" w:cstheme="majorHAnsi"/>
          <w:sz w:val="24"/>
          <w:szCs w:val="24"/>
        </w:rPr>
        <w:t xml:space="preserve"> </w:t>
      </w:r>
      <w:r w:rsidR="00982914">
        <w:rPr>
          <w:rFonts w:asciiTheme="majorHAnsi" w:hAnsiTheme="majorHAnsi" w:cstheme="majorHAnsi"/>
          <w:sz w:val="24"/>
          <w:szCs w:val="24"/>
        </w:rPr>
        <w:t>T</w:t>
      </w:r>
      <w:r w:rsidR="007F298F">
        <w:rPr>
          <w:rFonts w:asciiTheme="majorHAnsi" w:hAnsiTheme="majorHAnsi" w:cstheme="majorHAnsi"/>
          <w:sz w:val="24"/>
          <w:szCs w:val="24"/>
        </w:rPr>
        <w:t xml:space="preserve">he collaborative </w:t>
      </w:r>
      <w:hyperlink r:id="rId15" w:history="1">
        <w:r w:rsidR="007F298F" w:rsidRPr="007F298F">
          <w:rPr>
            <w:rStyle w:val="Hyperlink"/>
            <w:rFonts w:asciiTheme="majorHAnsi" w:hAnsiTheme="majorHAnsi" w:cstheme="majorHAnsi"/>
            <w:sz w:val="24"/>
            <w:szCs w:val="24"/>
          </w:rPr>
          <w:t>www.business.gov.au</w:t>
        </w:r>
      </w:hyperlink>
      <w:r w:rsidR="007F298F">
        <w:rPr>
          <w:rFonts w:asciiTheme="majorHAnsi" w:hAnsiTheme="majorHAnsi" w:cstheme="majorHAnsi"/>
          <w:sz w:val="24"/>
          <w:szCs w:val="24"/>
        </w:rPr>
        <w:t xml:space="preserve"> website (refer Recommendation 6.2b)</w:t>
      </w:r>
      <w:r w:rsidR="00982914">
        <w:rPr>
          <w:rFonts w:asciiTheme="majorHAnsi" w:hAnsiTheme="majorHAnsi" w:cstheme="majorHAnsi"/>
          <w:sz w:val="24"/>
          <w:szCs w:val="24"/>
        </w:rPr>
        <w:t xml:space="preserve"> also </w:t>
      </w:r>
      <w:r w:rsidR="007F298F">
        <w:rPr>
          <w:rFonts w:asciiTheme="majorHAnsi" w:hAnsiTheme="majorHAnsi" w:cstheme="majorHAnsi"/>
          <w:sz w:val="24"/>
          <w:szCs w:val="24"/>
        </w:rPr>
        <w:t>provides SMEs with access to a comprehensive source of digital trade resources.</w:t>
      </w:r>
    </w:p>
    <w:p w14:paraId="24CD08FE" w14:textId="77777777" w:rsidR="00C871A0" w:rsidRDefault="008A50B0" w:rsidP="00D705BE">
      <w:pPr>
        <w:rPr>
          <w:rFonts w:asciiTheme="majorHAnsi" w:hAnsiTheme="majorHAnsi" w:cstheme="majorHAnsi"/>
          <w:sz w:val="24"/>
          <w:szCs w:val="24"/>
        </w:rPr>
      </w:pPr>
      <w:r>
        <w:rPr>
          <w:rFonts w:asciiTheme="majorHAnsi" w:hAnsiTheme="majorHAnsi" w:cstheme="majorHAnsi"/>
          <w:sz w:val="24"/>
          <w:szCs w:val="24"/>
        </w:rPr>
        <w:t xml:space="preserve">Austrade’s Export Support Finder (refer Recommendation 6.2a) will also assist SMEs </w:t>
      </w:r>
      <w:r w:rsidR="00DA77FC">
        <w:rPr>
          <w:rFonts w:asciiTheme="majorHAnsi" w:hAnsiTheme="majorHAnsi" w:cstheme="majorHAnsi"/>
          <w:sz w:val="24"/>
          <w:szCs w:val="24"/>
        </w:rPr>
        <w:t>by</w:t>
      </w:r>
      <w:r>
        <w:rPr>
          <w:rFonts w:asciiTheme="majorHAnsi" w:hAnsiTheme="majorHAnsi" w:cstheme="majorHAnsi"/>
          <w:sz w:val="24"/>
          <w:szCs w:val="24"/>
        </w:rPr>
        <w:t xml:space="preserve"> mak</w:t>
      </w:r>
      <w:r w:rsidR="00DA77FC">
        <w:rPr>
          <w:rFonts w:asciiTheme="majorHAnsi" w:hAnsiTheme="majorHAnsi" w:cstheme="majorHAnsi"/>
          <w:sz w:val="24"/>
          <w:szCs w:val="24"/>
        </w:rPr>
        <w:t>ing</w:t>
      </w:r>
      <w:r>
        <w:rPr>
          <w:rFonts w:asciiTheme="majorHAnsi" w:hAnsiTheme="majorHAnsi" w:cstheme="majorHAnsi"/>
          <w:sz w:val="24"/>
          <w:szCs w:val="24"/>
        </w:rPr>
        <w:t xml:space="preserve"> it easier to find relevant export information.</w:t>
      </w:r>
    </w:p>
    <w:p w14:paraId="68DEAF58" w14:textId="77777777" w:rsidR="00580D36" w:rsidRPr="00D705BE" w:rsidRDefault="00580D36" w:rsidP="00346ED1">
      <w:pPr>
        <w:pStyle w:val="RecommendationHeading"/>
        <w:rPr>
          <w:rFonts w:asciiTheme="majorHAnsi" w:hAnsiTheme="majorHAnsi" w:cstheme="majorHAnsi"/>
          <w:sz w:val="24"/>
          <w:szCs w:val="24"/>
        </w:rPr>
      </w:pPr>
      <w:r w:rsidRPr="00D705BE">
        <w:rPr>
          <w:rFonts w:asciiTheme="majorHAnsi" w:hAnsiTheme="majorHAnsi" w:cstheme="majorHAnsi"/>
          <w:sz w:val="24"/>
          <w:szCs w:val="24"/>
        </w:rPr>
        <w:lastRenderedPageBreak/>
        <w:t>R</w:t>
      </w:r>
      <w:r w:rsidR="00A16C58"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 xml:space="preserve">9.3 – Assess how </w:t>
      </w:r>
      <w:r w:rsidR="00990D3F" w:rsidRPr="00D705BE">
        <w:rPr>
          <w:rFonts w:asciiTheme="majorHAnsi" w:hAnsiTheme="majorHAnsi" w:cstheme="majorHAnsi"/>
          <w:sz w:val="24"/>
          <w:szCs w:val="24"/>
        </w:rPr>
        <w:t>private entities</w:t>
      </w:r>
      <w:r w:rsidRPr="00D705BE">
        <w:rPr>
          <w:rFonts w:asciiTheme="majorHAnsi" w:hAnsiTheme="majorHAnsi" w:cstheme="majorHAnsi"/>
          <w:sz w:val="24"/>
          <w:szCs w:val="24"/>
        </w:rPr>
        <w:t xml:space="preserve"> can </w:t>
      </w:r>
      <w:proofErr w:type="gramStart"/>
      <w:r w:rsidRPr="00D705BE">
        <w:rPr>
          <w:rFonts w:asciiTheme="majorHAnsi" w:hAnsiTheme="majorHAnsi" w:cstheme="majorHAnsi"/>
          <w:sz w:val="24"/>
          <w:szCs w:val="24"/>
        </w:rPr>
        <w:t>provide assistance</w:t>
      </w:r>
      <w:proofErr w:type="gramEnd"/>
      <w:r w:rsidRPr="00D705BE">
        <w:rPr>
          <w:rFonts w:asciiTheme="majorHAnsi" w:hAnsiTheme="majorHAnsi" w:cstheme="majorHAnsi"/>
          <w:sz w:val="24"/>
          <w:szCs w:val="24"/>
        </w:rPr>
        <w:t xml:space="preserve"> to SMEs</w:t>
      </w:r>
    </w:p>
    <w:p w14:paraId="41F9B037" w14:textId="77777777" w:rsidR="00A16C58" w:rsidRPr="00D705BE" w:rsidRDefault="00A16C58" w:rsidP="00346ED1">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makes better use of data and technology for identifying and helping Australian small and medium </w:t>
      </w:r>
      <w:proofErr w:type="gramStart"/>
      <w:r w:rsidRPr="00D705BE">
        <w:rPr>
          <w:rFonts w:asciiTheme="majorHAnsi" w:hAnsiTheme="majorHAnsi" w:cstheme="majorHAnsi"/>
          <w:b/>
          <w:i/>
          <w:sz w:val="24"/>
          <w:szCs w:val="24"/>
        </w:rPr>
        <w:t>enterprises</w:t>
      </w:r>
      <w:proofErr w:type="gramEnd"/>
      <w:r w:rsidRPr="00D705BE">
        <w:rPr>
          <w:rFonts w:asciiTheme="majorHAnsi" w:hAnsiTheme="majorHAnsi" w:cstheme="majorHAnsi"/>
          <w:b/>
          <w:i/>
          <w:sz w:val="24"/>
          <w:szCs w:val="24"/>
        </w:rPr>
        <w:t xml:space="preserve"> (SMEs) capture international trade opportunities by:</w:t>
      </w:r>
    </w:p>
    <w:p w14:paraId="22EA0161" w14:textId="77777777" w:rsidR="00A16C58" w:rsidRPr="00D705BE" w:rsidRDefault="00A16C58" w:rsidP="004E6112">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Assessing how trade consultant advisory agencies, business chambers and industry representative bodies can provide greater assistance to SMEs in collaboration with governments, including consideration of joint pilots to build the readiness and tec</w:t>
      </w:r>
      <w:r w:rsidR="00D86B1A">
        <w:rPr>
          <w:rFonts w:asciiTheme="majorHAnsi" w:hAnsiTheme="majorHAnsi" w:cstheme="majorHAnsi"/>
          <w:b/>
          <w:i/>
          <w:sz w:val="24"/>
          <w:szCs w:val="24"/>
        </w:rPr>
        <w:t>hnological capacity of SMEs.</w:t>
      </w:r>
    </w:p>
    <w:p w14:paraId="0643A016"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616727">
        <w:rPr>
          <w:rFonts w:asciiTheme="majorHAnsi" w:hAnsiTheme="majorHAnsi" w:cstheme="majorHAnsi"/>
          <w:i/>
          <w:sz w:val="24"/>
          <w:szCs w:val="24"/>
        </w:rPr>
        <w:t xml:space="preserve">  </w:t>
      </w:r>
      <w:r w:rsidR="00ED53ED" w:rsidRPr="00D705BE">
        <w:rPr>
          <w:rFonts w:asciiTheme="majorHAnsi" w:hAnsiTheme="majorHAnsi" w:cstheme="majorHAnsi"/>
          <w:i/>
          <w:sz w:val="24"/>
          <w:szCs w:val="24"/>
        </w:rPr>
        <w:t>Partially Supported</w:t>
      </w:r>
    </w:p>
    <w:p w14:paraId="6B612828" w14:textId="019CEE21" w:rsidR="00616727" w:rsidRDefault="00ED53ED"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Australian Government works closely with a range of business stakeholders to support SMEs. Private entities, particularly Chambers of Commerce and trade consultants, can play a vital role in helping SMEs export, whether through the provision of Certificates of Origin under some FTAs, or </w:t>
      </w:r>
      <w:r w:rsidR="00454BE0">
        <w:rPr>
          <w:rFonts w:asciiTheme="majorHAnsi" w:hAnsiTheme="majorHAnsi" w:cstheme="majorHAnsi"/>
          <w:sz w:val="24"/>
          <w:szCs w:val="24"/>
        </w:rPr>
        <w:t xml:space="preserve">by </w:t>
      </w:r>
      <w:r w:rsidRPr="00D705BE">
        <w:rPr>
          <w:rFonts w:asciiTheme="majorHAnsi" w:hAnsiTheme="majorHAnsi" w:cstheme="majorHAnsi"/>
          <w:sz w:val="24"/>
          <w:szCs w:val="24"/>
        </w:rPr>
        <w:t>providing general advice about the relative p</w:t>
      </w:r>
      <w:r w:rsidR="00951A1F">
        <w:rPr>
          <w:rFonts w:asciiTheme="majorHAnsi" w:hAnsiTheme="majorHAnsi" w:cstheme="majorHAnsi"/>
          <w:sz w:val="24"/>
          <w:szCs w:val="24"/>
        </w:rPr>
        <w:t>otential of different markets. </w:t>
      </w:r>
      <w:r w:rsidRPr="00D705BE">
        <w:rPr>
          <w:rFonts w:asciiTheme="majorHAnsi" w:hAnsiTheme="majorHAnsi" w:cstheme="majorHAnsi"/>
          <w:sz w:val="24"/>
          <w:szCs w:val="24"/>
        </w:rPr>
        <w:t>While technological capacity will be an issue for some SMEs, whether to engage particular private-sector expertise remain</w:t>
      </w:r>
      <w:r w:rsidR="00616727">
        <w:rPr>
          <w:rFonts w:asciiTheme="majorHAnsi" w:hAnsiTheme="majorHAnsi" w:cstheme="majorHAnsi"/>
          <w:sz w:val="24"/>
          <w:szCs w:val="24"/>
        </w:rPr>
        <w:t>s</w:t>
      </w:r>
      <w:r w:rsidRPr="00D705BE">
        <w:rPr>
          <w:rFonts w:asciiTheme="majorHAnsi" w:hAnsiTheme="majorHAnsi" w:cstheme="majorHAnsi"/>
          <w:sz w:val="24"/>
          <w:szCs w:val="24"/>
        </w:rPr>
        <w:t xml:space="preserve"> a co</w:t>
      </w:r>
      <w:r w:rsidR="00876323">
        <w:rPr>
          <w:rFonts w:asciiTheme="majorHAnsi" w:hAnsiTheme="majorHAnsi" w:cstheme="majorHAnsi"/>
          <w:sz w:val="24"/>
          <w:szCs w:val="24"/>
        </w:rPr>
        <w:t>mmercial decision for business.</w:t>
      </w:r>
    </w:p>
    <w:p w14:paraId="094E8144" w14:textId="77777777" w:rsidR="00A16C58" w:rsidRPr="00D705BE" w:rsidRDefault="00ED53ED" w:rsidP="00D705BE">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FTA Market Entry (FTA-ME) Grant offers member-based business organisations, such as business chambers and industry associations, funding to develop programs that support SMEs to capture new trade opportunities created through recently signed FTAs. A number of the programs </w:t>
      </w:r>
      <w:r w:rsidR="00616727">
        <w:rPr>
          <w:rFonts w:asciiTheme="majorHAnsi" w:hAnsiTheme="majorHAnsi" w:cstheme="majorHAnsi"/>
          <w:sz w:val="24"/>
          <w:szCs w:val="24"/>
        </w:rPr>
        <w:t xml:space="preserve">proposed </w:t>
      </w:r>
      <w:r w:rsidRPr="00D705BE">
        <w:rPr>
          <w:rFonts w:asciiTheme="majorHAnsi" w:hAnsiTheme="majorHAnsi" w:cstheme="majorHAnsi"/>
          <w:sz w:val="24"/>
          <w:szCs w:val="24"/>
        </w:rPr>
        <w:t>under the FTA-ME Grant emphasise technology and data as an enabler to build the export readiness and technological capacity of SMEs</w:t>
      </w:r>
      <w:r w:rsidR="00616727">
        <w:rPr>
          <w:rFonts w:asciiTheme="majorHAnsi" w:hAnsiTheme="majorHAnsi" w:cstheme="majorHAnsi"/>
          <w:sz w:val="24"/>
          <w:szCs w:val="24"/>
        </w:rPr>
        <w:t>.</w:t>
      </w:r>
    </w:p>
    <w:p w14:paraId="23C1D590" w14:textId="39FA06F2" w:rsidR="00625A9B" w:rsidRDefault="00DA77FC" w:rsidP="00625A9B">
      <w:pPr>
        <w:pStyle w:val="RecommendationHeading"/>
        <w:pBdr>
          <w:bottom w:val="none" w:sz="0" w:space="0" w:color="auto"/>
        </w:pBdr>
        <w:rPr>
          <w:rFonts w:asciiTheme="majorHAnsi" w:hAnsiTheme="majorHAnsi" w:cstheme="majorHAnsi"/>
          <w:b w:val="0"/>
          <w:sz w:val="24"/>
          <w:szCs w:val="24"/>
        </w:rPr>
      </w:pPr>
      <w:r>
        <w:rPr>
          <w:rFonts w:asciiTheme="majorHAnsi" w:hAnsiTheme="majorHAnsi" w:cstheme="majorHAnsi"/>
          <w:b w:val="0"/>
          <w:sz w:val="24"/>
          <w:szCs w:val="24"/>
        </w:rPr>
        <w:t xml:space="preserve">In addition, </w:t>
      </w:r>
      <w:r w:rsidR="00621B20" w:rsidRPr="00621B20">
        <w:rPr>
          <w:rFonts w:asciiTheme="majorHAnsi" w:hAnsiTheme="majorHAnsi" w:cstheme="majorHAnsi"/>
          <w:b w:val="0"/>
          <w:sz w:val="24"/>
          <w:szCs w:val="24"/>
        </w:rPr>
        <w:t>Australian Landing Pads provide market-ready Australian start-ups and scale-ups</w:t>
      </w:r>
      <w:r w:rsidR="00621B20">
        <w:rPr>
          <w:rFonts w:asciiTheme="majorHAnsi" w:hAnsiTheme="majorHAnsi" w:cstheme="majorHAnsi"/>
          <w:b w:val="0"/>
          <w:sz w:val="24"/>
          <w:szCs w:val="24"/>
        </w:rPr>
        <w:t xml:space="preserve"> </w:t>
      </w:r>
      <w:r w:rsidR="00621B20" w:rsidRPr="00621B20">
        <w:rPr>
          <w:rFonts w:asciiTheme="majorHAnsi" w:hAnsiTheme="majorHAnsi" w:cstheme="majorHAnsi"/>
          <w:b w:val="0"/>
          <w:sz w:val="24"/>
          <w:szCs w:val="24"/>
        </w:rPr>
        <w:t xml:space="preserve">with access to some of the world’s most renowned hubs in San Francisco, Tel Aviv, Shanghai, Berlin and Singapore. </w:t>
      </w:r>
      <w:r>
        <w:rPr>
          <w:rFonts w:asciiTheme="majorHAnsi" w:hAnsiTheme="majorHAnsi" w:cstheme="majorHAnsi"/>
          <w:b w:val="0"/>
          <w:sz w:val="24"/>
          <w:szCs w:val="24"/>
        </w:rPr>
        <w:t>P</w:t>
      </w:r>
      <w:r w:rsidR="00621B20" w:rsidRPr="00621B20">
        <w:rPr>
          <w:rFonts w:asciiTheme="majorHAnsi" w:hAnsiTheme="majorHAnsi" w:cstheme="majorHAnsi"/>
          <w:b w:val="0"/>
          <w:sz w:val="24"/>
          <w:szCs w:val="24"/>
        </w:rPr>
        <w:t>articipants have access to an up</w:t>
      </w:r>
      <w:r>
        <w:rPr>
          <w:rFonts w:asciiTheme="majorHAnsi" w:hAnsiTheme="majorHAnsi" w:cstheme="majorHAnsi"/>
          <w:b w:val="0"/>
          <w:sz w:val="24"/>
          <w:szCs w:val="24"/>
        </w:rPr>
        <w:t xml:space="preserve"> </w:t>
      </w:r>
      <w:r w:rsidR="00621B20" w:rsidRPr="00621B20">
        <w:rPr>
          <w:rFonts w:asciiTheme="majorHAnsi" w:hAnsiTheme="majorHAnsi" w:cstheme="majorHAnsi"/>
          <w:b w:val="0"/>
          <w:sz w:val="24"/>
          <w:szCs w:val="24"/>
        </w:rPr>
        <w:t>to</w:t>
      </w:r>
      <w:r>
        <w:rPr>
          <w:rFonts w:asciiTheme="majorHAnsi" w:hAnsiTheme="majorHAnsi" w:cstheme="majorHAnsi"/>
          <w:b w:val="0"/>
          <w:sz w:val="24"/>
          <w:szCs w:val="24"/>
        </w:rPr>
        <w:t xml:space="preserve"> </w:t>
      </w:r>
      <w:r w:rsidR="00621B20" w:rsidRPr="00621B20">
        <w:rPr>
          <w:rFonts w:asciiTheme="majorHAnsi" w:hAnsiTheme="majorHAnsi" w:cstheme="majorHAnsi"/>
          <w:b w:val="0"/>
          <w:sz w:val="24"/>
          <w:szCs w:val="24"/>
        </w:rPr>
        <w:t>90 day residency in a co-working space; introductions to networks of investors, mentors and strategic partners; access to a dedicated Landing Pad Manager; a community that supports Australian entrepreneurs</w:t>
      </w:r>
      <w:r w:rsidR="00454BE0">
        <w:rPr>
          <w:rFonts w:asciiTheme="majorHAnsi" w:hAnsiTheme="majorHAnsi" w:cstheme="majorHAnsi"/>
          <w:b w:val="0"/>
          <w:sz w:val="24"/>
          <w:szCs w:val="24"/>
        </w:rPr>
        <w:t>;</w:t>
      </w:r>
      <w:r w:rsidR="00621B20" w:rsidRPr="00621B20">
        <w:rPr>
          <w:rFonts w:asciiTheme="majorHAnsi" w:hAnsiTheme="majorHAnsi" w:cstheme="majorHAnsi"/>
          <w:b w:val="0"/>
          <w:sz w:val="24"/>
          <w:szCs w:val="24"/>
        </w:rPr>
        <w:t xml:space="preserve"> and business advice to help them grow their business.</w:t>
      </w:r>
      <w:r w:rsidR="00621B20">
        <w:rPr>
          <w:rFonts w:asciiTheme="majorHAnsi" w:hAnsiTheme="majorHAnsi" w:cstheme="majorHAnsi"/>
          <w:b w:val="0"/>
          <w:sz w:val="24"/>
          <w:szCs w:val="24"/>
        </w:rPr>
        <w:t xml:space="preserve"> As </w:t>
      </w:r>
      <w:r w:rsidR="00621B20" w:rsidRPr="00621B20">
        <w:rPr>
          <w:rFonts w:asciiTheme="majorHAnsi" w:hAnsiTheme="majorHAnsi" w:cstheme="majorHAnsi"/>
          <w:b w:val="0"/>
          <w:sz w:val="24"/>
          <w:szCs w:val="24"/>
        </w:rPr>
        <w:t>at 16 January 2019, 221 companies have ac</w:t>
      </w:r>
      <w:r w:rsidR="00621B20">
        <w:rPr>
          <w:rFonts w:asciiTheme="majorHAnsi" w:hAnsiTheme="majorHAnsi" w:cstheme="majorHAnsi"/>
          <w:b w:val="0"/>
          <w:sz w:val="24"/>
          <w:szCs w:val="24"/>
        </w:rPr>
        <w:t>cessed Landing Pads.</w:t>
      </w:r>
    </w:p>
    <w:p w14:paraId="5E2AB034" w14:textId="77777777" w:rsidR="00625A9B" w:rsidRDefault="00625A9B">
      <w:pPr>
        <w:rPr>
          <w:rFonts w:asciiTheme="majorHAnsi" w:eastAsia="Palatino Linotype" w:hAnsiTheme="majorHAnsi" w:cstheme="majorHAnsi"/>
          <w:sz w:val="24"/>
          <w:szCs w:val="24"/>
        </w:rPr>
      </w:pPr>
      <w:r>
        <w:rPr>
          <w:rFonts w:asciiTheme="majorHAnsi" w:hAnsiTheme="majorHAnsi" w:cstheme="majorHAnsi"/>
          <w:b/>
          <w:sz w:val="24"/>
          <w:szCs w:val="24"/>
        </w:rPr>
        <w:br w:type="page"/>
      </w:r>
    </w:p>
    <w:p w14:paraId="26B6B241" w14:textId="77777777" w:rsidR="00580D36" w:rsidRPr="00D705BE" w:rsidRDefault="00580D36" w:rsidP="00D705BE">
      <w:pPr>
        <w:pStyle w:val="RecommendationHeading"/>
        <w:rPr>
          <w:rFonts w:asciiTheme="majorHAnsi" w:hAnsiTheme="majorHAnsi" w:cstheme="majorHAnsi"/>
          <w:sz w:val="24"/>
          <w:szCs w:val="24"/>
        </w:rPr>
      </w:pPr>
      <w:r w:rsidRPr="00D705BE">
        <w:rPr>
          <w:rFonts w:asciiTheme="majorHAnsi" w:hAnsiTheme="majorHAnsi" w:cstheme="majorHAnsi"/>
          <w:sz w:val="24"/>
          <w:szCs w:val="24"/>
        </w:rPr>
        <w:lastRenderedPageBreak/>
        <w:t>R</w:t>
      </w:r>
      <w:r w:rsidR="00A16C58" w:rsidRPr="00D705BE">
        <w:rPr>
          <w:rFonts w:asciiTheme="majorHAnsi" w:hAnsiTheme="majorHAnsi" w:cstheme="majorHAnsi"/>
          <w:sz w:val="24"/>
          <w:szCs w:val="24"/>
        </w:rPr>
        <w:t xml:space="preserve">ecommendation </w:t>
      </w:r>
      <w:r w:rsidRPr="00D705BE">
        <w:rPr>
          <w:rFonts w:asciiTheme="majorHAnsi" w:hAnsiTheme="majorHAnsi" w:cstheme="majorHAnsi"/>
          <w:sz w:val="24"/>
          <w:szCs w:val="24"/>
        </w:rPr>
        <w:t>9.4 – Broaden the data collected/published to better guide policy makers</w:t>
      </w:r>
    </w:p>
    <w:p w14:paraId="49E128A7" w14:textId="77777777" w:rsidR="00A16C58" w:rsidRPr="00D705BE" w:rsidRDefault="00A16C58"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makes better use of data and technology for identifying and helping Australian small and medium </w:t>
      </w:r>
      <w:proofErr w:type="gramStart"/>
      <w:r w:rsidRPr="00D705BE">
        <w:rPr>
          <w:rFonts w:asciiTheme="majorHAnsi" w:hAnsiTheme="majorHAnsi" w:cstheme="majorHAnsi"/>
          <w:b/>
          <w:i/>
          <w:sz w:val="24"/>
          <w:szCs w:val="24"/>
        </w:rPr>
        <w:t>enterprises</w:t>
      </w:r>
      <w:proofErr w:type="gramEnd"/>
      <w:r w:rsidRPr="00D705BE">
        <w:rPr>
          <w:rFonts w:asciiTheme="majorHAnsi" w:hAnsiTheme="majorHAnsi" w:cstheme="majorHAnsi"/>
          <w:b/>
          <w:i/>
          <w:sz w:val="24"/>
          <w:szCs w:val="24"/>
        </w:rPr>
        <w:t xml:space="preserve"> (SMEs) capture international trade opportunities</w:t>
      </w:r>
      <w:r w:rsidR="00616727">
        <w:rPr>
          <w:rFonts w:asciiTheme="majorHAnsi" w:hAnsiTheme="majorHAnsi" w:cstheme="majorHAnsi"/>
          <w:b/>
          <w:i/>
          <w:sz w:val="24"/>
          <w:szCs w:val="24"/>
        </w:rPr>
        <w:t xml:space="preserve"> by</w:t>
      </w:r>
      <w:r w:rsidRPr="00D705BE">
        <w:rPr>
          <w:rFonts w:asciiTheme="majorHAnsi" w:hAnsiTheme="majorHAnsi" w:cstheme="majorHAnsi"/>
          <w:b/>
          <w:i/>
          <w:sz w:val="24"/>
          <w:szCs w:val="24"/>
        </w:rPr>
        <w:t>:</w:t>
      </w:r>
    </w:p>
    <w:p w14:paraId="5DE15B9E" w14:textId="77777777" w:rsidR="00A16C58" w:rsidRPr="00D705BE" w:rsidRDefault="00A16C58" w:rsidP="00D705BE">
      <w:pPr>
        <w:pStyle w:val="RecommendationListBullet1"/>
        <w:rPr>
          <w:rFonts w:asciiTheme="majorHAnsi" w:hAnsiTheme="majorHAnsi" w:cstheme="majorHAnsi"/>
          <w:b/>
          <w:i/>
          <w:sz w:val="24"/>
          <w:szCs w:val="24"/>
        </w:rPr>
      </w:pPr>
      <w:r w:rsidRPr="00D705BE">
        <w:rPr>
          <w:rFonts w:asciiTheme="majorHAnsi" w:hAnsiTheme="majorHAnsi" w:cstheme="majorHAnsi"/>
          <w:b/>
          <w:i/>
          <w:sz w:val="24"/>
          <w:szCs w:val="24"/>
        </w:rPr>
        <w:t xml:space="preserve">Broadening the base and deepening the granularity of export data that </w:t>
      </w:r>
      <w:proofErr w:type="gramStart"/>
      <w:r w:rsidRPr="00D705BE">
        <w:rPr>
          <w:rFonts w:asciiTheme="majorHAnsi" w:hAnsiTheme="majorHAnsi" w:cstheme="majorHAnsi"/>
          <w:b/>
          <w:i/>
          <w:sz w:val="24"/>
          <w:szCs w:val="24"/>
        </w:rPr>
        <w:t>is collected, analysed and published so it can better guide exporters and policy makers</w:t>
      </w:r>
      <w:proofErr w:type="gramEnd"/>
      <w:r w:rsidRPr="00D705BE">
        <w:rPr>
          <w:rFonts w:asciiTheme="majorHAnsi" w:hAnsiTheme="majorHAnsi" w:cstheme="majorHAnsi"/>
          <w:b/>
          <w:i/>
          <w:sz w:val="24"/>
          <w:szCs w:val="24"/>
        </w:rPr>
        <w:t>.</w:t>
      </w:r>
    </w:p>
    <w:p w14:paraId="2984AB25" w14:textId="77777777" w:rsidR="00C75517" w:rsidRPr="00D705BE" w:rsidRDefault="00C75517"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616727">
        <w:rPr>
          <w:rFonts w:asciiTheme="majorHAnsi" w:hAnsiTheme="majorHAnsi" w:cstheme="majorHAnsi"/>
          <w:i/>
          <w:sz w:val="24"/>
          <w:szCs w:val="24"/>
        </w:rPr>
        <w:t xml:space="preserve">  </w:t>
      </w:r>
      <w:r w:rsidRPr="00D705BE">
        <w:rPr>
          <w:rFonts w:asciiTheme="majorHAnsi" w:hAnsiTheme="majorHAnsi" w:cstheme="majorHAnsi"/>
          <w:i/>
          <w:sz w:val="24"/>
          <w:szCs w:val="24"/>
        </w:rPr>
        <w:t>Noted</w:t>
      </w:r>
    </w:p>
    <w:p w14:paraId="61A66FC0" w14:textId="3EDC53DE" w:rsidR="00C75517" w:rsidRPr="00D705BE" w:rsidRDefault="00A4132D" w:rsidP="00D705BE">
      <w:pPr>
        <w:pStyle w:val="RecommendationListText"/>
        <w:tabs>
          <w:tab w:val="clear" w:pos="624"/>
          <w:tab w:val="left" w:pos="0"/>
        </w:tabs>
        <w:ind w:left="0" w:firstLine="0"/>
        <w:rPr>
          <w:rFonts w:asciiTheme="majorHAnsi" w:hAnsiTheme="majorHAnsi" w:cstheme="majorHAnsi"/>
          <w:sz w:val="24"/>
          <w:szCs w:val="24"/>
        </w:rPr>
      </w:pPr>
      <w:r w:rsidRPr="00D705BE">
        <w:rPr>
          <w:rFonts w:asciiTheme="majorHAnsi" w:hAnsiTheme="majorHAnsi" w:cstheme="majorHAnsi"/>
          <w:sz w:val="24"/>
          <w:szCs w:val="24"/>
        </w:rPr>
        <w:t xml:space="preserve">The </w:t>
      </w:r>
      <w:r w:rsidR="00C75517" w:rsidRPr="00D705BE">
        <w:rPr>
          <w:rFonts w:asciiTheme="majorHAnsi" w:hAnsiTheme="majorHAnsi" w:cstheme="majorHAnsi"/>
          <w:sz w:val="24"/>
          <w:szCs w:val="24"/>
        </w:rPr>
        <w:t>steady opening of the domestic economy to global trade and investment has helped underpin Australia’s remarkable economic performance and resilie</w:t>
      </w:r>
      <w:r w:rsidR="00951A1F">
        <w:rPr>
          <w:rFonts w:asciiTheme="majorHAnsi" w:hAnsiTheme="majorHAnsi" w:cstheme="majorHAnsi"/>
          <w:sz w:val="24"/>
          <w:szCs w:val="24"/>
        </w:rPr>
        <w:t>nce over almost three decades. </w:t>
      </w:r>
      <w:r w:rsidR="00C75517" w:rsidRPr="00D705BE">
        <w:rPr>
          <w:rFonts w:asciiTheme="majorHAnsi" w:hAnsiTheme="majorHAnsi" w:cstheme="majorHAnsi"/>
          <w:sz w:val="24"/>
          <w:szCs w:val="24"/>
        </w:rPr>
        <w:t xml:space="preserve">It </w:t>
      </w:r>
      <w:proofErr w:type="gramStart"/>
      <w:r w:rsidR="00C75517" w:rsidRPr="00D705BE">
        <w:rPr>
          <w:rFonts w:asciiTheme="majorHAnsi" w:hAnsiTheme="majorHAnsi" w:cstheme="majorHAnsi"/>
          <w:sz w:val="24"/>
          <w:szCs w:val="24"/>
        </w:rPr>
        <w:t>is well</w:t>
      </w:r>
      <w:r w:rsidR="00616727">
        <w:rPr>
          <w:rFonts w:asciiTheme="majorHAnsi" w:hAnsiTheme="majorHAnsi" w:cstheme="majorHAnsi"/>
          <w:sz w:val="24"/>
          <w:szCs w:val="24"/>
        </w:rPr>
        <w:t xml:space="preserve"> </w:t>
      </w:r>
      <w:r w:rsidR="00C75517" w:rsidRPr="00D705BE">
        <w:rPr>
          <w:rFonts w:asciiTheme="majorHAnsi" w:hAnsiTheme="majorHAnsi" w:cstheme="majorHAnsi"/>
          <w:sz w:val="24"/>
          <w:szCs w:val="24"/>
        </w:rPr>
        <w:t>acknowledged</w:t>
      </w:r>
      <w:proofErr w:type="gramEnd"/>
      <w:r w:rsidR="00C75517" w:rsidRPr="00D705BE">
        <w:rPr>
          <w:rFonts w:asciiTheme="majorHAnsi" w:hAnsiTheme="majorHAnsi" w:cstheme="majorHAnsi"/>
          <w:sz w:val="24"/>
          <w:szCs w:val="24"/>
        </w:rPr>
        <w:t xml:space="preserve"> that timely and reliable trade data remains key to measuring the impact of recent Australian trade liberalisation and Australia’s defence and expansion of the global </w:t>
      </w:r>
      <w:r w:rsidR="00922447" w:rsidRPr="00D705BE">
        <w:rPr>
          <w:rFonts w:asciiTheme="majorHAnsi" w:hAnsiTheme="majorHAnsi" w:cstheme="majorHAnsi"/>
          <w:sz w:val="24"/>
          <w:szCs w:val="24"/>
        </w:rPr>
        <w:t>rules based</w:t>
      </w:r>
      <w:r w:rsidR="00C75517" w:rsidRPr="00D705BE">
        <w:rPr>
          <w:rFonts w:asciiTheme="majorHAnsi" w:hAnsiTheme="majorHAnsi" w:cstheme="majorHAnsi"/>
          <w:sz w:val="24"/>
          <w:szCs w:val="24"/>
        </w:rPr>
        <w:t xml:space="preserve"> open trading system. Australian interests also remain firmly in promoting and protecting the benefits of open trade. Such interests can be part-advocated through the provision of timely, high quality trade data in order to help in understanding the effect of trade o</w:t>
      </w:r>
      <w:r w:rsidR="00876323">
        <w:rPr>
          <w:rFonts w:asciiTheme="majorHAnsi" w:hAnsiTheme="majorHAnsi" w:cstheme="majorHAnsi"/>
          <w:sz w:val="24"/>
          <w:szCs w:val="24"/>
        </w:rPr>
        <w:t>n Australian economic activity.</w:t>
      </w:r>
    </w:p>
    <w:p w14:paraId="4919F343" w14:textId="458A8594" w:rsidR="00C75517" w:rsidRPr="00D705BE" w:rsidRDefault="00C75517" w:rsidP="00D705BE">
      <w:pPr>
        <w:pStyle w:val="RecommendationListText"/>
        <w:tabs>
          <w:tab w:val="clear" w:pos="624"/>
          <w:tab w:val="left" w:pos="0"/>
        </w:tabs>
        <w:ind w:left="0" w:firstLine="0"/>
        <w:rPr>
          <w:rFonts w:asciiTheme="majorHAnsi" w:hAnsiTheme="majorHAnsi" w:cstheme="majorHAnsi"/>
          <w:sz w:val="24"/>
          <w:szCs w:val="24"/>
        </w:rPr>
      </w:pPr>
      <w:r w:rsidRPr="00D705BE">
        <w:rPr>
          <w:rFonts w:asciiTheme="majorHAnsi" w:hAnsiTheme="majorHAnsi" w:cstheme="majorHAnsi"/>
          <w:sz w:val="24"/>
          <w:szCs w:val="24"/>
        </w:rPr>
        <w:t>The Australian Bureau of Statistics (ABS) is Australia’s national statistical agency, providing data on a wide range of economic, social, population</w:t>
      </w:r>
      <w:r w:rsidR="00616727">
        <w:rPr>
          <w:rFonts w:asciiTheme="majorHAnsi" w:hAnsiTheme="majorHAnsi" w:cstheme="majorHAnsi"/>
          <w:sz w:val="24"/>
          <w:szCs w:val="24"/>
        </w:rPr>
        <w:t>,</w:t>
      </w:r>
      <w:r w:rsidRPr="00D705BE">
        <w:rPr>
          <w:rFonts w:asciiTheme="majorHAnsi" w:hAnsiTheme="majorHAnsi" w:cstheme="majorHAnsi"/>
          <w:sz w:val="24"/>
          <w:szCs w:val="24"/>
        </w:rPr>
        <w:t xml:space="preserve"> and environmental matters of importance to Australia. The purpose of</w:t>
      </w:r>
      <w:r w:rsidR="00D86B1A">
        <w:rPr>
          <w:rFonts w:asciiTheme="majorHAnsi" w:hAnsiTheme="majorHAnsi" w:cstheme="majorHAnsi"/>
          <w:sz w:val="24"/>
          <w:szCs w:val="24"/>
        </w:rPr>
        <w:t xml:space="preserve"> the ABS is to inform Australia’</w:t>
      </w:r>
      <w:r w:rsidRPr="00D705BE">
        <w:rPr>
          <w:rFonts w:asciiTheme="majorHAnsi" w:hAnsiTheme="majorHAnsi" w:cstheme="majorHAnsi"/>
          <w:sz w:val="24"/>
          <w:szCs w:val="24"/>
        </w:rPr>
        <w:t xml:space="preserve">s important decisions by </w:t>
      </w:r>
      <w:proofErr w:type="gramStart"/>
      <w:r w:rsidRPr="00D705BE">
        <w:rPr>
          <w:rFonts w:asciiTheme="majorHAnsi" w:hAnsiTheme="majorHAnsi" w:cstheme="majorHAnsi"/>
          <w:sz w:val="24"/>
          <w:szCs w:val="24"/>
        </w:rPr>
        <w:t>partnering</w:t>
      </w:r>
      <w:proofErr w:type="gramEnd"/>
      <w:r w:rsidRPr="00D705BE">
        <w:rPr>
          <w:rFonts w:asciiTheme="majorHAnsi" w:hAnsiTheme="majorHAnsi" w:cstheme="majorHAnsi"/>
          <w:sz w:val="24"/>
          <w:szCs w:val="24"/>
        </w:rPr>
        <w:t xml:space="preserve"> and innovating to deliver relevant, trusted, objective data, statistics</w:t>
      </w:r>
      <w:r w:rsidR="00616727">
        <w:rPr>
          <w:rFonts w:asciiTheme="majorHAnsi" w:hAnsiTheme="majorHAnsi" w:cstheme="majorHAnsi"/>
          <w:sz w:val="24"/>
          <w:szCs w:val="24"/>
        </w:rPr>
        <w:t>,</w:t>
      </w:r>
      <w:r w:rsidRPr="00D705BE">
        <w:rPr>
          <w:rFonts w:asciiTheme="majorHAnsi" w:hAnsiTheme="majorHAnsi" w:cstheme="majorHAnsi"/>
          <w:sz w:val="24"/>
          <w:szCs w:val="24"/>
        </w:rPr>
        <w:t xml:space="preserve"> and insights. The ABS operates in a dynamic environment. New technology, statistical methods and new opportunities for accessing and integrating data are becoming available, increasing the potential to provide new insights into matters of importance to Australians.</w:t>
      </w:r>
    </w:p>
    <w:p w14:paraId="03963B5E" w14:textId="77777777" w:rsidR="006119E9" w:rsidRPr="00D705BE" w:rsidRDefault="006540D1" w:rsidP="00D705BE">
      <w:pPr>
        <w:pStyle w:val="RecommendationHeading"/>
        <w:rPr>
          <w:rFonts w:asciiTheme="majorHAnsi" w:hAnsiTheme="majorHAnsi" w:cstheme="majorHAnsi"/>
          <w:sz w:val="24"/>
          <w:szCs w:val="24"/>
        </w:rPr>
      </w:pPr>
      <w:hyperlink w:anchor="s26685rec10" w:history="1">
        <w:r w:rsidR="006119E9" w:rsidRPr="00D705BE">
          <w:rPr>
            <w:rFonts w:asciiTheme="majorHAnsi" w:hAnsiTheme="majorHAnsi" w:cstheme="majorHAnsi"/>
            <w:sz w:val="24"/>
            <w:szCs w:val="24"/>
          </w:rPr>
          <w:t>Recommendation 10</w:t>
        </w:r>
      </w:hyperlink>
      <w:r w:rsidR="0045511E" w:rsidRPr="00D705BE">
        <w:rPr>
          <w:rFonts w:asciiTheme="majorHAnsi" w:hAnsiTheme="majorHAnsi" w:cstheme="majorHAnsi"/>
          <w:sz w:val="24"/>
          <w:szCs w:val="24"/>
        </w:rPr>
        <w:t xml:space="preserve"> – </w:t>
      </w:r>
      <w:r w:rsidR="00A16C58" w:rsidRPr="00D705BE">
        <w:rPr>
          <w:rFonts w:asciiTheme="majorHAnsi" w:hAnsiTheme="majorHAnsi" w:cstheme="majorHAnsi"/>
          <w:sz w:val="24"/>
          <w:szCs w:val="24"/>
        </w:rPr>
        <w:t xml:space="preserve">Audit into the untapped human potential </w:t>
      </w:r>
      <w:r w:rsidR="00D86B1A">
        <w:rPr>
          <w:rFonts w:asciiTheme="majorHAnsi" w:hAnsiTheme="majorHAnsi" w:cstheme="majorHAnsi"/>
          <w:sz w:val="24"/>
          <w:szCs w:val="24"/>
        </w:rPr>
        <w:t xml:space="preserve">and Australian diaspora </w:t>
      </w:r>
      <w:r w:rsidR="00A16C58" w:rsidRPr="00D705BE">
        <w:rPr>
          <w:rFonts w:asciiTheme="majorHAnsi" w:hAnsiTheme="majorHAnsi" w:cstheme="majorHAnsi"/>
          <w:sz w:val="24"/>
          <w:szCs w:val="24"/>
        </w:rPr>
        <w:t>to help SME exporting</w:t>
      </w:r>
    </w:p>
    <w:p w14:paraId="35703973" w14:textId="77777777" w:rsidR="006119E9" w:rsidRPr="00D705BE" w:rsidRDefault="006119E9" w:rsidP="00D705BE">
      <w:pPr>
        <w:pStyle w:val="RecommendationListText"/>
        <w:rPr>
          <w:rFonts w:asciiTheme="majorHAnsi" w:hAnsiTheme="majorHAnsi" w:cstheme="majorHAnsi"/>
          <w:b/>
          <w:i/>
          <w:sz w:val="24"/>
          <w:szCs w:val="24"/>
        </w:rPr>
      </w:pPr>
      <w:r w:rsidRPr="00D705BE">
        <w:rPr>
          <w:rFonts w:asciiTheme="majorHAnsi" w:hAnsiTheme="majorHAnsi" w:cstheme="majorHAnsi"/>
          <w:b/>
          <w:i/>
          <w:sz w:val="24"/>
          <w:szCs w:val="24"/>
        </w:rPr>
        <w:tab/>
        <w:t xml:space="preserve">The Committee recommends that the Australian Government </w:t>
      </w:r>
      <w:proofErr w:type="gramStart"/>
      <w:r w:rsidRPr="00D705BE">
        <w:rPr>
          <w:rFonts w:asciiTheme="majorHAnsi" w:hAnsiTheme="majorHAnsi" w:cstheme="majorHAnsi"/>
          <w:b/>
          <w:i/>
          <w:sz w:val="24"/>
          <w:szCs w:val="24"/>
        </w:rPr>
        <w:t>commissions</w:t>
      </w:r>
      <w:proofErr w:type="gramEnd"/>
      <w:r w:rsidRPr="00D705BE">
        <w:rPr>
          <w:rFonts w:asciiTheme="majorHAnsi" w:hAnsiTheme="majorHAnsi" w:cstheme="majorHAnsi"/>
          <w:b/>
          <w:i/>
          <w:sz w:val="24"/>
          <w:szCs w:val="24"/>
        </w:rPr>
        <w:t xml:space="preserve"> an audit into the untapped human capacity of Australian nationals living and working overseas and Australia’s multi-ethnic diasporas living and working in Australia and their related chambers and associations with a view to formulating a strategy to unlock that capacity to advance Australia’s interests, including opportunities for Australian small and medium enterprises.</w:t>
      </w:r>
    </w:p>
    <w:p w14:paraId="2D58C260" w14:textId="77777777" w:rsidR="00A16C58" w:rsidRPr="00D705BE" w:rsidRDefault="00A16C58" w:rsidP="00D705BE">
      <w:pPr>
        <w:pStyle w:val="BodyText"/>
        <w:rPr>
          <w:rFonts w:asciiTheme="majorHAnsi" w:hAnsiTheme="majorHAnsi" w:cstheme="majorHAnsi"/>
          <w:i/>
          <w:sz w:val="24"/>
          <w:szCs w:val="24"/>
        </w:rPr>
      </w:pPr>
      <w:r w:rsidRPr="00D705BE">
        <w:rPr>
          <w:rFonts w:asciiTheme="majorHAnsi" w:hAnsiTheme="majorHAnsi" w:cstheme="majorHAnsi"/>
          <w:b/>
          <w:sz w:val="24"/>
          <w:szCs w:val="24"/>
        </w:rPr>
        <w:t>Response:</w:t>
      </w:r>
      <w:r w:rsidRPr="00D705BE">
        <w:rPr>
          <w:rFonts w:asciiTheme="majorHAnsi" w:hAnsiTheme="majorHAnsi" w:cstheme="majorHAnsi"/>
          <w:i/>
          <w:sz w:val="24"/>
          <w:szCs w:val="24"/>
        </w:rPr>
        <w:t xml:space="preserve"> </w:t>
      </w:r>
      <w:r w:rsidR="00616727">
        <w:rPr>
          <w:rFonts w:asciiTheme="majorHAnsi" w:hAnsiTheme="majorHAnsi" w:cstheme="majorHAnsi"/>
          <w:i/>
          <w:sz w:val="24"/>
          <w:szCs w:val="24"/>
        </w:rPr>
        <w:t xml:space="preserve">  </w:t>
      </w:r>
      <w:r w:rsidR="00625A9B">
        <w:rPr>
          <w:rFonts w:asciiTheme="majorHAnsi" w:hAnsiTheme="majorHAnsi" w:cstheme="majorHAnsi"/>
          <w:i/>
          <w:sz w:val="24"/>
          <w:szCs w:val="24"/>
        </w:rPr>
        <w:t>Not</w:t>
      </w:r>
      <w:r w:rsidR="00A414F3">
        <w:rPr>
          <w:rFonts w:asciiTheme="majorHAnsi" w:hAnsiTheme="majorHAnsi" w:cstheme="majorHAnsi"/>
          <w:i/>
          <w:sz w:val="24"/>
          <w:szCs w:val="24"/>
        </w:rPr>
        <w:t xml:space="preserve"> Supported</w:t>
      </w:r>
    </w:p>
    <w:p w14:paraId="4125AF4C" w14:textId="15DD301D" w:rsidR="00DA77FC" w:rsidRDefault="00417B96" w:rsidP="00A414F3">
      <w:pPr>
        <w:pStyle w:val="BodyText"/>
        <w:ind w:left="0" w:firstLine="0"/>
        <w:rPr>
          <w:rFonts w:asciiTheme="majorHAnsi" w:hAnsiTheme="majorHAnsi" w:cstheme="majorHAnsi"/>
          <w:sz w:val="24"/>
          <w:szCs w:val="24"/>
        </w:rPr>
      </w:pPr>
      <w:r w:rsidRPr="00D705BE">
        <w:rPr>
          <w:rFonts w:asciiTheme="majorHAnsi" w:hAnsiTheme="majorHAnsi" w:cstheme="majorHAnsi"/>
          <w:sz w:val="24"/>
          <w:szCs w:val="24"/>
        </w:rPr>
        <w:t>The Government recognises the importance of Australia’s migrant communities and the influence and strength of our citizens abroad</w:t>
      </w:r>
      <w:r w:rsidR="00261AAD">
        <w:rPr>
          <w:rFonts w:asciiTheme="majorHAnsi" w:hAnsiTheme="majorHAnsi" w:cstheme="majorHAnsi"/>
          <w:sz w:val="24"/>
          <w:szCs w:val="24"/>
        </w:rPr>
        <w:t xml:space="preserve">, and funds </w:t>
      </w:r>
      <w:r w:rsidRPr="00D705BE">
        <w:rPr>
          <w:rFonts w:asciiTheme="majorHAnsi" w:hAnsiTheme="majorHAnsi" w:cstheme="majorHAnsi"/>
          <w:sz w:val="24"/>
          <w:szCs w:val="24"/>
        </w:rPr>
        <w:t>two program</w:t>
      </w:r>
      <w:r w:rsidR="00FA73A6">
        <w:rPr>
          <w:rFonts w:asciiTheme="majorHAnsi" w:hAnsiTheme="majorHAnsi" w:cstheme="majorHAnsi"/>
          <w:sz w:val="24"/>
          <w:szCs w:val="24"/>
        </w:rPr>
        <w:t>s</w:t>
      </w:r>
      <w:r w:rsidR="00261AAD">
        <w:rPr>
          <w:rFonts w:asciiTheme="majorHAnsi" w:hAnsiTheme="majorHAnsi" w:cstheme="majorHAnsi"/>
          <w:sz w:val="24"/>
          <w:szCs w:val="24"/>
        </w:rPr>
        <w:t xml:space="preserve"> specifically designed to leverage the human capital of our nationals living and working overseas. The Government provides over $6 million each year to </w:t>
      </w:r>
      <w:r w:rsidR="00616727">
        <w:rPr>
          <w:rFonts w:asciiTheme="majorHAnsi" w:hAnsiTheme="majorHAnsi" w:cstheme="majorHAnsi"/>
          <w:sz w:val="24"/>
          <w:szCs w:val="24"/>
        </w:rPr>
        <w:t>t</w:t>
      </w:r>
      <w:r w:rsidRPr="00D705BE">
        <w:rPr>
          <w:rFonts w:asciiTheme="majorHAnsi" w:hAnsiTheme="majorHAnsi" w:cstheme="majorHAnsi"/>
          <w:sz w:val="24"/>
          <w:szCs w:val="24"/>
        </w:rPr>
        <w:t>he International Relations Grants Program</w:t>
      </w:r>
      <w:r w:rsidR="00616727">
        <w:rPr>
          <w:rFonts w:asciiTheme="majorHAnsi" w:hAnsiTheme="majorHAnsi" w:cstheme="majorHAnsi"/>
          <w:sz w:val="24"/>
          <w:szCs w:val="24"/>
        </w:rPr>
        <w:t>, which</w:t>
      </w:r>
      <w:r w:rsidR="00261AAD">
        <w:rPr>
          <w:rFonts w:asciiTheme="majorHAnsi" w:hAnsiTheme="majorHAnsi" w:cstheme="majorHAnsi"/>
          <w:sz w:val="24"/>
          <w:szCs w:val="24"/>
        </w:rPr>
        <w:t xml:space="preserve"> supports </w:t>
      </w:r>
      <w:r w:rsidRPr="00D705BE">
        <w:rPr>
          <w:rFonts w:asciiTheme="majorHAnsi" w:hAnsiTheme="majorHAnsi" w:cstheme="majorHAnsi"/>
          <w:sz w:val="24"/>
          <w:szCs w:val="24"/>
        </w:rPr>
        <w:t>bilateral and regional Advisory Boards</w:t>
      </w:r>
      <w:r w:rsidR="00261AAD">
        <w:rPr>
          <w:rFonts w:asciiTheme="majorHAnsi" w:hAnsiTheme="majorHAnsi" w:cstheme="majorHAnsi"/>
          <w:sz w:val="24"/>
          <w:szCs w:val="24"/>
        </w:rPr>
        <w:t xml:space="preserve"> to </w:t>
      </w:r>
      <w:r w:rsidRPr="00D705BE">
        <w:rPr>
          <w:rFonts w:asciiTheme="majorHAnsi" w:hAnsiTheme="majorHAnsi" w:cstheme="majorHAnsi"/>
          <w:sz w:val="24"/>
          <w:szCs w:val="24"/>
        </w:rPr>
        <w:t>build relationships with diaspora communities through grants that promote linkages between Australia and key partners</w:t>
      </w:r>
      <w:r w:rsidR="00951A1F">
        <w:rPr>
          <w:rFonts w:asciiTheme="majorHAnsi" w:hAnsiTheme="majorHAnsi" w:cstheme="majorHAnsi"/>
          <w:sz w:val="24"/>
          <w:szCs w:val="24"/>
        </w:rPr>
        <w:t xml:space="preserve">. </w:t>
      </w:r>
      <w:r w:rsidR="00261AAD">
        <w:rPr>
          <w:rFonts w:asciiTheme="majorHAnsi" w:hAnsiTheme="majorHAnsi" w:cstheme="majorHAnsi"/>
          <w:sz w:val="24"/>
          <w:szCs w:val="24"/>
        </w:rPr>
        <w:t xml:space="preserve">The Government has also provided </w:t>
      </w:r>
      <w:r w:rsidRPr="00D705BE">
        <w:rPr>
          <w:rFonts w:asciiTheme="majorHAnsi" w:hAnsiTheme="majorHAnsi" w:cstheme="majorHAnsi"/>
          <w:sz w:val="24"/>
          <w:szCs w:val="24"/>
        </w:rPr>
        <w:t>‘Advance Global’</w:t>
      </w:r>
      <w:r w:rsidR="00261AAD">
        <w:rPr>
          <w:rFonts w:asciiTheme="majorHAnsi" w:hAnsiTheme="majorHAnsi" w:cstheme="majorHAnsi"/>
          <w:sz w:val="24"/>
          <w:szCs w:val="24"/>
        </w:rPr>
        <w:t xml:space="preserve"> </w:t>
      </w:r>
      <w:r w:rsidR="00616727">
        <w:rPr>
          <w:rFonts w:asciiTheme="majorHAnsi" w:hAnsiTheme="majorHAnsi" w:cstheme="majorHAnsi"/>
          <w:sz w:val="24"/>
          <w:szCs w:val="24"/>
        </w:rPr>
        <w:t>$4 million over four years</w:t>
      </w:r>
      <w:r w:rsidR="00261AAD">
        <w:rPr>
          <w:rFonts w:asciiTheme="majorHAnsi" w:hAnsiTheme="majorHAnsi" w:cstheme="majorHAnsi"/>
          <w:sz w:val="24"/>
          <w:szCs w:val="24"/>
        </w:rPr>
        <w:t xml:space="preserve"> to enable it to engage, support, and build connections b</w:t>
      </w:r>
      <w:r w:rsidR="00951A1F">
        <w:rPr>
          <w:rFonts w:asciiTheme="majorHAnsi" w:hAnsiTheme="majorHAnsi" w:cstheme="majorHAnsi"/>
          <w:sz w:val="24"/>
          <w:szCs w:val="24"/>
        </w:rPr>
        <w:t xml:space="preserve">etween expatriate Australians. </w:t>
      </w:r>
      <w:r w:rsidR="00261AAD">
        <w:rPr>
          <w:rFonts w:asciiTheme="majorHAnsi" w:hAnsiTheme="majorHAnsi" w:cstheme="majorHAnsi"/>
          <w:sz w:val="24"/>
          <w:szCs w:val="24"/>
        </w:rPr>
        <w:t>Advance Global is</w:t>
      </w:r>
      <w:r w:rsidR="00616727">
        <w:rPr>
          <w:rFonts w:asciiTheme="majorHAnsi" w:hAnsiTheme="majorHAnsi" w:cstheme="majorHAnsi"/>
          <w:sz w:val="24"/>
          <w:szCs w:val="24"/>
        </w:rPr>
        <w:t xml:space="preserve"> </w:t>
      </w:r>
      <w:r w:rsidRPr="00D705BE">
        <w:rPr>
          <w:rFonts w:asciiTheme="majorHAnsi" w:hAnsiTheme="majorHAnsi" w:cstheme="majorHAnsi"/>
          <w:sz w:val="24"/>
          <w:szCs w:val="24"/>
        </w:rPr>
        <w:t xml:space="preserve">the largest network of </w:t>
      </w:r>
      <w:r w:rsidR="00876323">
        <w:rPr>
          <w:rFonts w:asciiTheme="majorHAnsi" w:hAnsiTheme="majorHAnsi" w:cstheme="majorHAnsi"/>
          <w:sz w:val="24"/>
          <w:szCs w:val="24"/>
        </w:rPr>
        <w:t>global Australians.</w:t>
      </w:r>
    </w:p>
    <w:p w14:paraId="5DC2C8F4" w14:textId="3CD2BFF0" w:rsidR="00A414F3" w:rsidRDefault="00A414F3" w:rsidP="00A414F3">
      <w:pPr>
        <w:pStyle w:val="BodyText"/>
        <w:ind w:left="0" w:firstLine="0"/>
        <w:rPr>
          <w:rFonts w:asciiTheme="majorHAnsi" w:hAnsiTheme="majorHAnsi" w:cstheme="majorHAnsi"/>
          <w:sz w:val="24"/>
          <w:szCs w:val="24"/>
        </w:rPr>
      </w:pPr>
      <w:r>
        <w:rPr>
          <w:rFonts w:asciiTheme="majorHAnsi" w:hAnsiTheme="majorHAnsi" w:cstheme="majorHAnsi"/>
          <w:sz w:val="24"/>
          <w:szCs w:val="24"/>
        </w:rPr>
        <w:lastRenderedPageBreak/>
        <w:t xml:space="preserve">The </w:t>
      </w:r>
      <w:r w:rsidR="00C871A0">
        <w:rPr>
          <w:rFonts w:asciiTheme="majorHAnsi" w:hAnsiTheme="majorHAnsi" w:cstheme="majorHAnsi"/>
          <w:sz w:val="24"/>
          <w:szCs w:val="24"/>
        </w:rPr>
        <w:t>r</w:t>
      </w:r>
      <w:r>
        <w:rPr>
          <w:rFonts w:asciiTheme="majorHAnsi" w:hAnsiTheme="majorHAnsi" w:cstheme="majorHAnsi"/>
          <w:sz w:val="24"/>
          <w:szCs w:val="24"/>
        </w:rPr>
        <w:t>eport highlights the interest by bilateral chambers of commerce in engaging with SMEs on FTAs, and creating and enhancing business networks.</w:t>
      </w:r>
      <w:r w:rsidR="00DA77FC">
        <w:rPr>
          <w:rFonts w:asciiTheme="majorHAnsi" w:hAnsiTheme="majorHAnsi" w:cstheme="majorHAnsi"/>
          <w:sz w:val="24"/>
          <w:szCs w:val="24"/>
        </w:rPr>
        <w:t xml:space="preserve"> DFAT</w:t>
      </w:r>
      <w:r>
        <w:rPr>
          <w:rFonts w:asciiTheme="majorHAnsi" w:hAnsiTheme="majorHAnsi" w:cstheme="majorHAnsi"/>
          <w:sz w:val="24"/>
          <w:szCs w:val="24"/>
        </w:rPr>
        <w:t xml:space="preserve"> and Austrade maintain </w:t>
      </w:r>
      <w:r w:rsidR="00ED6442">
        <w:rPr>
          <w:rFonts w:asciiTheme="majorHAnsi" w:hAnsiTheme="majorHAnsi" w:cstheme="majorHAnsi"/>
          <w:sz w:val="24"/>
          <w:szCs w:val="24"/>
        </w:rPr>
        <w:t>strong</w:t>
      </w:r>
      <w:r>
        <w:rPr>
          <w:rFonts w:asciiTheme="majorHAnsi" w:hAnsiTheme="majorHAnsi" w:cstheme="majorHAnsi"/>
          <w:sz w:val="24"/>
          <w:szCs w:val="24"/>
        </w:rPr>
        <w:t xml:space="preserve"> relations with such chambers, including through our networks of international posts, and state and territory representative offices. The Government will investigate enhancing our engagement with international chambers with a p</w:t>
      </w:r>
      <w:r w:rsidR="00876323">
        <w:rPr>
          <w:rFonts w:asciiTheme="majorHAnsi" w:hAnsiTheme="majorHAnsi" w:cstheme="majorHAnsi"/>
          <w:sz w:val="24"/>
          <w:szCs w:val="24"/>
        </w:rPr>
        <w:t>resence in Australia.</w:t>
      </w:r>
    </w:p>
    <w:p w14:paraId="14A42A62" w14:textId="77777777" w:rsidR="00C2388E" w:rsidRDefault="00C2388E" w:rsidP="00D705BE">
      <w:pPr>
        <w:pStyle w:val="BodyText"/>
        <w:ind w:left="0" w:firstLine="0"/>
        <w:rPr>
          <w:rFonts w:asciiTheme="majorHAnsi" w:hAnsiTheme="majorHAnsi" w:cstheme="majorHAnsi"/>
          <w:sz w:val="24"/>
          <w:szCs w:val="24"/>
        </w:rPr>
      </w:pPr>
      <w:r>
        <w:rPr>
          <w:rFonts w:asciiTheme="majorHAnsi" w:hAnsiTheme="majorHAnsi" w:cstheme="majorHAnsi"/>
          <w:sz w:val="24"/>
          <w:szCs w:val="24"/>
        </w:rPr>
        <w:t xml:space="preserve">Given these efforts and </w:t>
      </w:r>
      <w:r w:rsidR="00A414F3">
        <w:rPr>
          <w:rFonts w:asciiTheme="majorHAnsi" w:hAnsiTheme="majorHAnsi" w:cstheme="majorHAnsi"/>
          <w:sz w:val="24"/>
          <w:szCs w:val="24"/>
        </w:rPr>
        <w:t>our</w:t>
      </w:r>
      <w:r>
        <w:rPr>
          <w:rFonts w:asciiTheme="majorHAnsi" w:hAnsiTheme="majorHAnsi" w:cstheme="majorHAnsi"/>
          <w:sz w:val="24"/>
          <w:szCs w:val="24"/>
        </w:rPr>
        <w:t xml:space="preserve"> commitment to </w:t>
      </w:r>
      <w:r w:rsidR="00A414F3">
        <w:rPr>
          <w:rFonts w:asciiTheme="majorHAnsi" w:hAnsiTheme="majorHAnsi" w:cstheme="majorHAnsi"/>
          <w:sz w:val="24"/>
          <w:szCs w:val="24"/>
        </w:rPr>
        <w:t xml:space="preserve">enhance engagement with </w:t>
      </w:r>
      <w:proofErr w:type="gramStart"/>
      <w:r w:rsidR="00417B96" w:rsidRPr="00D705BE">
        <w:rPr>
          <w:rFonts w:asciiTheme="majorHAnsi" w:hAnsiTheme="majorHAnsi" w:cstheme="majorHAnsi"/>
          <w:sz w:val="24"/>
          <w:szCs w:val="24"/>
        </w:rPr>
        <w:t>diaspora</w:t>
      </w:r>
      <w:r w:rsidR="00A414F3">
        <w:rPr>
          <w:rFonts w:asciiTheme="majorHAnsi" w:hAnsiTheme="majorHAnsi" w:cstheme="majorHAnsi"/>
          <w:sz w:val="24"/>
          <w:szCs w:val="24"/>
        </w:rPr>
        <w:t>s</w:t>
      </w:r>
      <w:proofErr w:type="gramEnd"/>
      <w:r w:rsidR="00A414F3">
        <w:rPr>
          <w:rFonts w:asciiTheme="majorHAnsi" w:hAnsiTheme="majorHAnsi" w:cstheme="majorHAnsi"/>
          <w:sz w:val="24"/>
          <w:szCs w:val="24"/>
        </w:rPr>
        <w:t xml:space="preserve"> and relevant chambers of commerce</w:t>
      </w:r>
      <w:r w:rsidR="00261AAD">
        <w:rPr>
          <w:rFonts w:asciiTheme="majorHAnsi" w:hAnsiTheme="majorHAnsi" w:cstheme="majorHAnsi"/>
          <w:sz w:val="24"/>
          <w:szCs w:val="24"/>
        </w:rPr>
        <w:t xml:space="preserve">, </w:t>
      </w:r>
      <w:r w:rsidR="00A414F3">
        <w:rPr>
          <w:rFonts w:asciiTheme="majorHAnsi" w:hAnsiTheme="majorHAnsi" w:cstheme="majorHAnsi"/>
          <w:sz w:val="24"/>
          <w:szCs w:val="24"/>
        </w:rPr>
        <w:t xml:space="preserve">the Government </w:t>
      </w:r>
      <w:r w:rsidR="00261AAD">
        <w:rPr>
          <w:rFonts w:asciiTheme="majorHAnsi" w:hAnsiTheme="majorHAnsi" w:cstheme="majorHAnsi"/>
          <w:sz w:val="24"/>
          <w:szCs w:val="24"/>
        </w:rPr>
        <w:t>does not believe a</w:t>
      </w:r>
      <w:r w:rsidR="00261AAD" w:rsidRPr="00EE7AF3">
        <w:rPr>
          <w:rFonts w:asciiTheme="majorHAnsi" w:hAnsiTheme="majorHAnsi" w:cstheme="majorHAnsi"/>
          <w:sz w:val="24"/>
          <w:szCs w:val="24"/>
        </w:rPr>
        <w:t xml:space="preserve">n audit would assist in establishing </w:t>
      </w:r>
      <w:r w:rsidR="00261AAD">
        <w:rPr>
          <w:rFonts w:asciiTheme="majorHAnsi" w:hAnsiTheme="majorHAnsi" w:cstheme="majorHAnsi"/>
          <w:sz w:val="24"/>
          <w:szCs w:val="24"/>
        </w:rPr>
        <w:t xml:space="preserve">more </w:t>
      </w:r>
      <w:r w:rsidR="00261AAD" w:rsidRPr="00EE7AF3">
        <w:rPr>
          <w:rFonts w:asciiTheme="majorHAnsi" w:hAnsiTheme="majorHAnsi" w:cstheme="majorHAnsi"/>
          <w:sz w:val="24"/>
          <w:szCs w:val="24"/>
        </w:rPr>
        <w:t>meaningful connections with these communities</w:t>
      </w:r>
      <w:r w:rsidR="00A414F3">
        <w:rPr>
          <w:rFonts w:asciiTheme="majorHAnsi" w:hAnsiTheme="majorHAnsi" w:cstheme="majorHAnsi"/>
          <w:sz w:val="24"/>
          <w:szCs w:val="24"/>
        </w:rPr>
        <w:t xml:space="preserve"> at this time</w:t>
      </w:r>
      <w:r w:rsidR="00261AAD" w:rsidRPr="00EE7AF3">
        <w:rPr>
          <w:rFonts w:asciiTheme="majorHAnsi" w:hAnsiTheme="majorHAnsi" w:cstheme="majorHAnsi"/>
          <w:sz w:val="24"/>
          <w:szCs w:val="24"/>
        </w:rPr>
        <w:t>.</w:t>
      </w:r>
    </w:p>
    <w:p w14:paraId="78FAC119" w14:textId="77777777" w:rsidR="005A2025" w:rsidRPr="00D705BE" w:rsidRDefault="005A2025" w:rsidP="00D705BE">
      <w:pPr>
        <w:pStyle w:val="BodyText"/>
        <w:ind w:left="0" w:firstLine="0"/>
        <w:rPr>
          <w:rFonts w:asciiTheme="majorHAnsi" w:hAnsiTheme="majorHAnsi" w:cstheme="majorHAnsi"/>
          <w:sz w:val="24"/>
          <w:szCs w:val="24"/>
        </w:rPr>
      </w:pPr>
    </w:p>
    <w:sectPr w:rsidR="005A2025" w:rsidRPr="00D705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23246" w14:textId="77777777" w:rsidR="00644822" w:rsidRDefault="00644822" w:rsidP="003F719C">
      <w:pPr>
        <w:spacing w:after="0" w:line="240" w:lineRule="auto"/>
      </w:pPr>
      <w:r>
        <w:separator/>
      </w:r>
    </w:p>
  </w:endnote>
  <w:endnote w:type="continuationSeparator" w:id="0">
    <w:p w14:paraId="661A1DB8" w14:textId="77777777" w:rsidR="00644822" w:rsidRDefault="00644822" w:rsidP="003F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3BCD" w14:textId="77777777" w:rsidR="008103B9" w:rsidRDefault="00810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5EA" w14:textId="77777777" w:rsidR="008103B9" w:rsidRDefault="008103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0FF23" w14:textId="77777777" w:rsidR="008103B9" w:rsidRDefault="0081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5489" w14:textId="77777777" w:rsidR="00644822" w:rsidRDefault="00644822" w:rsidP="003F719C">
      <w:pPr>
        <w:spacing w:after="0" w:line="240" w:lineRule="auto"/>
      </w:pPr>
      <w:r>
        <w:separator/>
      </w:r>
    </w:p>
  </w:footnote>
  <w:footnote w:type="continuationSeparator" w:id="0">
    <w:p w14:paraId="51599B83" w14:textId="77777777" w:rsidR="00644822" w:rsidRDefault="00644822" w:rsidP="003F719C">
      <w:pPr>
        <w:spacing w:after="0" w:line="240" w:lineRule="auto"/>
      </w:pPr>
      <w:r>
        <w:continuationSeparator/>
      </w:r>
    </w:p>
  </w:footnote>
  <w:footnote w:id="1">
    <w:p w14:paraId="6D372182" w14:textId="77777777" w:rsidR="004207C4" w:rsidRDefault="004207C4" w:rsidP="00D705BE">
      <w:pPr>
        <w:pStyle w:val="FootnoteText"/>
        <w:jc w:val="left"/>
      </w:pPr>
      <w:r>
        <w:rPr>
          <w:rStyle w:val="FootnoteReference"/>
        </w:rPr>
        <w:footnoteRef/>
      </w:r>
      <w:r w:rsidR="00951A1F">
        <w:t xml:space="preserve"> </w:t>
      </w:r>
      <w:r>
        <w:t xml:space="preserve">AANZFTA (Australia, New Zealand, Brunei Darussalam, Cambodia, Indonesia, Laos, Malaysia, Myanmar, Philippines, Singapore, Thailand, Vietnam); </w:t>
      </w:r>
      <w:r w:rsidRPr="00D705BE">
        <w:t xml:space="preserve">Comprehensive and Progressive Agreement for Trans-Pacific Partnership (TPP-11 or CPTPP) (entered into force for </w:t>
      </w:r>
      <w:r w:rsidR="00CF3337">
        <w:t xml:space="preserve">Australia, </w:t>
      </w:r>
      <w:r w:rsidRPr="00D705BE">
        <w:t>Canada, Japan, Mexico, New Zealand, Singapore and Vietnam)</w:t>
      </w:r>
      <w:r>
        <w:t xml:space="preserve">; bilateral agreements with </w:t>
      </w:r>
      <w:r w:rsidRPr="00D705BE">
        <w:t>Chile, China, Japan, Republic of Korea, Malaysia, New Zealand, Singapore, Thailand and the United States</w:t>
      </w:r>
      <w:r w:rsidR="00D86B1A">
        <w:t>.</w:t>
      </w:r>
    </w:p>
  </w:footnote>
  <w:footnote w:id="2">
    <w:p w14:paraId="770D7A73" w14:textId="77777777" w:rsidR="004207C4" w:rsidRDefault="004207C4" w:rsidP="00D705BE">
      <w:pPr>
        <w:pStyle w:val="FootnoteText"/>
        <w:jc w:val="left"/>
      </w:pPr>
      <w:r>
        <w:rPr>
          <w:rStyle w:val="FootnoteReference"/>
        </w:rPr>
        <w:footnoteRef/>
      </w:r>
      <w:r w:rsidR="00951A1F">
        <w:t xml:space="preserve"> </w:t>
      </w:r>
      <w:r w:rsidRPr="00D705BE">
        <w:t>This includes agreements currently in force (68.2 per cent) plus agreements concluded</w:t>
      </w:r>
      <w:r>
        <w:t>,</w:t>
      </w:r>
      <w:r w:rsidRPr="00D705BE">
        <w:t xml:space="preserve"> but not yet in force (2.6</w:t>
      </w:r>
      <w:r>
        <w:t> </w:t>
      </w:r>
      <w:r w:rsidRPr="00D705BE">
        <w:t>per</w:t>
      </w:r>
      <w:r>
        <w:t> </w:t>
      </w:r>
      <w:r w:rsidRPr="00D705BE">
        <w:t>cent)</w:t>
      </w:r>
      <w:r>
        <w:t xml:space="preserve">, i.e. the </w:t>
      </w:r>
      <w:r w:rsidR="00CF3337">
        <w:t>Indonesia-</w:t>
      </w:r>
      <w:r w:rsidRPr="00D705BE">
        <w:t>Australia Comprehensive Economic Partnership Agreement (IA-CEPA)</w:t>
      </w:r>
      <w:r>
        <w:t>, Hong Kong, Peru, PACER Plus</w:t>
      </w:r>
      <w:r w:rsidRPr="00D705BE">
        <w:t>.</w:t>
      </w:r>
    </w:p>
  </w:footnote>
  <w:footnote w:id="3">
    <w:p w14:paraId="5B1F824A" w14:textId="77777777" w:rsidR="004207C4" w:rsidRDefault="004207C4">
      <w:pPr>
        <w:pStyle w:val="FootnoteText"/>
      </w:pPr>
      <w:r>
        <w:rPr>
          <w:rStyle w:val="FootnoteReference"/>
        </w:rPr>
        <w:footnoteRef/>
      </w:r>
      <w:r>
        <w:t xml:space="preserve"> </w:t>
      </w:r>
      <w:r w:rsidRPr="00D705BE">
        <w:t>FY2017-18 data</w:t>
      </w:r>
      <w:r w:rsidR="00D86B1A">
        <w:t>.</w:t>
      </w:r>
    </w:p>
  </w:footnote>
  <w:footnote w:id="4">
    <w:p w14:paraId="4FCCAEE0" w14:textId="77777777" w:rsidR="004207C4" w:rsidRDefault="004207C4">
      <w:pPr>
        <w:pStyle w:val="FootnoteText"/>
      </w:pPr>
      <w:r>
        <w:rPr>
          <w:rStyle w:val="FootnoteReference"/>
        </w:rPr>
        <w:footnoteRef/>
      </w:r>
      <w:r>
        <w:t xml:space="preserve"> Regional Comprehensive Economic Partnership (ASEAN, China, India, Japan, Korea, New Zealand), Pacific Alliance (Chile, </w:t>
      </w:r>
      <w:r w:rsidR="00CF3337">
        <w:t>Colombia</w:t>
      </w:r>
      <w:r>
        <w:t xml:space="preserve">, Mexico, Peru), European Union, United Kingdom, India. </w:t>
      </w:r>
    </w:p>
  </w:footnote>
  <w:footnote w:id="5">
    <w:p w14:paraId="7A5DA3C2" w14:textId="77777777" w:rsidR="004207C4" w:rsidRDefault="004207C4">
      <w:pPr>
        <w:pStyle w:val="FootnoteText"/>
      </w:pPr>
      <w:r>
        <w:rPr>
          <w:rStyle w:val="FootnoteReference"/>
        </w:rPr>
        <w:footnoteRef/>
      </w:r>
      <w:r>
        <w:t xml:space="preserve"> Based on FY2017-18 data</w:t>
      </w:r>
      <w:r w:rsidR="00D86B1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7224" w14:textId="77777777" w:rsidR="008103B9" w:rsidRDefault="0081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AF90" w14:textId="77777777" w:rsidR="008103B9" w:rsidRDefault="00810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BB28" w14:textId="77777777" w:rsidR="008103B9" w:rsidRDefault="0081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styleLink w:val="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1"/>
    <w:numStyleLink w:val="Bullet1List"/>
  </w:abstractNum>
  <w:abstractNum w:abstractNumId="2" w15:restartNumberingAfterBreak="0">
    <w:nsid w:val="00000003"/>
    <w:multiLevelType w:val="multilevel"/>
    <w:tmpl w:val="00000003"/>
    <w:styleLink w:val="Bullet2List"/>
    <w:lvl w:ilvl="0">
      <w:start w:val="1"/>
      <w:numFmt w:val="bullet"/>
      <w:lvlText w:val="-"/>
      <w:lvlJc w:val="left"/>
      <w:pPr>
        <w:tabs>
          <w:tab w:val="num" w:pos="1247"/>
        </w:tabs>
        <w:ind w:left="1247" w:hanging="88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3"/>
    <w:numStyleLink w:val="Bullet2List"/>
  </w:abstractNum>
  <w:abstractNum w:abstractNumId="4" w15:restartNumberingAfterBreak="0">
    <w:nsid w:val="00000007"/>
    <w:multiLevelType w:val="multilevel"/>
    <w:tmpl w:val="00000007"/>
    <w:styleLink w:val="FootnoteBullet2List"/>
    <w:lvl w:ilvl="0">
      <w:start w:val="1"/>
      <w:numFmt w:val="bullet"/>
      <w:lvlText w:val="-"/>
      <w:lvlJc w:val="left"/>
      <w:pPr>
        <w:tabs>
          <w:tab w:val="num" w:pos="1247"/>
        </w:tabs>
        <w:ind w:left="1247" w:hanging="88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00000009"/>
    <w:styleLink w:val="QuoteBullet1List"/>
    <w:lvl w:ilvl="0">
      <w:start w:val="1"/>
      <w:numFmt w:val="bullet"/>
      <w:lvlText w:val="§"/>
      <w:lvlJc w:val="left"/>
      <w:pPr>
        <w:tabs>
          <w:tab w:val="num" w:pos="1304"/>
        </w:tabs>
        <w:ind w:left="1304" w:hanging="944"/>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multilevel"/>
    <w:tmpl w:val="00000009"/>
    <w:numStyleLink w:val="QuoteBullet1List"/>
  </w:abstractNum>
  <w:abstractNum w:abstractNumId="7" w15:restartNumberingAfterBreak="0">
    <w:nsid w:val="0000000F"/>
    <w:multiLevelType w:val="multilevel"/>
    <w:tmpl w:val="0000000F"/>
    <w:styleLink w:val="RecommendationList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0000000F"/>
    <w:numStyleLink w:val="RecommendationListBullet1List"/>
  </w:abstractNum>
  <w:abstractNum w:abstractNumId="9" w15:restartNumberingAfterBreak="0">
    <w:nsid w:val="43EA25D3"/>
    <w:multiLevelType w:val="hybridMultilevel"/>
    <w:tmpl w:val="5D366CE0"/>
    <w:lvl w:ilvl="0" w:tplc="E446133C">
      <w:numFmt w:val="bullet"/>
      <w:lvlText w:val="-"/>
      <w:lvlJc w:val="left"/>
      <w:pPr>
        <w:ind w:left="720" w:hanging="360"/>
      </w:pPr>
      <w:rPr>
        <w:rFonts w:ascii="Calibri Light" w:eastAsia="Palatino Linotype"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5B1690"/>
    <w:multiLevelType w:val="hybridMultilevel"/>
    <w:tmpl w:val="6A54A0D2"/>
    <w:lvl w:ilvl="0" w:tplc="E446133C">
      <w:numFmt w:val="bullet"/>
      <w:lvlText w:val="-"/>
      <w:lvlJc w:val="left"/>
      <w:pPr>
        <w:ind w:left="720" w:hanging="360"/>
      </w:pPr>
      <w:rPr>
        <w:rFonts w:ascii="Calibri Light" w:eastAsia="Palatino Linotype"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D5F733F"/>
    <w:multiLevelType w:val="hybridMultilevel"/>
    <w:tmpl w:val="D0BA1BC6"/>
    <w:lvl w:ilvl="0" w:tplc="EB5012B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5"/>
  </w:num>
  <w:num w:numId="6">
    <w:abstractNumId w:val="6"/>
  </w:num>
  <w:num w:numId="7">
    <w:abstractNumId w:val="2"/>
  </w:num>
  <w:num w:numId="8">
    <w:abstractNumId w:val="3"/>
  </w:num>
  <w:num w:numId="9">
    <w:abstractNumId w:val="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9"/>
    <w:rsid w:val="00004F29"/>
    <w:rsid w:val="00022FC1"/>
    <w:rsid w:val="00024ED0"/>
    <w:rsid w:val="000253AA"/>
    <w:rsid w:val="0002693C"/>
    <w:rsid w:val="0007124A"/>
    <w:rsid w:val="000802A6"/>
    <w:rsid w:val="00086CA6"/>
    <w:rsid w:val="00094373"/>
    <w:rsid w:val="0009547D"/>
    <w:rsid w:val="000969DC"/>
    <w:rsid w:val="000B5326"/>
    <w:rsid w:val="000B5E37"/>
    <w:rsid w:val="000C618F"/>
    <w:rsid w:val="000D526C"/>
    <w:rsid w:val="000D6DC0"/>
    <w:rsid w:val="000D73EA"/>
    <w:rsid w:val="000E0BF6"/>
    <w:rsid w:val="0010356F"/>
    <w:rsid w:val="0010604F"/>
    <w:rsid w:val="001257B6"/>
    <w:rsid w:val="001472B7"/>
    <w:rsid w:val="00153A3E"/>
    <w:rsid w:val="00164567"/>
    <w:rsid w:val="00186DC6"/>
    <w:rsid w:val="00191B01"/>
    <w:rsid w:val="00193F4A"/>
    <w:rsid w:val="001A650B"/>
    <w:rsid w:val="001B508A"/>
    <w:rsid w:val="001F257E"/>
    <w:rsid w:val="001F4697"/>
    <w:rsid w:val="0020512D"/>
    <w:rsid w:val="002236A4"/>
    <w:rsid w:val="00226952"/>
    <w:rsid w:val="00231723"/>
    <w:rsid w:val="00232A62"/>
    <w:rsid w:val="002378BB"/>
    <w:rsid w:val="00237D84"/>
    <w:rsid w:val="00261AAD"/>
    <w:rsid w:val="00283A3F"/>
    <w:rsid w:val="00292F90"/>
    <w:rsid w:val="002C01BD"/>
    <w:rsid w:val="002C06C7"/>
    <w:rsid w:val="002F5226"/>
    <w:rsid w:val="002F7315"/>
    <w:rsid w:val="00346ED1"/>
    <w:rsid w:val="00367FD9"/>
    <w:rsid w:val="003A4289"/>
    <w:rsid w:val="003B3516"/>
    <w:rsid w:val="003D24FC"/>
    <w:rsid w:val="003F2A56"/>
    <w:rsid w:val="003F3658"/>
    <w:rsid w:val="003F719C"/>
    <w:rsid w:val="00401D3A"/>
    <w:rsid w:val="004047A1"/>
    <w:rsid w:val="00417B96"/>
    <w:rsid w:val="004207C4"/>
    <w:rsid w:val="00426373"/>
    <w:rsid w:val="00433144"/>
    <w:rsid w:val="0044573C"/>
    <w:rsid w:val="00454BE0"/>
    <w:rsid w:val="0045511E"/>
    <w:rsid w:val="00465731"/>
    <w:rsid w:val="00467B99"/>
    <w:rsid w:val="00473DE5"/>
    <w:rsid w:val="0047559A"/>
    <w:rsid w:val="00476091"/>
    <w:rsid w:val="00477896"/>
    <w:rsid w:val="004851A1"/>
    <w:rsid w:val="00494C18"/>
    <w:rsid w:val="0049681F"/>
    <w:rsid w:val="004A1125"/>
    <w:rsid w:val="004B3C4C"/>
    <w:rsid w:val="004B6CDC"/>
    <w:rsid w:val="004C1348"/>
    <w:rsid w:val="004C5A63"/>
    <w:rsid w:val="004E6112"/>
    <w:rsid w:val="004F4E6A"/>
    <w:rsid w:val="00501124"/>
    <w:rsid w:val="0050691D"/>
    <w:rsid w:val="005076ED"/>
    <w:rsid w:val="005110A2"/>
    <w:rsid w:val="00515FF9"/>
    <w:rsid w:val="00526E41"/>
    <w:rsid w:val="00526E96"/>
    <w:rsid w:val="00540A8B"/>
    <w:rsid w:val="00546C1B"/>
    <w:rsid w:val="00563E49"/>
    <w:rsid w:val="00576EA4"/>
    <w:rsid w:val="00580D36"/>
    <w:rsid w:val="00587802"/>
    <w:rsid w:val="0059718E"/>
    <w:rsid w:val="005A2025"/>
    <w:rsid w:val="005A5C59"/>
    <w:rsid w:val="005C2DE2"/>
    <w:rsid w:val="005C534F"/>
    <w:rsid w:val="005E2CB7"/>
    <w:rsid w:val="005F0AEF"/>
    <w:rsid w:val="005F6A06"/>
    <w:rsid w:val="00611108"/>
    <w:rsid w:val="006119E9"/>
    <w:rsid w:val="00616727"/>
    <w:rsid w:val="00621B20"/>
    <w:rsid w:val="00625A9B"/>
    <w:rsid w:val="00644822"/>
    <w:rsid w:val="00652C59"/>
    <w:rsid w:val="006540D1"/>
    <w:rsid w:val="00666DAA"/>
    <w:rsid w:val="00673BF9"/>
    <w:rsid w:val="00681A13"/>
    <w:rsid w:val="006B68A6"/>
    <w:rsid w:val="006E0DDE"/>
    <w:rsid w:val="006E73A9"/>
    <w:rsid w:val="00710B1F"/>
    <w:rsid w:val="0071488E"/>
    <w:rsid w:val="00714BA5"/>
    <w:rsid w:val="00746138"/>
    <w:rsid w:val="00752B33"/>
    <w:rsid w:val="00755DF2"/>
    <w:rsid w:val="00755E85"/>
    <w:rsid w:val="00790DCF"/>
    <w:rsid w:val="0079227B"/>
    <w:rsid w:val="00796880"/>
    <w:rsid w:val="007C104D"/>
    <w:rsid w:val="007C77AB"/>
    <w:rsid w:val="007D3C5C"/>
    <w:rsid w:val="007E789A"/>
    <w:rsid w:val="007F298F"/>
    <w:rsid w:val="007F3745"/>
    <w:rsid w:val="007F5B80"/>
    <w:rsid w:val="007F7F2D"/>
    <w:rsid w:val="00807D67"/>
    <w:rsid w:val="008103B9"/>
    <w:rsid w:val="0081389C"/>
    <w:rsid w:val="00814409"/>
    <w:rsid w:val="00827D5A"/>
    <w:rsid w:val="00835E1A"/>
    <w:rsid w:val="00864E10"/>
    <w:rsid w:val="00876323"/>
    <w:rsid w:val="008775BA"/>
    <w:rsid w:val="00887D3C"/>
    <w:rsid w:val="008A0EB3"/>
    <w:rsid w:val="008A50B0"/>
    <w:rsid w:val="008B0AB4"/>
    <w:rsid w:val="008B50EA"/>
    <w:rsid w:val="008C4978"/>
    <w:rsid w:val="008D4CE9"/>
    <w:rsid w:val="009060CA"/>
    <w:rsid w:val="00922447"/>
    <w:rsid w:val="009312CB"/>
    <w:rsid w:val="00936461"/>
    <w:rsid w:val="00950801"/>
    <w:rsid w:val="00951A1F"/>
    <w:rsid w:val="009526EE"/>
    <w:rsid w:val="00964183"/>
    <w:rsid w:val="00973942"/>
    <w:rsid w:val="009776E4"/>
    <w:rsid w:val="00982914"/>
    <w:rsid w:val="00990D3F"/>
    <w:rsid w:val="009B5C38"/>
    <w:rsid w:val="009D3E9E"/>
    <w:rsid w:val="009E42BD"/>
    <w:rsid w:val="009F32C4"/>
    <w:rsid w:val="00A05567"/>
    <w:rsid w:val="00A16C58"/>
    <w:rsid w:val="00A223A1"/>
    <w:rsid w:val="00A31EF8"/>
    <w:rsid w:val="00A34B3C"/>
    <w:rsid w:val="00A350DA"/>
    <w:rsid w:val="00A4132D"/>
    <w:rsid w:val="00A414F3"/>
    <w:rsid w:val="00A51481"/>
    <w:rsid w:val="00A62150"/>
    <w:rsid w:val="00AA180A"/>
    <w:rsid w:val="00AA536E"/>
    <w:rsid w:val="00AA6AAD"/>
    <w:rsid w:val="00AB295F"/>
    <w:rsid w:val="00AC1A9D"/>
    <w:rsid w:val="00AC1C30"/>
    <w:rsid w:val="00B05DB5"/>
    <w:rsid w:val="00B07C68"/>
    <w:rsid w:val="00B12CA9"/>
    <w:rsid w:val="00B44C3F"/>
    <w:rsid w:val="00B57DC8"/>
    <w:rsid w:val="00B63A65"/>
    <w:rsid w:val="00B702DF"/>
    <w:rsid w:val="00B80D53"/>
    <w:rsid w:val="00B9722C"/>
    <w:rsid w:val="00BB4924"/>
    <w:rsid w:val="00BC0BDF"/>
    <w:rsid w:val="00BC4FB5"/>
    <w:rsid w:val="00BC5658"/>
    <w:rsid w:val="00BD6245"/>
    <w:rsid w:val="00BE0158"/>
    <w:rsid w:val="00BE39DA"/>
    <w:rsid w:val="00BE57C4"/>
    <w:rsid w:val="00BE617E"/>
    <w:rsid w:val="00C073A1"/>
    <w:rsid w:val="00C15AA0"/>
    <w:rsid w:val="00C2388E"/>
    <w:rsid w:val="00C36277"/>
    <w:rsid w:val="00C54542"/>
    <w:rsid w:val="00C5560C"/>
    <w:rsid w:val="00C55C0D"/>
    <w:rsid w:val="00C75517"/>
    <w:rsid w:val="00C871A0"/>
    <w:rsid w:val="00C90AEA"/>
    <w:rsid w:val="00C95B9C"/>
    <w:rsid w:val="00CA57AE"/>
    <w:rsid w:val="00CF3337"/>
    <w:rsid w:val="00CF7CAC"/>
    <w:rsid w:val="00D32D9B"/>
    <w:rsid w:val="00D35250"/>
    <w:rsid w:val="00D57FA6"/>
    <w:rsid w:val="00D60D5F"/>
    <w:rsid w:val="00D620C8"/>
    <w:rsid w:val="00D705BE"/>
    <w:rsid w:val="00D7062B"/>
    <w:rsid w:val="00D86B1A"/>
    <w:rsid w:val="00D90FAD"/>
    <w:rsid w:val="00D9547A"/>
    <w:rsid w:val="00D95B26"/>
    <w:rsid w:val="00DA4C23"/>
    <w:rsid w:val="00DA77FC"/>
    <w:rsid w:val="00DB26DF"/>
    <w:rsid w:val="00DD696C"/>
    <w:rsid w:val="00DD6A0B"/>
    <w:rsid w:val="00DE0FBE"/>
    <w:rsid w:val="00DE0FE9"/>
    <w:rsid w:val="00DE4331"/>
    <w:rsid w:val="00E0189E"/>
    <w:rsid w:val="00E17444"/>
    <w:rsid w:val="00E269A0"/>
    <w:rsid w:val="00E276F0"/>
    <w:rsid w:val="00E55CA4"/>
    <w:rsid w:val="00E7678B"/>
    <w:rsid w:val="00E779A5"/>
    <w:rsid w:val="00E93973"/>
    <w:rsid w:val="00ED53ED"/>
    <w:rsid w:val="00ED5FAD"/>
    <w:rsid w:val="00ED6442"/>
    <w:rsid w:val="00EF52FF"/>
    <w:rsid w:val="00F000E1"/>
    <w:rsid w:val="00F05FFE"/>
    <w:rsid w:val="00F1400A"/>
    <w:rsid w:val="00F21436"/>
    <w:rsid w:val="00F22A3D"/>
    <w:rsid w:val="00F23A4D"/>
    <w:rsid w:val="00F27C34"/>
    <w:rsid w:val="00F3732C"/>
    <w:rsid w:val="00F6334C"/>
    <w:rsid w:val="00F71A5B"/>
    <w:rsid w:val="00F72192"/>
    <w:rsid w:val="00F91F73"/>
    <w:rsid w:val="00FA30D9"/>
    <w:rsid w:val="00FA34A3"/>
    <w:rsid w:val="00FA73A6"/>
    <w:rsid w:val="00FE3217"/>
    <w:rsid w:val="00FE4A28"/>
    <w:rsid w:val="00FF52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BFA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0"/>
  </w:style>
  <w:style w:type="paragraph" w:styleId="Heading1">
    <w:name w:val="heading 1"/>
    <w:basedOn w:val="Normal"/>
    <w:next w:val="Normal"/>
    <w:link w:val="Heading1Char"/>
    <w:uiPriority w:val="9"/>
    <w:qFormat/>
    <w:rsid w:val="00AC1C3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C1C3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C1C3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C1C3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C1C3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C1C3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C1C3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C1C3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C1C3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useTitle2">
    <w:name w:val="House Title 2"/>
    <w:basedOn w:val="Normal"/>
    <w:rsid w:val="006119E9"/>
    <w:pPr>
      <w:suppressAutoHyphens/>
      <w:spacing w:before="737" w:after="567" w:line="240" w:lineRule="auto"/>
    </w:pPr>
    <w:rPr>
      <w:rFonts w:ascii="Palatino Linotype" w:eastAsia="Palatino Linotype" w:hAnsi="Palatino Linotype" w:cs="Palatino Linotype"/>
      <w:b/>
      <w:sz w:val="48"/>
    </w:rPr>
  </w:style>
  <w:style w:type="paragraph" w:customStyle="1" w:styleId="Paragraph">
    <w:name w:val="Paragraph"/>
    <w:basedOn w:val="Normal"/>
    <w:rsid w:val="006119E9"/>
    <w:pPr>
      <w:suppressAutoHyphens/>
      <w:spacing w:before="113" w:after="113" w:line="240" w:lineRule="auto"/>
    </w:pPr>
    <w:rPr>
      <w:rFonts w:ascii="Palatino Linotype" w:eastAsia="Palatino Linotype" w:hAnsi="Palatino Linotype" w:cs="Palatino Linotype"/>
    </w:rPr>
  </w:style>
  <w:style w:type="paragraph" w:customStyle="1" w:styleId="ChapterHeading">
    <w:name w:val="Chapter Heading"/>
    <w:rsid w:val="006119E9"/>
    <w:pPr>
      <w:tabs>
        <w:tab w:val="left" w:pos="624"/>
      </w:tabs>
      <w:suppressAutoHyphens/>
      <w:spacing w:before="2381" w:after="567" w:line="240" w:lineRule="auto"/>
      <w:ind w:left="624" w:hanging="624"/>
      <w:outlineLvl w:val="0"/>
    </w:pPr>
    <w:rPr>
      <w:rFonts w:ascii="Palatino Linotype" w:eastAsia="Palatino Linotype" w:hAnsi="Palatino Linotype" w:cs="Palatino Linotype"/>
      <w:b/>
      <w:sz w:val="48"/>
    </w:rPr>
  </w:style>
  <w:style w:type="paragraph" w:customStyle="1" w:styleId="Bullet1">
    <w:name w:val="Bullet 1"/>
    <w:rsid w:val="006119E9"/>
    <w:pPr>
      <w:numPr>
        <w:numId w:val="2"/>
      </w:numPr>
      <w:tabs>
        <w:tab w:val="left" w:pos="1020"/>
      </w:tabs>
      <w:suppressAutoHyphens/>
      <w:spacing w:after="0" w:line="240" w:lineRule="auto"/>
      <w:ind w:hanging="397"/>
    </w:pPr>
    <w:rPr>
      <w:rFonts w:ascii="Palatino Linotype" w:eastAsia="Palatino Linotype" w:hAnsi="Palatino Linotype" w:cs="Palatino Linotype"/>
    </w:rPr>
  </w:style>
  <w:style w:type="numbering" w:customStyle="1" w:styleId="Bullet1List">
    <w:name w:val="Bullet 1 List"/>
    <w:rsid w:val="006119E9"/>
    <w:pPr>
      <w:numPr>
        <w:numId w:val="1"/>
      </w:numPr>
    </w:pPr>
  </w:style>
  <w:style w:type="paragraph" w:customStyle="1" w:styleId="RecommendationHeading">
    <w:name w:val="Recommendation Heading"/>
    <w:rsid w:val="006119E9"/>
    <w:pPr>
      <w:keepNext/>
      <w:pBdr>
        <w:bottom w:val="single" w:sz="4" w:space="0" w:color="auto"/>
      </w:pBdr>
      <w:suppressAutoHyphens/>
      <w:spacing w:before="227" w:after="170" w:line="240" w:lineRule="auto"/>
    </w:pPr>
    <w:rPr>
      <w:rFonts w:ascii="Palatino Linotype" w:eastAsia="Palatino Linotype" w:hAnsi="Palatino Linotype" w:cs="Palatino Linotype"/>
      <w:b/>
      <w:sz w:val="26"/>
    </w:rPr>
  </w:style>
  <w:style w:type="paragraph" w:customStyle="1" w:styleId="RecommendationListText">
    <w:name w:val="Recommendation List Text"/>
    <w:rsid w:val="006119E9"/>
    <w:pPr>
      <w:tabs>
        <w:tab w:val="left" w:pos="624"/>
      </w:tabs>
      <w:suppressAutoHyphens/>
      <w:spacing w:before="113" w:after="227" w:line="240" w:lineRule="auto"/>
      <w:ind w:left="624" w:hanging="624"/>
    </w:pPr>
    <w:rPr>
      <w:rFonts w:ascii="Palatino Linotype" w:eastAsia="Palatino Linotype" w:hAnsi="Palatino Linotype" w:cs="Palatino Linotype"/>
    </w:rPr>
  </w:style>
  <w:style w:type="paragraph" w:customStyle="1" w:styleId="RecommendationListBullet1">
    <w:name w:val="Recommendation List Bullet 1"/>
    <w:rsid w:val="006119E9"/>
    <w:pPr>
      <w:numPr>
        <w:numId w:val="4"/>
      </w:numPr>
      <w:tabs>
        <w:tab w:val="left" w:pos="1020"/>
      </w:tabs>
      <w:suppressAutoHyphens/>
      <w:spacing w:after="283" w:line="240" w:lineRule="auto"/>
      <w:ind w:hanging="397"/>
    </w:pPr>
    <w:rPr>
      <w:rFonts w:ascii="Palatino Linotype" w:eastAsia="Palatino Linotype" w:hAnsi="Palatino Linotype" w:cs="Palatino Linotype"/>
    </w:rPr>
  </w:style>
  <w:style w:type="numbering" w:customStyle="1" w:styleId="RecommendationListBullet1List">
    <w:name w:val="Recommendation List Bullet 1 List"/>
    <w:rsid w:val="006119E9"/>
    <w:pPr>
      <w:numPr>
        <w:numId w:val="3"/>
      </w:numPr>
    </w:pPr>
  </w:style>
  <w:style w:type="paragraph" w:styleId="BodyText">
    <w:name w:val="Body Text"/>
    <w:basedOn w:val="Normal"/>
    <w:link w:val="BodyTextChar"/>
    <w:uiPriority w:val="99"/>
    <w:unhideWhenUsed/>
    <w:rsid w:val="003F719C"/>
    <w:pPr>
      <w:tabs>
        <w:tab w:val="left" w:pos="624"/>
      </w:tabs>
      <w:suppressAutoHyphens/>
      <w:spacing w:before="113" w:after="113" w:line="240" w:lineRule="auto"/>
      <w:ind w:left="624" w:hanging="624"/>
    </w:pPr>
    <w:rPr>
      <w:rFonts w:ascii="Palatino Linotype" w:eastAsia="Palatino Linotype" w:hAnsi="Palatino Linotype" w:cs="Palatino Linotype"/>
    </w:rPr>
  </w:style>
  <w:style w:type="character" w:customStyle="1" w:styleId="BodyTextChar">
    <w:name w:val="Body Text Char"/>
    <w:basedOn w:val="DefaultParagraphFont"/>
    <w:link w:val="BodyText"/>
    <w:uiPriority w:val="99"/>
    <w:rsid w:val="003F719C"/>
    <w:rPr>
      <w:rFonts w:ascii="Palatino Linotype" w:eastAsia="Palatino Linotype" w:hAnsi="Palatino Linotype" w:cs="Palatino Linotype"/>
    </w:rPr>
  </w:style>
  <w:style w:type="paragraph" w:customStyle="1" w:styleId="Footnote">
    <w:name w:val="Footnote"/>
    <w:rsid w:val="003F719C"/>
    <w:pPr>
      <w:suppressAutoHyphens/>
      <w:spacing w:after="113" w:line="240" w:lineRule="auto"/>
      <w:ind w:left="397" w:hanging="397"/>
    </w:pPr>
    <w:rPr>
      <w:rFonts w:ascii="Palatino Linotype" w:eastAsia="Palatino Linotype" w:hAnsi="Palatino Linotype" w:cs="Palatino Linotype"/>
      <w:sz w:val="18"/>
    </w:rPr>
  </w:style>
  <w:style w:type="character" w:styleId="FootnoteReference">
    <w:name w:val="footnote reference"/>
    <w:basedOn w:val="DefaultParagraphFont"/>
    <w:rsid w:val="003F719C"/>
    <w:rPr>
      <w:vertAlign w:val="superscript"/>
    </w:rPr>
  </w:style>
  <w:style w:type="paragraph" w:styleId="Quote">
    <w:name w:val="Quote"/>
    <w:basedOn w:val="Normal"/>
    <w:next w:val="Normal"/>
    <w:link w:val="QuoteChar"/>
    <w:uiPriority w:val="29"/>
    <w:qFormat/>
    <w:rsid w:val="00AC1C3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C1C30"/>
    <w:rPr>
      <w:rFonts w:asciiTheme="majorHAnsi" w:eastAsiaTheme="majorEastAsia" w:hAnsiTheme="majorHAnsi" w:cstheme="majorBidi"/>
      <w:i/>
      <w:iCs/>
      <w:sz w:val="24"/>
      <w:szCs w:val="24"/>
    </w:rPr>
  </w:style>
  <w:style w:type="paragraph" w:customStyle="1" w:styleId="FigureTitle">
    <w:name w:val="Figure Title"/>
    <w:rsid w:val="006B68A6"/>
    <w:pPr>
      <w:keepNext/>
      <w:tabs>
        <w:tab w:val="left" w:pos="1247"/>
      </w:tabs>
      <w:suppressAutoHyphens/>
      <w:spacing w:before="227" w:after="227" w:line="240" w:lineRule="auto"/>
      <w:ind w:left="1247" w:hanging="1247"/>
    </w:pPr>
    <w:rPr>
      <w:rFonts w:ascii="Palatino Linotype" w:eastAsia="Palatino Linotype" w:hAnsi="Palatino Linotype" w:cs="Palatino Linotype"/>
      <w:b/>
    </w:rPr>
  </w:style>
  <w:style w:type="character" w:customStyle="1" w:styleId="Heading2Char">
    <w:name w:val="Heading 2 Char"/>
    <w:basedOn w:val="DefaultParagraphFont"/>
    <w:link w:val="Heading2"/>
    <w:uiPriority w:val="9"/>
    <w:rsid w:val="00AC1C3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C1C30"/>
    <w:rPr>
      <w:rFonts w:asciiTheme="majorHAnsi" w:eastAsiaTheme="majorEastAsia" w:hAnsiTheme="majorHAnsi" w:cstheme="majorBidi"/>
      <w:spacing w:val="4"/>
      <w:sz w:val="24"/>
      <w:szCs w:val="24"/>
    </w:rPr>
  </w:style>
  <w:style w:type="numbering" w:customStyle="1" w:styleId="Bullet1List1">
    <w:name w:val="Bullet 1 List1"/>
    <w:rsid w:val="006B68A6"/>
  </w:style>
  <w:style w:type="paragraph" w:customStyle="1" w:styleId="Figure">
    <w:name w:val="Figure"/>
    <w:rsid w:val="00426373"/>
    <w:pPr>
      <w:keepNext/>
      <w:suppressAutoHyphens/>
      <w:spacing w:after="0" w:line="240" w:lineRule="auto"/>
    </w:pPr>
    <w:rPr>
      <w:rFonts w:ascii="Palatino Linotype" w:eastAsia="Palatino Linotype" w:hAnsi="Palatino Linotype" w:cs="Palatino Linotype"/>
    </w:rPr>
  </w:style>
  <w:style w:type="paragraph" w:customStyle="1" w:styleId="QuoteBullet1">
    <w:name w:val="Quote Bullet 1"/>
    <w:rsid w:val="005F6A06"/>
    <w:pPr>
      <w:numPr>
        <w:numId w:val="6"/>
      </w:numPr>
      <w:tabs>
        <w:tab w:val="left" w:pos="1304"/>
      </w:tabs>
      <w:suppressAutoHyphens/>
      <w:spacing w:after="113" w:line="240" w:lineRule="auto"/>
      <w:ind w:hanging="397"/>
    </w:pPr>
    <w:rPr>
      <w:rFonts w:ascii="Palatino Linotype" w:eastAsia="Palatino Linotype" w:hAnsi="Palatino Linotype" w:cs="Palatino Linotype"/>
      <w:sz w:val="20"/>
    </w:rPr>
  </w:style>
  <w:style w:type="numbering" w:customStyle="1" w:styleId="QuoteBullet1List">
    <w:name w:val="Quote Bullet 1 List"/>
    <w:rsid w:val="005F6A06"/>
    <w:pPr>
      <w:numPr>
        <w:numId w:val="5"/>
      </w:numPr>
    </w:pPr>
  </w:style>
  <w:style w:type="paragraph" w:customStyle="1" w:styleId="Bullet2">
    <w:name w:val="Bullet 2"/>
    <w:rsid w:val="00B07C68"/>
    <w:pPr>
      <w:numPr>
        <w:numId w:val="8"/>
      </w:numPr>
      <w:tabs>
        <w:tab w:val="left" w:pos="1247"/>
      </w:tabs>
      <w:suppressAutoHyphens/>
      <w:spacing w:after="0" w:line="240" w:lineRule="auto"/>
      <w:ind w:hanging="227"/>
    </w:pPr>
    <w:rPr>
      <w:rFonts w:ascii="Palatino Linotype" w:eastAsia="Palatino Linotype" w:hAnsi="Palatino Linotype" w:cs="Palatino Linotype"/>
    </w:rPr>
  </w:style>
  <w:style w:type="numbering" w:customStyle="1" w:styleId="Bullet2List">
    <w:name w:val="Bullet 2 List"/>
    <w:rsid w:val="00B07C68"/>
    <w:pPr>
      <w:numPr>
        <w:numId w:val="7"/>
      </w:numPr>
    </w:pPr>
  </w:style>
  <w:style w:type="numbering" w:customStyle="1" w:styleId="FootnoteBullet2List">
    <w:name w:val="Footnote Bullet 2 List"/>
    <w:rsid w:val="0081389C"/>
    <w:pPr>
      <w:numPr>
        <w:numId w:val="9"/>
      </w:numPr>
    </w:pPr>
  </w:style>
  <w:style w:type="character" w:customStyle="1" w:styleId="Heading1Char">
    <w:name w:val="Heading 1 Char"/>
    <w:basedOn w:val="DefaultParagraphFont"/>
    <w:link w:val="Heading1"/>
    <w:uiPriority w:val="9"/>
    <w:rsid w:val="00AC1C30"/>
    <w:rPr>
      <w:rFonts w:asciiTheme="majorHAnsi" w:eastAsiaTheme="majorEastAsia" w:hAnsiTheme="majorHAnsi" w:cstheme="majorBidi"/>
      <w:b/>
      <w:bCs/>
      <w:caps/>
      <w:spacing w:val="4"/>
      <w:sz w:val="28"/>
      <w:szCs w:val="28"/>
    </w:rPr>
  </w:style>
  <w:style w:type="paragraph" w:customStyle="1" w:styleId="NumberList3">
    <w:name w:val="Number List 3"/>
    <w:rsid w:val="00DE0FBE"/>
    <w:pPr>
      <w:tabs>
        <w:tab w:val="left" w:pos="1814"/>
      </w:tabs>
      <w:suppressAutoHyphens/>
      <w:spacing w:after="113" w:line="240" w:lineRule="auto"/>
      <w:ind w:left="1814" w:hanging="397"/>
    </w:pPr>
    <w:rPr>
      <w:rFonts w:ascii="Palatino Linotype" w:eastAsia="Palatino Linotype" w:hAnsi="Palatino Linotype" w:cs="Palatino Linotype"/>
    </w:rPr>
  </w:style>
  <w:style w:type="paragraph" w:customStyle="1" w:styleId="NumberList1">
    <w:name w:val="Number List 1"/>
    <w:rsid w:val="00477896"/>
    <w:pPr>
      <w:tabs>
        <w:tab w:val="left" w:pos="1020"/>
      </w:tabs>
      <w:suppressAutoHyphens/>
      <w:spacing w:after="113" w:line="240" w:lineRule="auto"/>
      <w:ind w:left="1020" w:hanging="397"/>
    </w:pPr>
    <w:rPr>
      <w:rFonts w:ascii="Palatino Linotype" w:eastAsia="Palatino Linotype" w:hAnsi="Palatino Linotype" w:cs="Palatino Linotype"/>
    </w:rPr>
  </w:style>
  <w:style w:type="character" w:styleId="Hyperlink">
    <w:name w:val="Hyperlink"/>
    <w:basedOn w:val="DefaultParagraphFont"/>
    <w:rsid w:val="00477896"/>
    <w:rPr>
      <w:color w:val="0000FF"/>
      <w:u w:val="single"/>
    </w:rPr>
  </w:style>
  <w:style w:type="character" w:customStyle="1" w:styleId="Heading4Char">
    <w:name w:val="Heading 4 Char"/>
    <w:basedOn w:val="DefaultParagraphFont"/>
    <w:link w:val="Heading4"/>
    <w:uiPriority w:val="9"/>
    <w:semiHidden/>
    <w:rsid w:val="00AC1C3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C1C3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C1C3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C1C30"/>
    <w:rPr>
      <w:i/>
      <w:iCs/>
    </w:rPr>
  </w:style>
  <w:style w:type="character" w:customStyle="1" w:styleId="Heading8Char">
    <w:name w:val="Heading 8 Char"/>
    <w:basedOn w:val="DefaultParagraphFont"/>
    <w:link w:val="Heading8"/>
    <w:uiPriority w:val="9"/>
    <w:semiHidden/>
    <w:rsid w:val="00AC1C30"/>
    <w:rPr>
      <w:b/>
      <w:bCs/>
    </w:rPr>
  </w:style>
  <w:style w:type="character" w:customStyle="1" w:styleId="Heading9Char">
    <w:name w:val="Heading 9 Char"/>
    <w:basedOn w:val="DefaultParagraphFont"/>
    <w:link w:val="Heading9"/>
    <w:uiPriority w:val="9"/>
    <w:semiHidden/>
    <w:rsid w:val="00AC1C30"/>
    <w:rPr>
      <w:i/>
      <w:iCs/>
    </w:rPr>
  </w:style>
  <w:style w:type="paragraph" w:styleId="Caption">
    <w:name w:val="caption"/>
    <w:basedOn w:val="Normal"/>
    <w:next w:val="Normal"/>
    <w:uiPriority w:val="35"/>
    <w:semiHidden/>
    <w:unhideWhenUsed/>
    <w:qFormat/>
    <w:rsid w:val="00AC1C30"/>
    <w:rPr>
      <w:b/>
      <w:bCs/>
      <w:sz w:val="18"/>
      <w:szCs w:val="18"/>
    </w:rPr>
  </w:style>
  <w:style w:type="paragraph" w:styleId="Title">
    <w:name w:val="Title"/>
    <w:basedOn w:val="Normal"/>
    <w:next w:val="Normal"/>
    <w:link w:val="TitleChar"/>
    <w:uiPriority w:val="10"/>
    <w:qFormat/>
    <w:rsid w:val="00AC1C3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C1C30"/>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C1C3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C1C30"/>
    <w:rPr>
      <w:rFonts w:asciiTheme="majorHAnsi" w:eastAsiaTheme="majorEastAsia" w:hAnsiTheme="majorHAnsi" w:cstheme="majorBidi"/>
      <w:sz w:val="24"/>
      <w:szCs w:val="24"/>
    </w:rPr>
  </w:style>
  <w:style w:type="character" w:styleId="Strong">
    <w:name w:val="Strong"/>
    <w:basedOn w:val="DefaultParagraphFont"/>
    <w:uiPriority w:val="22"/>
    <w:qFormat/>
    <w:rsid w:val="00AC1C30"/>
    <w:rPr>
      <w:b/>
      <w:bCs/>
      <w:color w:val="auto"/>
    </w:rPr>
  </w:style>
  <w:style w:type="character" w:styleId="Emphasis">
    <w:name w:val="Emphasis"/>
    <w:basedOn w:val="DefaultParagraphFont"/>
    <w:uiPriority w:val="20"/>
    <w:qFormat/>
    <w:rsid w:val="00AC1C30"/>
    <w:rPr>
      <w:i/>
      <w:iCs/>
      <w:color w:val="auto"/>
    </w:rPr>
  </w:style>
  <w:style w:type="paragraph" w:styleId="NoSpacing">
    <w:name w:val="No Spacing"/>
    <w:uiPriority w:val="1"/>
    <w:qFormat/>
    <w:rsid w:val="00AC1C30"/>
    <w:pPr>
      <w:spacing w:after="0" w:line="240" w:lineRule="auto"/>
    </w:pPr>
  </w:style>
  <w:style w:type="paragraph" w:styleId="IntenseQuote">
    <w:name w:val="Intense Quote"/>
    <w:basedOn w:val="Normal"/>
    <w:next w:val="Normal"/>
    <w:link w:val="IntenseQuoteChar"/>
    <w:uiPriority w:val="30"/>
    <w:qFormat/>
    <w:rsid w:val="00AC1C3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C1C3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C1C30"/>
    <w:rPr>
      <w:i/>
      <w:iCs/>
      <w:color w:val="auto"/>
    </w:rPr>
  </w:style>
  <w:style w:type="character" w:styleId="IntenseEmphasis">
    <w:name w:val="Intense Emphasis"/>
    <w:basedOn w:val="DefaultParagraphFont"/>
    <w:uiPriority w:val="21"/>
    <w:qFormat/>
    <w:rsid w:val="00AC1C30"/>
    <w:rPr>
      <w:b/>
      <w:bCs/>
      <w:i/>
      <w:iCs/>
      <w:color w:val="auto"/>
    </w:rPr>
  </w:style>
  <w:style w:type="character" w:styleId="SubtleReference">
    <w:name w:val="Subtle Reference"/>
    <w:basedOn w:val="DefaultParagraphFont"/>
    <w:uiPriority w:val="31"/>
    <w:qFormat/>
    <w:rsid w:val="00AC1C30"/>
    <w:rPr>
      <w:smallCaps/>
      <w:color w:val="auto"/>
      <w:u w:val="single" w:color="7F7F7F" w:themeColor="text1" w:themeTint="80"/>
    </w:rPr>
  </w:style>
  <w:style w:type="character" w:styleId="IntenseReference">
    <w:name w:val="Intense Reference"/>
    <w:basedOn w:val="DefaultParagraphFont"/>
    <w:uiPriority w:val="32"/>
    <w:qFormat/>
    <w:rsid w:val="00AC1C30"/>
    <w:rPr>
      <w:b/>
      <w:bCs/>
      <w:smallCaps/>
      <w:color w:val="auto"/>
      <w:u w:val="single"/>
    </w:rPr>
  </w:style>
  <w:style w:type="character" w:styleId="BookTitle">
    <w:name w:val="Book Title"/>
    <w:basedOn w:val="DefaultParagraphFont"/>
    <w:uiPriority w:val="33"/>
    <w:qFormat/>
    <w:rsid w:val="00AC1C30"/>
    <w:rPr>
      <w:b/>
      <w:bCs/>
      <w:smallCaps/>
      <w:color w:val="auto"/>
    </w:rPr>
  </w:style>
  <w:style w:type="paragraph" w:styleId="TOCHeading">
    <w:name w:val="TOC Heading"/>
    <w:basedOn w:val="Heading1"/>
    <w:next w:val="Normal"/>
    <w:uiPriority w:val="39"/>
    <w:semiHidden/>
    <w:unhideWhenUsed/>
    <w:qFormat/>
    <w:rsid w:val="00AC1C30"/>
    <w:pPr>
      <w:outlineLvl w:val="9"/>
    </w:pPr>
  </w:style>
  <w:style w:type="paragraph" w:styleId="BalloonText">
    <w:name w:val="Balloon Text"/>
    <w:basedOn w:val="Normal"/>
    <w:link w:val="BalloonTextChar"/>
    <w:uiPriority w:val="99"/>
    <w:semiHidden/>
    <w:unhideWhenUsed/>
    <w:rsid w:val="001F4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97"/>
    <w:rPr>
      <w:rFonts w:ascii="Segoe UI" w:hAnsi="Segoe UI" w:cs="Segoe UI"/>
      <w:sz w:val="18"/>
      <w:szCs w:val="18"/>
    </w:rPr>
  </w:style>
  <w:style w:type="character" w:styleId="CommentReference">
    <w:name w:val="annotation reference"/>
    <w:basedOn w:val="DefaultParagraphFont"/>
    <w:uiPriority w:val="99"/>
    <w:semiHidden/>
    <w:unhideWhenUsed/>
    <w:rsid w:val="00FA34A3"/>
    <w:rPr>
      <w:sz w:val="16"/>
      <w:szCs w:val="16"/>
    </w:rPr>
  </w:style>
  <w:style w:type="paragraph" w:styleId="CommentText">
    <w:name w:val="annotation text"/>
    <w:basedOn w:val="Normal"/>
    <w:link w:val="CommentTextChar"/>
    <w:uiPriority w:val="99"/>
    <w:semiHidden/>
    <w:unhideWhenUsed/>
    <w:rsid w:val="00FA34A3"/>
    <w:pPr>
      <w:spacing w:line="240" w:lineRule="auto"/>
    </w:pPr>
    <w:rPr>
      <w:sz w:val="20"/>
      <w:szCs w:val="20"/>
    </w:rPr>
  </w:style>
  <w:style w:type="character" w:customStyle="1" w:styleId="CommentTextChar">
    <w:name w:val="Comment Text Char"/>
    <w:basedOn w:val="DefaultParagraphFont"/>
    <w:link w:val="CommentText"/>
    <w:uiPriority w:val="99"/>
    <w:semiHidden/>
    <w:rsid w:val="00FA34A3"/>
    <w:rPr>
      <w:sz w:val="20"/>
      <w:szCs w:val="20"/>
    </w:rPr>
  </w:style>
  <w:style w:type="paragraph" w:styleId="CommentSubject">
    <w:name w:val="annotation subject"/>
    <w:basedOn w:val="CommentText"/>
    <w:next w:val="CommentText"/>
    <w:link w:val="CommentSubjectChar"/>
    <w:uiPriority w:val="99"/>
    <w:semiHidden/>
    <w:unhideWhenUsed/>
    <w:rsid w:val="00FA34A3"/>
    <w:rPr>
      <w:b/>
      <w:bCs/>
    </w:rPr>
  </w:style>
  <w:style w:type="character" w:customStyle="1" w:styleId="CommentSubjectChar">
    <w:name w:val="Comment Subject Char"/>
    <w:basedOn w:val="CommentTextChar"/>
    <w:link w:val="CommentSubject"/>
    <w:uiPriority w:val="99"/>
    <w:semiHidden/>
    <w:rsid w:val="00FA34A3"/>
    <w:rPr>
      <w:b/>
      <w:bCs/>
      <w:sz w:val="20"/>
      <w:szCs w:val="20"/>
    </w:rPr>
  </w:style>
  <w:style w:type="paragraph" w:styleId="EndnoteText">
    <w:name w:val="endnote text"/>
    <w:basedOn w:val="Normal"/>
    <w:link w:val="EndnoteTextChar"/>
    <w:uiPriority w:val="99"/>
    <w:semiHidden/>
    <w:unhideWhenUsed/>
    <w:rsid w:val="00DA4C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C23"/>
    <w:rPr>
      <w:sz w:val="20"/>
      <w:szCs w:val="20"/>
    </w:rPr>
  </w:style>
  <w:style w:type="character" w:styleId="EndnoteReference">
    <w:name w:val="endnote reference"/>
    <w:basedOn w:val="DefaultParagraphFont"/>
    <w:uiPriority w:val="99"/>
    <w:semiHidden/>
    <w:unhideWhenUsed/>
    <w:rsid w:val="00DA4C23"/>
    <w:rPr>
      <w:vertAlign w:val="superscript"/>
    </w:rPr>
  </w:style>
  <w:style w:type="paragraph" w:styleId="FootnoteText">
    <w:name w:val="footnote text"/>
    <w:basedOn w:val="Normal"/>
    <w:link w:val="FootnoteTextChar"/>
    <w:uiPriority w:val="99"/>
    <w:semiHidden/>
    <w:unhideWhenUsed/>
    <w:rsid w:val="00DA4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C23"/>
    <w:rPr>
      <w:sz w:val="20"/>
      <w:szCs w:val="20"/>
    </w:rPr>
  </w:style>
  <w:style w:type="paragraph" w:styleId="ListParagraph">
    <w:name w:val="List Paragraph"/>
    <w:basedOn w:val="Normal"/>
    <w:uiPriority w:val="34"/>
    <w:qFormat/>
    <w:rsid w:val="001472B7"/>
    <w:pPr>
      <w:spacing w:after="0" w:line="240" w:lineRule="auto"/>
      <w:ind w:left="720"/>
      <w:jc w:val="left"/>
    </w:pPr>
    <w:rPr>
      <w:rFonts w:ascii="Calibri" w:hAnsi="Calibri" w:cs="Times New Roman"/>
    </w:rPr>
  </w:style>
  <w:style w:type="paragraph" w:styleId="Header">
    <w:name w:val="header"/>
    <w:basedOn w:val="Normal"/>
    <w:link w:val="HeaderChar"/>
    <w:uiPriority w:val="99"/>
    <w:unhideWhenUsed/>
    <w:rsid w:val="00810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3B9"/>
  </w:style>
  <w:style w:type="paragraph" w:styleId="Footer">
    <w:name w:val="footer"/>
    <w:basedOn w:val="Normal"/>
    <w:link w:val="FooterChar"/>
    <w:uiPriority w:val="99"/>
    <w:unhideWhenUsed/>
    <w:rsid w:val="00810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1046">
      <w:bodyDiv w:val="1"/>
      <w:marLeft w:val="0"/>
      <w:marRight w:val="0"/>
      <w:marTop w:val="0"/>
      <w:marBottom w:val="0"/>
      <w:divBdr>
        <w:top w:val="none" w:sz="0" w:space="0" w:color="auto"/>
        <w:left w:val="none" w:sz="0" w:space="0" w:color="auto"/>
        <w:bottom w:val="none" w:sz="0" w:space="0" w:color="auto"/>
        <w:right w:val="none" w:sz="0" w:space="0" w:color="auto"/>
      </w:divBdr>
    </w:div>
    <w:div w:id="156850077">
      <w:bodyDiv w:val="1"/>
      <w:marLeft w:val="0"/>
      <w:marRight w:val="0"/>
      <w:marTop w:val="0"/>
      <w:marBottom w:val="0"/>
      <w:divBdr>
        <w:top w:val="none" w:sz="0" w:space="0" w:color="auto"/>
        <w:left w:val="none" w:sz="0" w:space="0" w:color="auto"/>
        <w:bottom w:val="none" w:sz="0" w:space="0" w:color="auto"/>
        <w:right w:val="none" w:sz="0" w:space="0" w:color="auto"/>
      </w:divBdr>
    </w:div>
    <w:div w:id="188763085">
      <w:bodyDiv w:val="1"/>
      <w:marLeft w:val="0"/>
      <w:marRight w:val="0"/>
      <w:marTop w:val="0"/>
      <w:marBottom w:val="0"/>
      <w:divBdr>
        <w:top w:val="none" w:sz="0" w:space="0" w:color="auto"/>
        <w:left w:val="none" w:sz="0" w:space="0" w:color="auto"/>
        <w:bottom w:val="none" w:sz="0" w:space="0" w:color="auto"/>
        <w:right w:val="none" w:sz="0" w:space="0" w:color="auto"/>
      </w:divBdr>
    </w:div>
    <w:div w:id="403840974">
      <w:bodyDiv w:val="1"/>
      <w:marLeft w:val="0"/>
      <w:marRight w:val="0"/>
      <w:marTop w:val="0"/>
      <w:marBottom w:val="0"/>
      <w:divBdr>
        <w:top w:val="none" w:sz="0" w:space="0" w:color="auto"/>
        <w:left w:val="none" w:sz="0" w:space="0" w:color="auto"/>
        <w:bottom w:val="none" w:sz="0" w:space="0" w:color="auto"/>
        <w:right w:val="none" w:sz="0" w:space="0" w:color="auto"/>
      </w:divBdr>
    </w:div>
    <w:div w:id="460196258">
      <w:bodyDiv w:val="1"/>
      <w:marLeft w:val="0"/>
      <w:marRight w:val="0"/>
      <w:marTop w:val="0"/>
      <w:marBottom w:val="0"/>
      <w:divBdr>
        <w:top w:val="none" w:sz="0" w:space="0" w:color="auto"/>
        <w:left w:val="none" w:sz="0" w:space="0" w:color="auto"/>
        <w:bottom w:val="none" w:sz="0" w:space="0" w:color="auto"/>
        <w:right w:val="none" w:sz="0" w:space="0" w:color="auto"/>
      </w:divBdr>
    </w:div>
    <w:div w:id="485436135">
      <w:bodyDiv w:val="1"/>
      <w:marLeft w:val="0"/>
      <w:marRight w:val="0"/>
      <w:marTop w:val="0"/>
      <w:marBottom w:val="0"/>
      <w:divBdr>
        <w:top w:val="none" w:sz="0" w:space="0" w:color="auto"/>
        <w:left w:val="none" w:sz="0" w:space="0" w:color="auto"/>
        <w:bottom w:val="none" w:sz="0" w:space="0" w:color="auto"/>
        <w:right w:val="none" w:sz="0" w:space="0" w:color="auto"/>
      </w:divBdr>
    </w:div>
    <w:div w:id="517476020">
      <w:bodyDiv w:val="1"/>
      <w:marLeft w:val="0"/>
      <w:marRight w:val="0"/>
      <w:marTop w:val="0"/>
      <w:marBottom w:val="0"/>
      <w:divBdr>
        <w:top w:val="none" w:sz="0" w:space="0" w:color="auto"/>
        <w:left w:val="none" w:sz="0" w:space="0" w:color="auto"/>
        <w:bottom w:val="none" w:sz="0" w:space="0" w:color="auto"/>
        <w:right w:val="none" w:sz="0" w:space="0" w:color="auto"/>
      </w:divBdr>
    </w:div>
    <w:div w:id="654115397">
      <w:bodyDiv w:val="1"/>
      <w:marLeft w:val="0"/>
      <w:marRight w:val="0"/>
      <w:marTop w:val="0"/>
      <w:marBottom w:val="0"/>
      <w:divBdr>
        <w:top w:val="none" w:sz="0" w:space="0" w:color="auto"/>
        <w:left w:val="none" w:sz="0" w:space="0" w:color="auto"/>
        <w:bottom w:val="none" w:sz="0" w:space="0" w:color="auto"/>
        <w:right w:val="none" w:sz="0" w:space="0" w:color="auto"/>
      </w:divBdr>
    </w:div>
    <w:div w:id="859470954">
      <w:bodyDiv w:val="1"/>
      <w:marLeft w:val="0"/>
      <w:marRight w:val="0"/>
      <w:marTop w:val="0"/>
      <w:marBottom w:val="0"/>
      <w:divBdr>
        <w:top w:val="none" w:sz="0" w:space="0" w:color="auto"/>
        <w:left w:val="none" w:sz="0" w:space="0" w:color="auto"/>
        <w:bottom w:val="none" w:sz="0" w:space="0" w:color="auto"/>
        <w:right w:val="none" w:sz="0" w:space="0" w:color="auto"/>
      </w:divBdr>
    </w:div>
    <w:div w:id="951791314">
      <w:bodyDiv w:val="1"/>
      <w:marLeft w:val="0"/>
      <w:marRight w:val="0"/>
      <w:marTop w:val="0"/>
      <w:marBottom w:val="0"/>
      <w:divBdr>
        <w:top w:val="none" w:sz="0" w:space="0" w:color="auto"/>
        <w:left w:val="none" w:sz="0" w:space="0" w:color="auto"/>
        <w:bottom w:val="none" w:sz="0" w:space="0" w:color="auto"/>
        <w:right w:val="none" w:sz="0" w:space="0" w:color="auto"/>
      </w:divBdr>
    </w:div>
    <w:div w:id="1050955232">
      <w:bodyDiv w:val="1"/>
      <w:marLeft w:val="0"/>
      <w:marRight w:val="0"/>
      <w:marTop w:val="0"/>
      <w:marBottom w:val="0"/>
      <w:divBdr>
        <w:top w:val="none" w:sz="0" w:space="0" w:color="auto"/>
        <w:left w:val="none" w:sz="0" w:space="0" w:color="auto"/>
        <w:bottom w:val="none" w:sz="0" w:space="0" w:color="auto"/>
        <w:right w:val="none" w:sz="0" w:space="0" w:color="auto"/>
      </w:divBdr>
    </w:div>
    <w:div w:id="1067923146">
      <w:bodyDiv w:val="1"/>
      <w:marLeft w:val="0"/>
      <w:marRight w:val="0"/>
      <w:marTop w:val="0"/>
      <w:marBottom w:val="0"/>
      <w:divBdr>
        <w:top w:val="none" w:sz="0" w:space="0" w:color="auto"/>
        <w:left w:val="none" w:sz="0" w:space="0" w:color="auto"/>
        <w:bottom w:val="none" w:sz="0" w:space="0" w:color="auto"/>
        <w:right w:val="none" w:sz="0" w:space="0" w:color="auto"/>
      </w:divBdr>
    </w:div>
    <w:div w:id="1421297145">
      <w:bodyDiv w:val="1"/>
      <w:marLeft w:val="0"/>
      <w:marRight w:val="0"/>
      <w:marTop w:val="0"/>
      <w:marBottom w:val="0"/>
      <w:divBdr>
        <w:top w:val="none" w:sz="0" w:space="0" w:color="auto"/>
        <w:left w:val="none" w:sz="0" w:space="0" w:color="auto"/>
        <w:bottom w:val="none" w:sz="0" w:space="0" w:color="auto"/>
        <w:right w:val="none" w:sz="0" w:space="0" w:color="auto"/>
      </w:divBdr>
    </w:div>
    <w:div w:id="1427732439">
      <w:bodyDiv w:val="1"/>
      <w:marLeft w:val="0"/>
      <w:marRight w:val="0"/>
      <w:marTop w:val="0"/>
      <w:marBottom w:val="0"/>
      <w:divBdr>
        <w:top w:val="none" w:sz="0" w:space="0" w:color="auto"/>
        <w:left w:val="none" w:sz="0" w:space="0" w:color="auto"/>
        <w:bottom w:val="none" w:sz="0" w:space="0" w:color="auto"/>
        <w:right w:val="none" w:sz="0" w:space="0" w:color="auto"/>
      </w:divBdr>
    </w:div>
    <w:div w:id="1442139787">
      <w:bodyDiv w:val="1"/>
      <w:marLeft w:val="0"/>
      <w:marRight w:val="0"/>
      <w:marTop w:val="0"/>
      <w:marBottom w:val="0"/>
      <w:divBdr>
        <w:top w:val="none" w:sz="0" w:space="0" w:color="auto"/>
        <w:left w:val="none" w:sz="0" w:space="0" w:color="auto"/>
        <w:bottom w:val="none" w:sz="0" w:space="0" w:color="auto"/>
        <w:right w:val="none" w:sz="0" w:space="0" w:color="auto"/>
      </w:divBdr>
    </w:div>
    <w:div w:id="1560825333">
      <w:bodyDiv w:val="1"/>
      <w:marLeft w:val="0"/>
      <w:marRight w:val="0"/>
      <w:marTop w:val="0"/>
      <w:marBottom w:val="0"/>
      <w:divBdr>
        <w:top w:val="none" w:sz="0" w:space="0" w:color="auto"/>
        <w:left w:val="none" w:sz="0" w:space="0" w:color="auto"/>
        <w:bottom w:val="none" w:sz="0" w:space="0" w:color="auto"/>
        <w:right w:val="none" w:sz="0" w:space="0" w:color="auto"/>
      </w:divBdr>
    </w:div>
    <w:div w:id="1818842898">
      <w:bodyDiv w:val="1"/>
      <w:marLeft w:val="0"/>
      <w:marRight w:val="0"/>
      <w:marTop w:val="0"/>
      <w:marBottom w:val="0"/>
      <w:divBdr>
        <w:top w:val="none" w:sz="0" w:space="0" w:color="auto"/>
        <w:left w:val="none" w:sz="0" w:space="0" w:color="auto"/>
        <w:bottom w:val="none" w:sz="0" w:space="0" w:color="auto"/>
        <w:right w:val="none" w:sz="0" w:space="0" w:color="auto"/>
      </w:divBdr>
    </w:div>
    <w:div w:id="19480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ta.gov.au"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taportal.dfat.gov.au"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gov.au"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file:///C:/Users/slwhite/AppData/Local/Microsoft/Windows/INetCache/Content.Outlook/7C8SOD6K/www.business.gov.au" TargetMode="External"/><Relationship Id="rId23" Type="http://schemas.openxmlformats.org/officeDocument/2006/relationships/theme" Target="theme/theme1.xml"/><Relationship Id="rId10" Type="http://schemas.openxmlformats.org/officeDocument/2006/relationships/hyperlink" Target="http://www.business.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radebarriers.dfat.gov.au" TargetMode="External"/><Relationship Id="rId14" Type="http://schemas.openxmlformats.org/officeDocument/2006/relationships/hyperlink" Target="http://www.austrade.gov.au/f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B5E139-1A29-442E-8981-1DB46E835340}"/>
</file>

<file path=customXml/itemProps2.xml><?xml version="1.0" encoding="utf-8"?>
<ds:datastoreItem xmlns:ds="http://schemas.openxmlformats.org/officeDocument/2006/customXml" ds:itemID="{76D60354-2FD0-45BF-B269-F441381C578A}"/>
</file>

<file path=customXml/itemProps3.xml><?xml version="1.0" encoding="utf-8"?>
<ds:datastoreItem xmlns:ds="http://schemas.openxmlformats.org/officeDocument/2006/customXml" ds:itemID="{F5766FF3-EF23-4686-80BF-6141C2CD8DD3}"/>
</file>

<file path=customXml/itemProps4.xml><?xml version="1.0" encoding="utf-8"?>
<ds:datastoreItem xmlns:ds="http://schemas.openxmlformats.org/officeDocument/2006/customXml" ds:itemID="{91E01291-0C10-4ACC-88E9-84BF7634A148}"/>
</file>

<file path=docProps/app.xml><?xml version="1.0" encoding="utf-8"?>
<Properties xmlns="http://schemas.openxmlformats.org/officeDocument/2006/extended-properties" xmlns:vt="http://schemas.openxmlformats.org/officeDocument/2006/docPropsVTypes">
  <Template>Normal.dotm</Template>
  <TotalTime>0</TotalTime>
  <Pages>18</Pages>
  <Words>7002</Words>
  <Characters>39914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Joint Standing Committee on Foreign Affairs, Defence and Trade, Trade Sub-Committee report: From little things big things grow: Supporting Australian SMEs go global</dc:title>
  <dc:subject/>
  <dc:creator/>
  <cp:keywords/>
  <dc:description/>
  <cp:lastModifiedBy/>
  <cp:revision>1</cp:revision>
  <dcterms:created xsi:type="dcterms:W3CDTF">2019-12-09T04:49:00Z</dcterms:created>
  <dcterms:modified xsi:type="dcterms:W3CDTF">2019-12-09T04:49:00Z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acca61d2-dec4-4997-8337-8b81972942c8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1281200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