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84D0" w14:textId="4A77E249" w:rsidR="00823DFD" w:rsidRPr="00823DFD" w:rsidRDefault="00823DFD" w:rsidP="00823DFD">
      <w:pPr>
        <w:pStyle w:val="Heading1"/>
      </w:pPr>
      <w:r w:rsidRPr="00823DFD">
        <w:t>Guidelines for Mutual Recognition Agreements or Arrangements</w:t>
      </w:r>
      <w:r>
        <w:br/>
      </w:r>
      <w:r w:rsidRPr="00823DFD">
        <w:t>for Professional Services</w:t>
      </w:r>
    </w:p>
    <w:p w14:paraId="30B14D06" w14:textId="77777777" w:rsidR="001E6ADF" w:rsidRPr="007367F2" w:rsidRDefault="001E6ADF" w:rsidP="001E56C5">
      <w:pPr>
        <w:spacing w:after="0" w:line="276" w:lineRule="auto"/>
        <w:jc w:val="center"/>
        <w:rPr>
          <w:rFonts w:ascii="Calibri" w:hAnsi="Calibri" w:cs="Calibri"/>
          <w:sz w:val="24"/>
          <w:szCs w:val="24"/>
        </w:rPr>
      </w:pPr>
    </w:p>
    <w:p w14:paraId="1CE4A2D8" w14:textId="77777777" w:rsidR="001E6ADF" w:rsidRPr="00823DFD" w:rsidRDefault="001E6ADF" w:rsidP="00823DFD">
      <w:pPr>
        <w:pStyle w:val="Heading2"/>
      </w:pPr>
      <w:r w:rsidRPr="00823DFD">
        <w:t>Introductory Notes</w:t>
      </w:r>
    </w:p>
    <w:p w14:paraId="0A47ECC6" w14:textId="77777777" w:rsidR="001E6ADF" w:rsidRPr="007367F2" w:rsidRDefault="001E6ADF" w:rsidP="008B10C1">
      <w:pPr>
        <w:spacing w:after="0" w:line="276" w:lineRule="auto"/>
        <w:rPr>
          <w:rFonts w:ascii="Calibri" w:hAnsi="Calibri" w:cs="Calibri"/>
          <w:sz w:val="24"/>
          <w:szCs w:val="24"/>
        </w:rPr>
      </w:pPr>
    </w:p>
    <w:p w14:paraId="0453132B" w14:textId="77777777" w:rsidR="001E6ADF" w:rsidRPr="00311B71" w:rsidRDefault="001E6ADF" w:rsidP="008B10C1">
      <w:pPr>
        <w:shd w:val="clear" w:color="auto" w:fill="FFFFFF"/>
        <w:spacing w:after="0" w:line="276" w:lineRule="auto"/>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These Guidelines, adopted pursuant to Article 27.3.1 and Annex 10-A (Professional Services) of the Comprehensive and Progressive Agreement for Trans-Pacific Partnership (‘CPTPP’), provide practical </w:t>
      </w:r>
      <w:r w:rsidRPr="00311B71">
        <w:rPr>
          <w:rFonts w:ascii="Calibri" w:eastAsia="Times New Roman" w:hAnsi="Calibri" w:cs="Calibri"/>
          <w:sz w:val="24"/>
          <w:szCs w:val="24"/>
          <w:lang w:eastAsia="zh-CN"/>
        </w:rPr>
        <w:t xml:space="preserve">guidance for governments, relevant bodies or authorities, or other entities </w:t>
      </w:r>
      <w:proofErr w:type="gramStart"/>
      <w:r w:rsidRPr="00311B71">
        <w:rPr>
          <w:rFonts w:ascii="Calibri" w:eastAsia="Times New Roman" w:hAnsi="Calibri" w:cs="Calibri"/>
          <w:sz w:val="24"/>
          <w:szCs w:val="24"/>
          <w:lang w:eastAsia="zh-CN"/>
        </w:rPr>
        <w:t>entering into</w:t>
      </w:r>
      <w:proofErr w:type="gramEnd"/>
      <w:r w:rsidRPr="00311B71">
        <w:rPr>
          <w:rFonts w:ascii="Calibri" w:eastAsia="Times New Roman" w:hAnsi="Calibri" w:cs="Calibri"/>
          <w:sz w:val="24"/>
          <w:szCs w:val="24"/>
          <w:lang w:eastAsia="zh-CN"/>
        </w:rPr>
        <w:t xml:space="preserve"> mutual recognition negotiations for regulated professional services. These guidelines are non-binding and are intended to be used by the Parties on a voluntary basis. They do not modify or affect the rights and obligations of the Parties under the CPTPP.</w:t>
      </w:r>
    </w:p>
    <w:p w14:paraId="021304AF" w14:textId="77777777" w:rsidR="001E6ADF" w:rsidRPr="00311B71" w:rsidRDefault="001E6ADF" w:rsidP="008B10C1">
      <w:pPr>
        <w:shd w:val="clear" w:color="auto" w:fill="FFFFFF"/>
        <w:spacing w:after="0" w:line="276" w:lineRule="auto"/>
        <w:rPr>
          <w:rFonts w:ascii="Calibri" w:eastAsia="Times New Roman" w:hAnsi="Calibri" w:cs="Calibri"/>
          <w:sz w:val="24"/>
          <w:szCs w:val="24"/>
          <w:lang w:eastAsia="zh-CN"/>
        </w:rPr>
      </w:pPr>
    </w:p>
    <w:p w14:paraId="2EA7598F" w14:textId="0FBEB51C" w:rsidR="001E6ADF" w:rsidRPr="00311B71" w:rsidRDefault="001E6ADF" w:rsidP="008B10C1">
      <w:pPr>
        <w:shd w:val="clear" w:color="auto" w:fill="FFFFFF"/>
        <w:spacing w:after="0" w:line="276" w:lineRule="auto"/>
        <w:rPr>
          <w:rFonts w:ascii="Calibri" w:eastAsia="Times New Roman" w:hAnsi="Calibri" w:cs="Calibri"/>
          <w:sz w:val="24"/>
          <w:szCs w:val="24"/>
          <w:lang w:eastAsia="zh-CN"/>
        </w:rPr>
      </w:pPr>
      <w:r w:rsidRPr="00311B71">
        <w:rPr>
          <w:rFonts w:ascii="Calibri" w:eastAsia="Times New Roman" w:hAnsi="Calibri" w:cs="Calibri"/>
          <w:sz w:val="24"/>
          <w:szCs w:val="24"/>
          <w:lang w:eastAsia="zh-CN"/>
        </w:rPr>
        <w:t>The objective of these guidelines is to facilitate the negotiation of mutual recognition agreements or similar arrangements (MRAs) that streamline and better facilitate the recognition of professionals between the Parties. It is recognised that responsibility for, and decisions on, the extent of the form and conte</w:t>
      </w:r>
      <w:r w:rsidR="00361FF8">
        <w:rPr>
          <w:rFonts w:ascii="Calibri" w:eastAsia="Times New Roman" w:hAnsi="Calibri" w:cs="Calibri"/>
          <w:sz w:val="24"/>
          <w:szCs w:val="24"/>
          <w:lang w:eastAsia="zh-CN"/>
        </w:rPr>
        <w:t>n</w:t>
      </w:r>
      <w:r w:rsidRPr="00311B71">
        <w:rPr>
          <w:rFonts w:ascii="Calibri" w:eastAsia="Times New Roman" w:hAnsi="Calibri" w:cs="Calibri"/>
          <w:sz w:val="24"/>
          <w:szCs w:val="24"/>
          <w:lang w:eastAsia="zh-CN"/>
        </w:rPr>
        <w:t>t of MRAs resides directly with the entities negotiating the MRAs. Therefore, notwithstanding the form and content identified in Section B of these guidelines, the negotiating entities will decide on what elements they wish to include in an MRA that streamlines the recognition of professionals through the pre-recognition of qualifications, licensing, registration</w:t>
      </w:r>
      <w:r w:rsidR="00361FF8">
        <w:rPr>
          <w:rFonts w:ascii="Calibri" w:eastAsia="Times New Roman" w:hAnsi="Calibri" w:cs="Calibri"/>
          <w:sz w:val="24"/>
          <w:szCs w:val="24"/>
          <w:lang w:eastAsia="zh-CN"/>
        </w:rPr>
        <w:t>,</w:t>
      </w:r>
      <w:r w:rsidRPr="00311B71">
        <w:rPr>
          <w:rFonts w:ascii="Calibri" w:eastAsia="Times New Roman" w:hAnsi="Calibri" w:cs="Calibri"/>
          <w:sz w:val="24"/>
          <w:szCs w:val="24"/>
          <w:lang w:eastAsia="zh-CN"/>
        </w:rPr>
        <w:t xml:space="preserve"> and</w:t>
      </w:r>
      <w:r w:rsidR="008D30B9">
        <w:rPr>
          <w:rFonts w:ascii="Calibri" w:eastAsia="Times New Roman" w:hAnsi="Calibri" w:cs="Calibri"/>
          <w:sz w:val="24"/>
          <w:szCs w:val="24"/>
          <w:lang w:eastAsia="zh-CN"/>
        </w:rPr>
        <w:t>/</w:t>
      </w:r>
      <w:r w:rsidRPr="00311B71">
        <w:rPr>
          <w:rFonts w:ascii="Calibri" w:eastAsia="Times New Roman" w:hAnsi="Calibri" w:cs="Calibri"/>
          <w:sz w:val="24"/>
          <w:szCs w:val="24"/>
          <w:lang w:eastAsia="zh-CN"/>
        </w:rPr>
        <w:t>or professional body membership.</w:t>
      </w:r>
    </w:p>
    <w:p w14:paraId="65238E54"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20181305"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The guidelines listed below are provided by way of illustration. The listing of these guidelines is indicative and is intended neither to be exhaustive, nor as an endorsement of the application of such measures by the Parties.</w:t>
      </w:r>
    </w:p>
    <w:p w14:paraId="569E6CE0"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16C3A0D9" w14:textId="77777777" w:rsidR="001E6ADF" w:rsidRPr="00823DFD" w:rsidRDefault="001E6ADF" w:rsidP="00823DFD">
      <w:pPr>
        <w:pStyle w:val="Heading2"/>
      </w:pPr>
      <w:r w:rsidRPr="00823DFD">
        <w:t>Section A: Conduct of Negotiations and Relevant Obligations</w:t>
      </w:r>
    </w:p>
    <w:p w14:paraId="69FE65A5"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F8E4959"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Opening of Negotiations</w:t>
      </w:r>
    </w:p>
    <w:p w14:paraId="70A0D670"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654F713C"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1. Entities intending to </w:t>
      </w:r>
      <w:proofErr w:type="gramStart"/>
      <w:r w:rsidRPr="007367F2">
        <w:rPr>
          <w:rFonts w:ascii="Calibri" w:eastAsia="Times New Roman" w:hAnsi="Calibri" w:cs="Calibri"/>
          <w:sz w:val="24"/>
          <w:szCs w:val="24"/>
          <w:lang w:eastAsia="zh-CN"/>
        </w:rPr>
        <w:t>enter into</w:t>
      </w:r>
      <w:proofErr w:type="gramEnd"/>
      <w:r w:rsidRPr="007367F2">
        <w:rPr>
          <w:rFonts w:ascii="Calibri" w:eastAsia="Times New Roman" w:hAnsi="Calibri" w:cs="Calibri"/>
          <w:sz w:val="24"/>
          <w:szCs w:val="24"/>
          <w:lang w:eastAsia="zh-CN"/>
        </w:rPr>
        <w:t xml:space="preserve"> negotiations towards an MRA are encouraged to inform the Professional Services Working Group established under Annex 10-A. The following information may be supplied:</w:t>
      </w:r>
    </w:p>
    <w:p w14:paraId="33B7F007"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327FFF3B"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(a)</w:t>
      </w:r>
      <w:r w:rsidRPr="007367F2">
        <w:rPr>
          <w:rFonts w:ascii="Calibri" w:eastAsia="Times New Roman" w:hAnsi="Calibri" w:cs="Calibri"/>
          <w:sz w:val="24"/>
          <w:szCs w:val="24"/>
          <w:lang w:eastAsia="zh-CN"/>
        </w:rPr>
        <w:tab/>
        <w:t>the entities involved in negotiations (for example, governments, organisations in professional services or institutes which have authority, statutory or otherwise, to enter into such negotiations</w:t>
      </w:r>
      <w:proofErr w:type="gramStart"/>
      <w:r w:rsidRPr="007367F2">
        <w:rPr>
          <w:rFonts w:ascii="Calibri" w:eastAsia="Times New Roman" w:hAnsi="Calibri" w:cs="Calibri"/>
          <w:sz w:val="24"/>
          <w:szCs w:val="24"/>
          <w:lang w:eastAsia="zh-CN"/>
        </w:rPr>
        <w:t>);</w:t>
      </w:r>
      <w:proofErr w:type="gramEnd"/>
    </w:p>
    <w:p w14:paraId="736F473B"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0F0CA99C"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 xml:space="preserve">a contact point to obtain further </w:t>
      </w:r>
      <w:proofErr w:type="gramStart"/>
      <w:r w:rsidRPr="007367F2">
        <w:rPr>
          <w:rFonts w:ascii="Calibri" w:eastAsia="Times New Roman" w:hAnsi="Calibri" w:cs="Calibri"/>
          <w:sz w:val="24"/>
          <w:szCs w:val="24"/>
          <w:lang w:eastAsia="zh-CN"/>
        </w:rPr>
        <w:t>information;</w:t>
      </w:r>
      <w:proofErr w:type="gramEnd"/>
    </w:p>
    <w:p w14:paraId="73D36CDB"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11040DB0"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(c) </w:t>
      </w:r>
      <w:r w:rsidRPr="007367F2">
        <w:rPr>
          <w:rFonts w:ascii="Calibri" w:eastAsia="Times New Roman" w:hAnsi="Calibri" w:cs="Calibri"/>
          <w:sz w:val="24"/>
          <w:szCs w:val="24"/>
          <w:lang w:eastAsia="zh-CN"/>
        </w:rPr>
        <w:tab/>
        <w:t>the subject of the negotiations (specific activity covered); and</w:t>
      </w:r>
    </w:p>
    <w:p w14:paraId="638DE3CA"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5568A7D4"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lastRenderedPageBreak/>
        <w:t xml:space="preserve">(d) </w:t>
      </w:r>
      <w:r w:rsidRPr="007367F2">
        <w:rPr>
          <w:rFonts w:ascii="Calibri" w:eastAsia="Times New Roman" w:hAnsi="Calibri" w:cs="Calibri"/>
          <w:sz w:val="24"/>
          <w:szCs w:val="24"/>
          <w:lang w:eastAsia="zh-CN"/>
        </w:rPr>
        <w:tab/>
        <w:t>the expected time of the start and end of negotiations.</w:t>
      </w:r>
    </w:p>
    <w:p w14:paraId="2AFB5BFD"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804C8F0"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Focal Points for Negotiations</w:t>
      </w:r>
    </w:p>
    <w:p w14:paraId="3A9D525D"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406D95F2"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2. Entities </w:t>
      </w:r>
      <w:proofErr w:type="gramStart"/>
      <w:r w:rsidRPr="007367F2">
        <w:rPr>
          <w:rFonts w:ascii="Calibri" w:eastAsia="Times New Roman" w:hAnsi="Calibri" w:cs="Calibri"/>
          <w:sz w:val="24"/>
          <w:szCs w:val="24"/>
          <w:lang w:eastAsia="zh-CN"/>
        </w:rPr>
        <w:t>entering into</w:t>
      </w:r>
      <w:proofErr w:type="gramEnd"/>
      <w:r w:rsidRPr="007367F2">
        <w:rPr>
          <w:rFonts w:ascii="Calibri" w:eastAsia="Times New Roman" w:hAnsi="Calibri" w:cs="Calibri"/>
          <w:sz w:val="24"/>
          <w:szCs w:val="24"/>
          <w:lang w:eastAsia="zh-CN"/>
        </w:rPr>
        <w:t xml:space="preserve"> negotiations towards an MRA are encouraged to establish a single focal point for negotiations.</w:t>
      </w:r>
    </w:p>
    <w:p w14:paraId="471E4ECA"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70C1681B"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Results</w:t>
      </w:r>
    </w:p>
    <w:p w14:paraId="46C3D403"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61A948D6"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3. </w:t>
      </w:r>
      <w:r w:rsidRPr="007367F2">
        <w:rPr>
          <w:rFonts w:ascii="Calibri" w:eastAsia="Times New Roman" w:hAnsi="Calibri" w:cs="Calibri"/>
          <w:sz w:val="24"/>
          <w:szCs w:val="24"/>
          <w:lang w:eastAsia="zh-CN"/>
        </w:rPr>
        <w:tab/>
        <w:t>Upon the conclusion of an MRA, the parties to the MRA are encouraged to inform the Professional Services Working Group, and may supply the following information in its notification:</w:t>
      </w:r>
    </w:p>
    <w:p w14:paraId="365C1A1A" w14:textId="77777777" w:rsidR="001E6ADF" w:rsidRPr="007367F2" w:rsidRDefault="001E6ADF" w:rsidP="008B10C1">
      <w:pPr>
        <w:shd w:val="clear" w:color="auto" w:fill="FFFFFF"/>
        <w:spacing w:after="0" w:line="276" w:lineRule="auto"/>
        <w:ind w:left="720" w:hanging="720"/>
        <w:rPr>
          <w:rFonts w:ascii="Calibri" w:eastAsia="Times New Roman" w:hAnsi="Calibri" w:cs="Calibri"/>
          <w:sz w:val="24"/>
          <w:szCs w:val="24"/>
          <w:lang w:eastAsia="zh-CN"/>
        </w:rPr>
      </w:pPr>
    </w:p>
    <w:p w14:paraId="0662218E"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(a)</w:t>
      </w:r>
      <w:r w:rsidRPr="007367F2">
        <w:rPr>
          <w:rFonts w:ascii="Calibri" w:eastAsia="Times New Roman" w:hAnsi="Calibri" w:cs="Calibri"/>
          <w:sz w:val="24"/>
          <w:szCs w:val="24"/>
          <w:lang w:eastAsia="zh-CN"/>
        </w:rPr>
        <w:tab/>
        <w:t>the content of a new MRA; or</w:t>
      </w:r>
    </w:p>
    <w:p w14:paraId="7DADEA59"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14044727"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the significant modifications to an existing MRA.</w:t>
      </w:r>
    </w:p>
    <w:p w14:paraId="032A6F86"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E051EAE"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Follow-up Actions</w:t>
      </w:r>
    </w:p>
    <w:p w14:paraId="7576B920"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66A8EF24"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4. </w:t>
      </w:r>
      <w:r w:rsidRPr="007367F2">
        <w:rPr>
          <w:rFonts w:ascii="Calibri" w:eastAsia="Times New Roman" w:hAnsi="Calibri" w:cs="Calibri"/>
          <w:sz w:val="24"/>
          <w:szCs w:val="24"/>
          <w:lang w:eastAsia="zh-CN"/>
        </w:rPr>
        <w:tab/>
        <w:t>As a follow-up action to a conclusion of an MRA, parties to the MRA are encouraged to inform the Professional Services Working Group of the following:</w:t>
      </w:r>
    </w:p>
    <w:p w14:paraId="79EB3548" w14:textId="77777777" w:rsidR="001E6ADF" w:rsidRPr="007367F2" w:rsidRDefault="001E6ADF" w:rsidP="008B10C1">
      <w:pPr>
        <w:shd w:val="clear" w:color="auto" w:fill="FFFFFF"/>
        <w:spacing w:after="0" w:line="276" w:lineRule="auto"/>
        <w:ind w:left="720" w:hanging="720"/>
        <w:rPr>
          <w:rFonts w:ascii="Calibri" w:eastAsia="Times New Roman" w:hAnsi="Calibri" w:cs="Calibri"/>
          <w:b/>
          <w:sz w:val="24"/>
          <w:szCs w:val="24"/>
          <w:lang w:eastAsia="zh-CN"/>
        </w:rPr>
      </w:pPr>
    </w:p>
    <w:p w14:paraId="4F67F900"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(a) </w:t>
      </w:r>
      <w:r w:rsidRPr="007367F2">
        <w:rPr>
          <w:rFonts w:ascii="Calibri" w:eastAsia="Times New Roman" w:hAnsi="Calibri" w:cs="Calibri"/>
          <w:sz w:val="24"/>
          <w:szCs w:val="24"/>
          <w:lang w:eastAsia="zh-CN"/>
        </w:rPr>
        <w:tab/>
        <w:t xml:space="preserve">that the MRA complies with the provisions of Chapter </w:t>
      </w:r>
      <w:proofErr w:type="gramStart"/>
      <w:r w:rsidRPr="007367F2">
        <w:rPr>
          <w:rFonts w:ascii="Calibri" w:eastAsia="Times New Roman" w:hAnsi="Calibri" w:cs="Calibri"/>
          <w:sz w:val="24"/>
          <w:szCs w:val="24"/>
          <w:lang w:eastAsia="zh-CN"/>
        </w:rPr>
        <w:t>10;</w:t>
      </w:r>
      <w:proofErr w:type="gramEnd"/>
    </w:p>
    <w:p w14:paraId="62C859ED"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3B2ECCA3"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(b)</w:t>
      </w:r>
      <w:r w:rsidRPr="007367F2">
        <w:rPr>
          <w:rFonts w:ascii="Calibri" w:eastAsia="Times New Roman" w:hAnsi="Calibri" w:cs="Calibri"/>
          <w:sz w:val="24"/>
          <w:szCs w:val="24"/>
          <w:lang w:eastAsia="zh-CN"/>
        </w:rPr>
        <w:tab/>
        <w:t>measures and actions taken regarding the implementation and monitoring of the MRA; and</w:t>
      </w:r>
    </w:p>
    <w:p w14:paraId="0D6D6681"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39021BCF"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(c) </w:t>
      </w:r>
      <w:r w:rsidRPr="007367F2">
        <w:rPr>
          <w:rFonts w:ascii="Calibri" w:eastAsia="Times New Roman" w:hAnsi="Calibri" w:cs="Calibri"/>
          <w:sz w:val="24"/>
          <w:szCs w:val="24"/>
          <w:lang w:eastAsia="zh-CN"/>
        </w:rPr>
        <w:tab/>
        <w:t>that the text of the MRA is publicly available.</w:t>
      </w:r>
    </w:p>
    <w:p w14:paraId="20F1AFD7"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72F38433" w14:textId="77777777" w:rsidR="001E6ADF" w:rsidRPr="00823DFD" w:rsidRDefault="001E6ADF" w:rsidP="00823DFD">
      <w:pPr>
        <w:pStyle w:val="Heading2"/>
      </w:pPr>
      <w:r w:rsidRPr="00823DFD">
        <w:t>Section B: Form and Content of MRAs</w:t>
      </w:r>
    </w:p>
    <w:p w14:paraId="0323821B"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442F6BE"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Introductory Note</w:t>
      </w:r>
    </w:p>
    <w:p w14:paraId="18007B98"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659232E6"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This Section sets out various issues that may be addressed in MRA negotiations and, if </w:t>
      </w:r>
      <w:proofErr w:type="gramStart"/>
      <w:r w:rsidRPr="007367F2">
        <w:rPr>
          <w:rFonts w:ascii="Calibri" w:eastAsia="Times New Roman" w:hAnsi="Calibri" w:cs="Calibri"/>
          <w:sz w:val="24"/>
          <w:szCs w:val="24"/>
          <w:lang w:eastAsia="zh-CN"/>
        </w:rPr>
        <w:t>so</w:t>
      </w:r>
      <w:proofErr w:type="gramEnd"/>
      <w:r w:rsidRPr="007367F2">
        <w:rPr>
          <w:rFonts w:ascii="Calibri" w:eastAsia="Times New Roman" w:hAnsi="Calibri" w:cs="Calibri"/>
          <w:color w:val="FF0000"/>
          <w:sz w:val="24"/>
          <w:szCs w:val="24"/>
          <w:lang w:eastAsia="zh-CN"/>
        </w:rPr>
        <w:t xml:space="preserve"> </w:t>
      </w:r>
      <w:r w:rsidRPr="007367F2">
        <w:rPr>
          <w:rFonts w:ascii="Calibri" w:eastAsia="Times New Roman" w:hAnsi="Calibri" w:cs="Calibri"/>
          <w:sz w:val="24"/>
          <w:szCs w:val="24"/>
          <w:lang w:eastAsia="zh-CN"/>
        </w:rPr>
        <w:t>decided during the negotiations, included in the MRA. It includes some basic ideas on what a Party might require of foreign professionals seeking to take advantage of an MRA.</w:t>
      </w:r>
    </w:p>
    <w:p w14:paraId="34B79775"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23A22E6"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Participants</w:t>
      </w:r>
    </w:p>
    <w:p w14:paraId="0B59784C"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268AB92"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5. </w:t>
      </w:r>
      <w:r w:rsidRPr="007367F2">
        <w:rPr>
          <w:rFonts w:ascii="Calibri" w:eastAsia="Times New Roman" w:hAnsi="Calibri" w:cs="Calibri"/>
          <w:sz w:val="24"/>
          <w:szCs w:val="24"/>
          <w:lang w:eastAsia="zh-CN"/>
        </w:rPr>
        <w:tab/>
        <w:t>The MRA should identify clearly:</w:t>
      </w:r>
    </w:p>
    <w:p w14:paraId="048AADBD"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737EE9A"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lastRenderedPageBreak/>
        <w:t>(a)  the parties to the MRA (for example, governments, organisations in professional services, or institutes</w:t>
      </w:r>
      <w:proofErr w:type="gramStart"/>
      <w:r w:rsidRPr="007367F2">
        <w:rPr>
          <w:rFonts w:ascii="Calibri" w:eastAsia="Times New Roman" w:hAnsi="Calibri" w:cs="Calibri"/>
          <w:sz w:val="24"/>
          <w:szCs w:val="24"/>
          <w:lang w:eastAsia="zh-CN"/>
        </w:rPr>
        <w:t>);</w:t>
      </w:r>
      <w:proofErr w:type="gramEnd"/>
    </w:p>
    <w:p w14:paraId="17C963B2"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24024FE0"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(b)  competent authorities or organisations other than the parties to the MRA, if any, and their position in relation to the MRA; and</w:t>
      </w:r>
    </w:p>
    <w:p w14:paraId="07BEFE4C"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452E6CBF" w14:textId="77777777" w:rsidR="001E6ADF" w:rsidRPr="007367F2" w:rsidRDefault="001E6ADF" w:rsidP="008B10C1">
      <w:pPr>
        <w:shd w:val="clear" w:color="auto" w:fill="FFFFFF"/>
        <w:spacing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(c)  the status and area of competence of each party to the MRA.</w:t>
      </w:r>
    </w:p>
    <w:p w14:paraId="210EABA3"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B3DB768"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Purpose of the MRA</w:t>
      </w:r>
    </w:p>
    <w:p w14:paraId="69B1FBC7" w14:textId="77777777" w:rsidR="001E6ADF" w:rsidRPr="007367F2" w:rsidRDefault="001E6ADF" w:rsidP="008B10C1">
      <w:pPr>
        <w:shd w:val="clear" w:color="auto" w:fill="FFFFFF"/>
        <w:spacing w:after="0" w:line="276" w:lineRule="auto"/>
        <w:rPr>
          <w:rFonts w:ascii="Calibri" w:eastAsia="Times New Roman" w:hAnsi="Calibri" w:cs="Calibri"/>
          <w:b/>
          <w:sz w:val="24"/>
          <w:szCs w:val="24"/>
          <w:lang w:eastAsia="zh-CN"/>
        </w:rPr>
      </w:pPr>
    </w:p>
    <w:p w14:paraId="6C14E9D1"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6. </w:t>
      </w:r>
      <w:r w:rsidRPr="007367F2">
        <w:rPr>
          <w:rFonts w:ascii="Calibri" w:eastAsia="Times New Roman" w:hAnsi="Calibri" w:cs="Calibri"/>
          <w:sz w:val="24"/>
          <w:szCs w:val="24"/>
          <w:lang w:eastAsia="zh-CN"/>
        </w:rPr>
        <w:tab/>
        <w:t>The purpose of the MRA should be clearly stated.</w:t>
      </w:r>
    </w:p>
    <w:p w14:paraId="795ADFAC"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2E43C74A"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Scope of the MRA</w:t>
      </w:r>
    </w:p>
    <w:p w14:paraId="79413AD2"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67A7B6E"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7. </w:t>
      </w:r>
      <w:r w:rsidRPr="007367F2">
        <w:rPr>
          <w:rFonts w:ascii="Calibri" w:eastAsia="Times New Roman" w:hAnsi="Calibri" w:cs="Calibri"/>
          <w:sz w:val="24"/>
          <w:szCs w:val="24"/>
          <w:lang w:eastAsia="zh-CN"/>
        </w:rPr>
        <w:tab/>
        <w:t>The MRA should set out clearly:</w:t>
      </w:r>
    </w:p>
    <w:p w14:paraId="33DE0F97"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6908EB85"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(a)  its </w:t>
      </w:r>
      <w:proofErr w:type="gramStart"/>
      <w:r w:rsidRPr="007367F2">
        <w:rPr>
          <w:rFonts w:ascii="Calibri" w:eastAsia="Times New Roman" w:hAnsi="Calibri" w:cs="Calibri"/>
          <w:sz w:val="24"/>
          <w:szCs w:val="24"/>
          <w:lang w:eastAsia="zh-CN"/>
        </w:rPr>
        <w:t>definitions;</w:t>
      </w:r>
      <w:proofErr w:type="gramEnd"/>
    </w:p>
    <w:p w14:paraId="16403B17"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392798CE" w14:textId="77777777" w:rsidR="001E6ADF" w:rsidRPr="00311B71"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its scope in terms of the specific profession or titles and professional activities it covers in the territories of the </w:t>
      </w:r>
      <w:r w:rsidRPr="00311B71">
        <w:rPr>
          <w:rFonts w:ascii="Calibri" w:eastAsia="Times New Roman" w:hAnsi="Calibri" w:cs="Calibri"/>
          <w:sz w:val="24"/>
          <w:szCs w:val="24"/>
          <w:lang w:eastAsia="zh-CN"/>
        </w:rPr>
        <w:t xml:space="preserve">parties to the </w:t>
      </w:r>
      <w:proofErr w:type="gramStart"/>
      <w:r w:rsidRPr="00311B71">
        <w:rPr>
          <w:rFonts w:ascii="Calibri" w:eastAsia="Times New Roman" w:hAnsi="Calibri" w:cs="Calibri"/>
          <w:sz w:val="24"/>
          <w:szCs w:val="24"/>
          <w:lang w:eastAsia="zh-CN"/>
        </w:rPr>
        <w:t>MRA;</w:t>
      </w:r>
      <w:proofErr w:type="gramEnd"/>
    </w:p>
    <w:p w14:paraId="3F1DDA32"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77489550"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(c) </w:t>
      </w:r>
      <w:r w:rsidRPr="007367F2">
        <w:rPr>
          <w:rFonts w:ascii="Calibri" w:eastAsia="Times New Roman" w:hAnsi="Calibri" w:cs="Calibri"/>
          <w:sz w:val="24"/>
          <w:szCs w:val="24"/>
          <w:lang w:eastAsia="zh-CN"/>
        </w:rPr>
        <w:tab/>
        <w:t xml:space="preserve">who is entitled to use the professional titles </w:t>
      </w:r>
      <w:proofErr w:type="gramStart"/>
      <w:r w:rsidRPr="007367F2">
        <w:rPr>
          <w:rFonts w:ascii="Calibri" w:eastAsia="Times New Roman" w:hAnsi="Calibri" w:cs="Calibri"/>
          <w:sz w:val="24"/>
          <w:szCs w:val="24"/>
          <w:lang w:eastAsia="zh-CN"/>
        </w:rPr>
        <w:t>concerned;</w:t>
      </w:r>
      <w:proofErr w:type="gramEnd"/>
    </w:p>
    <w:p w14:paraId="36952682"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12F31A3A"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(d) </w:t>
      </w:r>
      <w:r w:rsidRPr="007367F2">
        <w:rPr>
          <w:rFonts w:ascii="Calibri" w:eastAsia="Times New Roman" w:hAnsi="Calibri" w:cs="Calibri"/>
          <w:sz w:val="24"/>
          <w:szCs w:val="24"/>
          <w:lang w:eastAsia="zh-CN"/>
        </w:rPr>
        <w:tab/>
        <w:t>whether the recognition mechanism is based on qualifications, on the license obtained in the jurisdiction of the party of origin or on some other requirement; and</w:t>
      </w:r>
    </w:p>
    <w:p w14:paraId="1341E41C"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61D8D31F"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(e) </w:t>
      </w:r>
      <w:r w:rsidRPr="007367F2">
        <w:rPr>
          <w:rFonts w:ascii="Calibri" w:eastAsia="Times New Roman" w:hAnsi="Calibri" w:cs="Calibri"/>
          <w:sz w:val="24"/>
          <w:szCs w:val="24"/>
          <w:lang w:eastAsia="zh-CN"/>
        </w:rPr>
        <w:tab/>
        <w:t>whether it covers temporary access (including a range of possible duration and conditions for renewal, if applicable), permanent access, or both, to the profession concerned.</w:t>
      </w:r>
    </w:p>
    <w:p w14:paraId="56283B01" w14:textId="77777777" w:rsidR="001E6ADF" w:rsidRPr="007367F2" w:rsidRDefault="001E6ADF" w:rsidP="008B10C1">
      <w:pPr>
        <w:shd w:val="clear" w:color="auto" w:fill="FFFFFF"/>
        <w:spacing w:after="0" w:line="276" w:lineRule="auto"/>
        <w:ind w:left="1276" w:hanging="567"/>
        <w:rPr>
          <w:rFonts w:ascii="Calibri" w:eastAsia="Times New Roman" w:hAnsi="Calibri" w:cs="Calibri"/>
          <w:sz w:val="24"/>
          <w:szCs w:val="24"/>
          <w:lang w:eastAsia="zh-CN"/>
        </w:rPr>
      </w:pPr>
    </w:p>
    <w:p w14:paraId="606C8109"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MRA Provisions</w:t>
      </w:r>
    </w:p>
    <w:p w14:paraId="3D9F10C9"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1A53B2AF"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8. </w:t>
      </w:r>
      <w:r w:rsidRPr="007367F2">
        <w:rPr>
          <w:rFonts w:ascii="Calibri" w:eastAsia="Times New Roman" w:hAnsi="Calibri" w:cs="Calibri"/>
          <w:sz w:val="24"/>
          <w:szCs w:val="24"/>
          <w:lang w:eastAsia="zh-CN"/>
        </w:rPr>
        <w:tab/>
        <w:t xml:space="preserve">The MRA should clearly specify the qualifications or registration conditions, and their equivalences, to be met for recognition between the parties to the MRA. If the requirements of the various sub-national jurisdictions under an MRA are not identical, the difference and the modalities for the recognition of qualifications between sub-national jurisdictions should be clearly presented. </w:t>
      </w:r>
    </w:p>
    <w:p w14:paraId="17FA97E0"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3A13DFA"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9. </w:t>
      </w:r>
      <w:r w:rsidRPr="007367F2">
        <w:rPr>
          <w:rFonts w:ascii="Calibri" w:eastAsia="Times New Roman" w:hAnsi="Calibri" w:cs="Calibri"/>
          <w:sz w:val="24"/>
          <w:szCs w:val="24"/>
          <w:lang w:eastAsia="zh-CN"/>
        </w:rPr>
        <w:tab/>
        <w:t xml:space="preserve">The MRA should seek to ensure that recognition does not require citizenship or any form of residency, or education, experience, or training in the jurisdiction of the host party as a condition for recognition by that host party. </w:t>
      </w:r>
    </w:p>
    <w:p w14:paraId="5BD34BE0"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p>
    <w:p w14:paraId="5412C915"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10. The requirements and procedures under the MRA should not discriminate based on age, gender, and race.</w:t>
      </w:r>
    </w:p>
    <w:p w14:paraId="6FB91C5E" w14:textId="77777777" w:rsidR="001E6ADF" w:rsidRPr="007367F2" w:rsidRDefault="001E6ADF" w:rsidP="008B10C1">
      <w:pPr>
        <w:shd w:val="clear" w:color="auto" w:fill="FFFFFF"/>
        <w:spacing w:after="0" w:line="276" w:lineRule="auto"/>
        <w:ind w:left="720" w:hanging="720"/>
        <w:rPr>
          <w:rFonts w:ascii="Calibri" w:eastAsia="Times New Roman" w:hAnsi="Calibri" w:cs="Calibri"/>
          <w:sz w:val="24"/>
          <w:szCs w:val="24"/>
          <w:lang w:eastAsia="zh-CN"/>
        </w:rPr>
      </w:pPr>
    </w:p>
    <w:p w14:paraId="2B823803" w14:textId="77777777" w:rsidR="001E6ADF" w:rsidRPr="007367F2" w:rsidRDefault="001E6ADF" w:rsidP="008B10C1">
      <w:pPr>
        <w:shd w:val="clear" w:color="auto" w:fill="FFFFFF"/>
        <w:spacing w:after="0" w:line="276" w:lineRule="auto"/>
        <w:ind w:left="720" w:hanging="720"/>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Eligibility for Recognition – Qualifications</w:t>
      </w:r>
    </w:p>
    <w:p w14:paraId="3DAB9A4A" w14:textId="77777777" w:rsidR="001E6ADF" w:rsidRPr="007367F2" w:rsidRDefault="001E6ADF" w:rsidP="008B10C1">
      <w:pPr>
        <w:shd w:val="clear" w:color="auto" w:fill="FFFFFF"/>
        <w:spacing w:after="0" w:line="276" w:lineRule="auto"/>
        <w:rPr>
          <w:rFonts w:ascii="Calibri" w:eastAsia="Times New Roman" w:hAnsi="Calibri" w:cs="Calibri"/>
          <w:b/>
          <w:bCs/>
          <w:sz w:val="24"/>
          <w:szCs w:val="24"/>
          <w:lang w:eastAsia="zh-CN"/>
        </w:rPr>
      </w:pPr>
    </w:p>
    <w:p w14:paraId="7B4AE27E"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11. If the MRA is based on recognition of qualifications, then it should, where applicable, state:</w:t>
      </w:r>
    </w:p>
    <w:p w14:paraId="02E00545" w14:textId="77777777" w:rsidR="001E6ADF" w:rsidRPr="007367F2" w:rsidRDefault="001E6ADF" w:rsidP="008B10C1">
      <w:pPr>
        <w:shd w:val="clear" w:color="auto" w:fill="FFFFFF"/>
        <w:spacing w:after="0" w:line="276" w:lineRule="auto"/>
        <w:ind w:left="720" w:hanging="720"/>
        <w:rPr>
          <w:rFonts w:ascii="Calibri" w:eastAsia="Times New Roman" w:hAnsi="Calibri" w:cs="Calibri"/>
          <w:sz w:val="24"/>
          <w:szCs w:val="24"/>
          <w:lang w:eastAsia="zh-CN"/>
        </w:rPr>
      </w:pPr>
    </w:p>
    <w:p w14:paraId="6736E787"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(a) </w:t>
      </w:r>
      <w:r w:rsidRPr="007367F2">
        <w:rPr>
          <w:rFonts w:ascii="Calibri" w:eastAsia="Times New Roman" w:hAnsi="Calibri" w:cs="Calibri"/>
          <w:sz w:val="24"/>
          <w:szCs w:val="24"/>
          <w:lang w:eastAsia="zh-CN"/>
        </w:rPr>
        <w:tab/>
        <w:t>the minimum level of education required (including entry requirements, length of study, and subjects studied</w:t>
      </w:r>
      <w:proofErr w:type="gramStart"/>
      <w:r w:rsidRPr="007367F2">
        <w:rPr>
          <w:rFonts w:ascii="Calibri" w:eastAsia="Times New Roman" w:hAnsi="Calibri" w:cs="Calibri"/>
          <w:sz w:val="24"/>
          <w:szCs w:val="24"/>
          <w:lang w:eastAsia="zh-CN"/>
        </w:rPr>
        <w:t>);</w:t>
      </w:r>
      <w:proofErr w:type="gramEnd"/>
    </w:p>
    <w:p w14:paraId="405D207A"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4FB3D185"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the minimum level of experience required (including location, length, and conditions of practical training or supervised professional practice prior to licensing, and framework of ethical and disciplinary standards</w:t>
      </w:r>
      <w:proofErr w:type="gramStart"/>
      <w:r w:rsidRPr="007367F2">
        <w:rPr>
          <w:rFonts w:ascii="Calibri" w:eastAsia="Times New Roman" w:hAnsi="Calibri" w:cs="Calibri"/>
          <w:sz w:val="24"/>
          <w:szCs w:val="24"/>
          <w:lang w:eastAsia="zh-CN"/>
        </w:rPr>
        <w:t>);</w:t>
      </w:r>
      <w:proofErr w:type="gramEnd"/>
    </w:p>
    <w:p w14:paraId="4079B60E"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184A0FA7"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(c) </w:t>
      </w:r>
      <w:r w:rsidRPr="007367F2">
        <w:rPr>
          <w:rFonts w:ascii="Calibri" w:eastAsia="Times New Roman" w:hAnsi="Calibri" w:cs="Calibri"/>
          <w:sz w:val="24"/>
          <w:szCs w:val="24"/>
          <w:lang w:eastAsia="zh-CN"/>
        </w:rPr>
        <w:tab/>
        <w:t xml:space="preserve">examinations required, especially examinations of professional </w:t>
      </w:r>
      <w:proofErr w:type="gramStart"/>
      <w:r w:rsidRPr="007367F2">
        <w:rPr>
          <w:rFonts w:ascii="Calibri" w:eastAsia="Times New Roman" w:hAnsi="Calibri" w:cs="Calibri"/>
          <w:sz w:val="24"/>
          <w:szCs w:val="24"/>
          <w:lang w:eastAsia="zh-CN"/>
        </w:rPr>
        <w:t>competence;</w:t>
      </w:r>
      <w:proofErr w:type="gramEnd"/>
    </w:p>
    <w:p w14:paraId="6C4747F7"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05A0C7D2"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(d)</w:t>
      </w:r>
      <w:r w:rsidRPr="007367F2">
        <w:rPr>
          <w:rFonts w:ascii="Calibri" w:eastAsia="Times New Roman" w:hAnsi="Calibri" w:cs="Calibri"/>
          <w:sz w:val="24"/>
          <w:szCs w:val="24"/>
          <w:lang w:eastAsia="zh-CN"/>
        </w:rPr>
        <w:tab/>
        <w:t xml:space="preserve">the extent to which qualifications obtained in </w:t>
      </w:r>
      <w:bookmarkStart w:id="0" w:name="_Hlk84410901"/>
      <w:r w:rsidRPr="007367F2">
        <w:rPr>
          <w:rFonts w:ascii="Calibri" w:eastAsia="Times New Roman" w:hAnsi="Calibri" w:cs="Calibri"/>
          <w:sz w:val="24"/>
          <w:szCs w:val="24"/>
          <w:lang w:eastAsia="zh-CN"/>
        </w:rPr>
        <w:t xml:space="preserve">the jurisdiction of </w:t>
      </w:r>
      <w:bookmarkEnd w:id="0"/>
      <w:r w:rsidRPr="007367F2">
        <w:rPr>
          <w:rFonts w:ascii="Calibri" w:eastAsia="Times New Roman" w:hAnsi="Calibri" w:cs="Calibri"/>
          <w:sz w:val="24"/>
          <w:szCs w:val="24"/>
          <w:lang w:eastAsia="zh-CN"/>
        </w:rPr>
        <w:t>the party of origin are recognised in the jurisdiction of the host party; and</w:t>
      </w:r>
    </w:p>
    <w:p w14:paraId="041E64C9"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p>
    <w:p w14:paraId="1D0D2DEA" w14:textId="77777777" w:rsidR="001E6ADF" w:rsidRPr="007367F2" w:rsidRDefault="001E6ADF" w:rsidP="008B10C1">
      <w:pPr>
        <w:shd w:val="clear" w:color="auto" w:fill="FFFFFF"/>
        <w:spacing w:after="0" w:line="276" w:lineRule="auto"/>
        <w:ind w:left="709" w:hanging="425"/>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(e) </w:t>
      </w:r>
      <w:r w:rsidRPr="007367F2">
        <w:rPr>
          <w:rFonts w:ascii="Calibri" w:eastAsia="Times New Roman" w:hAnsi="Calibri" w:cs="Calibri"/>
          <w:sz w:val="24"/>
          <w:szCs w:val="24"/>
          <w:lang w:eastAsia="zh-CN"/>
        </w:rPr>
        <w:tab/>
        <w:t xml:space="preserve">the qualifications which the parties to the MRA are prepared to recognise, for instance, by listing </w:t>
      </w:r>
      <w:proofErr w:type="gramStart"/>
      <w:r w:rsidRPr="007367F2">
        <w:rPr>
          <w:rFonts w:ascii="Calibri" w:eastAsia="Times New Roman" w:hAnsi="Calibri" w:cs="Calibri"/>
          <w:sz w:val="24"/>
          <w:szCs w:val="24"/>
          <w:lang w:eastAsia="zh-CN"/>
        </w:rPr>
        <w:t>particular diplomas</w:t>
      </w:r>
      <w:proofErr w:type="gramEnd"/>
      <w:r w:rsidRPr="007367F2">
        <w:rPr>
          <w:rFonts w:ascii="Calibri" w:eastAsia="Times New Roman" w:hAnsi="Calibri" w:cs="Calibri"/>
          <w:sz w:val="24"/>
          <w:szCs w:val="24"/>
          <w:lang w:eastAsia="zh-CN"/>
        </w:rPr>
        <w:t xml:space="preserve"> or certificates issued by certain institutions, or by reference to particular minimum requirements to be certified by the authorities of the jurisdiction of the party of origin, including whether the possession of a certain level of qualification would allow recognition for some activities but not others.</w:t>
      </w:r>
    </w:p>
    <w:p w14:paraId="1DA73B02"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338F7CC4"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Eligibility for Recognition – Registration</w:t>
      </w:r>
    </w:p>
    <w:p w14:paraId="22B23828"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2A211EEA"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12. If the MRA is based on recognition of the </w:t>
      </w:r>
      <w:proofErr w:type="gramStart"/>
      <w:r w:rsidRPr="007367F2">
        <w:rPr>
          <w:rFonts w:ascii="Calibri" w:eastAsia="Times New Roman" w:hAnsi="Calibri" w:cs="Calibri"/>
          <w:sz w:val="24"/>
          <w:szCs w:val="24"/>
          <w:lang w:eastAsia="zh-CN"/>
        </w:rPr>
        <w:t>licensing ,</w:t>
      </w:r>
      <w:proofErr w:type="gramEnd"/>
      <w:r w:rsidRPr="007367F2">
        <w:rPr>
          <w:rFonts w:ascii="Calibri" w:eastAsia="Times New Roman" w:hAnsi="Calibri" w:cs="Calibri"/>
          <w:sz w:val="24"/>
          <w:szCs w:val="24"/>
          <w:lang w:eastAsia="zh-CN"/>
        </w:rPr>
        <w:t xml:space="preserve"> membership or registration decision made by regulators in the jurisdiction of the party of origin, it should specify the mechanism by which eligibility for such recognition may be established.</w:t>
      </w:r>
    </w:p>
    <w:p w14:paraId="53ABBC51" w14:textId="77777777" w:rsidR="001E6ADF" w:rsidRPr="007367F2" w:rsidRDefault="001E6ADF" w:rsidP="008B10C1">
      <w:pPr>
        <w:shd w:val="clear" w:color="auto" w:fill="FFFFFF"/>
        <w:spacing w:after="0" w:line="276" w:lineRule="auto"/>
        <w:ind w:left="720" w:hanging="720"/>
        <w:rPr>
          <w:rFonts w:ascii="Calibri" w:eastAsia="Times New Roman" w:hAnsi="Calibri" w:cs="Calibri"/>
          <w:sz w:val="24"/>
          <w:szCs w:val="24"/>
          <w:lang w:eastAsia="zh-CN"/>
        </w:rPr>
      </w:pPr>
    </w:p>
    <w:p w14:paraId="7E6449F0"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Eligibility for recognition - Additional Requirements for Recognition in the Jurisdiction of the Host Party ("Compensatory Measures")</w:t>
      </w:r>
      <w:r w:rsidRPr="007367F2">
        <w:rPr>
          <w:rFonts w:ascii="Calibri" w:eastAsia="Times New Roman" w:hAnsi="Calibri" w:cs="Calibri"/>
          <w:i/>
          <w:sz w:val="24"/>
          <w:szCs w:val="24"/>
          <w:lang w:eastAsia="zh-CN"/>
        </w:rPr>
        <w:br/>
      </w:r>
    </w:p>
    <w:p w14:paraId="68756635"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13. If it is considered necessary to provide for additional requirements </w:t>
      </w:r>
      <w:proofErr w:type="gramStart"/>
      <w:r w:rsidRPr="007367F2">
        <w:rPr>
          <w:rFonts w:ascii="Calibri" w:eastAsia="Times New Roman" w:hAnsi="Calibri" w:cs="Calibri"/>
          <w:sz w:val="24"/>
          <w:szCs w:val="24"/>
          <w:lang w:eastAsia="zh-CN"/>
        </w:rPr>
        <w:t>in order to</w:t>
      </w:r>
      <w:proofErr w:type="gramEnd"/>
      <w:r w:rsidRPr="007367F2">
        <w:rPr>
          <w:rFonts w:ascii="Calibri" w:eastAsia="Times New Roman" w:hAnsi="Calibri" w:cs="Calibri"/>
          <w:sz w:val="24"/>
          <w:szCs w:val="24"/>
          <w:lang w:eastAsia="zh-CN"/>
        </w:rPr>
        <w:t xml:space="preserve"> ensure the quality of the service, the MRA should set out the conditions under which those requirements may apply, for example, in case of shortcomings in relation to qualification requirements in the jurisdiction of the host party or knowledge of local law, practice, standards, and regulations. This knowledge should be essential for practice in the jurisdiction of the host party or required because there are differences in the scope of </w:t>
      </w:r>
      <w:r w:rsidRPr="007367F2">
        <w:rPr>
          <w:rFonts w:ascii="Calibri" w:eastAsia="Times New Roman" w:hAnsi="Calibri" w:cs="Calibri"/>
          <w:sz w:val="24"/>
          <w:szCs w:val="24"/>
          <w:lang w:eastAsia="zh-CN"/>
        </w:rPr>
        <w:lastRenderedPageBreak/>
        <w:t>licensed practice.</w:t>
      </w:r>
    </w:p>
    <w:p w14:paraId="7ADF005A"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p>
    <w:p w14:paraId="581D7B9F"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14. If additional requirements are deemed necessary, the MRA should set out in detail what they entail (for example, examination, aptitude test, additional practice in the jurisdiction of the host party or in the jurisdiction of the party of origin, practical training, and language used for examination).</w:t>
      </w:r>
    </w:p>
    <w:p w14:paraId="7E1C7792" w14:textId="77777777" w:rsidR="001E6ADF" w:rsidRPr="007367F2" w:rsidRDefault="001E6ADF" w:rsidP="008B10C1">
      <w:pPr>
        <w:shd w:val="clear" w:color="auto" w:fill="FFFFFF"/>
        <w:spacing w:after="0" w:line="276" w:lineRule="auto"/>
        <w:ind w:left="720" w:hanging="720"/>
        <w:rPr>
          <w:rFonts w:ascii="Calibri" w:eastAsia="Times New Roman" w:hAnsi="Calibri" w:cs="Calibri"/>
          <w:sz w:val="24"/>
          <w:szCs w:val="24"/>
          <w:lang w:eastAsia="zh-CN"/>
        </w:rPr>
      </w:pPr>
    </w:p>
    <w:p w14:paraId="25242310" w14:textId="77777777" w:rsidR="001E6ADF" w:rsidRPr="007367F2" w:rsidRDefault="001E6ADF" w:rsidP="008B10C1">
      <w:pPr>
        <w:shd w:val="clear" w:color="auto" w:fill="FFFFFF"/>
        <w:spacing w:after="0" w:line="276" w:lineRule="auto"/>
        <w:ind w:left="720" w:hanging="720"/>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Mechanisms for Implementation</w:t>
      </w:r>
    </w:p>
    <w:p w14:paraId="7661DC93" w14:textId="77777777" w:rsidR="001E6ADF" w:rsidRPr="007367F2" w:rsidRDefault="001E6ADF" w:rsidP="008B10C1">
      <w:pPr>
        <w:shd w:val="clear" w:color="auto" w:fill="FFFFFF"/>
        <w:spacing w:after="0" w:line="276" w:lineRule="auto"/>
        <w:ind w:left="720" w:hanging="720"/>
        <w:rPr>
          <w:rFonts w:ascii="Calibri" w:eastAsia="Times New Roman" w:hAnsi="Calibri" w:cs="Calibri"/>
          <w:sz w:val="24"/>
          <w:szCs w:val="24"/>
          <w:lang w:eastAsia="zh-CN"/>
        </w:rPr>
      </w:pPr>
    </w:p>
    <w:p w14:paraId="2357E359"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15. The MRA could state:</w:t>
      </w:r>
    </w:p>
    <w:p w14:paraId="7DB98F31"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2B73E0A"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val="en-US" w:eastAsia="zh-CN"/>
        </w:rPr>
      </w:pPr>
      <w:r w:rsidRPr="007367F2">
        <w:rPr>
          <w:rFonts w:ascii="Calibri" w:eastAsia="Times New Roman" w:hAnsi="Calibri" w:cs="Calibri"/>
          <w:sz w:val="24"/>
          <w:szCs w:val="24"/>
          <w:lang w:eastAsia="zh-CN"/>
        </w:rPr>
        <w:t xml:space="preserve">(a) </w:t>
      </w:r>
      <w:r w:rsidRPr="007367F2">
        <w:rPr>
          <w:rFonts w:ascii="Calibri" w:eastAsia="Times New Roman" w:hAnsi="Calibri" w:cs="Calibri"/>
          <w:sz w:val="24"/>
          <w:szCs w:val="24"/>
          <w:lang w:eastAsia="zh-CN"/>
        </w:rPr>
        <w:tab/>
        <w:t xml:space="preserve">the rules and procedures to be used to monitor and enforce the provisions of the </w:t>
      </w:r>
      <w:proofErr w:type="gramStart"/>
      <w:r w:rsidRPr="007367F2">
        <w:rPr>
          <w:rFonts w:ascii="Calibri" w:eastAsia="Times New Roman" w:hAnsi="Calibri" w:cs="Calibri"/>
          <w:sz w:val="24"/>
          <w:szCs w:val="24"/>
          <w:lang w:eastAsia="zh-CN"/>
        </w:rPr>
        <w:t>MRA;</w:t>
      </w:r>
      <w:proofErr w:type="gramEnd"/>
    </w:p>
    <w:p w14:paraId="5AD3ED8F"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0F4D5E52"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the mechanisms for dialogue and administrative cooperation between the parties to the MRA; and</w:t>
      </w:r>
    </w:p>
    <w:p w14:paraId="26281B53"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6BAD0715"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(c) </w:t>
      </w:r>
      <w:r w:rsidRPr="007367F2">
        <w:rPr>
          <w:rFonts w:ascii="Calibri" w:eastAsia="Times New Roman" w:hAnsi="Calibri" w:cs="Calibri"/>
          <w:sz w:val="24"/>
          <w:szCs w:val="24"/>
          <w:lang w:eastAsia="zh-CN"/>
        </w:rPr>
        <w:tab/>
        <w:t>the means of arbitration for disputes under the MRA.</w:t>
      </w:r>
    </w:p>
    <w:p w14:paraId="67F598DA"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3F5D682"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16. As a guide to the treatment of individual applicants, the MRA could include details on:</w:t>
      </w:r>
    </w:p>
    <w:p w14:paraId="193327F9"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A9140C4"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(a) </w:t>
      </w:r>
      <w:r w:rsidRPr="007367F2">
        <w:rPr>
          <w:rFonts w:ascii="Calibri" w:eastAsia="Times New Roman" w:hAnsi="Calibri" w:cs="Calibri"/>
          <w:sz w:val="24"/>
          <w:szCs w:val="24"/>
          <w:lang w:eastAsia="zh-CN"/>
        </w:rPr>
        <w:tab/>
        <w:t>the focal point of contact in each</w:t>
      </w:r>
      <w:r w:rsidRPr="007367F2">
        <w:rPr>
          <w:rFonts w:ascii="Calibri" w:eastAsia="Times New Roman" w:hAnsi="Calibri" w:cs="Calibri"/>
          <w:color w:val="FF0000"/>
          <w:sz w:val="24"/>
          <w:szCs w:val="24"/>
          <w:lang w:eastAsia="zh-CN"/>
        </w:rPr>
        <w:t xml:space="preserve"> </w:t>
      </w:r>
      <w:r w:rsidRPr="007367F2">
        <w:rPr>
          <w:rFonts w:ascii="Calibri" w:eastAsia="Times New Roman" w:hAnsi="Calibri" w:cs="Calibri"/>
          <w:sz w:val="24"/>
          <w:szCs w:val="24"/>
          <w:lang w:eastAsia="zh-CN"/>
        </w:rPr>
        <w:t>party to the MRA, for information on all issues relevant to the application (such as the name and address, licensing formalities, and information on additional requirements which need to be met in the jurisdiction of the host party</w:t>
      </w:r>
      <w:proofErr w:type="gramStart"/>
      <w:r w:rsidRPr="007367F2">
        <w:rPr>
          <w:rFonts w:ascii="Calibri" w:eastAsia="Times New Roman" w:hAnsi="Calibri" w:cs="Calibri"/>
          <w:sz w:val="24"/>
          <w:szCs w:val="24"/>
          <w:lang w:eastAsia="zh-CN"/>
        </w:rPr>
        <w:t>);</w:t>
      </w:r>
      <w:proofErr w:type="gramEnd"/>
    </w:p>
    <w:p w14:paraId="116E79B8"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56404B81"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 xml:space="preserve">the duration of procedures for the processing of applications by the relevant authorities of the jurisdiction of the host </w:t>
      </w:r>
      <w:proofErr w:type="gramStart"/>
      <w:r w:rsidRPr="007367F2">
        <w:rPr>
          <w:rFonts w:ascii="Calibri" w:eastAsia="Times New Roman" w:hAnsi="Calibri" w:cs="Calibri"/>
          <w:sz w:val="24"/>
          <w:szCs w:val="24"/>
          <w:lang w:eastAsia="zh-CN"/>
        </w:rPr>
        <w:t>party;</w:t>
      </w:r>
      <w:proofErr w:type="gramEnd"/>
    </w:p>
    <w:p w14:paraId="7B9D6E86"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61A602A3"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(c)</w:t>
      </w:r>
      <w:r w:rsidRPr="007367F2">
        <w:rPr>
          <w:rFonts w:ascii="Calibri" w:eastAsia="Times New Roman" w:hAnsi="Calibri" w:cs="Calibri"/>
          <w:sz w:val="24"/>
          <w:szCs w:val="24"/>
          <w:lang w:eastAsia="zh-CN"/>
        </w:rPr>
        <w:tab/>
        <w:t xml:space="preserve">the documentation required of applicants and the form, including by electronic means, in which it should be presented and any time limits for </w:t>
      </w:r>
      <w:proofErr w:type="gramStart"/>
      <w:r w:rsidRPr="007367F2">
        <w:rPr>
          <w:rFonts w:ascii="Calibri" w:eastAsia="Times New Roman" w:hAnsi="Calibri" w:cs="Calibri"/>
          <w:sz w:val="24"/>
          <w:szCs w:val="24"/>
          <w:lang w:eastAsia="zh-CN"/>
        </w:rPr>
        <w:t>applications;</w:t>
      </w:r>
      <w:proofErr w:type="gramEnd"/>
    </w:p>
    <w:p w14:paraId="38C02013"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3D9B5238"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(d) </w:t>
      </w:r>
      <w:r w:rsidRPr="007367F2">
        <w:rPr>
          <w:rFonts w:ascii="Calibri" w:eastAsia="Times New Roman" w:hAnsi="Calibri" w:cs="Calibri"/>
          <w:sz w:val="24"/>
          <w:szCs w:val="24"/>
          <w:lang w:eastAsia="zh-CN"/>
        </w:rPr>
        <w:tab/>
        <w:t xml:space="preserve">acceptance of documents and certificates, including by electronic means where applicable, issued in the jurisdiction of the party of origin in relation to qualifications and </w:t>
      </w:r>
      <w:proofErr w:type="gramStart"/>
      <w:r w:rsidRPr="007367F2">
        <w:rPr>
          <w:rFonts w:ascii="Calibri" w:eastAsia="Times New Roman" w:hAnsi="Calibri" w:cs="Calibri"/>
          <w:sz w:val="24"/>
          <w:szCs w:val="24"/>
          <w:lang w:eastAsia="zh-CN"/>
        </w:rPr>
        <w:t>licensing;</w:t>
      </w:r>
      <w:proofErr w:type="gramEnd"/>
      <w:r w:rsidRPr="007367F2">
        <w:rPr>
          <w:rFonts w:ascii="Calibri" w:eastAsia="Times New Roman" w:hAnsi="Calibri" w:cs="Calibri"/>
          <w:sz w:val="24"/>
          <w:szCs w:val="24"/>
          <w:lang w:eastAsia="zh-CN"/>
        </w:rPr>
        <w:t xml:space="preserve"> </w:t>
      </w:r>
    </w:p>
    <w:p w14:paraId="0AADF59B"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4EB3E4D1"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(e) </w:t>
      </w:r>
      <w:r w:rsidRPr="007367F2">
        <w:rPr>
          <w:rFonts w:ascii="Calibri" w:eastAsia="Times New Roman" w:hAnsi="Calibri" w:cs="Calibri"/>
          <w:sz w:val="24"/>
          <w:szCs w:val="24"/>
          <w:lang w:eastAsia="zh-CN"/>
        </w:rPr>
        <w:tab/>
        <w:t xml:space="preserve">the procedures of appeal to or review by the relevant authorities in case of the rejection of an individual application for recognition; and </w:t>
      </w:r>
    </w:p>
    <w:p w14:paraId="665E17E4"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42C76A3B"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(f) </w:t>
      </w:r>
      <w:r w:rsidRPr="007367F2">
        <w:rPr>
          <w:rFonts w:ascii="Calibri" w:eastAsia="Times New Roman" w:hAnsi="Calibri" w:cs="Calibri"/>
          <w:sz w:val="24"/>
          <w:szCs w:val="24"/>
          <w:lang w:eastAsia="zh-CN"/>
        </w:rPr>
        <w:tab/>
        <w:t>the fees that might be reasonably required.</w:t>
      </w:r>
    </w:p>
    <w:p w14:paraId="7743428E"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6A5D3BB8"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lastRenderedPageBreak/>
        <w:t>17. The MRA could also include the following commitments:</w:t>
      </w:r>
    </w:p>
    <w:p w14:paraId="15C8DEAF"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6139512"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(a) </w:t>
      </w:r>
      <w:r w:rsidRPr="007367F2">
        <w:rPr>
          <w:rFonts w:ascii="Calibri" w:eastAsia="Times New Roman" w:hAnsi="Calibri" w:cs="Calibri"/>
          <w:sz w:val="24"/>
          <w:szCs w:val="24"/>
          <w:lang w:eastAsia="zh-CN"/>
        </w:rPr>
        <w:tab/>
        <w:t xml:space="preserve">that requests about the measures will be promptly dealt </w:t>
      </w:r>
      <w:proofErr w:type="gramStart"/>
      <w:r w:rsidRPr="007367F2">
        <w:rPr>
          <w:rFonts w:ascii="Calibri" w:eastAsia="Times New Roman" w:hAnsi="Calibri" w:cs="Calibri"/>
          <w:sz w:val="24"/>
          <w:szCs w:val="24"/>
          <w:lang w:eastAsia="zh-CN"/>
        </w:rPr>
        <w:t>with;</w:t>
      </w:r>
      <w:proofErr w:type="gramEnd"/>
    </w:p>
    <w:p w14:paraId="484AC7E7"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77E3C620"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 xml:space="preserve">that adequate preparation time will be provided where </w:t>
      </w:r>
      <w:proofErr w:type="gramStart"/>
      <w:r w:rsidRPr="007367F2">
        <w:rPr>
          <w:rFonts w:ascii="Calibri" w:eastAsia="Times New Roman" w:hAnsi="Calibri" w:cs="Calibri"/>
          <w:sz w:val="24"/>
          <w:szCs w:val="24"/>
          <w:lang w:eastAsia="zh-CN"/>
        </w:rPr>
        <w:t>necessary;</w:t>
      </w:r>
      <w:proofErr w:type="gramEnd"/>
    </w:p>
    <w:p w14:paraId="7834B853"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19904E5A"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(c) </w:t>
      </w:r>
      <w:r w:rsidRPr="007367F2">
        <w:rPr>
          <w:rFonts w:ascii="Calibri" w:eastAsia="Times New Roman" w:hAnsi="Calibri" w:cs="Calibri"/>
          <w:sz w:val="24"/>
          <w:szCs w:val="24"/>
          <w:lang w:eastAsia="zh-CN"/>
        </w:rPr>
        <w:tab/>
        <w:t xml:space="preserve">that any exams or tests will be arranged with reasonable periodicity and </w:t>
      </w:r>
      <w:proofErr w:type="gramStart"/>
      <w:r w:rsidRPr="007367F2">
        <w:rPr>
          <w:rFonts w:ascii="Calibri" w:eastAsia="Times New Roman" w:hAnsi="Calibri" w:cs="Calibri"/>
          <w:sz w:val="24"/>
          <w:szCs w:val="24"/>
          <w:lang w:eastAsia="zh-CN"/>
        </w:rPr>
        <w:t>accessibility;</w:t>
      </w:r>
      <w:proofErr w:type="gramEnd"/>
    </w:p>
    <w:p w14:paraId="501A9275"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26718273"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(d) </w:t>
      </w:r>
      <w:r w:rsidRPr="007367F2">
        <w:rPr>
          <w:rFonts w:ascii="Calibri" w:eastAsia="Times New Roman" w:hAnsi="Calibri" w:cs="Calibri"/>
          <w:sz w:val="24"/>
          <w:szCs w:val="24"/>
          <w:lang w:eastAsia="zh-CN"/>
        </w:rPr>
        <w:tab/>
        <w:t>that fees to applicants seeking to take advantage of the terms of the MRA will be in proportion to the cost to the jurisdiction of the host party or organisation; and</w:t>
      </w:r>
    </w:p>
    <w:p w14:paraId="6BA6377D"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62AB9BB6"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(e) </w:t>
      </w:r>
      <w:r w:rsidRPr="007367F2">
        <w:rPr>
          <w:rFonts w:ascii="Calibri" w:eastAsia="Times New Roman" w:hAnsi="Calibri" w:cs="Calibri"/>
          <w:sz w:val="24"/>
          <w:szCs w:val="24"/>
          <w:lang w:eastAsia="zh-CN"/>
        </w:rPr>
        <w:tab/>
        <w:t>that information on any assistance programmes in the jurisdiction of the host party for practical training, and any commitments of the jurisdiction of the host party in that context, be supplied.</w:t>
      </w:r>
    </w:p>
    <w:p w14:paraId="6C818522"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3FDD5865"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18. The MRA could require the parties to the MRA to communicate to their counterpart any new requirements or modifications to existing requirements that might have an impact on the recognition of qualifications under the MRA.</w:t>
      </w:r>
    </w:p>
    <w:p w14:paraId="2994FC06"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53954A25"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Licensing and Other Provisions in the Jurisdiction of the Host Party</w:t>
      </w:r>
    </w:p>
    <w:p w14:paraId="214A50B9"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3B079689" w14:textId="77777777"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19. If applicable:</w:t>
      </w:r>
    </w:p>
    <w:p w14:paraId="2D26CAA1"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4438598E"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(a)</w:t>
      </w:r>
      <w:r w:rsidRPr="007367F2">
        <w:rPr>
          <w:rFonts w:ascii="Calibri" w:eastAsia="Times New Roman" w:hAnsi="Calibri" w:cs="Calibri"/>
          <w:sz w:val="24"/>
          <w:szCs w:val="24"/>
          <w:lang w:eastAsia="zh-CN"/>
        </w:rPr>
        <w:tab/>
        <w:t>the MRA could also set out the means by which, and the conditions under which, a license is actually obtained following the establishment of eligibility, and what such license entails (such as a license and its content, membership of a professional body, and use of professional or academic titles</w:t>
      </w:r>
      <w:proofErr w:type="gramStart"/>
      <w:r w:rsidRPr="007367F2">
        <w:rPr>
          <w:rFonts w:ascii="Calibri" w:eastAsia="Times New Roman" w:hAnsi="Calibri" w:cs="Calibri"/>
          <w:sz w:val="24"/>
          <w:szCs w:val="24"/>
          <w:lang w:eastAsia="zh-CN"/>
        </w:rPr>
        <w:t>);</w:t>
      </w:r>
      <w:proofErr w:type="gramEnd"/>
    </w:p>
    <w:p w14:paraId="40D078F9" w14:textId="77777777" w:rsidR="001E6ADF" w:rsidRPr="007367F2" w:rsidRDefault="001E6ADF" w:rsidP="008B10C1">
      <w:pPr>
        <w:shd w:val="clear" w:color="auto" w:fill="FFFFFF"/>
        <w:spacing w:after="0" w:line="276" w:lineRule="auto"/>
        <w:ind w:left="851" w:hanging="567"/>
        <w:rPr>
          <w:rFonts w:ascii="Calibri" w:eastAsia="Times New Roman" w:hAnsi="Calibri" w:cs="Calibri"/>
          <w:sz w:val="24"/>
          <w:szCs w:val="24"/>
          <w:lang w:eastAsia="zh-CN"/>
        </w:rPr>
      </w:pPr>
    </w:p>
    <w:p w14:paraId="18BDC0E0" w14:textId="75632D07" w:rsidR="001E6ADF" w:rsidRDefault="001E6ADF" w:rsidP="008B10C1">
      <w:pPr>
        <w:shd w:val="clear" w:color="auto" w:fill="FFFFFF"/>
        <w:spacing w:after="0" w:line="276" w:lineRule="auto"/>
        <w:ind w:left="851"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(b) </w:t>
      </w:r>
      <w:r w:rsidRPr="007367F2">
        <w:rPr>
          <w:rFonts w:ascii="Calibri" w:eastAsia="Times New Roman" w:hAnsi="Calibri" w:cs="Calibri"/>
          <w:sz w:val="24"/>
          <w:szCs w:val="24"/>
          <w:lang w:eastAsia="zh-CN"/>
        </w:rPr>
        <w:tab/>
        <w:t>a licensing requirement, other than qualifications and experience, may include, for example:</w:t>
      </w:r>
    </w:p>
    <w:p w14:paraId="78C3625F" w14:textId="77777777" w:rsidR="00D53BBB" w:rsidRPr="007367F2" w:rsidRDefault="00D53BBB" w:rsidP="008B10C1">
      <w:pPr>
        <w:shd w:val="clear" w:color="auto" w:fill="FFFFFF"/>
        <w:spacing w:after="0" w:line="276" w:lineRule="auto"/>
        <w:ind w:left="851" w:hanging="567"/>
        <w:rPr>
          <w:rFonts w:ascii="Calibri" w:eastAsia="Times New Roman" w:hAnsi="Calibri" w:cs="Calibri"/>
          <w:sz w:val="24"/>
          <w:szCs w:val="24"/>
          <w:lang w:eastAsia="zh-CN"/>
        </w:rPr>
      </w:pPr>
    </w:p>
    <w:p w14:paraId="429D11BD"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w:t>
      </w:r>
      <w:proofErr w:type="spellStart"/>
      <w:r w:rsidRPr="007367F2">
        <w:rPr>
          <w:rFonts w:ascii="Calibri" w:eastAsia="Times New Roman" w:hAnsi="Calibri" w:cs="Calibri"/>
          <w:sz w:val="24"/>
          <w:szCs w:val="24"/>
          <w:lang w:eastAsia="zh-CN"/>
        </w:rPr>
        <w:t>i</w:t>
      </w:r>
      <w:proofErr w:type="spellEnd"/>
      <w:r w:rsidRPr="007367F2">
        <w:rPr>
          <w:rFonts w:ascii="Calibri" w:eastAsia="Times New Roman" w:hAnsi="Calibri" w:cs="Calibri"/>
          <w:sz w:val="24"/>
          <w:szCs w:val="24"/>
          <w:lang w:eastAsia="zh-CN"/>
        </w:rPr>
        <w:t>)</w:t>
      </w:r>
      <w:r w:rsidRPr="007367F2">
        <w:rPr>
          <w:rFonts w:ascii="Calibri" w:eastAsia="Times New Roman" w:hAnsi="Calibri" w:cs="Calibri"/>
          <w:sz w:val="24"/>
          <w:szCs w:val="24"/>
          <w:lang w:eastAsia="zh-CN"/>
        </w:rPr>
        <w:tab/>
        <w:t>proof of payment of any required application fees,</w:t>
      </w:r>
    </w:p>
    <w:p w14:paraId="1EBE5AA0"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p>
    <w:p w14:paraId="07A7733C"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(ii)</w:t>
      </w:r>
      <w:r w:rsidRPr="007367F2">
        <w:rPr>
          <w:rFonts w:ascii="Calibri" w:eastAsia="Times New Roman" w:hAnsi="Calibri" w:cs="Calibri"/>
          <w:sz w:val="24"/>
          <w:szCs w:val="24"/>
          <w:lang w:eastAsia="zh-CN"/>
        </w:rPr>
        <w:tab/>
        <w:t>a language proficiency requirement,</w:t>
      </w:r>
    </w:p>
    <w:p w14:paraId="3DFC86BC"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p>
    <w:p w14:paraId="1BC9AE25"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(iii) </w:t>
      </w:r>
      <w:r w:rsidRPr="007367F2">
        <w:rPr>
          <w:rFonts w:ascii="Calibri" w:eastAsia="Times New Roman" w:hAnsi="Calibri" w:cs="Calibri"/>
          <w:sz w:val="24"/>
          <w:szCs w:val="24"/>
          <w:lang w:eastAsia="zh-CN"/>
        </w:rPr>
        <w:tab/>
        <w:t>proof of good and financial standing,</w:t>
      </w:r>
    </w:p>
    <w:p w14:paraId="232A7EBC"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304CBC1A"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(iv) </w:t>
      </w:r>
      <w:r w:rsidRPr="007367F2">
        <w:rPr>
          <w:rFonts w:ascii="Calibri" w:eastAsia="Times New Roman" w:hAnsi="Calibri" w:cs="Calibri"/>
          <w:sz w:val="24"/>
          <w:szCs w:val="24"/>
          <w:lang w:eastAsia="zh-CN"/>
        </w:rPr>
        <w:tab/>
        <w:t>professional indemnity insurance in accordance with the laws of the jurisdiction of the host party,</w:t>
      </w:r>
    </w:p>
    <w:p w14:paraId="0AD90811"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p>
    <w:p w14:paraId="431726C1"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(v)     demonstrate local knowledge of occupational legislation (</w:t>
      </w:r>
      <w:proofErr w:type="gramStart"/>
      <w:r w:rsidRPr="007367F2">
        <w:rPr>
          <w:rFonts w:ascii="Calibri" w:eastAsia="Times New Roman" w:hAnsi="Calibri" w:cs="Calibri"/>
          <w:sz w:val="24"/>
          <w:szCs w:val="24"/>
          <w:lang w:eastAsia="zh-CN"/>
        </w:rPr>
        <w:t>i.e.</w:t>
      </w:r>
      <w:proofErr w:type="gramEnd"/>
      <w:r w:rsidRPr="007367F2">
        <w:rPr>
          <w:rFonts w:ascii="Calibri" w:eastAsia="Times New Roman" w:hAnsi="Calibri" w:cs="Calibri"/>
          <w:sz w:val="24"/>
          <w:szCs w:val="24"/>
          <w:lang w:eastAsia="zh-CN"/>
        </w:rPr>
        <w:t xml:space="preserve"> Acts, regulations </w:t>
      </w:r>
      <w:r w:rsidRPr="007367F2">
        <w:rPr>
          <w:rFonts w:ascii="Calibri" w:eastAsia="Times New Roman" w:hAnsi="Calibri" w:cs="Calibri"/>
          <w:sz w:val="24"/>
          <w:szCs w:val="24"/>
          <w:lang w:eastAsia="zh-CN"/>
        </w:rPr>
        <w:lastRenderedPageBreak/>
        <w:t>and codes) in the host jurisdiction,</w:t>
      </w:r>
    </w:p>
    <w:p w14:paraId="6A3684E4"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p>
    <w:p w14:paraId="4895034F"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(v) </w:t>
      </w:r>
      <w:r w:rsidRPr="007367F2">
        <w:rPr>
          <w:rFonts w:ascii="Calibri" w:eastAsia="Times New Roman" w:hAnsi="Calibri" w:cs="Calibri"/>
          <w:sz w:val="24"/>
          <w:szCs w:val="24"/>
          <w:lang w:eastAsia="zh-CN"/>
        </w:rPr>
        <w:tab/>
        <w:t xml:space="preserve">compliance with </w:t>
      </w:r>
      <w:bookmarkStart w:id="1" w:name="_Hlk84412901"/>
      <w:r w:rsidRPr="007367F2">
        <w:rPr>
          <w:rFonts w:ascii="Calibri" w:eastAsia="Times New Roman" w:hAnsi="Calibri" w:cs="Calibri"/>
          <w:sz w:val="24"/>
          <w:szCs w:val="24"/>
          <w:lang w:eastAsia="zh-CN"/>
        </w:rPr>
        <w:t>the jurisdiction of the host party</w:t>
      </w:r>
      <w:bookmarkEnd w:id="1"/>
      <w:r w:rsidRPr="007367F2">
        <w:rPr>
          <w:rFonts w:ascii="Calibri" w:eastAsia="Times New Roman" w:hAnsi="Calibri" w:cs="Calibri"/>
          <w:sz w:val="24"/>
          <w:szCs w:val="24"/>
          <w:lang w:eastAsia="zh-CN"/>
        </w:rPr>
        <w:t>’s requirements for use of trade or firm names, and</w:t>
      </w:r>
    </w:p>
    <w:p w14:paraId="17ACB76E"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p>
    <w:p w14:paraId="5805C69C" w14:textId="77777777" w:rsidR="001E6ADF" w:rsidRPr="007367F2" w:rsidRDefault="001E6ADF" w:rsidP="008B10C1">
      <w:pPr>
        <w:shd w:val="clear" w:color="auto" w:fill="FFFFFF"/>
        <w:spacing w:after="0" w:line="276" w:lineRule="auto"/>
        <w:ind w:left="1418" w:hanging="567"/>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 xml:space="preserve">(vi) </w:t>
      </w:r>
      <w:r w:rsidRPr="007367F2">
        <w:rPr>
          <w:rFonts w:ascii="Calibri" w:eastAsia="Times New Roman" w:hAnsi="Calibri" w:cs="Calibri"/>
          <w:sz w:val="24"/>
          <w:szCs w:val="24"/>
          <w:lang w:eastAsia="zh-CN"/>
        </w:rPr>
        <w:tab/>
        <w:t>compliance with the jurisdiction of the host party’s ethics, for instance independence and incompatibility.</w:t>
      </w:r>
    </w:p>
    <w:p w14:paraId="70A12BBB"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721795B3" w14:textId="77777777" w:rsidR="001E6ADF" w:rsidRPr="007367F2" w:rsidRDefault="001E6ADF" w:rsidP="008B10C1">
      <w:pPr>
        <w:shd w:val="clear" w:color="auto" w:fill="FFFFFF"/>
        <w:spacing w:after="0" w:line="276" w:lineRule="auto"/>
        <w:rPr>
          <w:rFonts w:ascii="Calibri" w:eastAsia="Times New Roman" w:hAnsi="Calibri" w:cs="Calibri"/>
          <w:i/>
          <w:sz w:val="24"/>
          <w:szCs w:val="24"/>
          <w:lang w:eastAsia="zh-CN"/>
        </w:rPr>
      </w:pPr>
      <w:r w:rsidRPr="007367F2">
        <w:rPr>
          <w:rFonts w:ascii="Calibri" w:eastAsia="Times New Roman" w:hAnsi="Calibri" w:cs="Calibri"/>
          <w:i/>
          <w:sz w:val="24"/>
          <w:szCs w:val="24"/>
          <w:lang w:eastAsia="zh-CN"/>
        </w:rPr>
        <w:t>Revision of the MRA</w:t>
      </w:r>
    </w:p>
    <w:p w14:paraId="0DD6DC1B" w14:textId="77777777" w:rsidR="001E6ADF" w:rsidRPr="007367F2" w:rsidRDefault="001E6ADF" w:rsidP="008B10C1">
      <w:pPr>
        <w:shd w:val="clear" w:color="auto" w:fill="FFFFFF"/>
        <w:spacing w:after="0" w:line="276" w:lineRule="auto"/>
        <w:rPr>
          <w:rFonts w:ascii="Calibri" w:eastAsia="Times New Roman" w:hAnsi="Calibri" w:cs="Calibri"/>
          <w:sz w:val="24"/>
          <w:szCs w:val="24"/>
          <w:lang w:eastAsia="zh-CN"/>
        </w:rPr>
      </w:pPr>
    </w:p>
    <w:p w14:paraId="06C6B6D4" w14:textId="181B7128" w:rsidR="001E6ADF" w:rsidRPr="007367F2" w:rsidRDefault="001E6ADF" w:rsidP="008B10C1">
      <w:pPr>
        <w:shd w:val="clear" w:color="auto" w:fill="FFFFFF"/>
        <w:spacing w:after="0" w:line="276" w:lineRule="auto"/>
        <w:ind w:left="284" w:hanging="284"/>
        <w:rPr>
          <w:rFonts w:ascii="Calibri" w:eastAsia="Times New Roman" w:hAnsi="Calibri" w:cs="Calibri"/>
          <w:sz w:val="24"/>
          <w:szCs w:val="24"/>
          <w:lang w:eastAsia="zh-CN"/>
        </w:rPr>
      </w:pPr>
      <w:r w:rsidRPr="007367F2">
        <w:rPr>
          <w:rFonts w:ascii="Calibri" w:eastAsia="Times New Roman" w:hAnsi="Calibri" w:cs="Calibri"/>
          <w:sz w:val="24"/>
          <w:szCs w:val="24"/>
          <w:lang w:eastAsia="zh-CN"/>
        </w:rPr>
        <w:t>20. If the MRA includes terms under which it can be reviewed, amended</w:t>
      </w:r>
      <w:r w:rsidR="00507A2E">
        <w:rPr>
          <w:rFonts w:ascii="Calibri" w:eastAsia="Times New Roman" w:hAnsi="Calibri" w:cs="Calibri"/>
          <w:sz w:val="24"/>
          <w:szCs w:val="24"/>
          <w:lang w:eastAsia="zh-CN"/>
        </w:rPr>
        <w:t>,</w:t>
      </w:r>
      <w:r w:rsidRPr="007367F2">
        <w:rPr>
          <w:rFonts w:ascii="Calibri" w:eastAsia="Times New Roman" w:hAnsi="Calibri" w:cs="Calibri"/>
          <w:sz w:val="24"/>
          <w:szCs w:val="24"/>
          <w:lang w:eastAsia="zh-CN"/>
        </w:rPr>
        <w:t xml:space="preserve"> or revoked, the details of such terms should be clearly stated. </w:t>
      </w:r>
    </w:p>
    <w:p w14:paraId="5658AA89" w14:textId="77777777" w:rsidR="00537BDA" w:rsidRDefault="007F3EEB" w:rsidP="008B10C1"/>
    <w:sectPr w:rsidR="00537B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C60C" w14:textId="77777777" w:rsidR="00723AFF" w:rsidRDefault="00723AFF" w:rsidP="001E6ADF">
      <w:pPr>
        <w:spacing w:after="0" w:line="240" w:lineRule="auto"/>
      </w:pPr>
      <w:r>
        <w:separator/>
      </w:r>
    </w:p>
  </w:endnote>
  <w:endnote w:type="continuationSeparator" w:id="0">
    <w:p w14:paraId="59078E0F" w14:textId="77777777" w:rsidR="00723AFF" w:rsidRDefault="00723AFF" w:rsidP="001E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FB80" w14:textId="77777777" w:rsidR="00723AFF" w:rsidRDefault="00723AFF" w:rsidP="001E6ADF">
      <w:pPr>
        <w:spacing w:after="0" w:line="240" w:lineRule="auto"/>
      </w:pPr>
      <w:r>
        <w:separator/>
      </w:r>
    </w:p>
  </w:footnote>
  <w:footnote w:type="continuationSeparator" w:id="0">
    <w:p w14:paraId="6DB3B53E" w14:textId="77777777" w:rsidR="00723AFF" w:rsidRDefault="00723AFF" w:rsidP="001E6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DF"/>
    <w:rsid w:val="001E56C5"/>
    <w:rsid w:val="001E6ADF"/>
    <w:rsid w:val="001E7036"/>
    <w:rsid w:val="00291B86"/>
    <w:rsid w:val="002C100A"/>
    <w:rsid w:val="00351219"/>
    <w:rsid w:val="00361FF8"/>
    <w:rsid w:val="004E616D"/>
    <w:rsid w:val="00507A2E"/>
    <w:rsid w:val="00512C3E"/>
    <w:rsid w:val="00723AFF"/>
    <w:rsid w:val="00823DFD"/>
    <w:rsid w:val="008B10C1"/>
    <w:rsid w:val="008D30B9"/>
    <w:rsid w:val="00A3425B"/>
    <w:rsid w:val="00B35985"/>
    <w:rsid w:val="00B951B2"/>
    <w:rsid w:val="00BC487C"/>
    <w:rsid w:val="00CC6CB7"/>
    <w:rsid w:val="00D53B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9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DF"/>
    <w:pPr>
      <w:widowControl w:val="0"/>
      <w:jc w:val="both"/>
    </w:pPr>
    <w:rPr>
      <w:rFonts w:eastAsiaTheme="minorEastAsia" w:cs="Times New Roman"/>
      <w:kern w:val="2"/>
      <w:sz w:val="21"/>
      <w:szCs w:val="20"/>
      <w:lang w:eastAsia="en-SG"/>
    </w:rPr>
  </w:style>
  <w:style w:type="paragraph" w:styleId="Heading1">
    <w:name w:val="heading 1"/>
    <w:basedOn w:val="Normal"/>
    <w:next w:val="Normal"/>
    <w:link w:val="Heading1Char"/>
    <w:uiPriority w:val="9"/>
    <w:qFormat/>
    <w:rsid w:val="00823DFD"/>
    <w:pPr>
      <w:spacing w:after="0" w:line="276" w:lineRule="auto"/>
      <w:jc w:val="center"/>
      <w:outlineLvl w:val="0"/>
    </w:pPr>
    <w:rPr>
      <w:rFonts w:ascii="Calibri" w:hAnsi="Calibri" w:cs="Calibri"/>
      <w:b/>
      <w:sz w:val="24"/>
      <w:szCs w:val="24"/>
    </w:rPr>
  </w:style>
  <w:style w:type="paragraph" w:styleId="Heading2">
    <w:name w:val="heading 2"/>
    <w:basedOn w:val="Normal"/>
    <w:next w:val="Normal"/>
    <w:link w:val="Heading2Char"/>
    <w:uiPriority w:val="9"/>
    <w:unhideWhenUsed/>
    <w:qFormat/>
    <w:rsid w:val="00823DFD"/>
    <w:pPr>
      <w:shd w:val="clear" w:color="auto" w:fill="FFFFFF"/>
      <w:spacing w:after="0" w:line="276" w:lineRule="auto"/>
      <w:outlineLvl w:val="1"/>
    </w:pPr>
    <w:rPr>
      <w:rFonts w:ascii="Calibri" w:eastAsia="Times New Roman" w:hAnsi="Calibri" w:cs="Calibri"/>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ADF"/>
    <w:rPr>
      <w:rFonts w:eastAsiaTheme="minorEastAsia" w:cs="Times New Roman"/>
      <w:kern w:val="2"/>
      <w:sz w:val="21"/>
      <w:szCs w:val="20"/>
      <w:lang w:eastAsia="en-SG"/>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FF8"/>
    <w:pPr>
      <w:spacing w:after="0" w:line="240" w:lineRule="auto"/>
    </w:pPr>
    <w:rPr>
      <w:rFonts w:eastAsiaTheme="minorEastAsia" w:cs="Times New Roman"/>
      <w:kern w:val="2"/>
      <w:sz w:val="21"/>
      <w:szCs w:val="20"/>
      <w:lang w:eastAsia="en-SG"/>
    </w:rPr>
  </w:style>
  <w:style w:type="character" w:styleId="CommentReference">
    <w:name w:val="annotation reference"/>
    <w:basedOn w:val="DefaultParagraphFont"/>
    <w:uiPriority w:val="99"/>
    <w:semiHidden/>
    <w:unhideWhenUsed/>
    <w:rsid w:val="00361FF8"/>
    <w:rPr>
      <w:sz w:val="16"/>
      <w:szCs w:val="16"/>
    </w:rPr>
  </w:style>
  <w:style w:type="paragraph" w:styleId="CommentText">
    <w:name w:val="annotation text"/>
    <w:basedOn w:val="Normal"/>
    <w:link w:val="CommentTextChar"/>
    <w:uiPriority w:val="99"/>
    <w:unhideWhenUsed/>
    <w:rsid w:val="00361FF8"/>
    <w:pPr>
      <w:spacing w:line="240" w:lineRule="auto"/>
    </w:pPr>
    <w:rPr>
      <w:sz w:val="20"/>
    </w:rPr>
  </w:style>
  <w:style w:type="character" w:customStyle="1" w:styleId="CommentTextChar">
    <w:name w:val="Comment Text Char"/>
    <w:basedOn w:val="DefaultParagraphFont"/>
    <w:link w:val="CommentText"/>
    <w:uiPriority w:val="99"/>
    <w:rsid w:val="00361FF8"/>
    <w:rPr>
      <w:rFonts w:eastAsiaTheme="minorEastAsia" w:cs="Times New Roman"/>
      <w:kern w:val="2"/>
      <w:sz w:val="20"/>
      <w:szCs w:val="20"/>
      <w:lang w:eastAsia="en-SG"/>
    </w:rPr>
  </w:style>
  <w:style w:type="paragraph" w:styleId="CommentSubject">
    <w:name w:val="annotation subject"/>
    <w:basedOn w:val="CommentText"/>
    <w:next w:val="CommentText"/>
    <w:link w:val="CommentSubjectChar"/>
    <w:uiPriority w:val="99"/>
    <w:semiHidden/>
    <w:unhideWhenUsed/>
    <w:rsid w:val="00361FF8"/>
    <w:rPr>
      <w:b/>
      <w:bCs/>
    </w:rPr>
  </w:style>
  <w:style w:type="character" w:customStyle="1" w:styleId="CommentSubjectChar">
    <w:name w:val="Comment Subject Char"/>
    <w:basedOn w:val="CommentTextChar"/>
    <w:link w:val="CommentSubject"/>
    <w:uiPriority w:val="99"/>
    <w:semiHidden/>
    <w:rsid w:val="00361FF8"/>
    <w:rPr>
      <w:rFonts w:eastAsiaTheme="minorEastAsia" w:cs="Times New Roman"/>
      <w:b/>
      <w:bCs/>
      <w:kern w:val="2"/>
      <w:sz w:val="20"/>
      <w:szCs w:val="20"/>
      <w:lang w:eastAsia="en-SG"/>
    </w:rPr>
  </w:style>
  <w:style w:type="paragraph" w:styleId="Header">
    <w:name w:val="header"/>
    <w:basedOn w:val="Normal"/>
    <w:link w:val="HeaderChar"/>
    <w:uiPriority w:val="99"/>
    <w:unhideWhenUsed/>
    <w:rsid w:val="008B1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C1"/>
    <w:rPr>
      <w:rFonts w:eastAsiaTheme="minorEastAsia" w:cs="Times New Roman"/>
      <w:kern w:val="2"/>
      <w:sz w:val="21"/>
      <w:szCs w:val="20"/>
      <w:lang w:eastAsia="en-SG"/>
    </w:rPr>
  </w:style>
  <w:style w:type="paragraph" w:styleId="Footer">
    <w:name w:val="footer"/>
    <w:basedOn w:val="Normal"/>
    <w:link w:val="FooterChar"/>
    <w:uiPriority w:val="99"/>
    <w:unhideWhenUsed/>
    <w:rsid w:val="008B1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C1"/>
    <w:rPr>
      <w:rFonts w:eastAsiaTheme="minorEastAsia" w:cs="Times New Roman"/>
      <w:kern w:val="2"/>
      <w:sz w:val="21"/>
      <w:szCs w:val="20"/>
      <w:lang w:eastAsia="en-SG"/>
    </w:rPr>
  </w:style>
  <w:style w:type="character" w:customStyle="1" w:styleId="Heading1Char">
    <w:name w:val="Heading 1 Char"/>
    <w:basedOn w:val="DefaultParagraphFont"/>
    <w:link w:val="Heading1"/>
    <w:uiPriority w:val="9"/>
    <w:rsid w:val="00823DFD"/>
    <w:rPr>
      <w:rFonts w:ascii="Calibri" w:eastAsiaTheme="minorEastAsia" w:hAnsi="Calibri" w:cs="Calibri"/>
      <w:b/>
      <w:kern w:val="2"/>
      <w:sz w:val="24"/>
      <w:szCs w:val="24"/>
      <w:lang w:eastAsia="en-SG"/>
    </w:rPr>
  </w:style>
  <w:style w:type="character" w:customStyle="1" w:styleId="Heading2Char">
    <w:name w:val="Heading 2 Char"/>
    <w:basedOn w:val="DefaultParagraphFont"/>
    <w:link w:val="Heading2"/>
    <w:uiPriority w:val="9"/>
    <w:rsid w:val="00823DFD"/>
    <w:rPr>
      <w:rFonts w:ascii="Calibri" w:eastAsia="Times New Roman" w:hAnsi="Calibri" w:cs="Calibri"/>
      <w:b/>
      <w:kern w:val="2"/>
      <w:sz w:val="24"/>
      <w:szCs w:val="24"/>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5D842-764E-4FA5-89F2-C5881491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1706</Words>
  <Characters>9350</Characters>
  <Application>Microsoft Office Word</Application>
  <DocSecurity>0</DocSecurity>
  <Lines>258</Lines>
  <Paragraphs>88</Paragraphs>
  <ScaleCrop>false</ScaleCrop>
  <HeadingPairs>
    <vt:vector size="2" baseType="variant">
      <vt:variant>
        <vt:lpstr>Title</vt:lpstr>
      </vt:variant>
      <vt:variant>
        <vt:i4>1</vt:i4>
      </vt:variant>
    </vt:vector>
  </HeadingPairs>
  <TitlesOfParts>
    <vt:vector size="1" baseType="lpstr">
      <vt:lpstr>guidelines-mutua-recognition-agreements-arrangements</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Mutual Recognition Agreements or Arrangements</dc:title>
  <dc:subject/>
  <dc:creator/>
  <cp:keywords>[SEC=OFFICIAL]</cp:keywords>
  <dc:description/>
  <cp:lastModifiedBy/>
  <cp:revision>1</cp:revision>
  <dcterms:created xsi:type="dcterms:W3CDTF">2022-11-08T23:32:00Z</dcterms:created>
  <dcterms:modified xsi:type="dcterms:W3CDTF">2022-11-08T23:32:00Z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ContentBits">
    <vt:lpwstr>0</vt:lpwstr>
  </property>
  <property fmtid="{D5CDD505-2E9C-101B-9397-08002B2CF9AE}" pid="4" name="MSIP_Label_54803508-8490-4252-b331-d9b72689e942_SiteId">
    <vt:lpwstr>0b11c524-9a1c-4e1b-84cb-6336aefc2243</vt:lpwstr>
  </property>
  <property fmtid="{D5CDD505-2E9C-101B-9397-08002B2CF9AE}" pid="5" name="MSIP_Label_54803508-8490-4252-b331-d9b72689e942_SetDate">
    <vt:lpwstr>2022-09-29T15:37:16Z</vt:lpwstr>
  </property>
  <property fmtid="{D5CDD505-2E9C-101B-9397-08002B2CF9AE}" pid="6" name="MSIP_Label_54803508-8490-4252-b331-d9b72689e942_Method">
    <vt:lpwstr>Privileged</vt:lpwstr>
  </property>
  <property fmtid="{D5CDD505-2E9C-101B-9397-08002B2CF9AE}" pid="7" name="MSIP_Label_54803508-8490-4252-b331-d9b72689e942_Name">
    <vt:lpwstr>Non Sensitive_0</vt:lpwstr>
  </property>
  <property fmtid="{D5CDD505-2E9C-101B-9397-08002B2CF9AE}" pid="8" name="PM_InsertionValue">
    <vt:lpwstr>OFFICIAL</vt:lpwstr>
  </property>
  <property fmtid="{D5CDD505-2E9C-101B-9397-08002B2CF9AE}" pid="9" name="PM_SecurityClassification">
    <vt:lpwstr>OFFICIAL</vt:lpwstr>
  </property>
  <property fmtid="{D5CDD505-2E9C-101B-9397-08002B2CF9AE}" pid="10" name="MSIP_Label_54803508-8490-4252-b331-d9b72689e942_ActionId">
    <vt:lpwstr>cf8d0e0b-cc44-4202-a745-777edd25549f</vt:lpwstr>
  </property>
  <property fmtid="{D5CDD505-2E9C-101B-9397-08002B2CF9AE}" pid="11" name="PM_Caveats_Count">
    <vt:lpwstr>0</vt:lpwstr>
  </property>
  <property fmtid="{D5CDD505-2E9C-101B-9397-08002B2CF9AE}" pid="12" name="PM_Qualifier">
    <vt:lpwstr/>
  </property>
  <property fmtid="{D5CDD505-2E9C-101B-9397-08002B2CF9AE}" pid="13" name="PM_DisplayValueSecClassificationWithQualifier">
    <vt:lpwstr>OFFICIAL</vt:lpwstr>
  </property>
  <property fmtid="{D5CDD505-2E9C-101B-9397-08002B2CF9AE}" pid="14" name="PM_Originator_Hash_SHA1">
    <vt:lpwstr>D9F6E5C82DFAF7AB6E3D596D48DD43C72EDFDAB4</vt:lpwstr>
  </property>
  <property fmtid="{D5CDD505-2E9C-101B-9397-08002B2CF9AE}" pid="15" name="PM_ProtectiveMarkingValue_Header">
    <vt:lpwstr>OFFICIAL</vt:lpwstr>
  </property>
  <property fmtid="{D5CDD505-2E9C-101B-9397-08002B2CF9AE}" pid="16" name="PM_OriginationTimeStamp">
    <vt:lpwstr>2022-11-08T23:32:23Z</vt:lpwstr>
  </property>
  <property fmtid="{D5CDD505-2E9C-101B-9397-08002B2CF9AE}" pid="17" name="PM_ProtectiveMarkingValue_Footer">
    <vt:lpwstr>OFFICIAL</vt:lpwstr>
  </property>
  <property fmtid="{D5CDD505-2E9C-101B-9397-08002B2CF9AE}" pid="18" name="PM_Originating_FileId">
    <vt:lpwstr>DF656B250892469DBD3C3ACBB2625909</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Hash_Version">
    <vt:lpwstr>2018.0</vt:lpwstr>
  </property>
  <property fmtid="{D5CDD505-2E9C-101B-9397-08002B2CF9AE}" pid="27" name="PM_Hash_Salt_Prev">
    <vt:lpwstr>A5446ACABB7BDC9BC1534DC06D3A607E</vt:lpwstr>
  </property>
  <property fmtid="{D5CDD505-2E9C-101B-9397-08002B2CF9AE}" pid="28" name="PM_Hash_Salt">
    <vt:lpwstr>C9380DAB8F08573B518ED88C04E38550</vt:lpwstr>
  </property>
  <property fmtid="{D5CDD505-2E9C-101B-9397-08002B2CF9AE}" pid="29" name="PM_Hash_SHA1">
    <vt:lpwstr>774D1DB0A854504403E44E644FE47EAAFFD22325</vt:lpwstr>
  </property>
  <property fmtid="{D5CDD505-2E9C-101B-9397-08002B2CF9AE}" pid="30" name="PM_OriginatorUserAccountName_SHA256">
    <vt:lpwstr>3E9DB5AB808CA91EB3E8EC398CDB7F67B110581D6BB28BC88565729DCE387350</vt:lpwstr>
  </property>
  <property fmtid="{D5CDD505-2E9C-101B-9397-08002B2CF9AE}" pid="31" name="PM_OriginatorDomainName_SHA256">
    <vt:lpwstr>6F3591835F3B2A8A025B00B5BA6418010DA3A17C9C26EA9C049FFD28039489A2</vt:lpwstr>
  </property>
  <property fmtid="{D5CDD505-2E9C-101B-9397-08002B2CF9AE}" pid="32" name="PM_MinimumSecurityClassification">
    <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Uuid">
    <vt:lpwstr>ABBFF5E2-9674-55C9-B08D-C9980002FD58</vt:lpwstr>
  </property>
  <property fmtid="{D5CDD505-2E9C-101B-9397-08002B2CF9AE}" pid="36" name="PMUuidVer">
    <vt:lpwstr>2022.1</vt:lpwstr>
  </property>
</Properties>
</file>