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4C1F1" w14:textId="30DC5B0C" w:rsidR="00140669" w:rsidRDefault="0020551D" w:rsidP="002E7313">
      <w:pPr>
        <w:suppressAutoHyphens w:val="0"/>
        <w:spacing w:before="0" w:after="120" w:line="440" w:lineRule="atLeast"/>
        <w:rPr>
          <w:rFonts w:asciiTheme="majorHAnsi" w:hAnsiTheme="majorHAnsi" w:cs="Arial"/>
          <w:color w:val="FF0000"/>
          <w:szCs w:val="21"/>
        </w:rPr>
      </w:pPr>
      <w:r w:rsidRPr="008A51A6">
        <w:rPr>
          <w:b/>
          <w:noProof/>
          <w:lang w:val="en-AU" w:eastAsia="en-AU"/>
        </w:rPr>
        <w:drawing>
          <wp:inline distT="0" distB="0" distL="0" distR="0" wp14:anchorId="109D986E" wp14:editId="0DA17DC5">
            <wp:extent cx="3166110" cy="553720"/>
            <wp:effectExtent l="0" t="0" r="0" b="0"/>
            <wp:docPr id="42" name="Picture 42" descr="Australian Government Department of Foreign Affairs and Trad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ustralian Government Department of Foreign Affairs and Trade cre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6110" cy="553720"/>
                    </a:xfrm>
                    <a:prstGeom prst="rect">
                      <a:avLst/>
                    </a:prstGeom>
                  </pic:spPr>
                </pic:pic>
              </a:graphicData>
            </a:graphic>
          </wp:inline>
        </w:drawing>
      </w:r>
    </w:p>
    <w:p w14:paraId="63B67AF7" w14:textId="18DACF01" w:rsidR="000F3962" w:rsidRPr="00CA7BEF" w:rsidRDefault="00EC0134" w:rsidP="00CA7BEF">
      <w:pPr>
        <w:pStyle w:val="SpacebeforeTitle"/>
        <w:tabs>
          <w:tab w:val="left" w:pos="1114"/>
          <w:tab w:val="left" w:pos="2205"/>
        </w:tabs>
        <w:spacing w:after="0"/>
        <w:rPr>
          <w:b/>
          <w:sz w:val="36"/>
          <w:szCs w:val="36"/>
        </w:rPr>
      </w:pPr>
      <w:r>
        <w:rPr>
          <w:rStyle w:val="Heading1Char"/>
        </w:rPr>
        <w:t>Review</w:t>
      </w:r>
      <w:r w:rsidR="0020551D" w:rsidRPr="000F3962">
        <w:rPr>
          <w:rStyle w:val="Heading1Char"/>
        </w:rPr>
        <w:t xml:space="preserve"> of </w:t>
      </w:r>
      <w:r w:rsidR="00C24C42">
        <w:rPr>
          <w:rStyle w:val="Heading1Char"/>
        </w:rPr>
        <w:t xml:space="preserve">the </w:t>
      </w:r>
      <w:r w:rsidR="00C24C42">
        <w:rPr>
          <w:rStyle w:val="Heading1Char"/>
          <w:i/>
          <w:iCs/>
        </w:rPr>
        <w:t>Humanitarian Logistics Capability</w:t>
      </w:r>
      <w:r w:rsidR="0020551D" w:rsidRPr="000F3962">
        <w:rPr>
          <w:rStyle w:val="Heading1Char"/>
          <w:i/>
          <w:iCs/>
        </w:rPr>
        <w:t xml:space="preserve"> </w:t>
      </w:r>
      <w:r w:rsidR="0020551D" w:rsidRPr="000F3962">
        <w:rPr>
          <w:rStyle w:val="Heading1Char"/>
          <w:b/>
          <w:bCs w:val="0"/>
        </w:rPr>
        <w:t>| MANAGEMENT RESPONSE</w:t>
      </w:r>
    </w:p>
    <w:p w14:paraId="4EB280B8" w14:textId="77777777" w:rsidR="00F27306" w:rsidRDefault="00D64F30" w:rsidP="00AF4078">
      <w:pPr>
        <w:tabs>
          <w:tab w:val="left" w:pos="284"/>
        </w:tabs>
        <w:suppressAutoHyphens w:val="0"/>
        <w:spacing w:line="280" w:lineRule="exact"/>
      </w:pPr>
      <w:r>
        <w:t xml:space="preserve">The </w:t>
      </w:r>
      <w:r w:rsidRPr="00055AB3">
        <w:t>Humanitarian Logistics Capability (HLC)</w:t>
      </w:r>
      <w:r>
        <w:t xml:space="preserve"> is a 10-year investment (1 July 2018 until 30 June 2028) that provides DFAT with the technical expertise and operational capability to support </w:t>
      </w:r>
      <w:r w:rsidR="00CB028E">
        <w:t>the Australian Government</w:t>
      </w:r>
      <w:r w:rsidR="008B430C">
        <w:t>’s commitment to respond within 48 hours of a request</w:t>
      </w:r>
      <w:r w:rsidR="005F5358">
        <w:t xml:space="preserve"> for assistance to humanitarian emergencies in the region.</w:t>
      </w:r>
      <w:r w:rsidR="009460AA" w:rsidRPr="00F61E4F">
        <w:t xml:space="preserve"> </w:t>
      </w:r>
    </w:p>
    <w:p w14:paraId="6DD589A5" w14:textId="0C612DD0" w:rsidR="000F3962" w:rsidRDefault="004533A3" w:rsidP="00AF4078">
      <w:pPr>
        <w:tabs>
          <w:tab w:val="left" w:pos="284"/>
        </w:tabs>
        <w:suppressAutoHyphens w:val="0"/>
        <w:spacing w:line="280" w:lineRule="exact"/>
      </w:pPr>
      <w:r>
        <w:t xml:space="preserve">In 2018, </w:t>
      </w:r>
      <w:r w:rsidR="00AF4078">
        <w:t>DFAT signed a five-year Deed</w:t>
      </w:r>
      <w:r>
        <w:t xml:space="preserve"> </w:t>
      </w:r>
      <w:r w:rsidR="00AF4078">
        <w:t xml:space="preserve">with </w:t>
      </w:r>
      <w:r w:rsidR="00680A31">
        <w:t xml:space="preserve">The </w:t>
      </w:r>
      <w:r w:rsidR="00AF4078">
        <w:t>Palladium</w:t>
      </w:r>
      <w:r w:rsidR="00680A31">
        <w:t xml:space="preserve"> Group (Palladium)</w:t>
      </w:r>
      <w:r w:rsidR="00AF4078">
        <w:t xml:space="preserve"> as the Implementing Partner to deliver the capability</w:t>
      </w:r>
      <w:r>
        <w:t>, with an option to extend for up to</w:t>
      </w:r>
      <w:r w:rsidR="003862F5">
        <w:t xml:space="preserve"> a further</w:t>
      </w:r>
      <w:r>
        <w:t xml:space="preserve"> five years</w:t>
      </w:r>
      <w:r w:rsidR="003862F5">
        <w:t>.</w:t>
      </w:r>
    </w:p>
    <w:p w14:paraId="59BE3020" w14:textId="58638457" w:rsidR="009460AA" w:rsidRDefault="003862F5" w:rsidP="005921CC">
      <w:pPr>
        <w:tabs>
          <w:tab w:val="left" w:pos="284"/>
        </w:tabs>
        <w:suppressAutoHyphens w:val="0"/>
        <w:spacing w:line="280" w:lineRule="exact"/>
      </w:pPr>
      <w:r>
        <w:t>The</w:t>
      </w:r>
      <w:r w:rsidR="009460AA">
        <w:t xml:space="preserve"> </w:t>
      </w:r>
      <w:r w:rsidR="00372FFF">
        <w:t xml:space="preserve">2022 </w:t>
      </w:r>
      <w:r w:rsidR="00E554B0">
        <w:t>mid-term</w:t>
      </w:r>
      <w:r w:rsidR="00D57F0A">
        <w:t xml:space="preserve"> review (MTR)</w:t>
      </w:r>
      <w:r w:rsidR="009460AA">
        <w:t xml:space="preserve">, undertaken by </w:t>
      </w:r>
      <w:r w:rsidR="00D57F0A">
        <w:t>Strategic Development Group</w:t>
      </w:r>
      <w:r w:rsidR="009460AA">
        <w:t xml:space="preserve">, assessed </w:t>
      </w:r>
      <w:r w:rsidR="005921CC">
        <w:t xml:space="preserve">the performance of the </w:t>
      </w:r>
      <w:r w:rsidR="007F4B87">
        <w:t xml:space="preserve">first 5 years of the </w:t>
      </w:r>
      <w:r w:rsidR="005921CC" w:rsidRPr="00055AB3">
        <w:t xml:space="preserve">HLC </w:t>
      </w:r>
      <w:r w:rsidR="005921CC">
        <w:t>to identify areas for improvement over the remaining period</w:t>
      </w:r>
      <w:r w:rsidR="0023687E">
        <w:t>,</w:t>
      </w:r>
      <w:r w:rsidR="009460AA">
        <w:t xml:space="preserve"> with an emphasis on informing </w:t>
      </w:r>
      <w:r w:rsidR="004A74B0">
        <w:t>management decisions</w:t>
      </w:r>
      <w:r w:rsidR="007F7B93">
        <w:t xml:space="preserve"> around contract renewal and</w:t>
      </w:r>
      <w:r w:rsidR="001E1B05">
        <w:t xml:space="preserve"> </w:t>
      </w:r>
      <w:r w:rsidR="0052371E">
        <w:t xml:space="preserve">program </w:t>
      </w:r>
      <w:r w:rsidR="007F7B93">
        <w:t>design</w:t>
      </w:r>
      <w:r w:rsidR="00B21311">
        <w:t>.</w:t>
      </w:r>
    </w:p>
    <w:p w14:paraId="24BA2A08" w14:textId="5D31C7BA" w:rsidR="009460AA" w:rsidRDefault="00C75937" w:rsidP="00CA7BEF">
      <w:pPr>
        <w:tabs>
          <w:tab w:val="left" w:pos="284"/>
        </w:tabs>
        <w:suppressAutoHyphens w:val="0"/>
        <w:spacing w:line="280" w:lineRule="exact"/>
      </w:pPr>
      <w:r w:rsidRPr="00C75937">
        <w:t>DFAT</w:t>
      </w:r>
      <w:r w:rsidR="00F223FB">
        <w:t xml:space="preserve"> </w:t>
      </w:r>
      <w:r w:rsidR="00A24607">
        <w:t xml:space="preserve">supports </w:t>
      </w:r>
      <w:r w:rsidR="005A660F">
        <w:t>1</w:t>
      </w:r>
      <w:r w:rsidR="00B85198">
        <w:t>7</w:t>
      </w:r>
      <w:r w:rsidR="005A660F">
        <w:t xml:space="preserve"> </w:t>
      </w:r>
      <w:r w:rsidR="00A24607">
        <w:t xml:space="preserve">of the </w:t>
      </w:r>
      <w:r w:rsidR="00B85198">
        <w:t>19</w:t>
      </w:r>
      <w:r w:rsidR="00A24607">
        <w:t xml:space="preserve"> recommendations</w:t>
      </w:r>
      <w:r w:rsidR="006C09EE">
        <w:t xml:space="preserve"> (</w:t>
      </w:r>
      <w:r w:rsidR="0071617E">
        <w:t xml:space="preserve">reference </w:t>
      </w:r>
      <w:r w:rsidR="00D1768D">
        <w:t xml:space="preserve">pages </w:t>
      </w:r>
      <w:r w:rsidR="009A59FA">
        <w:t>vi, vii</w:t>
      </w:r>
      <w:r w:rsidR="00C912A5">
        <w:t xml:space="preserve"> and 28-31</w:t>
      </w:r>
      <w:r w:rsidR="0071617E">
        <w:t>)</w:t>
      </w:r>
      <w:r w:rsidR="00EE79B5">
        <w:t xml:space="preserve">. </w:t>
      </w:r>
      <w:r w:rsidR="008237D6">
        <w:t>Most of the recommendations have already been actioned or are underway, and DFAT has committed to implementing</w:t>
      </w:r>
      <w:r w:rsidR="00960B9B">
        <w:t xml:space="preserve"> </w:t>
      </w:r>
      <w:r w:rsidR="00C912A5">
        <w:t>several</w:t>
      </w:r>
      <w:r w:rsidR="00960B9B">
        <w:t xml:space="preserve"> recommendations through</w:t>
      </w:r>
      <w:r w:rsidR="005A660F">
        <w:t xml:space="preserve"> an</w:t>
      </w:r>
      <w:r w:rsidR="00960B9B">
        <w:t xml:space="preserve"> HLC </w:t>
      </w:r>
      <w:r w:rsidR="00E929B9">
        <w:t>re-</w:t>
      </w:r>
      <w:r w:rsidR="00960B9B">
        <w:t xml:space="preserve">design </w:t>
      </w:r>
      <w:r w:rsidR="001A29A5">
        <w:t>process</w:t>
      </w:r>
      <w:r w:rsidR="004F2537">
        <w:t xml:space="preserve">. </w:t>
      </w:r>
    </w:p>
    <w:p w14:paraId="7A75B643" w14:textId="77777777" w:rsidR="008F7ACC" w:rsidRDefault="008F7ACC" w:rsidP="000F3962">
      <w:pPr>
        <w:pStyle w:val="Heading2"/>
      </w:pPr>
    </w:p>
    <w:p w14:paraId="3290133B" w14:textId="77777777" w:rsidR="008F7ACC" w:rsidRDefault="008F7ACC" w:rsidP="000F3962">
      <w:pPr>
        <w:pStyle w:val="Heading2"/>
      </w:pPr>
    </w:p>
    <w:p w14:paraId="67C66E36" w14:textId="77777777" w:rsidR="008F7ACC" w:rsidRDefault="008F7ACC" w:rsidP="000F3962">
      <w:pPr>
        <w:pStyle w:val="Heading2"/>
      </w:pPr>
    </w:p>
    <w:p w14:paraId="1EA9A9D1" w14:textId="77777777" w:rsidR="008F7ACC" w:rsidRDefault="008F7ACC" w:rsidP="000F3962">
      <w:pPr>
        <w:pStyle w:val="Heading2"/>
      </w:pPr>
    </w:p>
    <w:p w14:paraId="72BDF5F4" w14:textId="77777777" w:rsidR="008F7ACC" w:rsidRDefault="008F7ACC" w:rsidP="000F3962">
      <w:pPr>
        <w:pStyle w:val="Heading2"/>
      </w:pPr>
    </w:p>
    <w:p w14:paraId="74B4FE52" w14:textId="77777777" w:rsidR="008F7ACC" w:rsidRDefault="008F7ACC" w:rsidP="000F3962">
      <w:pPr>
        <w:pStyle w:val="Heading2"/>
      </w:pPr>
    </w:p>
    <w:p w14:paraId="75F6EABE" w14:textId="77777777" w:rsidR="008F7ACC" w:rsidRDefault="008F7ACC" w:rsidP="000F3962">
      <w:pPr>
        <w:pStyle w:val="Heading2"/>
      </w:pPr>
    </w:p>
    <w:p w14:paraId="21FB438A" w14:textId="77777777" w:rsidR="008F7ACC" w:rsidRDefault="008F7ACC" w:rsidP="000F3962">
      <w:pPr>
        <w:pStyle w:val="Heading2"/>
      </w:pPr>
    </w:p>
    <w:p w14:paraId="055759B3" w14:textId="1C98838C" w:rsidR="0020551D" w:rsidRPr="00F641F0" w:rsidRDefault="00E87544" w:rsidP="000F3962">
      <w:pPr>
        <w:pStyle w:val="Heading2"/>
      </w:pPr>
      <w:r w:rsidRPr="00F641F0">
        <w:lastRenderedPageBreak/>
        <w:t xml:space="preserve">Design </w:t>
      </w:r>
      <w:r w:rsidR="00373ABC">
        <w:t>Refresh and Contract</w:t>
      </w:r>
      <w:r w:rsidR="00A033C0">
        <w:t xml:space="preserve"> Renewal </w:t>
      </w:r>
      <w:r w:rsidRPr="00F641F0">
        <w:t>Recommendations</w:t>
      </w:r>
    </w:p>
    <w:tbl>
      <w:tblPr>
        <w:tblStyle w:val="TableGrid"/>
        <w:tblW w:w="13183" w:type="dxa"/>
        <w:tblInd w:w="-147" w:type="dxa"/>
        <w:tblLook w:val="04A0" w:firstRow="1" w:lastRow="0" w:firstColumn="1" w:lastColumn="0" w:noHBand="0" w:noVBand="1"/>
      </w:tblPr>
      <w:tblGrid>
        <w:gridCol w:w="4962"/>
        <w:gridCol w:w="1417"/>
        <w:gridCol w:w="4536"/>
        <w:gridCol w:w="2268"/>
      </w:tblGrid>
      <w:tr w:rsidR="00CA7BEF" w:rsidRPr="00CA7BEF" w14:paraId="5F08BFB6" w14:textId="77777777" w:rsidTr="007C3EA6">
        <w:tc>
          <w:tcPr>
            <w:tcW w:w="4962" w:type="dxa"/>
          </w:tcPr>
          <w:p w14:paraId="3629298F" w14:textId="77777777" w:rsidR="000F3962" w:rsidRPr="00CA7BEF" w:rsidRDefault="000F3962" w:rsidP="009748AB">
            <w:pPr>
              <w:spacing w:line="240" w:lineRule="auto"/>
              <w:rPr>
                <w:rFonts w:cstheme="minorHAnsi"/>
                <w:b/>
                <w:bCs/>
                <w:iCs/>
                <w:color w:val="auto"/>
                <w:sz w:val="20"/>
                <w:szCs w:val="20"/>
              </w:rPr>
            </w:pPr>
            <w:r w:rsidRPr="00CA7BEF">
              <w:rPr>
                <w:rFonts w:cstheme="minorHAnsi"/>
                <w:b/>
                <w:bCs/>
                <w:iCs/>
                <w:color w:val="auto"/>
                <w:sz w:val="20"/>
                <w:szCs w:val="20"/>
              </w:rPr>
              <w:t>Recommendation</w:t>
            </w:r>
          </w:p>
        </w:tc>
        <w:tc>
          <w:tcPr>
            <w:tcW w:w="1417" w:type="dxa"/>
          </w:tcPr>
          <w:p w14:paraId="642C10C3" w14:textId="77777777" w:rsidR="000F3962" w:rsidRPr="00CA7BEF" w:rsidRDefault="000F3962" w:rsidP="009748AB">
            <w:pPr>
              <w:spacing w:line="240" w:lineRule="auto"/>
              <w:rPr>
                <w:rFonts w:cstheme="minorHAnsi"/>
                <w:b/>
                <w:bCs/>
                <w:iCs/>
                <w:color w:val="auto"/>
                <w:sz w:val="20"/>
                <w:szCs w:val="20"/>
              </w:rPr>
            </w:pPr>
            <w:r w:rsidRPr="00CA7BEF">
              <w:rPr>
                <w:rFonts w:cstheme="minorHAnsi"/>
                <w:b/>
                <w:bCs/>
                <w:iCs/>
                <w:color w:val="auto"/>
                <w:sz w:val="20"/>
                <w:szCs w:val="20"/>
              </w:rPr>
              <w:t>Response</w:t>
            </w:r>
          </w:p>
        </w:tc>
        <w:tc>
          <w:tcPr>
            <w:tcW w:w="4536" w:type="dxa"/>
          </w:tcPr>
          <w:p w14:paraId="098C036D" w14:textId="77777777" w:rsidR="000F3962" w:rsidRPr="00CA7BEF" w:rsidRDefault="000F3962" w:rsidP="009748AB">
            <w:pPr>
              <w:spacing w:line="240" w:lineRule="auto"/>
              <w:rPr>
                <w:rFonts w:cstheme="minorHAnsi"/>
                <w:b/>
                <w:bCs/>
                <w:iCs/>
                <w:color w:val="auto"/>
                <w:sz w:val="20"/>
                <w:szCs w:val="20"/>
              </w:rPr>
            </w:pPr>
            <w:r w:rsidRPr="00CA7BEF">
              <w:rPr>
                <w:rFonts w:cstheme="minorHAnsi"/>
                <w:b/>
                <w:bCs/>
                <w:iCs/>
                <w:color w:val="auto"/>
                <w:sz w:val="20"/>
                <w:szCs w:val="20"/>
              </w:rPr>
              <w:t>Action plan</w:t>
            </w:r>
          </w:p>
        </w:tc>
        <w:tc>
          <w:tcPr>
            <w:tcW w:w="2268" w:type="dxa"/>
          </w:tcPr>
          <w:p w14:paraId="5B6C265E" w14:textId="77777777" w:rsidR="000F3962" w:rsidRPr="00CA7BEF" w:rsidRDefault="000F3962" w:rsidP="009748AB">
            <w:pPr>
              <w:spacing w:line="240" w:lineRule="auto"/>
              <w:rPr>
                <w:rFonts w:cstheme="minorHAnsi"/>
                <w:b/>
                <w:bCs/>
                <w:iCs/>
                <w:color w:val="auto"/>
                <w:sz w:val="20"/>
                <w:szCs w:val="20"/>
              </w:rPr>
            </w:pPr>
            <w:r w:rsidRPr="00CA7BEF">
              <w:rPr>
                <w:rFonts w:cstheme="minorHAnsi"/>
                <w:b/>
                <w:bCs/>
                <w:iCs/>
                <w:color w:val="auto"/>
                <w:sz w:val="20"/>
                <w:szCs w:val="20"/>
              </w:rPr>
              <w:t>Timeframe</w:t>
            </w:r>
          </w:p>
        </w:tc>
      </w:tr>
      <w:tr w:rsidR="00CA7BEF" w:rsidRPr="00CA7BEF" w14:paraId="6F1135B7" w14:textId="77777777" w:rsidTr="00AF5CFA">
        <w:tc>
          <w:tcPr>
            <w:tcW w:w="4962" w:type="dxa"/>
          </w:tcPr>
          <w:p w14:paraId="2FA4197D" w14:textId="5E887143" w:rsidR="009B0591" w:rsidRPr="00AB7146" w:rsidRDefault="009B0591" w:rsidP="00436585">
            <w:pPr>
              <w:pStyle w:val="ListParagraph"/>
              <w:numPr>
                <w:ilvl w:val="0"/>
                <w:numId w:val="12"/>
              </w:numPr>
              <w:spacing w:line="240" w:lineRule="auto"/>
              <w:rPr>
                <w:rFonts w:cstheme="minorHAnsi"/>
                <w:b/>
                <w:bCs/>
                <w:color w:val="auto"/>
                <w:sz w:val="20"/>
                <w:szCs w:val="20"/>
                <w:lang w:val="en-AU"/>
              </w:rPr>
            </w:pPr>
            <w:r w:rsidRPr="00AB7146">
              <w:rPr>
                <w:rFonts w:cstheme="minorHAnsi"/>
                <w:b/>
                <w:bCs/>
                <w:color w:val="auto"/>
                <w:sz w:val="20"/>
                <w:szCs w:val="20"/>
                <w:lang w:val="en-AU"/>
              </w:rPr>
              <w:t xml:space="preserve">Design Refresh </w:t>
            </w:r>
            <w:r w:rsidR="007C3C03" w:rsidRPr="00AB7146">
              <w:rPr>
                <w:rFonts w:cstheme="minorHAnsi"/>
                <w:b/>
                <w:bCs/>
                <w:color w:val="auto"/>
                <w:sz w:val="20"/>
                <w:szCs w:val="20"/>
                <w:lang w:val="en-AU"/>
              </w:rPr>
              <w:t>and Contract Renewal</w:t>
            </w:r>
          </w:p>
          <w:p w14:paraId="010C0502" w14:textId="371EAC81" w:rsidR="000F3962" w:rsidRPr="00AB7146" w:rsidRDefault="00C06BDF" w:rsidP="00E04C1A">
            <w:pPr>
              <w:pStyle w:val="ListParagraph"/>
              <w:spacing w:line="240" w:lineRule="auto"/>
              <w:ind w:left="0"/>
              <w:rPr>
                <w:rFonts w:cstheme="minorHAnsi"/>
                <w:color w:val="auto"/>
                <w:sz w:val="20"/>
                <w:szCs w:val="20"/>
                <w:lang w:val="en-AU"/>
              </w:rPr>
            </w:pPr>
            <w:r w:rsidRPr="00C06BDF">
              <w:rPr>
                <w:rFonts w:cstheme="minorHAnsi"/>
                <w:color w:val="auto"/>
                <w:sz w:val="20"/>
                <w:szCs w:val="20"/>
              </w:rPr>
              <w:t xml:space="preserve">DFAT is recommended to refresh the design of the overarching HLC investment, clearly articulating the overarching intent of the investment. The review team recommend continuing DFAT’s HLC contract with its existing contractor and taking steps to articulate and execute clear implementation and governance arrangements. GEDSI considerations require significant efforts </w:t>
            </w:r>
            <w:proofErr w:type="gramStart"/>
            <w:r w:rsidRPr="00C06BDF">
              <w:rPr>
                <w:rFonts w:cstheme="minorHAnsi"/>
                <w:color w:val="auto"/>
                <w:sz w:val="20"/>
                <w:szCs w:val="20"/>
              </w:rPr>
              <w:t>in order to</w:t>
            </w:r>
            <w:proofErr w:type="gramEnd"/>
            <w:r w:rsidRPr="00C06BDF">
              <w:rPr>
                <w:rFonts w:cstheme="minorHAnsi"/>
                <w:color w:val="auto"/>
                <w:sz w:val="20"/>
                <w:szCs w:val="20"/>
              </w:rPr>
              <w:t xml:space="preserve"> meet the investment objectives. A review at 6 months is recommended to assess the extent to which the required implementation, governance, MEL and GEDSI arrangements have been established and embedded</w:t>
            </w:r>
            <w:r w:rsidR="001863B4">
              <w:rPr>
                <w:rFonts w:cstheme="minorHAnsi"/>
                <w:color w:val="auto"/>
                <w:sz w:val="20"/>
                <w:szCs w:val="20"/>
              </w:rPr>
              <w:t>.</w:t>
            </w:r>
          </w:p>
        </w:tc>
        <w:tc>
          <w:tcPr>
            <w:tcW w:w="1417" w:type="dxa"/>
            <w:shd w:val="clear" w:color="auto" w:fill="FFC000"/>
          </w:tcPr>
          <w:p w14:paraId="5C9194C6" w14:textId="380690FC" w:rsidR="000234DD" w:rsidRPr="00201429" w:rsidRDefault="001863B4" w:rsidP="00201429">
            <w:pPr>
              <w:spacing w:line="240" w:lineRule="auto"/>
              <w:rPr>
                <w:rFonts w:cstheme="minorHAnsi"/>
                <w:iCs/>
                <w:color w:val="auto"/>
                <w:sz w:val="20"/>
                <w:szCs w:val="20"/>
              </w:rPr>
            </w:pPr>
            <w:r>
              <w:rPr>
                <w:rFonts w:cstheme="minorHAnsi"/>
                <w:iCs/>
                <w:color w:val="auto"/>
                <w:sz w:val="20"/>
                <w:szCs w:val="20"/>
              </w:rPr>
              <w:t xml:space="preserve">Partially </w:t>
            </w:r>
            <w:r w:rsidR="000234DD" w:rsidRPr="00201429">
              <w:rPr>
                <w:rFonts w:cstheme="minorHAnsi"/>
                <w:iCs/>
                <w:color w:val="auto"/>
                <w:sz w:val="20"/>
                <w:szCs w:val="20"/>
              </w:rPr>
              <w:t>Agree</w:t>
            </w:r>
          </w:p>
          <w:p w14:paraId="4528CE35" w14:textId="77EF291B" w:rsidR="000F3962" w:rsidRPr="00201429" w:rsidRDefault="000F3962" w:rsidP="00201429">
            <w:pPr>
              <w:spacing w:line="240" w:lineRule="auto"/>
              <w:rPr>
                <w:rFonts w:cstheme="minorHAnsi"/>
                <w:iCs/>
                <w:color w:val="auto"/>
                <w:sz w:val="20"/>
                <w:szCs w:val="20"/>
              </w:rPr>
            </w:pPr>
          </w:p>
        </w:tc>
        <w:tc>
          <w:tcPr>
            <w:tcW w:w="4536" w:type="dxa"/>
          </w:tcPr>
          <w:p w14:paraId="263FED86" w14:textId="77777777" w:rsidR="00CF746E" w:rsidRDefault="000A5F14" w:rsidP="00201429">
            <w:pPr>
              <w:spacing w:line="240" w:lineRule="auto"/>
              <w:rPr>
                <w:rFonts w:cstheme="minorHAnsi"/>
                <w:iCs/>
                <w:color w:val="auto"/>
                <w:sz w:val="20"/>
                <w:szCs w:val="20"/>
              </w:rPr>
            </w:pPr>
            <w:r w:rsidRPr="00201429">
              <w:rPr>
                <w:rFonts w:cstheme="minorHAnsi"/>
                <w:iCs/>
                <w:color w:val="auto"/>
                <w:sz w:val="20"/>
                <w:szCs w:val="20"/>
              </w:rPr>
              <w:t>DFAT</w:t>
            </w:r>
            <w:r w:rsidR="00091385">
              <w:rPr>
                <w:rFonts w:cstheme="minorHAnsi"/>
                <w:iCs/>
                <w:color w:val="auto"/>
                <w:sz w:val="20"/>
                <w:szCs w:val="20"/>
              </w:rPr>
              <w:t xml:space="preserve"> has </w:t>
            </w:r>
            <w:r w:rsidR="00D05D70" w:rsidRPr="00201429">
              <w:rPr>
                <w:rFonts w:cstheme="minorHAnsi"/>
                <w:iCs/>
                <w:color w:val="auto"/>
                <w:sz w:val="20"/>
                <w:szCs w:val="20"/>
              </w:rPr>
              <w:t>commence</w:t>
            </w:r>
            <w:r w:rsidR="00091385">
              <w:rPr>
                <w:rFonts w:cstheme="minorHAnsi"/>
                <w:iCs/>
                <w:color w:val="auto"/>
                <w:sz w:val="20"/>
                <w:szCs w:val="20"/>
              </w:rPr>
              <w:t>d</w:t>
            </w:r>
            <w:r w:rsidR="00D05D70" w:rsidRPr="00201429">
              <w:rPr>
                <w:rFonts w:cstheme="minorHAnsi"/>
                <w:iCs/>
                <w:color w:val="auto"/>
                <w:sz w:val="20"/>
                <w:szCs w:val="20"/>
              </w:rPr>
              <w:t xml:space="preserve"> </w:t>
            </w:r>
            <w:r w:rsidR="00550F60">
              <w:rPr>
                <w:rFonts w:cstheme="minorHAnsi"/>
                <w:iCs/>
                <w:color w:val="auto"/>
                <w:sz w:val="20"/>
                <w:szCs w:val="20"/>
              </w:rPr>
              <w:t xml:space="preserve">the </w:t>
            </w:r>
            <w:r w:rsidR="003C717F">
              <w:rPr>
                <w:rFonts w:cstheme="minorHAnsi"/>
                <w:iCs/>
                <w:color w:val="auto"/>
                <w:sz w:val="20"/>
                <w:szCs w:val="20"/>
              </w:rPr>
              <w:t>re-</w:t>
            </w:r>
            <w:r w:rsidR="00091385">
              <w:rPr>
                <w:rFonts w:cstheme="minorHAnsi"/>
                <w:iCs/>
                <w:color w:val="auto"/>
                <w:sz w:val="20"/>
                <w:szCs w:val="20"/>
              </w:rPr>
              <w:t xml:space="preserve">design </w:t>
            </w:r>
            <w:r w:rsidR="003104E8">
              <w:rPr>
                <w:rFonts w:cstheme="minorHAnsi"/>
                <w:iCs/>
                <w:color w:val="auto"/>
                <w:sz w:val="20"/>
                <w:szCs w:val="20"/>
              </w:rPr>
              <w:t>through DFAT’s Adaptive Design and Procurement Pathway</w:t>
            </w:r>
            <w:r w:rsidR="001F649D">
              <w:rPr>
                <w:rFonts w:cstheme="minorHAnsi"/>
                <w:iCs/>
                <w:color w:val="auto"/>
                <w:sz w:val="20"/>
                <w:szCs w:val="20"/>
              </w:rPr>
              <w:t xml:space="preserve"> (ADAPT).</w:t>
            </w:r>
            <w:r w:rsidR="003D5A31">
              <w:rPr>
                <w:rFonts w:cstheme="minorHAnsi"/>
                <w:iCs/>
                <w:color w:val="auto"/>
                <w:sz w:val="20"/>
                <w:szCs w:val="20"/>
              </w:rPr>
              <w:t xml:space="preserve"> </w:t>
            </w:r>
          </w:p>
          <w:p w14:paraId="165675D8" w14:textId="77777777" w:rsidR="00AF5CFA" w:rsidRPr="00AF5CFA" w:rsidRDefault="00AF5CFA" w:rsidP="00AF5CFA">
            <w:pPr>
              <w:spacing w:line="240" w:lineRule="auto"/>
              <w:rPr>
                <w:rFonts w:cstheme="minorHAnsi"/>
                <w:iCs/>
                <w:color w:val="auto"/>
                <w:sz w:val="20"/>
                <w:szCs w:val="20"/>
              </w:rPr>
            </w:pPr>
            <w:r w:rsidRPr="00AF5CFA">
              <w:rPr>
                <w:rFonts w:cstheme="minorHAnsi"/>
                <w:iCs/>
                <w:color w:val="auto"/>
                <w:sz w:val="20"/>
                <w:szCs w:val="20"/>
              </w:rPr>
              <w:t xml:space="preserve">Subject to the outcomes of HLC investment redesign, DFAT may be obligated to approach the market if there is a significant change to the program’s scope. </w:t>
            </w:r>
          </w:p>
          <w:p w14:paraId="0DF3A4C8" w14:textId="77777777" w:rsidR="00AF5CFA" w:rsidRPr="00AF5CFA" w:rsidRDefault="00AF5CFA" w:rsidP="00AF5CFA">
            <w:pPr>
              <w:spacing w:line="240" w:lineRule="auto"/>
              <w:rPr>
                <w:rFonts w:cstheme="minorHAnsi"/>
                <w:iCs/>
                <w:color w:val="auto"/>
                <w:sz w:val="20"/>
                <w:szCs w:val="20"/>
              </w:rPr>
            </w:pPr>
            <w:r w:rsidRPr="00AF5CFA">
              <w:rPr>
                <w:rFonts w:cstheme="minorHAnsi"/>
                <w:iCs/>
                <w:color w:val="auto"/>
                <w:sz w:val="20"/>
                <w:szCs w:val="20"/>
              </w:rPr>
              <w:t xml:space="preserve">DFAT, with the support of an independent contractor, will review if the required contractual implementation, governance, MEL and GEDSI arrangements have been established and embedded in the HLC, as per the MTR recommendations. </w:t>
            </w:r>
          </w:p>
          <w:p w14:paraId="570540CE" w14:textId="53440171" w:rsidR="00AF5CFA" w:rsidRDefault="00AF5CFA" w:rsidP="00AF5CFA">
            <w:pPr>
              <w:spacing w:line="240" w:lineRule="auto"/>
              <w:rPr>
                <w:rFonts w:cstheme="minorHAnsi"/>
                <w:iCs/>
                <w:color w:val="auto"/>
                <w:sz w:val="20"/>
                <w:szCs w:val="20"/>
              </w:rPr>
            </w:pPr>
            <w:r w:rsidRPr="00AF5CFA">
              <w:rPr>
                <w:rFonts w:cstheme="minorHAnsi"/>
                <w:iCs/>
                <w:color w:val="auto"/>
                <w:sz w:val="20"/>
                <w:szCs w:val="20"/>
              </w:rPr>
              <w:t>The DFAT delegate will determine nature and duration of any contract extension, consistent with MTR findings, and the outcomes of the review.</w:t>
            </w:r>
          </w:p>
          <w:p w14:paraId="497B8EBD" w14:textId="0F1EF62C" w:rsidR="000F3962" w:rsidRPr="00201429" w:rsidRDefault="00AF5CFA">
            <w:pPr>
              <w:spacing w:line="240" w:lineRule="auto"/>
              <w:rPr>
                <w:rFonts w:cstheme="minorHAnsi"/>
                <w:iCs/>
                <w:color w:val="auto"/>
                <w:sz w:val="20"/>
                <w:szCs w:val="20"/>
              </w:rPr>
            </w:pPr>
            <w:r>
              <w:rPr>
                <w:rFonts w:cstheme="minorHAnsi"/>
                <w:iCs/>
                <w:color w:val="auto"/>
                <w:sz w:val="20"/>
                <w:szCs w:val="20"/>
              </w:rPr>
              <w:t xml:space="preserve">DFAT, with the support of an independent contractor, will </w:t>
            </w:r>
            <w:r w:rsidRPr="005E09BC">
              <w:rPr>
                <w:rFonts w:cstheme="minorHAnsi"/>
                <w:iCs/>
                <w:color w:val="auto"/>
                <w:sz w:val="20"/>
                <w:szCs w:val="20"/>
              </w:rPr>
              <w:t>revie</w:t>
            </w:r>
            <w:r>
              <w:rPr>
                <w:rFonts w:cstheme="minorHAnsi"/>
                <w:iCs/>
                <w:color w:val="auto"/>
                <w:sz w:val="20"/>
                <w:szCs w:val="20"/>
              </w:rPr>
              <w:t xml:space="preserve">w if the required contractual implementation, governance, MEL and GEDSI arrangements </w:t>
            </w:r>
            <w:r w:rsidRPr="005E09BC">
              <w:rPr>
                <w:rFonts w:cstheme="minorHAnsi"/>
                <w:iCs/>
                <w:color w:val="auto"/>
                <w:sz w:val="20"/>
                <w:szCs w:val="20"/>
              </w:rPr>
              <w:t>have been established and embedded</w:t>
            </w:r>
            <w:r>
              <w:rPr>
                <w:rFonts w:cstheme="minorHAnsi"/>
                <w:iCs/>
                <w:color w:val="auto"/>
                <w:sz w:val="20"/>
                <w:szCs w:val="20"/>
              </w:rPr>
              <w:t xml:space="preserve"> in the HLC, as per the MTR recommendations. </w:t>
            </w:r>
          </w:p>
        </w:tc>
        <w:tc>
          <w:tcPr>
            <w:tcW w:w="2268" w:type="dxa"/>
          </w:tcPr>
          <w:p w14:paraId="26CF4EBE" w14:textId="67A79C8C" w:rsidR="00A64B33" w:rsidRDefault="004C348E" w:rsidP="009748AB">
            <w:pPr>
              <w:spacing w:line="240" w:lineRule="auto"/>
              <w:rPr>
                <w:rFonts w:cstheme="minorHAnsi"/>
                <w:iCs/>
                <w:color w:val="auto"/>
                <w:sz w:val="20"/>
                <w:szCs w:val="20"/>
              </w:rPr>
            </w:pPr>
            <w:r>
              <w:rPr>
                <w:rFonts w:cstheme="minorHAnsi"/>
                <w:iCs/>
                <w:color w:val="auto"/>
                <w:sz w:val="20"/>
                <w:szCs w:val="20"/>
              </w:rPr>
              <w:t xml:space="preserve">The </w:t>
            </w:r>
            <w:r w:rsidR="00844262">
              <w:rPr>
                <w:rFonts w:cstheme="minorHAnsi"/>
                <w:iCs/>
                <w:color w:val="auto"/>
                <w:sz w:val="20"/>
                <w:szCs w:val="20"/>
              </w:rPr>
              <w:t xml:space="preserve">HLC </w:t>
            </w:r>
            <w:r w:rsidR="009C1062">
              <w:rPr>
                <w:rFonts w:cstheme="minorHAnsi"/>
                <w:iCs/>
                <w:color w:val="auto"/>
                <w:sz w:val="20"/>
                <w:szCs w:val="20"/>
              </w:rPr>
              <w:t>re-</w:t>
            </w:r>
            <w:r w:rsidR="00844262">
              <w:rPr>
                <w:rFonts w:cstheme="minorHAnsi"/>
                <w:iCs/>
                <w:color w:val="auto"/>
                <w:sz w:val="20"/>
                <w:szCs w:val="20"/>
              </w:rPr>
              <w:t xml:space="preserve">design </w:t>
            </w:r>
            <w:r>
              <w:rPr>
                <w:rFonts w:cstheme="minorHAnsi"/>
                <w:iCs/>
                <w:color w:val="auto"/>
                <w:sz w:val="20"/>
                <w:szCs w:val="20"/>
              </w:rPr>
              <w:t>will</w:t>
            </w:r>
            <w:r w:rsidR="00BB2CB1">
              <w:rPr>
                <w:rFonts w:cstheme="minorHAnsi"/>
                <w:iCs/>
                <w:color w:val="auto"/>
                <w:sz w:val="20"/>
                <w:szCs w:val="20"/>
              </w:rPr>
              <w:t xml:space="preserve"> be </w:t>
            </w:r>
            <w:r w:rsidR="00A64B33">
              <w:rPr>
                <w:rFonts w:cstheme="minorHAnsi"/>
                <w:iCs/>
                <w:color w:val="auto"/>
                <w:sz w:val="20"/>
                <w:szCs w:val="20"/>
              </w:rPr>
              <w:t>concluded b</w:t>
            </w:r>
            <w:r w:rsidR="00205615">
              <w:rPr>
                <w:rFonts w:cstheme="minorHAnsi"/>
                <w:iCs/>
                <w:color w:val="auto"/>
                <w:sz w:val="20"/>
                <w:szCs w:val="20"/>
              </w:rPr>
              <w:t>y end-</w:t>
            </w:r>
            <w:r w:rsidR="00062A44">
              <w:rPr>
                <w:rFonts w:cstheme="minorHAnsi"/>
                <w:iCs/>
                <w:color w:val="auto"/>
                <w:sz w:val="20"/>
                <w:szCs w:val="20"/>
              </w:rPr>
              <w:t>June</w:t>
            </w:r>
            <w:r w:rsidR="00896BB0">
              <w:rPr>
                <w:rFonts w:cstheme="minorHAnsi"/>
                <w:iCs/>
                <w:color w:val="auto"/>
                <w:sz w:val="20"/>
                <w:szCs w:val="20"/>
              </w:rPr>
              <w:t xml:space="preserve"> 2023</w:t>
            </w:r>
            <w:r w:rsidR="00A64B33">
              <w:rPr>
                <w:rFonts w:cstheme="minorHAnsi"/>
                <w:iCs/>
                <w:color w:val="auto"/>
                <w:sz w:val="20"/>
                <w:szCs w:val="20"/>
              </w:rPr>
              <w:t>.</w:t>
            </w:r>
          </w:p>
          <w:p w14:paraId="680C7693" w14:textId="4F4A39B8" w:rsidR="00C422F9" w:rsidRDefault="00F141CE" w:rsidP="009748AB">
            <w:pPr>
              <w:spacing w:line="240" w:lineRule="auto"/>
              <w:rPr>
                <w:rFonts w:cstheme="minorHAnsi"/>
                <w:iCs/>
                <w:color w:val="auto"/>
                <w:sz w:val="20"/>
                <w:szCs w:val="20"/>
              </w:rPr>
            </w:pPr>
            <w:r>
              <w:rPr>
                <w:rFonts w:cstheme="minorHAnsi"/>
                <w:iCs/>
                <w:color w:val="auto"/>
                <w:sz w:val="20"/>
                <w:szCs w:val="20"/>
              </w:rPr>
              <w:t>Review will be complete by end-March 2023.</w:t>
            </w:r>
          </w:p>
          <w:p w14:paraId="15E015BE" w14:textId="48FD786D" w:rsidR="00C422F9" w:rsidRDefault="00C422F9" w:rsidP="009748AB">
            <w:pPr>
              <w:spacing w:line="240" w:lineRule="auto"/>
              <w:rPr>
                <w:rFonts w:cstheme="minorHAnsi"/>
                <w:iCs/>
                <w:color w:val="auto"/>
                <w:sz w:val="20"/>
                <w:szCs w:val="20"/>
              </w:rPr>
            </w:pPr>
          </w:p>
          <w:p w14:paraId="4FC2F9F8" w14:textId="77777777" w:rsidR="00A64B33" w:rsidRDefault="00A64B33" w:rsidP="009748AB">
            <w:pPr>
              <w:spacing w:line="240" w:lineRule="auto"/>
              <w:rPr>
                <w:rFonts w:cstheme="minorHAnsi"/>
                <w:iCs/>
                <w:color w:val="auto"/>
                <w:sz w:val="20"/>
                <w:szCs w:val="20"/>
              </w:rPr>
            </w:pPr>
          </w:p>
          <w:p w14:paraId="241FB28B" w14:textId="3F01C0FE" w:rsidR="00E60A0E" w:rsidRPr="00CA7BEF" w:rsidRDefault="00E60A0E" w:rsidP="009748AB">
            <w:pPr>
              <w:spacing w:line="240" w:lineRule="auto"/>
              <w:rPr>
                <w:rFonts w:cstheme="minorHAnsi"/>
                <w:iCs/>
                <w:color w:val="auto"/>
                <w:sz w:val="20"/>
                <w:szCs w:val="20"/>
              </w:rPr>
            </w:pPr>
          </w:p>
        </w:tc>
      </w:tr>
      <w:tr w:rsidR="00F141CE" w:rsidRPr="00CA7BEF" w14:paraId="5DC19348" w14:textId="77777777" w:rsidTr="00A34F54">
        <w:tc>
          <w:tcPr>
            <w:tcW w:w="4962" w:type="dxa"/>
          </w:tcPr>
          <w:p w14:paraId="0257B077" w14:textId="525373F2" w:rsidR="00F141CE" w:rsidRPr="00AB7146" w:rsidRDefault="00F141CE" w:rsidP="001863B4">
            <w:pPr>
              <w:pStyle w:val="ListParagraph"/>
              <w:spacing w:line="240" w:lineRule="auto"/>
              <w:ind w:left="0"/>
              <w:rPr>
                <w:rFonts w:cstheme="minorHAnsi"/>
                <w:color w:val="auto"/>
                <w:sz w:val="20"/>
                <w:szCs w:val="20"/>
                <w:lang w:val="en-AU"/>
              </w:rPr>
            </w:pPr>
            <w:r w:rsidRPr="00373227">
              <w:rPr>
                <w:rFonts w:cstheme="minorHAnsi"/>
                <w:b/>
                <w:bCs/>
                <w:color w:val="auto"/>
                <w:sz w:val="20"/>
                <w:szCs w:val="20"/>
                <w:lang w:val="en-AU"/>
              </w:rPr>
              <w:t>2. Humanitarian focus</w:t>
            </w:r>
            <w:r>
              <w:rPr>
                <w:rFonts w:cstheme="minorHAnsi"/>
                <w:b/>
                <w:bCs/>
                <w:color w:val="auto"/>
                <w:sz w:val="20"/>
                <w:szCs w:val="20"/>
                <w:lang w:val="en-AU"/>
              </w:rPr>
              <w:t xml:space="preserve">: </w:t>
            </w:r>
            <w:r w:rsidR="00E330DB" w:rsidRPr="00E330DB">
              <w:rPr>
                <w:rFonts w:cstheme="minorHAnsi"/>
                <w:color w:val="auto"/>
                <w:sz w:val="20"/>
                <w:szCs w:val="20"/>
              </w:rPr>
              <w:t>It is recommended that the HLC Investment retains its “humanitarian” element and that the criteria for the mechanism’s activation be articulated clearly, including in the decision-making processes and channel</w:t>
            </w:r>
            <w:r w:rsidR="00E330DB">
              <w:rPr>
                <w:rFonts w:cstheme="minorHAnsi"/>
                <w:color w:val="auto"/>
                <w:sz w:val="20"/>
                <w:szCs w:val="20"/>
              </w:rPr>
              <w:t>s.</w:t>
            </w:r>
          </w:p>
        </w:tc>
        <w:tc>
          <w:tcPr>
            <w:tcW w:w="1417" w:type="dxa"/>
            <w:shd w:val="clear" w:color="auto" w:fill="92D050"/>
          </w:tcPr>
          <w:p w14:paraId="7919830B" w14:textId="041E3CB9" w:rsidR="00F141CE" w:rsidRPr="000234DD" w:rsidRDefault="00F141CE" w:rsidP="00817D76">
            <w:pPr>
              <w:pStyle w:val="ListParagraph"/>
              <w:spacing w:line="240" w:lineRule="auto"/>
              <w:ind w:left="0"/>
              <w:rPr>
                <w:rFonts w:cstheme="minorHAnsi"/>
                <w:iCs/>
                <w:color w:val="auto"/>
                <w:sz w:val="20"/>
                <w:szCs w:val="20"/>
              </w:rPr>
            </w:pPr>
            <w:r>
              <w:rPr>
                <w:rFonts w:cstheme="minorHAnsi"/>
                <w:iCs/>
                <w:color w:val="auto"/>
                <w:sz w:val="20"/>
                <w:szCs w:val="20"/>
              </w:rPr>
              <w:t xml:space="preserve">Agree </w:t>
            </w:r>
          </w:p>
        </w:tc>
        <w:tc>
          <w:tcPr>
            <w:tcW w:w="4536" w:type="dxa"/>
          </w:tcPr>
          <w:p w14:paraId="62C53794" w14:textId="170C425A" w:rsidR="00F141CE" w:rsidRPr="00201429" w:rsidRDefault="00F141CE" w:rsidP="00AF5CFA">
            <w:pPr>
              <w:spacing w:line="240" w:lineRule="auto"/>
              <w:rPr>
                <w:rFonts w:cstheme="minorHAnsi"/>
                <w:iCs/>
                <w:color w:val="auto"/>
                <w:sz w:val="20"/>
                <w:szCs w:val="20"/>
              </w:rPr>
            </w:pPr>
            <w:r>
              <w:rPr>
                <w:rFonts w:cstheme="minorHAnsi"/>
                <w:iCs/>
                <w:color w:val="auto"/>
                <w:sz w:val="20"/>
                <w:szCs w:val="20"/>
              </w:rPr>
              <w:t>This recommendation is being addressed through the HLC re-</w:t>
            </w:r>
            <w:r w:rsidRPr="00CA7BEF">
              <w:rPr>
                <w:rFonts w:cstheme="minorHAnsi"/>
                <w:iCs/>
                <w:color w:val="auto"/>
                <w:sz w:val="20"/>
                <w:szCs w:val="20"/>
              </w:rPr>
              <w:t>design</w:t>
            </w:r>
            <w:r>
              <w:rPr>
                <w:rFonts w:cstheme="minorHAnsi"/>
                <w:iCs/>
                <w:color w:val="auto"/>
                <w:sz w:val="20"/>
                <w:szCs w:val="20"/>
              </w:rPr>
              <w:t>.</w:t>
            </w:r>
          </w:p>
        </w:tc>
        <w:tc>
          <w:tcPr>
            <w:tcW w:w="2268" w:type="dxa"/>
          </w:tcPr>
          <w:p w14:paraId="4C5A3290" w14:textId="77777777" w:rsidR="00F141CE" w:rsidRDefault="00F141CE" w:rsidP="00844262">
            <w:pPr>
              <w:spacing w:line="240" w:lineRule="auto"/>
              <w:rPr>
                <w:rFonts w:cstheme="minorHAnsi"/>
                <w:iCs/>
                <w:color w:val="auto"/>
                <w:sz w:val="20"/>
                <w:szCs w:val="20"/>
              </w:rPr>
            </w:pPr>
            <w:r>
              <w:rPr>
                <w:rFonts w:cstheme="minorHAnsi"/>
                <w:iCs/>
                <w:color w:val="auto"/>
                <w:sz w:val="20"/>
                <w:szCs w:val="20"/>
              </w:rPr>
              <w:t>The HLC re-design will be concluded by end-June 2023.</w:t>
            </w:r>
          </w:p>
          <w:p w14:paraId="42F21FFA" w14:textId="11A05785" w:rsidR="00F141CE" w:rsidRPr="00CA7BEF" w:rsidRDefault="00F141CE" w:rsidP="009748AB">
            <w:pPr>
              <w:spacing w:line="240" w:lineRule="auto"/>
              <w:rPr>
                <w:rFonts w:cstheme="minorHAnsi"/>
                <w:iCs/>
                <w:color w:val="auto"/>
                <w:sz w:val="20"/>
                <w:szCs w:val="20"/>
              </w:rPr>
            </w:pPr>
          </w:p>
        </w:tc>
      </w:tr>
      <w:tr w:rsidR="00F141CE" w:rsidRPr="00CA7BEF" w14:paraId="2EC6FDBD" w14:textId="77777777" w:rsidTr="0014546B">
        <w:tc>
          <w:tcPr>
            <w:tcW w:w="4962" w:type="dxa"/>
          </w:tcPr>
          <w:p w14:paraId="5A58F813" w14:textId="79CF2870" w:rsidR="00F141CE" w:rsidRPr="00201429" w:rsidRDefault="00F141CE" w:rsidP="001863B4">
            <w:pPr>
              <w:pStyle w:val="ListParagraph"/>
              <w:spacing w:line="240" w:lineRule="auto"/>
              <w:ind w:left="0"/>
              <w:rPr>
                <w:rFonts w:cstheme="minorHAnsi"/>
                <w:b/>
                <w:bCs/>
                <w:color w:val="auto"/>
                <w:sz w:val="20"/>
                <w:szCs w:val="20"/>
                <w:lang w:val="en-AU"/>
              </w:rPr>
            </w:pPr>
            <w:r w:rsidRPr="000903DA">
              <w:rPr>
                <w:rFonts w:cstheme="minorHAnsi"/>
                <w:b/>
                <w:bCs/>
                <w:color w:val="auto"/>
                <w:sz w:val="20"/>
                <w:szCs w:val="20"/>
                <w:lang w:val="en-AU"/>
              </w:rPr>
              <w:t xml:space="preserve">3. </w:t>
            </w:r>
            <w:r>
              <w:rPr>
                <w:rFonts w:cstheme="minorHAnsi"/>
                <w:b/>
                <w:bCs/>
                <w:color w:val="auto"/>
                <w:sz w:val="20"/>
                <w:szCs w:val="20"/>
                <w:lang w:val="en-AU"/>
              </w:rPr>
              <w:t xml:space="preserve">End of Investment </w:t>
            </w:r>
            <w:r w:rsidRPr="000903DA">
              <w:rPr>
                <w:rFonts w:cstheme="minorHAnsi"/>
                <w:b/>
                <w:bCs/>
                <w:color w:val="auto"/>
                <w:sz w:val="20"/>
                <w:szCs w:val="20"/>
                <w:lang w:val="en-AU"/>
              </w:rPr>
              <w:t>Outcome 1</w:t>
            </w:r>
            <w:r>
              <w:rPr>
                <w:rFonts w:cstheme="minorHAnsi"/>
                <w:b/>
                <w:bCs/>
                <w:color w:val="auto"/>
                <w:sz w:val="20"/>
                <w:szCs w:val="20"/>
                <w:lang w:val="en-AU"/>
              </w:rPr>
              <w:t xml:space="preserve">: </w:t>
            </w:r>
            <w:r w:rsidRPr="00201429">
              <w:rPr>
                <w:rFonts w:cstheme="minorHAnsi"/>
                <w:color w:val="auto"/>
                <w:sz w:val="20"/>
                <w:szCs w:val="20"/>
                <w:lang w:val="en-AU"/>
              </w:rPr>
              <w:t xml:space="preserve">DFAT is recommended </w:t>
            </w:r>
            <w:r>
              <w:rPr>
                <w:rFonts w:cstheme="minorHAnsi"/>
                <w:color w:val="auto"/>
                <w:sz w:val="20"/>
                <w:szCs w:val="20"/>
                <w:lang w:val="en-AU"/>
              </w:rPr>
              <w:t>to r</w:t>
            </w:r>
            <w:r w:rsidRPr="00F619D0">
              <w:rPr>
                <w:rFonts w:cstheme="minorHAnsi"/>
                <w:color w:val="auto"/>
                <w:sz w:val="20"/>
                <w:szCs w:val="20"/>
                <w:lang w:val="en-AU"/>
              </w:rPr>
              <w:t>etain Outcome 1</w:t>
            </w:r>
            <w:r w:rsidR="00067CD9">
              <w:rPr>
                <w:rFonts w:cstheme="minorHAnsi"/>
                <w:color w:val="auto"/>
                <w:sz w:val="20"/>
                <w:szCs w:val="20"/>
                <w:lang w:val="en-AU"/>
              </w:rPr>
              <w:t>.</w:t>
            </w:r>
          </w:p>
        </w:tc>
        <w:tc>
          <w:tcPr>
            <w:tcW w:w="1417" w:type="dxa"/>
            <w:shd w:val="clear" w:color="auto" w:fill="92D050"/>
          </w:tcPr>
          <w:p w14:paraId="2231C965" w14:textId="6B64792C" w:rsidR="00F141CE" w:rsidRPr="00201429" w:rsidRDefault="00F141CE" w:rsidP="00817D76">
            <w:pPr>
              <w:spacing w:line="240" w:lineRule="auto"/>
              <w:rPr>
                <w:rFonts w:cstheme="minorHAnsi"/>
                <w:iCs/>
                <w:color w:val="auto"/>
                <w:sz w:val="20"/>
                <w:szCs w:val="20"/>
              </w:rPr>
            </w:pPr>
            <w:r w:rsidRPr="00CA7BEF">
              <w:rPr>
                <w:rFonts w:cstheme="minorHAnsi"/>
                <w:iCs/>
                <w:color w:val="auto"/>
                <w:sz w:val="20"/>
                <w:szCs w:val="20"/>
              </w:rPr>
              <w:t>Agree</w:t>
            </w:r>
          </w:p>
        </w:tc>
        <w:tc>
          <w:tcPr>
            <w:tcW w:w="4536" w:type="dxa"/>
          </w:tcPr>
          <w:p w14:paraId="6B07EF05" w14:textId="0889852C" w:rsidR="00F141CE" w:rsidRPr="00201429" w:rsidRDefault="00F141CE" w:rsidP="00AF5CFA">
            <w:pPr>
              <w:spacing w:line="240" w:lineRule="auto"/>
              <w:rPr>
                <w:rFonts w:cstheme="minorHAnsi"/>
                <w:iCs/>
                <w:color w:val="auto"/>
                <w:sz w:val="20"/>
                <w:szCs w:val="20"/>
              </w:rPr>
            </w:pPr>
            <w:r>
              <w:rPr>
                <w:rFonts w:cstheme="minorHAnsi"/>
                <w:iCs/>
                <w:color w:val="auto"/>
                <w:sz w:val="20"/>
                <w:szCs w:val="20"/>
              </w:rPr>
              <w:t>This recommendation is being addressed through the HLC re-</w:t>
            </w:r>
            <w:r w:rsidRPr="00CA7BEF">
              <w:rPr>
                <w:rFonts w:cstheme="minorHAnsi"/>
                <w:iCs/>
                <w:color w:val="auto"/>
                <w:sz w:val="20"/>
                <w:szCs w:val="20"/>
              </w:rPr>
              <w:t>design</w:t>
            </w:r>
            <w:r>
              <w:rPr>
                <w:rFonts w:cstheme="minorHAnsi"/>
                <w:iCs/>
                <w:color w:val="auto"/>
                <w:sz w:val="20"/>
                <w:szCs w:val="20"/>
              </w:rPr>
              <w:t>.</w:t>
            </w:r>
          </w:p>
        </w:tc>
        <w:tc>
          <w:tcPr>
            <w:tcW w:w="2268" w:type="dxa"/>
          </w:tcPr>
          <w:p w14:paraId="2A699006" w14:textId="46729543" w:rsidR="00F141CE" w:rsidRPr="00CA7BEF" w:rsidRDefault="00F141CE" w:rsidP="009748AB">
            <w:pPr>
              <w:spacing w:line="240" w:lineRule="auto"/>
              <w:rPr>
                <w:rFonts w:cstheme="minorHAnsi"/>
                <w:iCs/>
                <w:color w:val="auto"/>
                <w:sz w:val="20"/>
                <w:szCs w:val="20"/>
              </w:rPr>
            </w:pPr>
            <w:r>
              <w:rPr>
                <w:rFonts w:cstheme="minorHAnsi"/>
                <w:iCs/>
                <w:color w:val="auto"/>
                <w:sz w:val="20"/>
                <w:szCs w:val="20"/>
              </w:rPr>
              <w:t>The HLC re-design will be concluded by end-June 2023.</w:t>
            </w:r>
          </w:p>
        </w:tc>
      </w:tr>
      <w:tr w:rsidR="00F141CE" w:rsidRPr="00CA7BEF" w14:paraId="1640077C" w14:textId="77777777" w:rsidTr="00A34F54">
        <w:tc>
          <w:tcPr>
            <w:tcW w:w="4962" w:type="dxa"/>
          </w:tcPr>
          <w:p w14:paraId="6BC14CE9" w14:textId="31FCD960" w:rsidR="00F141CE" w:rsidRPr="00DA6CC7" w:rsidRDefault="00F141CE" w:rsidP="00DE2E84">
            <w:pPr>
              <w:spacing w:line="240" w:lineRule="auto"/>
              <w:rPr>
                <w:rFonts w:cstheme="minorHAnsi"/>
                <w:b/>
                <w:bCs/>
                <w:color w:val="auto"/>
                <w:sz w:val="20"/>
                <w:szCs w:val="20"/>
                <w:lang w:val="en-AU"/>
              </w:rPr>
            </w:pPr>
            <w:r w:rsidRPr="00870E60">
              <w:rPr>
                <w:rFonts w:cstheme="minorHAnsi"/>
                <w:b/>
                <w:bCs/>
                <w:color w:val="auto"/>
                <w:sz w:val="20"/>
                <w:szCs w:val="20"/>
                <w:lang w:val="en-AU"/>
              </w:rPr>
              <w:lastRenderedPageBreak/>
              <w:t xml:space="preserve">4. </w:t>
            </w:r>
            <w:r>
              <w:rPr>
                <w:rFonts w:cstheme="minorHAnsi"/>
                <w:b/>
                <w:bCs/>
                <w:color w:val="auto"/>
                <w:sz w:val="20"/>
                <w:szCs w:val="20"/>
                <w:lang w:val="en-AU"/>
              </w:rPr>
              <w:t xml:space="preserve">End of Investment </w:t>
            </w:r>
            <w:r w:rsidRPr="00870E60">
              <w:rPr>
                <w:rFonts w:cstheme="minorHAnsi"/>
                <w:b/>
                <w:bCs/>
                <w:color w:val="auto"/>
                <w:sz w:val="20"/>
                <w:szCs w:val="20"/>
                <w:lang w:val="en-AU"/>
              </w:rPr>
              <w:t>Outcome 2</w:t>
            </w:r>
            <w:r>
              <w:rPr>
                <w:rFonts w:cstheme="minorHAnsi"/>
                <w:b/>
                <w:bCs/>
                <w:color w:val="auto"/>
                <w:sz w:val="20"/>
                <w:szCs w:val="20"/>
                <w:lang w:val="en-AU"/>
              </w:rPr>
              <w:t xml:space="preserve">: </w:t>
            </w:r>
            <w:r w:rsidRPr="00201429">
              <w:rPr>
                <w:rFonts w:cstheme="minorHAnsi"/>
                <w:color w:val="auto"/>
                <w:sz w:val="20"/>
                <w:szCs w:val="20"/>
                <w:lang w:val="en-AU"/>
              </w:rPr>
              <w:t xml:space="preserve">DFAT is recommended </w:t>
            </w:r>
            <w:r>
              <w:rPr>
                <w:rFonts w:cstheme="minorHAnsi"/>
                <w:color w:val="auto"/>
                <w:sz w:val="20"/>
                <w:szCs w:val="20"/>
                <w:lang w:val="en-AU"/>
              </w:rPr>
              <w:t>to r</w:t>
            </w:r>
            <w:r w:rsidRPr="0067272D">
              <w:rPr>
                <w:rFonts w:cstheme="minorHAnsi"/>
                <w:color w:val="auto"/>
                <w:sz w:val="20"/>
                <w:szCs w:val="20"/>
                <w:lang w:val="en-AU"/>
              </w:rPr>
              <w:t>emove Outcome 2</w:t>
            </w:r>
            <w:r w:rsidR="002F3007">
              <w:rPr>
                <w:rFonts w:cstheme="minorHAnsi"/>
                <w:color w:val="auto"/>
                <w:sz w:val="20"/>
                <w:szCs w:val="20"/>
                <w:lang w:val="en-AU"/>
              </w:rPr>
              <w:t>.</w:t>
            </w:r>
          </w:p>
        </w:tc>
        <w:tc>
          <w:tcPr>
            <w:tcW w:w="1417" w:type="dxa"/>
            <w:shd w:val="clear" w:color="auto" w:fill="FFC000"/>
          </w:tcPr>
          <w:p w14:paraId="6C3C8167" w14:textId="77777777" w:rsidR="00F141CE" w:rsidRPr="00DE4B1B" w:rsidRDefault="00F141CE" w:rsidP="00DE4B1B">
            <w:pPr>
              <w:rPr>
                <w:rFonts w:cstheme="minorHAnsi"/>
                <w:iCs/>
                <w:color w:val="auto"/>
                <w:sz w:val="20"/>
                <w:szCs w:val="20"/>
              </w:rPr>
            </w:pPr>
            <w:r w:rsidRPr="00DE4B1B">
              <w:rPr>
                <w:rFonts w:cstheme="minorHAnsi"/>
                <w:iCs/>
                <w:color w:val="auto"/>
                <w:sz w:val="20"/>
                <w:szCs w:val="20"/>
              </w:rPr>
              <w:t>Partially Agree</w:t>
            </w:r>
          </w:p>
          <w:p w14:paraId="71B0679A" w14:textId="2C44F374" w:rsidR="00F141CE" w:rsidRPr="00CA7BEF" w:rsidRDefault="00F141CE" w:rsidP="009748AB">
            <w:pPr>
              <w:spacing w:line="240" w:lineRule="auto"/>
              <w:rPr>
                <w:rFonts w:cstheme="minorHAnsi"/>
                <w:iCs/>
                <w:color w:val="auto"/>
                <w:sz w:val="20"/>
                <w:szCs w:val="20"/>
              </w:rPr>
            </w:pPr>
          </w:p>
        </w:tc>
        <w:tc>
          <w:tcPr>
            <w:tcW w:w="4536" w:type="dxa"/>
          </w:tcPr>
          <w:p w14:paraId="73D347B0" w14:textId="77777777" w:rsidR="00E207F3" w:rsidRPr="00E207F3" w:rsidRDefault="00E207F3" w:rsidP="00E207F3">
            <w:pPr>
              <w:spacing w:line="240" w:lineRule="auto"/>
              <w:rPr>
                <w:rFonts w:ascii="Calibri Light" w:eastAsia="Calibri Light" w:hAnsi="Calibri Light" w:cs="Calibri Light"/>
                <w:iCs/>
                <w:color w:val="auto"/>
                <w:sz w:val="20"/>
                <w:szCs w:val="20"/>
              </w:rPr>
            </w:pPr>
            <w:r w:rsidRPr="00E207F3">
              <w:rPr>
                <w:rFonts w:ascii="Calibri Light" w:eastAsia="Calibri Light" w:hAnsi="Calibri Light" w:cs="Calibri Light"/>
                <w:iCs/>
                <w:color w:val="auto"/>
                <w:sz w:val="20"/>
                <w:szCs w:val="20"/>
              </w:rPr>
              <w:t xml:space="preserve">DFAT’s Humanitarian Division (HPD) will consider whether to retain Outcome 2 through the HLC re-design in consultation with the Consular and Crisis Management Division (CCD). </w:t>
            </w:r>
          </w:p>
          <w:p w14:paraId="17837183" w14:textId="2D512E1E" w:rsidR="00F141CE" w:rsidRPr="00CA7BEF" w:rsidRDefault="00F141CE" w:rsidP="009748AB">
            <w:pPr>
              <w:spacing w:line="240" w:lineRule="auto"/>
              <w:rPr>
                <w:rFonts w:cstheme="minorHAnsi"/>
                <w:iCs/>
                <w:color w:val="auto"/>
                <w:sz w:val="20"/>
                <w:szCs w:val="20"/>
              </w:rPr>
            </w:pPr>
            <w:r>
              <w:rPr>
                <w:rFonts w:cstheme="minorHAnsi"/>
                <w:iCs/>
                <w:color w:val="auto"/>
                <w:sz w:val="20"/>
                <w:szCs w:val="20"/>
              </w:rPr>
              <w:t>Non-activation of outcome 2 was not a reflection of poor performance.</w:t>
            </w:r>
          </w:p>
        </w:tc>
        <w:tc>
          <w:tcPr>
            <w:tcW w:w="2268" w:type="dxa"/>
          </w:tcPr>
          <w:p w14:paraId="28A67E17" w14:textId="1E62F9C3" w:rsidR="00F141CE" w:rsidRPr="00CA7BEF" w:rsidRDefault="00F141CE" w:rsidP="009748AB">
            <w:pPr>
              <w:spacing w:line="240" w:lineRule="auto"/>
              <w:rPr>
                <w:rFonts w:cstheme="minorHAnsi"/>
                <w:iCs/>
                <w:color w:val="auto"/>
                <w:sz w:val="20"/>
                <w:szCs w:val="20"/>
              </w:rPr>
            </w:pPr>
            <w:r>
              <w:rPr>
                <w:rFonts w:cstheme="minorHAnsi"/>
                <w:iCs/>
                <w:color w:val="auto"/>
                <w:sz w:val="20"/>
                <w:szCs w:val="20"/>
              </w:rPr>
              <w:t>The HLC re-design will be concluded by end-June 2023.</w:t>
            </w:r>
          </w:p>
        </w:tc>
      </w:tr>
      <w:tr w:rsidR="00F141CE" w:rsidRPr="00CA7BEF" w14:paraId="2F7472D2" w14:textId="77777777" w:rsidTr="007C3EA6">
        <w:tc>
          <w:tcPr>
            <w:tcW w:w="4962" w:type="dxa"/>
          </w:tcPr>
          <w:p w14:paraId="0F8A99C5" w14:textId="06F77B85" w:rsidR="00F141CE" w:rsidRPr="00DA6CC7" w:rsidRDefault="00F141CE" w:rsidP="00F619D0">
            <w:pPr>
              <w:spacing w:line="240" w:lineRule="auto"/>
              <w:rPr>
                <w:rFonts w:cstheme="minorHAnsi"/>
                <w:b/>
                <w:bCs/>
                <w:color w:val="auto"/>
                <w:sz w:val="20"/>
                <w:szCs w:val="20"/>
                <w:lang w:val="en-AU"/>
              </w:rPr>
            </w:pPr>
            <w:r w:rsidRPr="00870E60">
              <w:rPr>
                <w:rFonts w:cstheme="minorHAnsi"/>
                <w:b/>
                <w:bCs/>
                <w:color w:val="auto"/>
                <w:sz w:val="20"/>
                <w:szCs w:val="20"/>
                <w:lang w:val="en-AU"/>
              </w:rPr>
              <w:t>5. End of Investment Outcome 3</w:t>
            </w:r>
            <w:r>
              <w:rPr>
                <w:rFonts w:cstheme="minorHAnsi"/>
                <w:b/>
                <w:bCs/>
                <w:color w:val="auto"/>
                <w:sz w:val="20"/>
                <w:szCs w:val="20"/>
                <w:lang w:val="en-AU"/>
              </w:rPr>
              <w:t xml:space="preserve">: </w:t>
            </w:r>
            <w:r w:rsidRPr="00201429">
              <w:rPr>
                <w:rFonts w:cstheme="minorHAnsi"/>
                <w:color w:val="auto"/>
                <w:sz w:val="20"/>
                <w:szCs w:val="20"/>
                <w:lang w:val="en-AU"/>
              </w:rPr>
              <w:t xml:space="preserve">DFAT is recommended </w:t>
            </w:r>
            <w:r>
              <w:rPr>
                <w:rFonts w:cstheme="minorHAnsi"/>
                <w:color w:val="auto"/>
                <w:sz w:val="20"/>
                <w:szCs w:val="20"/>
                <w:lang w:val="en-AU"/>
              </w:rPr>
              <w:t>to r</w:t>
            </w:r>
            <w:r w:rsidRPr="00870E60">
              <w:rPr>
                <w:rFonts w:cstheme="minorHAnsi"/>
                <w:color w:val="auto"/>
                <w:sz w:val="20"/>
                <w:szCs w:val="20"/>
                <w:lang w:val="en-AU"/>
              </w:rPr>
              <w:t>etain</w:t>
            </w:r>
            <w:r>
              <w:rPr>
                <w:rFonts w:cstheme="minorHAnsi"/>
                <w:color w:val="auto"/>
                <w:sz w:val="20"/>
                <w:szCs w:val="20"/>
                <w:lang w:val="en-AU"/>
              </w:rPr>
              <w:t xml:space="preserve"> </w:t>
            </w:r>
            <w:r w:rsidRPr="00870E60">
              <w:rPr>
                <w:rFonts w:cstheme="minorHAnsi"/>
                <w:color w:val="auto"/>
                <w:sz w:val="20"/>
                <w:szCs w:val="20"/>
                <w:lang w:val="en-AU"/>
              </w:rPr>
              <w:t>Outcome 3</w:t>
            </w:r>
            <w:r w:rsidR="002F3007">
              <w:rPr>
                <w:rFonts w:cstheme="minorHAnsi"/>
                <w:color w:val="auto"/>
                <w:sz w:val="20"/>
                <w:szCs w:val="20"/>
                <w:lang w:val="en-AU"/>
              </w:rPr>
              <w:t xml:space="preserve"> with modifications.</w:t>
            </w:r>
          </w:p>
        </w:tc>
        <w:tc>
          <w:tcPr>
            <w:tcW w:w="1417" w:type="dxa"/>
            <w:shd w:val="clear" w:color="auto" w:fill="92D050"/>
          </w:tcPr>
          <w:p w14:paraId="5339D995" w14:textId="7855D2AD" w:rsidR="00F141CE" w:rsidRPr="00CA7BEF" w:rsidRDefault="00F141CE" w:rsidP="009748AB">
            <w:pPr>
              <w:spacing w:line="240" w:lineRule="auto"/>
              <w:rPr>
                <w:rFonts w:cstheme="minorHAnsi"/>
                <w:iCs/>
                <w:color w:val="auto"/>
                <w:sz w:val="20"/>
                <w:szCs w:val="20"/>
              </w:rPr>
            </w:pPr>
            <w:r>
              <w:rPr>
                <w:rFonts w:cstheme="minorHAnsi"/>
                <w:iCs/>
                <w:color w:val="auto"/>
                <w:sz w:val="20"/>
                <w:szCs w:val="20"/>
              </w:rPr>
              <w:t>Agree</w:t>
            </w:r>
          </w:p>
        </w:tc>
        <w:tc>
          <w:tcPr>
            <w:tcW w:w="4536" w:type="dxa"/>
          </w:tcPr>
          <w:p w14:paraId="7240191D" w14:textId="44F7DD9B" w:rsidR="00F141CE" w:rsidRPr="00CA7BEF" w:rsidRDefault="00F141CE" w:rsidP="009748AB">
            <w:pPr>
              <w:spacing w:line="240" w:lineRule="auto"/>
              <w:rPr>
                <w:rFonts w:cstheme="minorHAnsi"/>
                <w:iCs/>
                <w:color w:val="auto"/>
                <w:sz w:val="20"/>
                <w:szCs w:val="20"/>
              </w:rPr>
            </w:pPr>
            <w:r>
              <w:rPr>
                <w:rFonts w:cstheme="minorHAnsi"/>
                <w:iCs/>
                <w:color w:val="auto"/>
                <w:sz w:val="20"/>
                <w:szCs w:val="20"/>
              </w:rPr>
              <w:t>This recommendation is being addressed through the HLC re-</w:t>
            </w:r>
            <w:r w:rsidRPr="00CA7BEF">
              <w:rPr>
                <w:rFonts w:cstheme="minorHAnsi"/>
                <w:iCs/>
                <w:color w:val="auto"/>
                <w:sz w:val="20"/>
                <w:szCs w:val="20"/>
              </w:rPr>
              <w:t>design</w:t>
            </w:r>
            <w:r>
              <w:rPr>
                <w:rFonts w:cstheme="minorHAnsi"/>
                <w:iCs/>
                <w:color w:val="auto"/>
                <w:sz w:val="20"/>
                <w:szCs w:val="20"/>
              </w:rPr>
              <w:t>.</w:t>
            </w:r>
          </w:p>
        </w:tc>
        <w:tc>
          <w:tcPr>
            <w:tcW w:w="2268" w:type="dxa"/>
          </w:tcPr>
          <w:p w14:paraId="20106160" w14:textId="586CFDAD" w:rsidR="00F141CE" w:rsidRPr="00CA7BEF" w:rsidRDefault="00F141CE" w:rsidP="009748AB">
            <w:pPr>
              <w:spacing w:line="240" w:lineRule="auto"/>
              <w:rPr>
                <w:rFonts w:cstheme="minorHAnsi"/>
                <w:iCs/>
                <w:color w:val="auto"/>
                <w:sz w:val="20"/>
                <w:szCs w:val="20"/>
              </w:rPr>
            </w:pPr>
            <w:r>
              <w:rPr>
                <w:rFonts w:cstheme="minorHAnsi"/>
                <w:iCs/>
                <w:color w:val="auto"/>
                <w:sz w:val="20"/>
                <w:szCs w:val="20"/>
              </w:rPr>
              <w:t>The HLC re-design will be concluded by end-June 2023.</w:t>
            </w:r>
          </w:p>
        </w:tc>
      </w:tr>
    </w:tbl>
    <w:p w14:paraId="16E2173A" w14:textId="00763FCD" w:rsidR="000F3962" w:rsidRDefault="00C84C52" w:rsidP="000F3962">
      <w:pPr>
        <w:pStyle w:val="Heading2"/>
      </w:pPr>
      <w:r>
        <w:t xml:space="preserve">Governance </w:t>
      </w:r>
    </w:p>
    <w:tbl>
      <w:tblPr>
        <w:tblStyle w:val="TableGrid"/>
        <w:tblW w:w="13183" w:type="dxa"/>
        <w:tblInd w:w="-147" w:type="dxa"/>
        <w:tblLook w:val="04A0" w:firstRow="1" w:lastRow="0" w:firstColumn="1" w:lastColumn="0" w:noHBand="0" w:noVBand="1"/>
      </w:tblPr>
      <w:tblGrid>
        <w:gridCol w:w="4962"/>
        <w:gridCol w:w="1417"/>
        <w:gridCol w:w="4536"/>
        <w:gridCol w:w="2268"/>
      </w:tblGrid>
      <w:tr w:rsidR="00CA7BEF" w:rsidRPr="00CA7BEF" w14:paraId="164FECCB" w14:textId="77777777" w:rsidTr="00550F60">
        <w:tc>
          <w:tcPr>
            <w:tcW w:w="4962" w:type="dxa"/>
          </w:tcPr>
          <w:p w14:paraId="713CB495" w14:textId="086C3834" w:rsidR="000F3962" w:rsidRPr="00DA6CC7" w:rsidRDefault="008D4941" w:rsidP="00B42772">
            <w:pPr>
              <w:spacing w:line="240" w:lineRule="auto"/>
              <w:rPr>
                <w:rFonts w:cstheme="minorHAnsi"/>
                <w:b/>
                <w:bCs/>
                <w:iCs/>
                <w:color w:val="auto"/>
                <w:sz w:val="20"/>
                <w:szCs w:val="20"/>
              </w:rPr>
            </w:pPr>
            <w:r w:rsidRPr="00B42772">
              <w:rPr>
                <w:rFonts w:cstheme="minorHAnsi"/>
                <w:b/>
                <w:bCs/>
                <w:iCs/>
                <w:color w:val="auto"/>
                <w:sz w:val="20"/>
                <w:szCs w:val="20"/>
              </w:rPr>
              <w:t xml:space="preserve">6. </w:t>
            </w:r>
            <w:r w:rsidR="00B42772" w:rsidRPr="00B42772">
              <w:rPr>
                <w:rFonts w:cstheme="minorHAnsi"/>
                <w:b/>
                <w:bCs/>
                <w:iCs/>
                <w:color w:val="auto"/>
                <w:sz w:val="20"/>
                <w:szCs w:val="20"/>
              </w:rPr>
              <w:t>Governance Arrangements</w:t>
            </w:r>
            <w:r w:rsidR="00DA6CC7">
              <w:rPr>
                <w:rFonts w:cstheme="minorHAnsi"/>
                <w:b/>
                <w:bCs/>
                <w:iCs/>
                <w:color w:val="auto"/>
                <w:sz w:val="20"/>
                <w:szCs w:val="20"/>
              </w:rPr>
              <w:t xml:space="preserve">: </w:t>
            </w:r>
            <w:r w:rsidR="00B42772" w:rsidRPr="00B42772">
              <w:rPr>
                <w:rFonts w:cstheme="minorHAnsi"/>
                <w:iCs/>
                <w:color w:val="auto"/>
                <w:sz w:val="20"/>
                <w:szCs w:val="20"/>
              </w:rPr>
              <w:t xml:space="preserve">DFAT is recommended to design and implement governance and management arrangements of the HLC investment, including roles and responsibilities, job descriptions, Standard Operating Procedures (SOPs), and skills and competencies required of the contractor, each </w:t>
            </w:r>
            <w:proofErr w:type="gramStart"/>
            <w:r w:rsidR="00B42772" w:rsidRPr="00B42772">
              <w:rPr>
                <w:rFonts w:cstheme="minorHAnsi"/>
                <w:iCs/>
                <w:color w:val="auto"/>
                <w:sz w:val="20"/>
                <w:szCs w:val="20"/>
              </w:rPr>
              <w:t>partner</w:t>
            </w:r>
            <w:proofErr w:type="gramEnd"/>
            <w:r w:rsidR="00B42772" w:rsidRPr="00B42772">
              <w:rPr>
                <w:rFonts w:cstheme="minorHAnsi"/>
                <w:iCs/>
                <w:color w:val="auto"/>
                <w:sz w:val="20"/>
                <w:szCs w:val="20"/>
              </w:rPr>
              <w:t xml:space="preserve"> and each staff member within DFAT in relation to delivering the HLC.</w:t>
            </w:r>
          </w:p>
        </w:tc>
        <w:tc>
          <w:tcPr>
            <w:tcW w:w="1417" w:type="dxa"/>
            <w:shd w:val="clear" w:color="auto" w:fill="92D050"/>
          </w:tcPr>
          <w:p w14:paraId="40E8AE97" w14:textId="39C35CE3" w:rsidR="000F3962" w:rsidRPr="00CA7BEF" w:rsidRDefault="000F3962" w:rsidP="006707E4">
            <w:pPr>
              <w:spacing w:line="240" w:lineRule="auto"/>
              <w:rPr>
                <w:rFonts w:cstheme="minorHAnsi"/>
                <w:iCs/>
                <w:color w:val="auto"/>
                <w:sz w:val="20"/>
                <w:szCs w:val="20"/>
              </w:rPr>
            </w:pPr>
            <w:r w:rsidRPr="00CA7BEF">
              <w:rPr>
                <w:rFonts w:cstheme="minorHAnsi"/>
                <w:iCs/>
                <w:color w:val="auto"/>
                <w:sz w:val="20"/>
                <w:szCs w:val="20"/>
              </w:rPr>
              <w:t>Agree</w:t>
            </w:r>
          </w:p>
        </w:tc>
        <w:tc>
          <w:tcPr>
            <w:tcW w:w="4536" w:type="dxa"/>
          </w:tcPr>
          <w:p w14:paraId="397EB770" w14:textId="758C4F98" w:rsidR="000F3962" w:rsidRPr="00CA7BEF" w:rsidRDefault="008E3B93" w:rsidP="00AD5DA2">
            <w:pPr>
              <w:spacing w:line="240" w:lineRule="auto"/>
              <w:rPr>
                <w:rFonts w:cstheme="minorHAnsi"/>
                <w:iCs/>
                <w:color w:val="auto"/>
                <w:sz w:val="20"/>
                <w:szCs w:val="20"/>
              </w:rPr>
            </w:pPr>
            <w:r>
              <w:rPr>
                <w:rFonts w:cstheme="minorHAnsi"/>
                <w:iCs/>
                <w:color w:val="auto"/>
                <w:sz w:val="20"/>
                <w:szCs w:val="20"/>
              </w:rPr>
              <w:t xml:space="preserve">DFAT </w:t>
            </w:r>
            <w:r w:rsidR="00B277F8">
              <w:rPr>
                <w:rFonts w:cstheme="minorHAnsi"/>
                <w:iCs/>
                <w:color w:val="auto"/>
                <w:sz w:val="20"/>
                <w:szCs w:val="20"/>
              </w:rPr>
              <w:t>has</w:t>
            </w:r>
            <w:r>
              <w:rPr>
                <w:rFonts w:cstheme="minorHAnsi"/>
                <w:iCs/>
                <w:color w:val="auto"/>
                <w:sz w:val="20"/>
                <w:szCs w:val="20"/>
              </w:rPr>
              <w:t xml:space="preserve"> implement</w:t>
            </w:r>
            <w:r w:rsidR="00B277F8">
              <w:rPr>
                <w:rFonts w:cstheme="minorHAnsi"/>
                <w:iCs/>
                <w:color w:val="auto"/>
                <w:sz w:val="20"/>
                <w:szCs w:val="20"/>
              </w:rPr>
              <w:t>ed</w:t>
            </w:r>
            <w:r>
              <w:rPr>
                <w:rFonts w:cstheme="minorHAnsi"/>
                <w:iCs/>
                <w:color w:val="auto"/>
                <w:sz w:val="20"/>
                <w:szCs w:val="20"/>
              </w:rPr>
              <w:t xml:space="preserve"> improved governance and management arrangements with the HLC investment</w:t>
            </w:r>
            <w:r w:rsidR="00E12968">
              <w:rPr>
                <w:rFonts w:cstheme="minorHAnsi"/>
                <w:iCs/>
                <w:color w:val="auto"/>
                <w:sz w:val="20"/>
                <w:szCs w:val="20"/>
              </w:rPr>
              <w:t>.</w:t>
            </w:r>
            <w:r w:rsidR="00131E20">
              <w:rPr>
                <w:rFonts w:cstheme="minorHAnsi"/>
                <w:iCs/>
                <w:color w:val="auto"/>
                <w:sz w:val="20"/>
                <w:szCs w:val="20"/>
              </w:rPr>
              <w:t xml:space="preserve"> </w:t>
            </w:r>
            <w:r w:rsidR="00F77728">
              <w:rPr>
                <w:rFonts w:cstheme="minorHAnsi"/>
                <w:iCs/>
                <w:color w:val="auto"/>
                <w:sz w:val="20"/>
                <w:szCs w:val="20"/>
              </w:rPr>
              <w:t>Broader governance and management arrangements</w:t>
            </w:r>
            <w:r w:rsidR="008765D5">
              <w:rPr>
                <w:rFonts w:cstheme="minorHAnsi"/>
                <w:iCs/>
                <w:color w:val="auto"/>
                <w:sz w:val="20"/>
                <w:szCs w:val="20"/>
              </w:rPr>
              <w:t>, including skills and competencies</w:t>
            </w:r>
            <w:r w:rsidR="00997AEE">
              <w:rPr>
                <w:rFonts w:cstheme="minorHAnsi"/>
                <w:iCs/>
                <w:color w:val="auto"/>
                <w:sz w:val="20"/>
                <w:szCs w:val="20"/>
              </w:rPr>
              <w:t xml:space="preserve"> required of the contractor</w:t>
            </w:r>
            <w:r w:rsidR="00195B88">
              <w:rPr>
                <w:rFonts w:cstheme="minorHAnsi"/>
                <w:iCs/>
                <w:color w:val="auto"/>
                <w:sz w:val="20"/>
                <w:szCs w:val="20"/>
              </w:rPr>
              <w:t xml:space="preserve"> </w:t>
            </w:r>
            <w:r w:rsidR="009C5F86">
              <w:rPr>
                <w:rFonts w:cstheme="minorHAnsi"/>
                <w:iCs/>
                <w:color w:val="auto"/>
                <w:sz w:val="20"/>
                <w:szCs w:val="20"/>
              </w:rPr>
              <w:t xml:space="preserve">are </w:t>
            </w:r>
            <w:r w:rsidR="00131E20">
              <w:rPr>
                <w:rFonts w:cstheme="minorHAnsi"/>
                <w:iCs/>
                <w:color w:val="auto"/>
                <w:sz w:val="20"/>
                <w:szCs w:val="20"/>
              </w:rPr>
              <w:t>be</w:t>
            </w:r>
            <w:r w:rsidR="009C5F86">
              <w:rPr>
                <w:rFonts w:cstheme="minorHAnsi"/>
                <w:iCs/>
                <w:color w:val="auto"/>
                <w:sz w:val="20"/>
                <w:szCs w:val="20"/>
              </w:rPr>
              <w:t>ing</w:t>
            </w:r>
            <w:r w:rsidR="00131E20">
              <w:rPr>
                <w:rFonts w:cstheme="minorHAnsi"/>
                <w:iCs/>
                <w:color w:val="auto"/>
                <w:sz w:val="20"/>
                <w:szCs w:val="20"/>
              </w:rPr>
              <w:t xml:space="preserve"> </w:t>
            </w:r>
            <w:r w:rsidR="00195B88">
              <w:rPr>
                <w:rFonts w:cstheme="minorHAnsi"/>
                <w:iCs/>
                <w:color w:val="auto"/>
                <w:sz w:val="20"/>
                <w:szCs w:val="20"/>
              </w:rPr>
              <w:t xml:space="preserve">addressed through the HLC </w:t>
            </w:r>
            <w:r w:rsidR="00F738F6">
              <w:rPr>
                <w:rFonts w:cstheme="minorHAnsi"/>
                <w:iCs/>
                <w:color w:val="auto"/>
                <w:sz w:val="20"/>
                <w:szCs w:val="20"/>
              </w:rPr>
              <w:t>re-</w:t>
            </w:r>
            <w:r w:rsidR="00195B88" w:rsidRPr="00CA7BEF">
              <w:rPr>
                <w:rFonts w:cstheme="minorHAnsi"/>
                <w:iCs/>
                <w:color w:val="auto"/>
                <w:sz w:val="20"/>
                <w:szCs w:val="20"/>
              </w:rPr>
              <w:t>design</w:t>
            </w:r>
            <w:r w:rsidR="005C0135">
              <w:rPr>
                <w:rFonts w:cstheme="minorHAnsi"/>
                <w:iCs/>
                <w:color w:val="auto"/>
                <w:sz w:val="20"/>
                <w:szCs w:val="20"/>
              </w:rPr>
              <w:t>.</w:t>
            </w:r>
          </w:p>
        </w:tc>
        <w:tc>
          <w:tcPr>
            <w:tcW w:w="2268" w:type="dxa"/>
          </w:tcPr>
          <w:p w14:paraId="27AB2D83" w14:textId="3A27D210" w:rsidR="00195B88" w:rsidRDefault="00195B88" w:rsidP="00195B88">
            <w:pPr>
              <w:spacing w:line="240" w:lineRule="auto"/>
              <w:rPr>
                <w:rFonts w:cstheme="minorHAnsi"/>
                <w:iCs/>
                <w:color w:val="auto"/>
                <w:sz w:val="20"/>
                <w:szCs w:val="20"/>
              </w:rPr>
            </w:pPr>
            <w:r>
              <w:rPr>
                <w:rFonts w:cstheme="minorHAnsi"/>
                <w:iCs/>
                <w:color w:val="auto"/>
                <w:sz w:val="20"/>
                <w:szCs w:val="20"/>
              </w:rPr>
              <w:t xml:space="preserve">The HLC </w:t>
            </w:r>
            <w:r w:rsidR="00DD697F">
              <w:rPr>
                <w:rFonts w:cstheme="minorHAnsi"/>
                <w:iCs/>
                <w:color w:val="auto"/>
                <w:sz w:val="20"/>
                <w:szCs w:val="20"/>
              </w:rPr>
              <w:t>re-</w:t>
            </w:r>
            <w:r>
              <w:rPr>
                <w:rFonts w:cstheme="minorHAnsi"/>
                <w:iCs/>
                <w:color w:val="auto"/>
                <w:sz w:val="20"/>
                <w:szCs w:val="20"/>
              </w:rPr>
              <w:t>design will be concluded by end-</w:t>
            </w:r>
            <w:r w:rsidR="00062A44">
              <w:rPr>
                <w:rFonts w:cstheme="minorHAnsi"/>
                <w:iCs/>
                <w:color w:val="auto"/>
                <w:sz w:val="20"/>
                <w:szCs w:val="20"/>
              </w:rPr>
              <w:t>June</w:t>
            </w:r>
            <w:r>
              <w:rPr>
                <w:rFonts w:cstheme="minorHAnsi"/>
                <w:iCs/>
                <w:color w:val="auto"/>
                <w:sz w:val="20"/>
                <w:szCs w:val="20"/>
              </w:rPr>
              <w:t xml:space="preserve"> 2023.</w:t>
            </w:r>
          </w:p>
          <w:p w14:paraId="4D5022B2" w14:textId="60794725" w:rsidR="000F3962" w:rsidRPr="00CA7BEF" w:rsidRDefault="000F3962" w:rsidP="006707E4">
            <w:pPr>
              <w:spacing w:line="240" w:lineRule="auto"/>
              <w:rPr>
                <w:rFonts w:cstheme="minorHAnsi"/>
                <w:iCs/>
                <w:color w:val="auto"/>
                <w:sz w:val="20"/>
                <w:szCs w:val="20"/>
              </w:rPr>
            </w:pPr>
          </w:p>
        </w:tc>
      </w:tr>
    </w:tbl>
    <w:p w14:paraId="403DE133" w14:textId="1BB33866" w:rsidR="00751649" w:rsidRDefault="00245240" w:rsidP="00245240">
      <w:pPr>
        <w:pStyle w:val="Heading2"/>
      </w:pPr>
      <w:r>
        <w:t>Technical advisory inputs</w:t>
      </w:r>
    </w:p>
    <w:tbl>
      <w:tblPr>
        <w:tblStyle w:val="TableGrid"/>
        <w:tblW w:w="13183" w:type="dxa"/>
        <w:tblInd w:w="-147" w:type="dxa"/>
        <w:tblLook w:val="04A0" w:firstRow="1" w:lastRow="0" w:firstColumn="1" w:lastColumn="0" w:noHBand="0" w:noVBand="1"/>
      </w:tblPr>
      <w:tblGrid>
        <w:gridCol w:w="4962"/>
        <w:gridCol w:w="1417"/>
        <w:gridCol w:w="4536"/>
        <w:gridCol w:w="2268"/>
      </w:tblGrid>
      <w:tr w:rsidR="00751649" w:rsidRPr="00CA7BEF" w14:paraId="5CFB78E3" w14:textId="77777777" w:rsidTr="00550F60">
        <w:tc>
          <w:tcPr>
            <w:tcW w:w="4962" w:type="dxa"/>
          </w:tcPr>
          <w:p w14:paraId="20F535AD" w14:textId="6FC12F16" w:rsidR="00751649" w:rsidRPr="00DA6CC7" w:rsidRDefault="00245240" w:rsidP="00245240">
            <w:pPr>
              <w:spacing w:line="240" w:lineRule="auto"/>
              <w:rPr>
                <w:rFonts w:cstheme="minorHAnsi"/>
                <w:b/>
                <w:bCs/>
                <w:iCs/>
                <w:color w:val="auto"/>
                <w:sz w:val="20"/>
                <w:szCs w:val="20"/>
              </w:rPr>
            </w:pPr>
            <w:r w:rsidRPr="006D3077">
              <w:rPr>
                <w:rFonts w:cstheme="minorHAnsi"/>
                <w:b/>
                <w:bCs/>
                <w:iCs/>
                <w:color w:val="auto"/>
                <w:sz w:val="20"/>
                <w:szCs w:val="20"/>
              </w:rPr>
              <w:t xml:space="preserve">7. </w:t>
            </w:r>
            <w:r w:rsidR="00B01B57" w:rsidRPr="006D3077">
              <w:rPr>
                <w:rFonts w:cstheme="minorHAnsi"/>
                <w:b/>
                <w:bCs/>
                <w:iCs/>
                <w:color w:val="auto"/>
                <w:sz w:val="20"/>
                <w:szCs w:val="20"/>
              </w:rPr>
              <w:t>Technical advisory inputs:</w:t>
            </w:r>
            <w:r w:rsidR="00B01B57">
              <w:rPr>
                <w:rFonts w:cstheme="minorHAnsi"/>
                <w:b/>
                <w:bCs/>
                <w:iCs/>
                <w:color w:val="auto"/>
                <w:sz w:val="20"/>
                <w:szCs w:val="20"/>
              </w:rPr>
              <w:t xml:space="preserve"> </w:t>
            </w:r>
            <w:r w:rsidR="008A4FBC" w:rsidRPr="008A4FBC">
              <w:rPr>
                <w:rFonts w:cstheme="minorHAnsi"/>
                <w:iCs/>
                <w:color w:val="auto"/>
                <w:sz w:val="20"/>
                <w:szCs w:val="20"/>
              </w:rPr>
              <w:t>DFAT is recommended to design and implement mechanisms by which to draw in technical advisory inputs that embed Australia’s humanitarian policies and codes of practice (e.g., GEDSI) either internally (within DFAT) or through DFAT partners (e.g., AHP), such that skills and knowledge are held at the institutional level.</w:t>
            </w:r>
          </w:p>
        </w:tc>
        <w:tc>
          <w:tcPr>
            <w:tcW w:w="1417" w:type="dxa"/>
            <w:shd w:val="clear" w:color="auto" w:fill="92D050"/>
          </w:tcPr>
          <w:p w14:paraId="7A18E0A5" w14:textId="1851F7CE" w:rsidR="00751649" w:rsidRPr="00CA7BEF" w:rsidRDefault="00751649" w:rsidP="00DF4F01">
            <w:pPr>
              <w:spacing w:line="240" w:lineRule="auto"/>
              <w:rPr>
                <w:rFonts w:cstheme="minorHAnsi"/>
                <w:iCs/>
                <w:color w:val="auto"/>
                <w:sz w:val="20"/>
                <w:szCs w:val="20"/>
              </w:rPr>
            </w:pPr>
            <w:r w:rsidRPr="00CA7BEF">
              <w:rPr>
                <w:rFonts w:cstheme="minorHAnsi"/>
                <w:iCs/>
                <w:color w:val="auto"/>
                <w:sz w:val="20"/>
                <w:szCs w:val="20"/>
              </w:rPr>
              <w:t>Agree</w:t>
            </w:r>
          </w:p>
        </w:tc>
        <w:tc>
          <w:tcPr>
            <w:tcW w:w="4536" w:type="dxa"/>
          </w:tcPr>
          <w:p w14:paraId="266F8845" w14:textId="0FAFA415" w:rsidR="00751649" w:rsidRPr="00CA7BEF" w:rsidRDefault="0004260F" w:rsidP="00DF4F01">
            <w:pPr>
              <w:spacing w:line="240" w:lineRule="auto"/>
              <w:rPr>
                <w:rFonts w:cstheme="minorHAnsi"/>
                <w:iCs/>
                <w:color w:val="auto"/>
                <w:sz w:val="20"/>
                <w:szCs w:val="20"/>
              </w:rPr>
            </w:pPr>
            <w:r>
              <w:rPr>
                <w:rFonts w:cstheme="minorHAnsi"/>
                <w:iCs/>
                <w:color w:val="auto"/>
                <w:sz w:val="20"/>
                <w:szCs w:val="20"/>
              </w:rPr>
              <w:t xml:space="preserve">This recommendation is being addressed through the HLC </w:t>
            </w:r>
            <w:r w:rsidR="00DD697F">
              <w:rPr>
                <w:rFonts w:cstheme="minorHAnsi"/>
                <w:iCs/>
                <w:color w:val="auto"/>
                <w:sz w:val="20"/>
                <w:szCs w:val="20"/>
              </w:rPr>
              <w:t>re-</w:t>
            </w:r>
            <w:r w:rsidRPr="00CA7BEF">
              <w:rPr>
                <w:rFonts w:cstheme="minorHAnsi"/>
                <w:iCs/>
                <w:color w:val="auto"/>
                <w:sz w:val="20"/>
                <w:szCs w:val="20"/>
              </w:rPr>
              <w:t>design</w:t>
            </w:r>
            <w:r w:rsidR="00DD697F">
              <w:rPr>
                <w:rFonts w:cstheme="minorHAnsi"/>
                <w:iCs/>
                <w:color w:val="auto"/>
                <w:sz w:val="20"/>
                <w:szCs w:val="20"/>
              </w:rPr>
              <w:t>.</w:t>
            </w:r>
          </w:p>
        </w:tc>
        <w:tc>
          <w:tcPr>
            <w:tcW w:w="2268" w:type="dxa"/>
          </w:tcPr>
          <w:p w14:paraId="43BA92C1" w14:textId="6F40C9E2" w:rsidR="0004260F" w:rsidRDefault="0004260F" w:rsidP="0004260F">
            <w:pPr>
              <w:spacing w:line="240" w:lineRule="auto"/>
              <w:rPr>
                <w:rFonts w:cstheme="minorHAnsi"/>
                <w:iCs/>
                <w:color w:val="auto"/>
                <w:sz w:val="20"/>
                <w:szCs w:val="20"/>
              </w:rPr>
            </w:pPr>
            <w:r>
              <w:rPr>
                <w:rFonts w:cstheme="minorHAnsi"/>
                <w:iCs/>
                <w:color w:val="auto"/>
                <w:sz w:val="20"/>
                <w:szCs w:val="20"/>
              </w:rPr>
              <w:t xml:space="preserve">The HLC </w:t>
            </w:r>
            <w:r w:rsidR="00DD697F">
              <w:rPr>
                <w:rFonts w:cstheme="minorHAnsi"/>
                <w:iCs/>
                <w:color w:val="auto"/>
                <w:sz w:val="20"/>
                <w:szCs w:val="20"/>
              </w:rPr>
              <w:t>re-</w:t>
            </w:r>
            <w:r>
              <w:rPr>
                <w:rFonts w:cstheme="minorHAnsi"/>
                <w:iCs/>
                <w:color w:val="auto"/>
                <w:sz w:val="20"/>
                <w:szCs w:val="20"/>
              </w:rPr>
              <w:t>design will be concluded by end-</w:t>
            </w:r>
            <w:r w:rsidR="00062A44">
              <w:rPr>
                <w:rFonts w:cstheme="minorHAnsi"/>
                <w:iCs/>
                <w:color w:val="auto"/>
                <w:sz w:val="20"/>
                <w:szCs w:val="20"/>
              </w:rPr>
              <w:t>June</w:t>
            </w:r>
            <w:r>
              <w:rPr>
                <w:rFonts w:cstheme="minorHAnsi"/>
                <w:iCs/>
                <w:color w:val="auto"/>
                <w:sz w:val="20"/>
                <w:szCs w:val="20"/>
              </w:rPr>
              <w:t xml:space="preserve"> 2023.</w:t>
            </w:r>
          </w:p>
          <w:p w14:paraId="1FCB8008" w14:textId="774C4330" w:rsidR="00751649" w:rsidRPr="00CA7BEF" w:rsidRDefault="00751649" w:rsidP="00DF4F01">
            <w:pPr>
              <w:spacing w:line="240" w:lineRule="auto"/>
              <w:rPr>
                <w:rFonts w:cstheme="minorHAnsi"/>
                <w:iCs/>
                <w:color w:val="auto"/>
                <w:sz w:val="20"/>
                <w:szCs w:val="20"/>
              </w:rPr>
            </w:pPr>
          </w:p>
        </w:tc>
      </w:tr>
    </w:tbl>
    <w:p w14:paraId="5CB11132" w14:textId="77777777" w:rsidR="00CC3888" w:rsidRDefault="00CC3888" w:rsidP="000F3962">
      <w:pPr>
        <w:pStyle w:val="Heading2"/>
      </w:pPr>
    </w:p>
    <w:p w14:paraId="272B1C7E" w14:textId="77777777" w:rsidR="00CC3888" w:rsidRDefault="00CC3888" w:rsidP="000F3962">
      <w:pPr>
        <w:pStyle w:val="Heading2"/>
      </w:pPr>
    </w:p>
    <w:p w14:paraId="2177004A" w14:textId="77777777" w:rsidR="00CC3888" w:rsidRDefault="00CC3888" w:rsidP="000F3962">
      <w:pPr>
        <w:pStyle w:val="Heading2"/>
      </w:pPr>
    </w:p>
    <w:p w14:paraId="7AA1C6A9" w14:textId="3BF0D70E" w:rsidR="000F3962" w:rsidRDefault="00C42E39" w:rsidP="000F3962">
      <w:pPr>
        <w:pStyle w:val="Heading2"/>
      </w:pPr>
      <w:r>
        <w:t>Monitoring, Evaluation and Learning</w:t>
      </w:r>
      <w:r w:rsidR="009C7640">
        <w:t xml:space="preserve"> (MEL)</w:t>
      </w:r>
    </w:p>
    <w:tbl>
      <w:tblPr>
        <w:tblStyle w:val="TableGrid"/>
        <w:tblW w:w="13183" w:type="dxa"/>
        <w:tblInd w:w="-147" w:type="dxa"/>
        <w:tblLook w:val="04A0" w:firstRow="1" w:lastRow="0" w:firstColumn="1" w:lastColumn="0" w:noHBand="0" w:noVBand="1"/>
      </w:tblPr>
      <w:tblGrid>
        <w:gridCol w:w="4962"/>
        <w:gridCol w:w="1417"/>
        <w:gridCol w:w="4536"/>
        <w:gridCol w:w="2268"/>
      </w:tblGrid>
      <w:tr w:rsidR="00CA7BEF" w:rsidRPr="00CA7BEF" w14:paraId="736BB863" w14:textId="77777777" w:rsidTr="007C3EA6">
        <w:tc>
          <w:tcPr>
            <w:tcW w:w="4962" w:type="dxa"/>
          </w:tcPr>
          <w:p w14:paraId="5C4E3E9D" w14:textId="6B92B2AB" w:rsidR="000F3962" w:rsidRPr="00E206CF" w:rsidRDefault="00C42E39" w:rsidP="00E206CF">
            <w:pPr>
              <w:spacing w:line="240" w:lineRule="auto"/>
              <w:rPr>
                <w:rFonts w:cstheme="minorHAnsi"/>
                <w:color w:val="auto"/>
                <w:sz w:val="20"/>
                <w:szCs w:val="20"/>
                <w:lang w:val="en-AU"/>
              </w:rPr>
            </w:pPr>
            <w:r w:rsidRPr="00E206CF">
              <w:rPr>
                <w:rFonts w:cstheme="minorHAnsi"/>
                <w:b/>
                <w:bCs/>
                <w:color w:val="auto"/>
                <w:sz w:val="20"/>
                <w:szCs w:val="20"/>
                <w:lang w:val="en-AU"/>
              </w:rPr>
              <w:t>8. MEL</w:t>
            </w:r>
            <w:r w:rsidR="00DA6CC7" w:rsidRPr="00E206CF">
              <w:rPr>
                <w:rFonts w:cstheme="minorHAnsi"/>
                <w:b/>
                <w:bCs/>
                <w:color w:val="auto"/>
                <w:sz w:val="20"/>
                <w:szCs w:val="20"/>
                <w:lang w:val="en-AU"/>
              </w:rPr>
              <w:t xml:space="preserve">: </w:t>
            </w:r>
            <w:r w:rsidR="00CC3888" w:rsidRPr="00E206CF">
              <w:rPr>
                <w:rFonts w:cstheme="minorHAnsi"/>
                <w:color w:val="auto"/>
                <w:sz w:val="20"/>
                <w:szCs w:val="20"/>
              </w:rPr>
              <w:t xml:space="preserve">DFAT is recommended to instruct Palladium to design and implement an overarching HLC Investment MEL strategy, </w:t>
            </w:r>
            <w:proofErr w:type="gramStart"/>
            <w:r w:rsidR="00CC3888" w:rsidRPr="00E206CF">
              <w:rPr>
                <w:rFonts w:cstheme="minorHAnsi"/>
                <w:color w:val="auto"/>
                <w:sz w:val="20"/>
                <w:szCs w:val="20"/>
              </w:rPr>
              <w:t>in order to</w:t>
            </w:r>
            <w:proofErr w:type="gramEnd"/>
            <w:r w:rsidR="00CC3888" w:rsidRPr="00E206CF">
              <w:rPr>
                <w:rFonts w:cstheme="minorHAnsi"/>
                <w:color w:val="auto"/>
                <w:sz w:val="20"/>
                <w:szCs w:val="20"/>
              </w:rPr>
              <w:t xml:space="preserve"> meet DFAT’s M&amp;E standards to enable effective M&amp;E of progress and performance against intended outcomes. This should </w:t>
            </w:r>
            <w:proofErr w:type="gramStart"/>
            <w:r w:rsidR="00CC3888" w:rsidRPr="00E206CF">
              <w:rPr>
                <w:rFonts w:cstheme="minorHAnsi"/>
                <w:color w:val="auto"/>
                <w:sz w:val="20"/>
                <w:szCs w:val="20"/>
              </w:rPr>
              <w:t>include:</w:t>
            </w:r>
            <w:proofErr w:type="gramEnd"/>
            <w:r w:rsidR="00CC3888" w:rsidRPr="00E206CF">
              <w:rPr>
                <w:rFonts w:cstheme="minorHAnsi"/>
                <w:color w:val="auto"/>
                <w:sz w:val="20"/>
                <w:szCs w:val="20"/>
              </w:rPr>
              <w:t xml:space="preserve"> Theory of Change diagram and narrative, Components of the investment, Stakeholders involved and their roles and responsibilities in delivering HLC, </w:t>
            </w:r>
            <w:r w:rsidR="005C0135">
              <w:rPr>
                <w:rFonts w:cstheme="minorHAnsi"/>
                <w:color w:val="auto"/>
                <w:sz w:val="20"/>
                <w:szCs w:val="20"/>
              </w:rPr>
              <w:t xml:space="preserve">and </w:t>
            </w:r>
            <w:r w:rsidR="00CC3888" w:rsidRPr="00E206CF">
              <w:rPr>
                <w:rFonts w:cstheme="minorHAnsi"/>
                <w:color w:val="auto"/>
                <w:sz w:val="20"/>
                <w:szCs w:val="20"/>
              </w:rPr>
              <w:t>Results Framewor</w:t>
            </w:r>
            <w:r w:rsidR="00E206CF">
              <w:rPr>
                <w:rFonts w:cstheme="minorHAnsi"/>
                <w:color w:val="auto"/>
                <w:sz w:val="20"/>
                <w:szCs w:val="20"/>
              </w:rPr>
              <w:t>k.</w:t>
            </w:r>
          </w:p>
        </w:tc>
        <w:tc>
          <w:tcPr>
            <w:tcW w:w="1417" w:type="dxa"/>
            <w:shd w:val="clear" w:color="auto" w:fill="92D050"/>
          </w:tcPr>
          <w:p w14:paraId="40C50260" w14:textId="2EECB72F" w:rsidR="000F3962" w:rsidRPr="00CA7BEF" w:rsidRDefault="00C42E39" w:rsidP="006707E4">
            <w:pPr>
              <w:spacing w:line="240" w:lineRule="auto"/>
              <w:rPr>
                <w:rFonts w:cstheme="minorHAnsi"/>
                <w:iCs/>
                <w:color w:val="auto"/>
                <w:sz w:val="20"/>
                <w:szCs w:val="20"/>
              </w:rPr>
            </w:pPr>
            <w:r>
              <w:rPr>
                <w:rFonts w:cstheme="minorHAnsi"/>
                <w:iCs/>
                <w:color w:val="auto"/>
                <w:sz w:val="20"/>
                <w:szCs w:val="20"/>
              </w:rPr>
              <w:t>Agree</w:t>
            </w:r>
          </w:p>
        </w:tc>
        <w:tc>
          <w:tcPr>
            <w:tcW w:w="4536" w:type="dxa"/>
          </w:tcPr>
          <w:p w14:paraId="7455BC88" w14:textId="5312B4A4" w:rsidR="00215EFD" w:rsidRDefault="00A43CF8" w:rsidP="006707E4">
            <w:pPr>
              <w:spacing w:line="240" w:lineRule="auto"/>
              <w:rPr>
                <w:rFonts w:cstheme="minorHAnsi"/>
                <w:iCs/>
                <w:color w:val="auto"/>
                <w:sz w:val="20"/>
                <w:szCs w:val="20"/>
              </w:rPr>
            </w:pPr>
            <w:r>
              <w:rPr>
                <w:rFonts w:cstheme="minorHAnsi"/>
                <w:iCs/>
                <w:color w:val="auto"/>
                <w:sz w:val="20"/>
                <w:szCs w:val="20"/>
              </w:rPr>
              <w:t>DFAT and Palladium have</w:t>
            </w:r>
            <w:r w:rsidR="002C4E1F">
              <w:rPr>
                <w:rFonts w:cstheme="minorHAnsi"/>
                <w:iCs/>
                <w:color w:val="auto"/>
                <w:sz w:val="20"/>
                <w:szCs w:val="20"/>
              </w:rPr>
              <w:t xml:space="preserve"> finalised</w:t>
            </w:r>
            <w:r w:rsidR="00C903AA">
              <w:rPr>
                <w:rFonts w:cstheme="minorHAnsi"/>
                <w:iCs/>
                <w:color w:val="auto"/>
                <w:sz w:val="20"/>
                <w:szCs w:val="20"/>
              </w:rPr>
              <w:t xml:space="preserve"> and implemented</w:t>
            </w:r>
            <w:r w:rsidR="002C4E1F">
              <w:rPr>
                <w:rFonts w:cstheme="minorHAnsi"/>
                <w:iCs/>
                <w:color w:val="auto"/>
                <w:sz w:val="20"/>
                <w:szCs w:val="20"/>
              </w:rPr>
              <w:t xml:space="preserve"> </w:t>
            </w:r>
            <w:r w:rsidR="009C7640">
              <w:rPr>
                <w:rFonts w:cstheme="minorHAnsi"/>
                <w:iCs/>
                <w:color w:val="auto"/>
                <w:sz w:val="20"/>
                <w:szCs w:val="20"/>
              </w:rPr>
              <w:t>a MEL</w:t>
            </w:r>
            <w:r>
              <w:rPr>
                <w:rFonts w:cstheme="minorHAnsi"/>
                <w:iCs/>
                <w:color w:val="auto"/>
                <w:sz w:val="20"/>
                <w:szCs w:val="20"/>
              </w:rPr>
              <w:t xml:space="preserve"> Plan including </w:t>
            </w:r>
            <w:r w:rsidR="00AD7AEB">
              <w:rPr>
                <w:rFonts w:cstheme="minorHAnsi"/>
                <w:iCs/>
                <w:color w:val="auto"/>
                <w:sz w:val="20"/>
                <w:szCs w:val="20"/>
              </w:rPr>
              <w:t xml:space="preserve">a </w:t>
            </w:r>
            <w:r>
              <w:rPr>
                <w:rFonts w:cstheme="minorHAnsi"/>
                <w:iCs/>
                <w:color w:val="auto"/>
                <w:sz w:val="20"/>
                <w:szCs w:val="20"/>
              </w:rPr>
              <w:t>GEDSI, Safeguarding</w:t>
            </w:r>
            <w:r w:rsidR="005107CC">
              <w:rPr>
                <w:rFonts w:cstheme="minorHAnsi"/>
                <w:iCs/>
                <w:color w:val="auto"/>
                <w:sz w:val="20"/>
                <w:szCs w:val="20"/>
              </w:rPr>
              <w:t xml:space="preserve">, </w:t>
            </w:r>
            <w:r>
              <w:rPr>
                <w:rFonts w:cstheme="minorHAnsi"/>
                <w:iCs/>
                <w:color w:val="auto"/>
                <w:sz w:val="20"/>
                <w:szCs w:val="20"/>
              </w:rPr>
              <w:t xml:space="preserve">Sustainability </w:t>
            </w:r>
            <w:r w:rsidR="005107CC">
              <w:rPr>
                <w:rFonts w:cstheme="minorHAnsi"/>
                <w:iCs/>
                <w:color w:val="auto"/>
                <w:sz w:val="20"/>
                <w:szCs w:val="20"/>
              </w:rPr>
              <w:t xml:space="preserve">and Greening </w:t>
            </w:r>
            <w:r>
              <w:rPr>
                <w:rFonts w:cstheme="minorHAnsi"/>
                <w:iCs/>
                <w:color w:val="auto"/>
                <w:sz w:val="20"/>
                <w:szCs w:val="20"/>
              </w:rPr>
              <w:t xml:space="preserve">Strategy. </w:t>
            </w:r>
          </w:p>
          <w:p w14:paraId="60F8E195" w14:textId="5C3CF31C" w:rsidR="000F3962" w:rsidRPr="00CA7BEF" w:rsidRDefault="00E84F3D" w:rsidP="006707E4">
            <w:pPr>
              <w:spacing w:line="240" w:lineRule="auto"/>
              <w:rPr>
                <w:rFonts w:cstheme="minorHAnsi"/>
                <w:iCs/>
                <w:color w:val="auto"/>
                <w:sz w:val="20"/>
                <w:szCs w:val="20"/>
              </w:rPr>
            </w:pPr>
            <w:r>
              <w:rPr>
                <w:rFonts w:cstheme="minorHAnsi"/>
                <w:iCs/>
                <w:color w:val="auto"/>
                <w:sz w:val="20"/>
                <w:szCs w:val="20"/>
              </w:rPr>
              <w:t>The</w:t>
            </w:r>
            <w:r w:rsidR="00760696" w:rsidRPr="00760696">
              <w:rPr>
                <w:rFonts w:cstheme="minorHAnsi"/>
                <w:iCs/>
                <w:color w:val="auto"/>
                <w:sz w:val="20"/>
                <w:szCs w:val="20"/>
              </w:rPr>
              <w:t xml:space="preserve"> </w:t>
            </w:r>
            <w:r w:rsidR="009C7640">
              <w:rPr>
                <w:rFonts w:cstheme="minorHAnsi"/>
                <w:iCs/>
                <w:color w:val="auto"/>
                <w:sz w:val="20"/>
                <w:szCs w:val="20"/>
              </w:rPr>
              <w:t>MEL</w:t>
            </w:r>
            <w:r w:rsidR="00760696" w:rsidRPr="00760696">
              <w:rPr>
                <w:rFonts w:cstheme="minorHAnsi"/>
                <w:iCs/>
                <w:color w:val="auto"/>
                <w:sz w:val="20"/>
                <w:szCs w:val="20"/>
              </w:rPr>
              <w:t xml:space="preserve"> </w:t>
            </w:r>
            <w:r>
              <w:rPr>
                <w:rFonts w:cstheme="minorHAnsi"/>
                <w:iCs/>
                <w:color w:val="auto"/>
                <w:sz w:val="20"/>
                <w:szCs w:val="20"/>
              </w:rPr>
              <w:t xml:space="preserve">Plan and associated </w:t>
            </w:r>
            <w:r w:rsidR="00A23039">
              <w:rPr>
                <w:rFonts w:cstheme="minorHAnsi"/>
                <w:iCs/>
                <w:color w:val="auto"/>
                <w:sz w:val="20"/>
                <w:szCs w:val="20"/>
              </w:rPr>
              <w:t>strategies support</w:t>
            </w:r>
            <w:r w:rsidR="00423C83">
              <w:rPr>
                <w:rFonts w:cstheme="minorHAnsi"/>
                <w:iCs/>
                <w:color w:val="auto"/>
                <w:sz w:val="20"/>
                <w:szCs w:val="20"/>
              </w:rPr>
              <w:t xml:space="preserve"> DFAT and Palladium </w:t>
            </w:r>
            <w:r w:rsidR="00EF633B">
              <w:rPr>
                <w:rFonts w:cstheme="minorHAnsi"/>
                <w:iCs/>
                <w:color w:val="auto"/>
                <w:sz w:val="20"/>
                <w:szCs w:val="20"/>
              </w:rPr>
              <w:t xml:space="preserve">to </w:t>
            </w:r>
            <w:r w:rsidR="00760696" w:rsidRPr="00760696">
              <w:rPr>
                <w:rFonts w:cstheme="minorHAnsi"/>
                <w:iCs/>
                <w:color w:val="auto"/>
                <w:sz w:val="20"/>
                <w:szCs w:val="20"/>
              </w:rPr>
              <w:t xml:space="preserve">measure the effectiveness and efficiency of program outcomes </w:t>
            </w:r>
            <w:r w:rsidR="00102299">
              <w:rPr>
                <w:rFonts w:cstheme="minorHAnsi"/>
                <w:iCs/>
                <w:color w:val="auto"/>
                <w:sz w:val="20"/>
                <w:szCs w:val="20"/>
              </w:rPr>
              <w:t xml:space="preserve">and </w:t>
            </w:r>
            <w:r w:rsidR="00760696" w:rsidRPr="00760696">
              <w:rPr>
                <w:rFonts w:cstheme="minorHAnsi"/>
                <w:iCs/>
                <w:color w:val="auto"/>
                <w:sz w:val="20"/>
                <w:szCs w:val="20"/>
              </w:rPr>
              <w:t>to meet DFAT’s M</w:t>
            </w:r>
            <w:r w:rsidR="005C04BB">
              <w:rPr>
                <w:rFonts w:cstheme="minorHAnsi"/>
                <w:iCs/>
                <w:color w:val="auto"/>
                <w:sz w:val="20"/>
                <w:szCs w:val="20"/>
              </w:rPr>
              <w:t>&amp;E</w:t>
            </w:r>
            <w:r w:rsidR="00AD7AEB">
              <w:rPr>
                <w:rFonts w:cstheme="minorHAnsi"/>
                <w:iCs/>
                <w:color w:val="auto"/>
                <w:sz w:val="20"/>
                <w:szCs w:val="20"/>
              </w:rPr>
              <w:t xml:space="preserve"> </w:t>
            </w:r>
            <w:r w:rsidR="00760696" w:rsidRPr="00760696">
              <w:rPr>
                <w:rFonts w:cstheme="minorHAnsi"/>
                <w:iCs/>
                <w:color w:val="auto"/>
                <w:sz w:val="20"/>
                <w:szCs w:val="20"/>
              </w:rPr>
              <w:t>standards and I</w:t>
            </w:r>
            <w:r w:rsidR="00FA7C63">
              <w:rPr>
                <w:rFonts w:cstheme="minorHAnsi"/>
                <w:iCs/>
                <w:color w:val="auto"/>
                <w:sz w:val="20"/>
                <w:szCs w:val="20"/>
              </w:rPr>
              <w:t xml:space="preserve">nvestment Performance Reporting </w:t>
            </w:r>
            <w:r w:rsidR="00760696" w:rsidRPr="00760696">
              <w:rPr>
                <w:rFonts w:cstheme="minorHAnsi"/>
                <w:iCs/>
                <w:color w:val="auto"/>
                <w:sz w:val="20"/>
                <w:szCs w:val="20"/>
              </w:rPr>
              <w:t>requirements.</w:t>
            </w:r>
            <w:r w:rsidR="0027010A">
              <w:rPr>
                <w:rFonts w:cstheme="minorHAnsi"/>
                <w:iCs/>
                <w:color w:val="auto"/>
                <w:sz w:val="20"/>
                <w:szCs w:val="20"/>
              </w:rPr>
              <w:t xml:space="preserve"> </w:t>
            </w:r>
          </w:p>
        </w:tc>
        <w:tc>
          <w:tcPr>
            <w:tcW w:w="2268" w:type="dxa"/>
          </w:tcPr>
          <w:p w14:paraId="46F3009F" w14:textId="305F6ABA" w:rsidR="000F3962" w:rsidRPr="00CA7BEF" w:rsidRDefault="009C7640" w:rsidP="006707E4">
            <w:pPr>
              <w:spacing w:line="240" w:lineRule="auto"/>
              <w:rPr>
                <w:rFonts w:cstheme="minorHAnsi"/>
                <w:iCs/>
                <w:color w:val="auto"/>
                <w:sz w:val="20"/>
                <w:szCs w:val="20"/>
              </w:rPr>
            </w:pPr>
            <w:r>
              <w:rPr>
                <w:rFonts w:cstheme="minorHAnsi"/>
                <w:iCs/>
                <w:color w:val="auto"/>
                <w:sz w:val="20"/>
                <w:szCs w:val="20"/>
              </w:rPr>
              <w:t>The MEL Plan including GEDSI, Safeguarding, Sustainability and Greening Strategy was finalised in December 2022.</w:t>
            </w:r>
          </w:p>
        </w:tc>
      </w:tr>
    </w:tbl>
    <w:p w14:paraId="2B4F433F" w14:textId="02B30DD8" w:rsidR="000F3962" w:rsidRDefault="0008401F" w:rsidP="000F3962">
      <w:pPr>
        <w:pStyle w:val="Heading2"/>
      </w:pPr>
      <w:r>
        <w:t>Risk Management</w:t>
      </w:r>
    </w:p>
    <w:tbl>
      <w:tblPr>
        <w:tblStyle w:val="TableGrid"/>
        <w:tblW w:w="13183" w:type="dxa"/>
        <w:tblInd w:w="-147" w:type="dxa"/>
        <w:tblLook w:val="04A0" w:firstRow="1" w:lastRow="0" w:firstColumn="1" w:lastColumn="0" w:noHBand="0" w:noVBand="1"/>
      </w:tblPr>
      <w:tblGrid>
        <w:gridCol w:w="4962"/>
        <w:gridCol w:w="1417"/>
        <w:gridCol w:w="4536"/>
        <w:gridCol w:w="2268"/>
      </w:tblGrid>
      <w:tr w:rsidR="00CA7BEF" w:rsidRPr="00CA7BEF" w14:paraId="1E4F3414" w14:textId="77777777" w:rsidTr="007C3EA6">
        <w:tc>
          <w:tcPr>
            <w:tcW w:w="4962" w:type="dxa"/>
          </w:tcPr>
          <w:p w14:paraId="605873C9" w14:textId="7D4DDEE3" w:rsidR="000F3962" w:rsidRPr="00DA6CC7" w:rsidRDefault="0008401F" w:rsidP="0008401F">
            <w:pPr>
              <w:spacing w:line="240" w:lineRule="auto"/>
              <w:rPr>
                <w:rFonts w:cstheme="minorHAnsi"/>
                <w:b/>
                <w:bCs/>
                <w:color w:val="auto"/>
                <w:sz w:val="20"/>
                <w:szCs w:val="20"/>
                <w:lang w:val="en-AU"/>
              </w:rPr>
            </w:pPr>
            <w:r w:rsidRPr="000E72B9">
              <w:rPr>
                <w:rFonts w:cstheme="minorHAnsi"/>
                <w:b/>
                <w:bCs/>
                <w:color w:val="auto"/>
                <w:sz w:val="20"/>
                <w:szCs w:val="20"/>
                <w:lang w:val="en-AU"/>
              </w:rPr>
              <w:t>9. Risk Management</w:t>
            </w:r>
            <w:r w:rsidR="00DA6CC7">
              <w:rPr>
                <w:rFonts w:cstheme="minorHAnsi"/>
                <w:b/>
                <w:bCs/>
                <w:color w:val="auto"/>
                <w:sz w:val="20"/>
                <w:szCs w:val="20"/>
                <w:lang w:val="en-AU"/>
              </w:rPr>
              <w:t xml:space="preserve">: </w:t>
            </w:r>
            <w:r w:rsidRPr="00E06C52">
              <w:rPr>
                <w:rFonts w:cstheme="minorHAnsi"/>
                <w:color w:val="auto"/>
                <w:sz w:val="20"/>
                <w:szCs w:val="20"/>
                <w:lang w:val="en-AU"/>
              </w:rPr>
              <w:t>DFAT is recommended to design and implement risk assessment and risk mitigation arrangements</w:t>
            </w:r>
            <w:r w:rsidR="0061073A">
              <w:rPr>
                <w:rFonts w:cstheme="minorHAnsi"/>
                <w:color w:val="auto"/>
                <w:sz w:val="20"/>
                <w:szCs w:val="20"/>
                <w:lang w:val="en-AU"/>
              </w:rPr>
              <w:t>.</w:t>
            </w:r>
          </w:p>
        </w:tc>
        <w:tc>
          <w:tcPr>
            <w:tcW w:w="1417" w:type="dxa"/>
            <w:shd w:val="clear" w:color="auto" w:fill="92D050"/>
          </w:tcPr>
          <w:p w14:paraId="3C5ED4FD" w14:textId="77777777" w:rsidR="000F3962" w:rsidRPr="00CA7BEF" w:rsidRDefault="000F3962" w:rsidP="00970BDB">
            <w:pPr>
              <w:spacing w:line="240" w:lineRule="auto"/>
              <w:rPr>
                <w:rFonts w:cstheme="minorHAnsi"/>
                <w:iCs/>
                <w:color w:val="auto"/>
                <w:sz w:val="20"/>
                <w:szCs w:val="20"/>
              </w:rPr>
            </w:pPr>
            <w:r w:rsidRPr="00CA7BEF">
              <w:rPr>
                <w:rFonts w:cstheme="minorHAnsi"/>
                <w:iCs/>
                <w:color w:val="auto"/>
                <w:sz w:val="20"/>
                <w:szCs w:val="20"/>
              </w:rPr>
              <w:t>Agree</w:t>
            </w:r>
          </w:p>
        </w:tc>
        <w:tc>
          <w:tcPr>
            <w:tcW w:w="4536" w:type="dxa"/>
          </w:tcPr>
          <w:p w14:paraId="1D1DC820" w14:textId="61F1E50E" w:rsidR="000F3962" w:rsidRPr="00CA7BEF" w:rsidRDefault="00EB506E" w:rsidP="00970BDB">
            <w:pPr>
              <w:spacing w:line="240" w:lineRule="auto"/>
              <w:rPr>
                <w:rFonts w:cstheme="minorHAnsi"/>
                <w:iCs/>
                <w:color w:val="auto"/>
                <w:sz w:val="20"/>
                <w:szCs w:val="20"/>
              </w:rPr>
            </w:pPr>
            <w:r>
              <w:rPr>
                <w:rFonts w:cstheme="minorHAnsi"/>
                <w:iCs/>
                <w:color w:val="auto"/>
                <w:sz w:val="20"/>
                <w:szCs w:val="20"/>
              </w:rPr>
              <w:t>DFAT</w:t>
            </w:r>
            <w:r w:rsidRPr="00EB506E">
              <w:rPr>
                <w:rFonts w:cstheme="minorHAnsi"/>
                <w:iCs/>
                <w:color w:val="auto"/>
                <w:sz w:val="20"/>
                <w:szCs w:val="20"/>
              </w:rPr>
              <w:t xml:space="preserve">, with Palladium, have </w:t>
            </w:r>
            <w:r w:rsidR="00484B4D">
              <w:rPr>
                <w:rFonts w:cstheme="minorHAnsi"/>
                <w:iCs/>
                <w:color w:val="auto"/>
                <w:sz w:val="20"/>
                <w:szCs w:val="20"/>
              </w:rPr>
              <w:t>formalised risk assessment and</w:t>
            </w:r>
            <w:r w:rsidR="00452300">
              <w:rPr>
                <w:rFonts w:cstheme="minorHAnsi"/>
                <w:iCs/>
                <w:color w:val="auto"/>
                <w:sz w:val="20"/>
                <w:szCs w:val="20"/>
              </w:rPr>
              <w:t xml:space="preserve"> risk </w:t>
            </w:r>
            <w:r w:rsidR="0030063B">
              <w:rPr>
                <w:rFonts w:cstheme="minorHAnsi"/>
                <w:iCs/>
                <w:color w:val="auto"/>
                <w:sz w:val="20"/>
                <w:szCs w:val="20"/>
              </w:rPr>
              <w:t>mitigation mechanisms.</w:t>
            </w:r>
          </w:p>
        </w:tc>
        <w:tc>
          <w:tcPr>
            <w:tcW w:w="2268" w:type="dxa"/>
          </w:tcPr>
          <w:p w14:paraId="1A9341C7" w14:textId="25F8F1C1" w:rsidR="000F3962" w:rsidRPr="00CA7BEF" w:rsidRDefault="00583961" w:rsidP="00970BDB">
            <w:pPr>
              <w:spacing w:line="240" w:lineRule="auto"/>
              <w:rPr>
                <w:rFonts w:cstheme="minorHAnsi"/>
                <w:iCs/>
                <w:color w:val="auto"/>
                <w:sz w:val="20"/>
                <w:szCs w:val="20"/>
              </w:rPr>
            </w:pPr>
            <w:r>
              <w:rPr>
                <w:rFonts w:cstheme="minorHAnsi"/>
                <w:iCs/>
                <w:color w:val="auto"/>
                <w:sz w:val="20"/>
                <w:szCs w:val="20"/>
              </w:rPr>
              <w:t xml:space="preserve">Actioned </w:t>
            </w:r>
            <w:r w:rsidR="0057621A">
              <w:rPr>
                <w:rFonts w:cstheme="minorHAnsi"/>
                <w:iCs/>
                <w:color w:val="auto"/>
                <w:sz w:val="20"/>
                <w:szCs w:val="20"/>
              </w:rPr>
              <w:t xml:space="preserve">and </w:t>
            </w:r>
            <w:r>
              <w:rPr>
                <w:rFonts w:cstheme="minorHAnsi"/>
                <w:iCs/>
                <w:color w:val="auto"/>
                <w:sz w:val="20"/>
                <w:szCs w:val="20"/>
              </w:rPr>
              <w:t>ongoing.</w:t>
            </w:r>
          </w:p>
        </w:tc>
      </w:tr>
    </w:tbl>
    <w:p w14:paraId="4CB1A811" w14:textId="146A0041" w:rsidR="00BC6562" w:rsidRDefault="000C4996" w:rsidP="00BC6562">
      <w:pPr>
        <w:pStyle w:val="Heading2"/>
      </w:pPr>
      <w:r w:rsidRPr="000C4996">
        <w:t xml:space="preserve">DFAT </w:t>
      </w:r>
      <w:r>
        <w:t>M</w:t>
      </w:r>
      <w:r w:rsidRPr="000C4996">
        <w:t>anagement of HLC</w:t>
      </w:r>
    </w:p>
    <w:tbl>
      <w:tblPr>
        <w:tblStyle w:val="TableGrid"/>
        <w:tblW w:w="13183" w:type="dxa"/>
        <w:tblInd w:w="-147" w:type="dxa"/>
        <w:tblLook w:val="04A0" w:firstRow="1" w:lastRow="0" w:firstColumn="1" w:lastColumn="0" w:noHBand="0" w:noVBand="1"/>
      </w:tblPr>
      <w:tblGrid>
        <w:gridCol w:w="4962"/>
        <w:gridCol w:w="1417"/>
        <w:gridCol w:w="4536"/>
        <w:gridCol w:w="2268"/>
      </w:tblGrid>
      <w:tr w:rsidR="00BC6562" w:rsidRPr="00CA7BEF" w14:paraId="562F7289" w14:textId="77777777" w:rsidTr="007C3EA6">
        <w:tc>
          <w:tcPr>
            <w:tcW w:w="4962" w:type="dxa"/>
          </w:tcPr>
          <w:p w14:paraId="56895FED" w14:textId="6241304C" w:rsidR="00BC6562" w:rsidRPr="00664654" w:rsidRDefault="00BC6562" w:rsidP="00664654">
            <w:pPr>
              <w:spacing w:line="240" w:lineRule="auto"/>
              <w:rPr>
                <w:rFonts w:cstheme="minorHAnsi"/>
                <w:color w:val="auto"/>
                <w:sz w:val="20"/>
                <w:szCs w:val="20"/>
                <w:lang w:val="en-AU"/>
              </w:rPr>
            </w:pPr>
            <w:r w:rsidRPr="006B54D9">
              <w:rPr>
                <w:rFonts w:cstheme="minorHAnsi"/>
                <w:b/>
                <w:bCs/>
                <w:color w:val="auto"/>
                <w:sz w:val="20"/>
                <w:szCs w:val="20"/>
                <w:lang w:val="en-AU"/>
              </w:rPr>
              <w:t xml:space="preserve">10. </w:t>
            </w:r>
            <w:r w:rsidR="00664654" w:rsidRPr="006B54D9">
              <w:rPr>
                <w:rFonts w:cstheme="minorHAnsi"/>
                <w:b/>
                <w:bCs/>
                <w:color w:val="auto"/>
                <w:sz w:val="20"/>
                <w:szCs w:val="20"/>
                <w:lang w:val="en-AU"/>
              </w:rPr>
              <w:t>Humanitarian and Logistics training:</w:t>
            </w:r>
            <w:r w:rsidR="00664654">
              <w:rPr>
                <w:rFonts w:cstheme="minorHAnsi"/>
                <w:color w:val="auto"/>
                <w:sz w:val="20"/>
                <w:szCs w:val="20"/>
                <w:lang w:val="en-AU"/>
              </w:rPr>
              <w:t xml:space="preserve"> </w:t>
            </w:r>
            <w:r w:rsidR="006B54D9" w:rsidRPr="006B54D9">
              <w:rPr>
                <w:rFonts w:cstheme="minorHAnsi"/>
                <w:color w:val="auto"/>
                <w:sz w:val="20"/>
                <w:szCs w:val="20"/>
                <w:lang w:val="en-AU"/>
              </w:rPr>
              <w:t xml:space="preserve">DFAT </w:t>
            </w:r>
            <w:r w:rsidR="003C755A">
              <w:rPr>
                <w:rFonts w:cstheme="minorHAnsi"/>
                <w:color w:val="auto"/>
                <w:sz w:val="20"/>
                <w:szCs w:val="20"/>
                <w:lang w:val="en-AU"/>
              </w:rPr>
              <w:t xml:space="preserve">is recommended to </w:t>
            </w:r>
            <w:r w:rsidR="006B54D9" w:rsidRPr="006B54D9">
              <w:rPr>
                <w:rFonts w:cstheme="minorHAnsi"/>
                <w:color w:val="auto"/>
                <w:sz w:val="20"/>
                <w:szCs w:val="20"/>
                <w:lang w:val="en-AU"/>
              </w:rPr>
              <w:t>reinstate humanitarian and logistics training for staff managing the HLC</w:t>
            </w:r>
            <w:r w:rsidR="0061073A">
              <w:rPr>
                <w:rFonts w:cstheme="minorHAnsi"/>
                <w:color w:val="auto"/>
                <w:sz w:val="20"/>
                <w:szCs w:val="20"/>
                <w:lang w:val="en-AU"/>
              </w:rPr>
              <w:t>.</w:t>
            </w:r>
          </w:p>
        </w:tc>
        <w:tc>
          <w:tcPr>
            <w:tcW w:w="1417" w:type="dxa"/>
            <w:shd w:val="clear" w:color="auto" w:fill="92D050"/>
          </w:tcPr>
          <w:p w14:paraId="6F31F970" w14:textId="37680083" w:rsidR="00BC6562" w:rsidRPr="00CA7BEF" w:rsidRDefault="006B54D9" w:rsidP="008D7908">
            <w:pPr>
              <w:spacing w:line="240" w:lineRule="auto"/>
              <w:rPr>
                <w:rFonts w:cstheme="minorHAnsi"/>
                <w:iCs/>
                <w:color w:val="auto"/>
                <w:sz w:val="20"/>
                <w:szCs w:val="20"/>
              </w:rPr>
            </w:pPr>
            <w:r>
              <w:rPr>
                <w:rFonts w:cstheme="minorHAnsi"/>
                <w:iCs/>
                <w:color w:val="auto"/>
                <w:sz w:val="20"/>
                <w:szCs w:val="20"/>
              </w:rPr>
              <w:t>Agree</w:t>
            </w:r>
          </w:p>
        </w:tc>
        <w:tc>
          <w:tcPr>
            <w:tcW w:w="4536" w:type="dxa"/>
          </w:tcPr>
          <w:p w14:paraId="6B3B1E91" w14:textId="09A3338F" w:rsidR="00BC6562" w:rsidRPr="00CA7BEF" w:rsidRDefault="004F20AC" w:rsidP="008D7908">
            <w:pPr>
              <w:spacing w:line="240" w:lineRule="auto"/>
              <w:rPr>
                <w:rFonts w:cstheme="minorHAnsi"/>
                <w:iCs/>
                <w:color w:val="auto"/>
                <w:sz w:val="20"/>
                <w:szCs w:val="20"/>
              </w:rPr>
            </w:pPr>
            <w:r>
              <w:rPr>
                <w:rFonts w:cstheme="minorHAnsi"/>
                <w:iCs/>
                <w:color w:val="auto"/>
                <w:sz w:val="20"/>
                <w:szCs w:val="20"/>
              </w:rPr>
              <w:t>Training was disrupted by COVID</w:t>
            </w:r>
            <w:r w:rsidR="003C755A">
              <w:rPr>
                <w:rFonts w:cstheme="minorHAnsi"/>
                <w:iCs/>
                <w:color w:val="auto"/>
                <w:sz w:val="20"/>
                <w:szCs w:val="20"/>
              </w:rPr>
              <w:t>-19.</w:t>
            </w:r>
            <w:r>
              <w:rPr>
                <w:rFonts w:cstheme="minorHAnsi"/>
                <w:iCs/>
                <w:color w:val="auto"/>
                <w:sz w:val="20"/>
                <w:szCs w:val="20"/>
              </w:rPr>
              <w:t xml:space="preserve"> </w:t>
            </w:r>
            <w:r w:rsidR="007C5DE5">
              <w:rPr>
                <w:rFonts w:cstheme="minorHAnsi"/>
                <w:iCs/>
                <w:color w:val="auto"/>
                <w:sz w:val="20"/>
                <w:szCs w:val="20"/>
              </w:rPr>
              <w:t>Humanitarian and Logistics training</w:t>
            </w:r>
            <w:r w:rsidR="002042CD">
              <w:rPr>
                <w:rFonts w:cstheme="minorHAnsi"/>
                <w:iCs/>
                <w:color w:val="auto"/>
                <w:sz w:val="20"/>
                <w:szCs w:val="20"/>
              </w:rPr>
              <w:t xml:space="preserve"> for HPD staff managing the HLC has recommenced</w:t>
            </w:r>
            <w:r w:rsidR="002C34A2">
              <w:rPr>
                <w:rFonts w:cstheme="minorHAnsi"/>
                <w:iCs/>
                <w:color w:val="auto"/>
                <w:sz w:val="20"/>
                <w:szCs w:val="20"/>
              </w:rPr>
              <w:t>.</w:t>
            </w:r>
          </w:p>
        </w:tc>
        <w:tc>
          <w:tcPr>
            <w:tcW w:w="2268" w:type="dxa"/>
          </w:tcPr>
          <w:p w14:paraId="56109BA2" w14:textId="17ED22A7" w:rsidR="00BC6562" w:rsidRPr="00CA7BEF" w:rsidRDefault="00A619C7" w:rsidP="008D7908">
            <w:pPr>
              <w:spacing w:line="240" w:lineRule="auto"/>
              <w:rPr>
                <w:rFonts w:cstheme="minorHAnsi"/>
                <w:iCs/>
                <w:color w:val="auto"/>
                <w:sz w:val="20"/>
                <w:szCs w:val="20"/>
              </w:rPr>
            </w:pPr>
            <w:r>
              <w:rPr>
                <w:rFonts w:cstheme="minorHAnsi"/>
                <w:iCs/>
                <w:color w:val="auto"/>
                <w:sz w:val="20"/>
                <w:szCs w:val="20"/>
              </w:rPr>
              <w:t>Actioned and o</w:t>
            </w:r>
            <w:r w:rsidR="00AA67E1">
              <w:rPr>
                <w:rFonts w:cstheme="minorHAnsi"/>
                <w:iCs/>
                <w:color w:val="auto"/>
                <w:sz w:val="20"/>
                <w:szCs w:val="20"/>
              </w:rPr>
              <w:t>ngoing</w:t>
            </w:r>
            <w:r w:rsidR="00215EFD">
              <w:rPr>
                <w:rFonts w:cstheme="minorHAnsi"/>
                <w:iCs/>
                <w:color w:val="auto"/>
                <w:sz w:val="20"/>
                <w:szCs w:val="20"/>
              </w:rPr>
              <w:t>.</w:t>
            </w:r>
          </w:p>
        </w:tc>
      </w:tr>
      <w:tr w:rsidR="00BC6562" w:rsidRPr="00CA7BEF" w14:paraId="060EB05B" w14:textId="77777777" w:rsidTr="00287542">
        <w:tc>
          <w:tcPr>
            <w:tcW w:w="4962" w:type="dxa"/>
          </w:tcPr>
          <w:p w14:paraId="7549E60E" w14:textId="7C25AB93" w:rsidR="00BC6562" w:rsidRPr="003B0C2D" w:rsidRDefault="00BC6562" w:rsidP="00A33718">
            <w:pPr>
              <w:spacing w:line="240" w:lineRule="auto"/>
              <w:rPr>
                <w:rFonts w:cstheme="minorHAnsi"/>
                <w:color w:val="auto"/>
                <w:sz w:val="20"/>
                <w:szCs w:val="20"/>
                <w:lang w:val="en-AU"/>
              </w:rPr>
            </w:pPr>
            <w:r w:rsidRPr="003B0C2D">
              <w:rPr>
                <w:rFonts w:cstheme="minorHAnsi"/>
                <w:b/>
                <w:bCs/>
                <w:color w:val="auto"/>
                <w:sz w:val="20"/>
                <w:szCs w:val="20"/>
                <w:lang w:val="en-AU"/>
              </w:rPr>
              <w:t>11.</w:t>
            </w:r>
            <w:r w:rsidR="003B0C2D" w:rsidRPr="003B0C2D">
              <w:rPr>
                <w:b/>
                <w:bCs/>
              </w:rPr>
              <w:t xml:space="preserve"> </w:t>
            </w:r>
            <w:r w:rsidR="003B0C2D" w:rsidRPr="003B0C2D">
              <w:rPr>
                <w:rFonts w:cstheme="minorHAnsi"/>
                <w:b/>
                <w:bCs/>
                <w:color w:val="auto"/>
                <w:sz w:val="20"/>
                <w:szCs w:val="20"/>
                <w:lang w:val="en-AU"/>
              </w:rPr>
              <w:t>Crisis Cadre:</w:t>
            </w:r>
            <w:r w:rsidRPr="00CA7BEF">
              <w:rPr>
                <w:rFonts w:cstheme="minorHAnsi"/>
                <w:color w:val="auto"/>
                <w:sz w:val="20"/>
                <w:szCs w:val="20"/>
                <w:lang w:val="en-AU"/>
              </w:rPr>
              <w:t xml:space="preserve"> </w:t>
            </w:r>
            <w:r w:rsidR="006F20C0" w:rsidRPr="006F20C0">
              <w:rPr>
                <w:rFonts w:cstheme="minorHAnsi"/>
                <w:color w:val="auto"/>
                <w:sz w:val="20"/>
                <w:szCs w:val="20"/>
              </w:rPr>
              <w:t>DFAT is recommended to recommence training of Crisis Cadre or alternate structure that equips those likely to be tasked with supporting a response with the necessary skills and knowledge to support humanitarian responses including the utilization of the HL</w:t>
            </w:r>
            <w:r w:rsidR="00FC3E25">
              <w:rPr>
                <w:rFonts w:cstheme="minorHAnsi"/>
                <w:color w:val="auto"/>
                <w:sz w:val="20"/>
                <w:szCs w:val="20"/>
              </w:rPr>
              <w:t>C.</w:t>
            </w:r>
          </w:p>
        </w:tc>
        <w:tc>
          <w:tcPr>
            <w:tcW w:w="1417" w:type="dxa"/>
            <w:shd w:val="clear" w:color="auto" w:fill="92D050"/>
          </w:tcPr>
          <w:p w14:paraId="2F0BA3B1" w14:textId="05219387" w:rsidR="00BC6562" w:rsidRPr="00CA7BEF" w:rsidRDefault="00287542" w:rsidP="008D7908">
            <w:pPr>
              <w:spacing w:line="240" w:lineRule="auto"/>
              <w:rPr>
                <w:rFonts w:cstheme="minorHAnsi"/>
                <w:iCs/>
                <w:color w:val="auto"/>
                <w:sz w:val="20"/>
                <w:szCs w:val="20"/>
              </w:rPr>
            </w:pPr>
            <w:r>
              <w:rPr>
                <w:rFonts w:cstheme="minorHAnsi"/>
                <w:iCs/>
                <w:color w:val="auto"/>
                <w:sz w:val="20"/>
                <w:szCs w:val="20"/>
              </w:rPr>
              <w:t>Agree</w:t>
            </w:r>
          </w:p>
        </w:tc>
        <w:tc>
          <w:tcPr>
            <w:tcW w:w="4536" w:type="dxa"/>
          </w:tcPr>
          <w:p w14:paraId="6C9399D6" w14:textId="16489E77" w:rsidR="00BC6562" w:rsidRPr="00CA7BEF" w:rsidRDefault="00BA2A12" w:rsidP="008D7908">
            <w:pPr>
              <w:spacing w:line="240" w:lineRule="auto"/>
              <w:rPr>
                <w:rFonts w:cstheme="minorHAnsi"/>
                <w:iCs/>
                <w:color w:val="auto"/>
                <w:sz w:val="20"/>
                <w:szCs w:val="20"/>
              </w:rPr>
            </w:pPr>
            <w:r>
              <w:rPr>
                <w:rFonts w:cs="Calibri Light"/>
                <w:iCs/>
                <w:color w:val="auto"/>
                <w:sz w:val="20"/>
                <w:szCs w:val="20"/>
              </w:rPr>
              <w:t>DFAT’s Humanitarian Division (HPD) and the Consular and Crisis Management Division (CCD) recommenced and enhanced training and induction for DFAT’s Crisis Cadre and the Crisis Response Team in 2022.</w:t>
            </w:r>
          </w:p>
        </w:tc>
        <w:tc>
          <w:tcPr>
            <w:tcW w:w="2268" w:type="dxa"/>
          </w:tcPr>
          <w:p w14:paraId="75818D17" w14:textId="1225C3C9" w:rsidR="00BC6562" w:rsidRPr="00CA7BEF" w:rsidRDefault="002C34A2" w:rsidP="008D7908">
            <w:pPr>
              <w:spacing w:line="240" w:lineRule="auto"/>
              <w:rPr>
                <w:rFonts w:cstheme="minorHAnsi"/>
                <w:iCs/>
                <w:color w:val="auto"/>
                <w:sz w:val="20"/>
                <w:szCs w:val="20"/>
              </w:rPr>
            </w:pPr>
            <w:r>
              <w:rPr>
                <w:rFonts w:cstheme="minorHAnsi"/>
                <w:iCs/>
                <w:color w:val="auto"/>
                <w:sz w:val="20"/>
                <w:szCs w:val="20"/>
              </w:rPr>
              <w:t>Actioned and o</w:t>
            </w:r>
            <w:r w:rsidR="00CF7A17">
              <w:rPr>
                <w:rFonts w:cstheme="minorHAnsi"/>
                <w:iCs/>
                <w:color w:val="auto"/>
                <w:sz w:val="20"/>
                <w:szCs w:val="20"/>
              </w:rPr>
              <w:t>ngoing</w:t>
            </w:r>
            <w:r w:rsidR="00215EFD">
              <w:rPr>
                <w:rFonts w:cstheme="minorHAnsi"/>
                <w:iCs/>
                <w:color w:val="auto"/>
                <w:sz w:val="20"/>
                <w:szCs w:val="20"/>
              </w:rPr>
              <w:t>.</w:t>
            </w:r>
          </w:p>
        </w:tc>
      </w:tr>
    </w:tbl>
    <w:p w14:paraId="7594FD60" w14:textId="77777777" w:rsidR="00C55F37" w:rsidRDefault="00C55F37">
      <w:r>
        <w:br w:type="page"/>
      </w:r>
    </w:p>
    <w:tbl>
      <w:tblPr>
        <w:tblStyle w:val="TableGrid"/>
        <w:tblW w:w="13183" w:type="dxa"/>
        <w:tblInd w:w="-147" w:type="dxa"/>
        <w:tblLook w:val="04A0" w:firstRow="1" w:lastRow="0" w:firstColumn="1" w:lastColumn="0" w:noHBand="0" w:noVBand="1"/>
      </w:tblPr>
      <w:tblGrid>
        <w:gridCol w:w="4962"/>
        <w:gridCol w:w="1417"/>
        <w:gridCol w:w="4536"/>
        <w:gridCol w:w="2268"/>
      </w:tblGrid>
      <w:tr w:rsidR="00BC6562" w:rsidRPr="00CA7BEF" w14:paraId="25DE318E" w14:textId="77777777" w:rsidTr="006A6833">
        <w:tc>
          <w:tcPr>
            <w:tcW w:w="4962" w:type="dxa"/>
          </w:tcPr>
          <w:p w14:paraId="7C90566A" w14:textId="14A0BD90" w:rsidR="00BC6562" w:rsidRPr="00AE02F8" w:rsidRDefault="00BC6562" w:rsidP="0042111E">
            <w:pPr>
              <w:spacing w:line="240" w:lineRule="auto"/>
              <w:rPr>
                <w:rFonts w:cstheme="minorHAnsi"/>
                <w:color w:val="auto"/>
                <w:sz w:val="20"/>
                <w:szCs w:val="20"/>
                <w:lang w:val="en-AU"/>
              </w:rPr>
            </w:pPr>
            <w:r w:rsidRPr="00AE02F8">
              <w:rPr>
                <w:rFonts w:cstheme="minorHAnsi"/>
                <w:b/>
                <w:bCs/>
                <w:color w:val="auto"/>
                <w:sz w:val="20"/>
                <w:szCs w:val="20"/>
                <w:lang w:val="en-AU"/>
              </w:rPr>
              <w:lastRenderedPageBreak/>
              <w:t xml:space="preserve">12. </w:t>
            </w:r>
            <w:r w:rsidR="00AE02F8" w:rsidRPr="00AE02F8">
              <w:rPr>
                <w:rFonts w:cstheme="minorHAnsi"/>
                <w:b/>
                <w:bCs/>
                <w:color w:val="auto"/>
                <w:sz w:val="20"/>
                <w:szCs w:val="20"/>
                <w:lang w:val="en-AU"/>
              </w:rPr>
              <w:t>HPD management mechanisms</w:t>
            </w:r>
            <w:r w:rsidR="00D45040">
              <w:rPr>
                <w:rFonts w:cstheme="minorHAnsi"/>
                <w:b/>
                <w:bCs/>
                <w:color w:val="auto"/>
                <w:sz w:val="20"/>
                <w:szCs w:val="20"/>
                <w:lang w:val="en-AU"/>
              </w:rPr>
              <w:t xml:space="preserve">: </w:t>
            </w:r>
            <w:r w:rsidR="00215881" w:rsidRPr="00215881">
              <w:rPr>
                <w:rFonts w:cstheme="minorHAnsi"/>
                <w:color w:val="auto"/>
                <w:sz w:val="20"/>
                <w:szCs w:val="20"/>
              </w:rPr>
              <w:t>The review team recommends that DFAT reintegrate HPD into crisis response / internal incident management mechanisms</w:t>
            </w:r>
            <w:r w:rsidR="00215881">
              <w:rPr>
                <w:rFonts w:cstheme="minorHAnsi"/>
                <w:color w:val="auto"/>
                <w:sz w:val="20"/>
                <w:szCs w:val="20"/>
              </w:rPr>
              <w:t>.</w:t>
            </w:r>
          </w:p>
        </w:tc>
        <w:tc>
          <w:tcPr>
            <w:tcW w:w="1417" w:type="dxa"/>
            <w:shd w:val="clear" w:color="auto" w:fill="92D050"/>
          </w:tcPr>
          <w:p w14:paraId="48502C06" w14:textId="6F2662C8" w:rsidR="00BC6562" w:rsidRPr="00CA7BEF" w:rsidRDefault="00347DB8" w:rsidP="008D7908">
            <w:pPr>
              <w:spacing w:line="240" w:lineRule="auto"/>
              <w:rPr>
                <w:rFonts w:cstheme="minorHAnsi"/>
                <w:iCs/>
                <w:color w:val="auto"/>
                <w:sz w:val="20"/>
                <w:szCs w:val="20"/>
              </w:rPr>
            </w:pPr>
            <w:r>
              <w:rPr>
                <w:rFonts w:cstheme="minorHAnsi"/>
                <w:iCs/>
                <w:color w:val="auto"/>
                <w:sz w:val="20"/>
                <w:szCs w:val="20"/>
              </w:rPr>
              <w:t xml:space="preserve">Agree </w:t>
            </w:r>
          </w:p>
        </w:tc>
        <w:tc>
          <w:tcPr>
            <w:tcW w:w="4536" w:type="dxa"/>
          </w:tcPr>
          <w:p w14:paraId="02E65682" w14:textId="1E6DC7E2" w:rsidR="00B8321F" w:rsidRPr="00D47392" w:rsidRDefault="00215EFD" w:rsidP="008D7908">
            <w:pPr>
              <w:spacing w:line="240" w:lineRule="auto"/>
              <w:rPr>
                <w:rFonts w:cstheme="minorHAnsi"/>
                <w:iCs/>
                <w:color w:val="auto"/>
                <w:sz w:val="20"/>
                <w:szCs w:val="20"/>
              </w:rPr>
            </w:pPr>
            <w:r w:rsidRPr="00D47392">
              <w:rPr>
                <w:rFonts w:cstheme="minorHAnsi"/>
                <w:iCs/>
                <w:color w:val="auto"/>
                <w:sz w:val="20"/>
                <w:szCs w:val="20"/>
              </w:rPr>
              <w:t xml:space="preserve">DFAT’s Humanitarian Division (HPD) </w:t>
            </w:r>
            <w:r w:rsidR="00934623" w:rsidRPr="00D47392">
              <w:rPr>
                <w:rFonts w:cstheme="minorHAnsi"/>
                <w:iCs/>
                <w:color w:val="auto"/>
                <w:sz w:val="20"/>
                <w:szCs w:val="20"/>
              </w:rPr>
              <w:t>and</w:t>
            </w:r>
            <w:r w:rsidR="003553E2" w:rsidRPr="00D47392">
              <w:rPr>
                <w:rFonts w:cstheme="minorHAnsi"/>
                <w:iCs/>
                <w:color w:val="auto"/>
                <w:sz w:val="20"/>
                <w:szCs w:val="20"/>
              </w:rPr>
              <w:t xml:space="preserve"> </w:t>
            </w:r>
            <w:r w:rsidRPr="00D47392">
              <w:rPr>
                <w:rFonts w:cstheme="minorHAnsi"/>
                <w:iCs/>
                <w:color w:val="auto"/>
                <w:sz w:val="20"/>
                <w:szCs w:val="20"/>
              </w:rPr>
              <w:t xml:space="preserve">Consular Crisis Division (CCD) </w:t>
            </w:r>
            <w:r w:rsidR="006234E5" w:rsidRPr="00D47392">
              <w:rPr>
                <w:rFonts w:cstheme="minorHAnsi"/>
                <w:iCs/>
                <w:color w:val="auto"/>
                <w:sz w:val="20"/>
                <w:szCs w:val="20"/>
              </w:rPr>
              <w:t xml:space="preserve">have an </w:t>
            </w:r>
            <w:r w:rsidR="00433815" w:rsidRPr="00D47392">
              <w:rPr>
                <w:rFonts w:cstheme="minorHAnsi"/>
                <w:iCs/>
                <w:color w:val="auto"/>
                <w:sz w:val="20"/>
                <w:szCs w:val="20"/>
              </w:rPr>
              <w:t xml:space="preserve">integrated </w:t>
            </w:r>
            <w:r w:rsidR="00530ED9" w:rsidRPr="00D47392">
              <w:rPr>
                <w:rFonts w:cstheme="minorHAnsi"/>
                <w:iCs/>
                <w:color w:val="auto"/>
                <w:sz w:val="20"/>
                <w:szCs w:val="20"/>
              </w:rPr>
              <w:t xml:space="preserve">crisis activation mechanism </w:t>
            </w:r>
            <w:r w:rsidR="006234E5" w:rsidRPr="00D47392">
              <w:rPr>
                <w:rFonts w:cstheme="minorHAnsi"/>
                <w:iCs/>
                <w:color w:val="auto"/>
                <w:sz w:val="20"/>
                <w:szCs w:val="20"/>
              </w:rPr>
              <w:t>in</w:t>
            </w:r>
            <w:r w:rsidR="00530ED9" w:rsidRPr="00D47392">
              <w:rPr>
                <w:rFonts w:cstheme="minorHAnsi"/>
                <w:iCs/>
                <w:color w:val="auto"/>
                <w:sz w:val="20"/>
                <w:szCs w:val="20"/>
              </w:rPr>
              <w:t xml:space="preserve"> place</w:t>
            </w:r>
            <w:r w:rsidR="00086166" w:rsidRPr="00D47392">
              <w:rPr>
                <w:rFonts w:cstheme="minorHAnsi"/>
                <w:iCs/>
                <w:color w:val="auto"/>
                <w:sz w:val="20"/>
                <w:szCs w:val="20"/>
              </w:rPr>
              <w:t xml:space="preserve">. </w:t>
            </w:r>
          </w:p>
          <w:p w14:paraId="46B5C469" w14:textId="7BD20A64" w:rsidR="00BC6562" w:rsidRPr="00CA7BEF" w:rsidRDefault="00215EFD" w:rsidP="008D7908">
            <w:pPr>
              <w:spacing w:line="240" w:lineRule="auto"/>
              <w:rPr>
                <w:rFonts w:cstheme="minorHAnsi"/>
                <w:iCs/>
                <w:color w:val="auto"/>
                <w:sz w:val="20"/>
                <w:szCs w:val="20"/>
              </w:rPr>
            </w:pPr>
            <w:r w:rsidRPr="00D47392">
              <w:rPr>
                <w:rFonts w:cstheme="minorHAnsi"/>
                <w:iCs/>
                <w:color w:val="auto"/>
                <w:sz w:val="20"/>
                <w:szCs w:val="20"/>
              </w:rPr>
              <w:t xml:space="preserve">DFAT’s Humanitarian Division (HPD) </w:t>
            </w:r>
            <w:r w:rsidR="0063239F" w:rsidRPr="00D47392">
              <w:rPr>
                <w:rFonts w:cstheme="minorHAnsi"/>
                <w:iCs/>
                <w:color w:val="auto"/>
                <w:sz w:val="20"/>
                <w:szCs w:val="20"/>
              </w:rPr>
              <w:t>has revi</w:t>
            </w:r>
            <w:r w:rsidR="00086166" w:rsidRPr="00D47392">
              <w:rPr>
                <w:rFonts w:cstheme="minorHAnsi"/>
                <w:iCs/>
                <w:color w:val="auto"/>
                <w:sz w:val="20"/>
                <w:szCs w:val="20"/>
              </w:rPr>
              <w:t xml:space="preserve">sed </w:t>
            </w:r>
            <w:r w:rsidR="003770B0">
              <w:rPr>
                <w:rFonts w:cstheme="minorHAnsi"/>
                <w:iCs/>
                <w:color w:val="auto"/>
                <w:sz w:val="20"/>
                <w:szCs w:val="20"/>
              </w:rPr>
              <w:t xml:space="preserve">its </w:t>
            </w:r>
            <w:r w:rsidR="000F104A" w:rsidRPr="00D47392">
              <w:rPr>
                <w:rFonts w:cstheme="minorHAnsi"/>
                <w:iCs/>
                <w:color w:val="auto"/>
                <w:sz w:val="20"/>
                <w:szCs w:val="20"/>
              </w:rPr>
              <w:t>S</w:t>
            </w:r>
            <w:r w:rsidR="008372C0" w:rsidRPr="00D47392">
              <w:rPr>
                <w:rFonts w:cstheme="minorHAnsi"/>
                <w:iCs/>
                <w:color w:val="auto"/>
                <w:sz w:val="20"/>
                <w:szCs w:val="20"/>
              </w:rPr>
              <w:t>tandard Operating Procedures</w:t>
            </w:r>
            <w:r w:rsidR="000F104A" w:rsidRPr="00D47392">
              <w:rPr>
                <w:rFonts w:cstheme="minorHAnsi"/>
                <w:iCs/>
                <w:color w:val="auto"/>
                <w:sz w:val="20"/>
                <w:szCs w:val="20"/>
              </w:rPr>
              <w:t>.</w:t>
            </w:r>
          </w:p>
        </w:tc>
        <w:tc>
          <w:tcPr>
            <w:tcW w:w="2268" w:type="dxa"/>
          </w:tcPr>
          <w:p w14:paraId="463CCF01" w14:textId="08EC57C5" w:rsidR="00BC6562" w:rsidRPr="00CA7BEF" w:rsidRDefault="00404074" w:rsidP="008D7908">
            <w:pPr>
              <w:spacing w:line="240" w:lineRule="auto"/>
              <w:rPr>
                <w:rFonts w:cstheme="minorHAnsi"/>
                <w:iCs/>
                <w:color w:val="auto"/>
                <w:sz w:val="20"/>
                <w:szCs w:val="20"/>
              </w:rPr>
            </w:pPr>
            <w:r>
              <w:rPr>
                <w:rFonts w:cstheme="minorHAnsi"/>
                <w:iCs/>
                <w:color w:val="auto"/>
                <w:sz w:val="20"/>
                <w:szCs w:val="20"/>
              </w:rPr>
              <w:t>Actioned and o</w:t>
            </w:r>
            <w:r w:rsidR="00F50165">
              <w:rPr>
                <w:rFonts w:cstheme="minorHAnsi"/>
                <w:iCs/>
                <w:color w:val="auto"/>
                <w:sz w:val="20"/>
                <w:szCs w:val="20"/>
              </w:rPr>
              <w:t>ngoing</w:t>
            </w:r>
            <w:r w:rsidR="00215EFD">
              <w:rPr>
                <w:rFonts w:cstheme="minorHAnsi"/>
                <w:iCs/>
                <w:color w:val="auto"/>
                <w:sz w:val="20"/>
                <w:szCs w:val="20"/>
              </w:rPr>
              <w:t>.</w:t>
            </w:r>
          </w:p>
        </w:tc>
      </w:tr>
      <w:tr w:rsidR="00BC6562" w:rsidRPr="00CA7BEF" w14:paraId="6239CC34" w14:textId="77777777" w:rsidTr="007C3EA6">
        <w:tc>
          <w:tcPr>
            <w:tcW w:w="4962" w:type="dxa"/>
          </w:tcPr>
          <w:p w14:paraId="581FE668" w14:textId="7D7F005D" w:rsidR="00A71F94" w:rsidRPr="00AA2051" w:rsidRDefault="00BC6562" w:rsidP="00FD048B">
            <w:pPr>
              <w:spacing w:line="240" w:lineRule="auto"/>
              <w:rPr>
                <w:rFonts w:cstheme="minorHAnsi"/>
                <w:color w:val="auto"/>
                <w:sz w:val="20"/>
                <w:szCs w:val="20"/>
                <w:lang w:val="en-AU"/>
              </w:rPr>
            </w:pPr>
            <w:r w:rsidRPr="00AA2051">
              <w:rPr>
                <w:rFonts w:cstheme="minorHAnsi"/>
                <w:b/>
                <w:bCs/>
                <w:color w:val="auto"/>
                <w:sz w:val="20"/>
                <w:szCs w:val="20"/>
                <w:lang w:val="en-AU"/>
              </w:rPr>
              <w:t xml:space="preserve">13. </w:t>
            </w:r>
            <w:r w:rsidR="006B797D" w:rsidRPr="00AA2051">
              <w:rPr>
                <w:rFonts w:cstheme="minorHAnsi"/>
                <w:b/>
                <w:bCs/>
                <w:color w:val="auto"/>
                <w:sz w:val="20"/>
                <w:szCs w:val="20"/>
                <w:lang w:val="en-AU"/>
              </w:rPr>
              <w:t>Capacity and retention</w:t>
            </w:r>
            <w:r w:rsidR="00AA2051" w:rsidRPr="00AA2051">
              <w:rPr>
                <w:rFonts w:cstheme="minorHAnsi"/>
                <w:b/>
                <w:bCs/>
                <w:color w:val="auto"/>
                <w:sz w:val="20"/>
                <w:szCs w:val="20"/>
                <w:lang w:val="en-AU"/>
              </w:rPr>
              <w:t>:</w:t>
            </w:r>
            <w:r w:rsidR="00AA2051">
              <w:rPr>
                <w:rFonts w:cstheme="minorHAnsi"/>
                <w:color w:val="auto"/>
                <w:sz w:val="20"/>
                <w:szCs w:val="20"/>
                <w:lang w:val="en-AU"/>
              </w:rPr>
              <w:t xml:space="preserve"> </w:t>
            </w:r>
            <w:r w:rsidR="00691066">
              <w:rPr>
                <w:rFonts w:cstheme="minorHAnsi"/>
                <w:color w:val="auto"/>
                <w:sz w:val="20"/>
                <w:szCs w:val="20"/>
                <w:lang w:val="en-AU"/>
              </w:rPr>
              <w:t>T</w:t>
            </w:r>
            <w:r w:rsidR="00691066" w:rsidRPr="00691066">
              <w:rPr>
                <w:rFonts w:cstheme="minorHAnsi"/>
                <w:color w:val="auto"/>
                <w:sz w:val="20"/>
                <w:szCs w:val="20"/>
              </w:rPr>
              <w:t>he review team recommends that DFAT review HPD staff capacity and retention</w:t>
            </w:r>
            <w:r w:rsidR="00691066">
              <w:rPr>
                <w:rFonts w:cstheme="minorHAnsi"/>
                <w:color w:val="auto"/>
                <w:sz w:val="20"/>
                <w:szCs w:val="20"/>
              </w:rPr>
              <w:t>.</w:t>
            </w:r>
          </w:p>
        </w:tc>
        <w:tc>
          <w:tcPr>
            <w:tcW w:w="1417" w:type="dxa"/>
            <w:shd w:val="clear" w:color="auto" w:fill="92D050"/>
          </w:tcPr>
          <w:p w14:paraId="5AD70B1B" w14:textId="098BC03B" w:rsidR="00BC6562" w:rsidRPr="00CA7BEF" w:rsidRDefault="003D52FF" w:rsidP="008D7908">
            <w:pPr>
              <w:spacing w:line="240" w:lineRule="auto"/>
              <w:rPr>
                <w:rFonts w:cstheme="minorHAnsi"/>
                <w:iCs/>
                <w:color w:val="auto"/>
                <w:sz w:val="20"/>
                <w:szCs w:val="20"/>
              </w:rPr>
            </w:pPr>
            <w:r>
              <w:rPr>
                <w:rFonts w:cstheme="minorHAnsi"/>
                <w:iCs/>
                <w:color w:val="auto"/>
                <w:sz w:val="20"/>
                <w:szCs w:val="20"/>
              </w:rPr>
              <w:t>A</w:t>
            </w:r>
            <w:r w:rsidR="00CD5117">
              <w:rPr>
                <w:rFonts w:cstheme="minorHAnsi"/>
                <w:iCs/>
                <w:color w:val="auto"/>
                <w:sz w:val="20"/>
                <w:szCs w:val="20"/>
              </w:rPr>
              <w:t>gree</w:t>
            </w:r>
          </w:p>
        </w:tc>
        <w:tc>
          <w:tcPr>
            <w:tcW w:w="4536" w:type="dxa"/>
          </w:tcPr>
          <w:p w14:paraId="04E8312E" w14:textId="77777777" w:rsidR="00E832D1" w:rsidRDefault="00215EFD" w:rsidP="00E832D1">
            <w:pPr>
              <w:spacing w:line="240" w:lineRule="auto"/>
              <w:rPr>
                <w:rFonts w:cstheme="minorHAnsi"/>
                <w:iCs/>
                <w:color w:val="auto"/>
                <w:sz w:val="20"/>
                <w:szCs w:val="20"/>
              </w:rPr>
            </w:pPr>
            <w:r>
              <w:rPr>
                <w:rFonts w:cstheme="minorHAnsi"/>
                <w:iCs/>
                <w:color w:val="auto"/>
                <w:sz w:val="20"/>
                <w:szCs w:val="20"/>
              </w:rPr>
              <w:t xml:space="preserve">DFAT’s Humanitarian Division (HPD) </w:t>
            </w:r>
            <w:r w:rsidR="00FF3FF2">
              <w:rPr>
                <w:rFonts w:cstheme="minorHAnsi"/>
                <w:iCs/>
                <w:color w:val="auto"/>
                <w:sz w:val="20"/>
                <w:szCs w:val="20"/>
              </w:rPr>
              <w:t xml:space="preserve">has </w:t>
            </w:r>
            <w:r w:rsidR="0068654D">
              <w:rPr>
                <w:rFonts w:cstheme="minorHAnsi"/>
                <w:iCs/>
                <w:color w:val="auto"/>
                <w:sz w:val="20"/>
                <w:szCs w:val="20"/>
              </w:rPr>
              <w:t>reviewed staff</w:t>
            </w:r>
            <w:r w:rsidR="00906285" w:rsidRPr="00F63DF8">
              <w:rPr>
                <w:rFonts w:cstheme="minorHAnsi"/>
                <w:iCs/>
                <w:color w:val="auto"/>
                <w:sz w:val="20"/>
                <w:szCs w:val="20"/>
              </w:rPr>
              <w:t xml:space="preserve"> resourcing</w:t>
            </w:r>
            <w:r w:rsidR="00906285">
              <w:rPr>
                <w:rFonts w:cstheme="minorHAnsi"/>
                <w:iCs/>
                <w:color w:val="auto"/>
                <w:sz w:val="20"/>
                <w:szCs w:val="20"/>
              </w:rPr>
              <w:t xml:space="preserve"> </w:t>
            </w:r>
            <w:r w:rsidR="00906285" w:rsidRPr="00F63DF8">
              <w:rPr>
                <w:rFonts w:cstheme="minorHAnsi"/>
                <w:iCs/>
                <w:color w:val="auto"/>
                <w:sz w:val="20"/>
                <w:szCs w:val="20"/>
              </w:rPr>
              <w:t>to ensure contract compliance is adequately managed and delivered by DFAT and Palladium, and that staff have adequate training in humanitarian logistics</w:t>
            </w:r>
            <w:r w:rsidR="00906285">
              <w:rPr>
                <w:rFonts w:cstheme="minorHAnsi"/>
                <w:iCs/>
                <w:color w:val="auto"/>
                <w:sz w:val="20"/>
                <w:szCs w:val="20"/>
              </w:rPr>
              <w:t xml:space="preserve">, </w:t>
            </w:r>
            <w:r w:rsidR="00906285" w:rsidRPr="00F63DF8">
              <w:rPr>
                <w:rFonts w:cstheme="minorHAnsi"/>
                <w:iCs/>
                <w:color w:val="auto"/>
                <w:sz w:val="20"/>
                <w:szCs w:val="20"/>
              </w:rPr>
              <w:t>contract management</w:t>
            </w:r>
            <w:r w:rsidR="00B947C6">
              <w:rPr>
                <w:rFonts w:cstheme="minorHAnsi"/>
                <w:iCs/>
                <w:color w:val="auto"/>
                <w:sz w:val="20"/>
                <w:szCs w:val="20"/>
              </w:rPr>
              <w:t xml:space="preserve">, GEDSI </w:t>
            </w:r>
            <w:r w:rsidR="00906285">
              <w:rPr>
                <w:rFonts w:cstheme="minorHAnsi"/>
                <w:iCs/>
                <w:color w:val="auto"/>
                <w:sz w:val="20"/>
                <w:szCs w:val="20"/>
              </w:rPr>
              <w:t>and MEL.</w:t>
            </w:r>
            <w:r w:rsidR="00E8039B">
              <w:rPr>
                <w:rFonts w:cstheme="minorHAnsi"/>
                <w:iCs/>
                <w:color w:val="auto"/>
                <w:sz w:val="20"/>
                <w:szCs w:val="20"/>
              </w:rPr>
              <w:t xml:space="preserve"> </w:t>
            </w:r>
            <w:r w:rsidR="00E832D1">
              <w:rPr>
                <w:rFonts w:cstheme="minorHAnsi"/>
                <w:iCs/>
                <w:color w:val="auto"/>
                <w:sz w:val="20"/>
                <w:szCs w:val="20"/>
              </w:rPr>
              <w:t>These include training on DFAT’s updated and publicly available Design and Monitoring &amp; Evaluation Standards.</w:t>
            </w:r>
            <w:r w:rsidR="00E832D1">
              <w:t xml:space="preserve"> </w:t>
            </w:r>
          </w:p>
          <w:p w14:paraId="730B234C" w14:textId="531D6679" w:rsidR="007E3B19" w:rsidRDefault="007E3B19" w:rsidP="008D7908">
            <w:pPr>
              <w:spacing w:line="240" w:lineRule="auto"/>
              <w:rPr>
                <w:rFonts w:cstheme="minorHAnsi"/>
                <w:iCs/>
                <w:color w:val="auto"/>
                <w:sz w:val="20"/>
                <w:szCs w:val="20"/>
              </w:rPr>
            </w:pPr>
            <w:r>
              <w:rPr>
                <w:rFonts w:cstheme="minorHAnsi"/>
                <w:iCs/>
                <w:color w:val="auto"/>
                <w:sz w:val="20"/>
                <w:szCs w:val="20"/>
              </w:rPr>
              <w:t>HPD</w:t>
            </w:r>
            <w:r w:rsidR="0066358F">
              <w:rPr>
                <w:rFonts w:cstheme="minorHAnsi"/>
                <w:iCs/>
                <w:color w:val="auto"/>
                <w:sz w:val="20"/>
                <w:szCs w:val="20"/>
              </w:rPr>
              <w:t>’</w:t>
            </w:r>
            <w:r>
              <w:rPr>
                <w:rFonts w:cstheme="minorHAnsi"/>
                <w:iCs/>
                <w:color w:val="auto"/>
                <w:sz w:val="20"/>
                <w:szCs w:val="20"/>
              </w:rPr>
              <w:t>s FTE levels remain under constant review</w:t>
            </w:r>
            <w:r w:rsidR="00EC73A5">
              <w:rPr>
                <w:rFonts w:cstheme="minorHAnsi"/>
                <w:iCs/>
                <w:color w:val="auto"/>
                <w:sz w:val="20"/>
                <w:szCs w:val="20"/>
              </w:rPr>
              <w:t>.</w:t>
            </w:r>
            <w:r w:rsidR="003245D0">
              <w:rPr>
                <w:rFonts w:cstheme="minorHAnsi"/>
                <w:iCs/>
                <w:color w:val="auto"/>
                <w:sz w:val="20"/>
                <w:szCs w:val="20"/>
              </w:rPr>
              <w:t xml:space="preserve"> </w:t>
            </w:r>
          </w:p>
          <w:p w14:paraId="5D6204FB" w14:textId="56CCF8FE" w:rsidR="00D52845" w:rsidRDefault="00D52845" w:rsidP="008D7908">
            <w:pPr>
              <w:spacing w:line="240" w:lineRule="auto"/>
              <w:rPr>
                <w:rFonts w:cstheme="minorHAnsi"/>
                <w:iCs/>
                <w:color w:val="auto"/>
                <w:sz w:val="20"/>
                <w:szCs w:val="20"/>
              </w:rPr>
            </w:pPr>
            <w:r>
              <w:rPr>
                <w:rFonts w:cstheme="minorHAnsi"/>
                <w:iCs/>
                <w:color w:val="auto"/>
                <w:sz w:val="20"/>
                <w:szCs w:val="20"/>
              </w:rPr>
              <w:t xml:space="preserve">DFAT takes its occupational health and safety </w:t>
            </w:r>
            <w:r w:rsidR="00716969">
              <w:rPr>
                <w:rFonts w:cstheme="minorHAnsi"/>
                <w:iCs/>
                <w:color w:val="auto"/>
                <w:sz w:val="20"/>
                <w:szCs w:val="20"/>
              </w:rPr>
              <w:t xml:space="preserve">responsibilities to staff very seriously, as reflected in </w:t>
            </w:r>
            <w:r w:rsidR="000465AE">
              <w:rPr>
                <w:rFonts w:cstheme="minorHAnsi"/>
                <w:iCs/>
                <w:color w:val="auto"/>
                <w:sz w:val="20"/>
                <w:szCs w:val="20"/>
              </w:rPr>
              <w:t>relevant policies.</w:t>
            </w:r>
          </w:p>
          <w:p w14:paraId="06D1F729" w14:textId="107903C4" w:rsidR="003B2876" w:rsidRPr="00D47392" w:rsidRDefault="00AE23AD" w:rsidP="00D47392">
            <w:pPr>
              <w:spacing w:line="240" w:lineRule="auto"/>
              <w:rPr>
                <w:rFonts w:cstheme="minorHAnsi"/>
                <w:iCs/>
                <w:color w:val="auto"/>
                <w:sz w:val="20"/>
                <w:szCs w:val="20"/>
              </w:rPr>
            </w:pPr>
            <w:r w:rsidRPr="00D47392">
              <w:rPr>
                <w:rFonts w:cstheme="minorHAnsi"/>
                <w:iCs/>
                <w:color w:val="auto"/>
                <w:sz w:val="20"/>
                <w:szCs w:val="20"/>
              </w:rPr>
              <w:t xml:space="preserve">HPD staff capacity and retention </w:t>
            </w:r>
            <w:r w:rsidR="0093544E" w:rsidRPr="00D47392">
              <w:rPr>
                <w:rFonts w:cstheme="minorHAnsi"/>
                <w:iCs/>
                <w:color w:val="auto"/>
                <w:sz w:val="20"/>
                <w:szCs w:val="20"/>
              </w:rPr>
              <w:t>are incorporated into DFAT’s workforce planning</w:t>
            </w:r>
            <w:r w:rsidR="00C31E4A" w:rsidRPr="00D47392">
              <w:rPr>
                <w:rFonts w:cstheme="minorHAnsi"/>
                <w:iCs/>
                <w:color w:val="auto"/>
                <w:sz w:val="20"/>
                <w:szCs w:val="20"/>
              </w:rPr>
              <w:t xml:space="preserve"> processes</w:t>
            </w:r>
            <w:r w:rsidR="0093544E" w:rsidRPr="00D47392">
              <w:rPr>
                <w:rFonts w:cstheme="minorHAnsi"/>
                <w:iCs/>
                <w:color w:val="auto"/>
                <w:sz w:val="20"/>
                <w:szCs w:val="20"/>
              </w:rPr>
              <w:t xml:space="preserve">. </w:t>
            </w:r>
          </w:p>
        </w:tc>
        <w:tc>
          <w:tcPr>
            <w:tcW w:w="2268" w:type="dxa"/>
          </w:tcPr>
          <w:p w14:paraId="40038609" w14:textId="3A16B83D" w:rsidR="00BC6562" w:rsidRPr="00CA7BEF" w:rsidRDefault="006A72CA" w:rsidP="008D7908">
            <w:pPr>
              <w:spacing w:line="240" w:lineRule="auto"/>
              <w:rPr>
                <w:rFonts w:cstheme="minorHAnsi"/>
                <w:iCs/>
                <w:color w:val="auto"/>
                <w:sz w:val="20"/>
                <w:szCs w:val="20"/>
              </w:rPr>
            </w:pPr>
            <w:r>
              <w:rPr>
                <w:rFonts w:cstheme="minorHAnsi"/>
                <w:iCs/>
                <w:color w:val="auto"/>
                <w:sz w:val="20"/>
                <w:szCs w:val="20"/>
              </w:rPr>
              <w:t>Actioned</w:t>
            </w:r>
            <w:r w:rsidR="009C7640">
              <w:rPr>
                <w:rFonts w:cstheme="minorHAnsi"/>
                <w:iCs/>
                <w:color w:val="auto"/>
                <w:sz w:val="20"/>
                <w:szCs w:val="20"/>
              </w:rPr>
              <w:t xml:space="preserve"> </w:t>
            </w:r>
            <w:r>
              <w:rPr>
                <w:rFonts w:cstheme="minorHAnsi"/>
                <w:iCs/>
                <w:color w:val="auto"/>
                <w:sz w:val="20"/>
                <w:szCs w:val="20"/>
              </w:rPr>
              <w:t>and ongoing</w:t>
            </w:r>
            <w:r w:rsidR="00D85133">
              <w:rPr>
                <w:rFonts w:cstheme="minorHAnsi"/>
                <w:iCs/>
                <w:color w:val="auto"/>
                <w:sz w:val="20"/>
                <w:szCs w:val="20"/>
              </w:rPr>
              <w:t>.</w:t>
            </w:r>
          </w:p>
        </w:tc>
      </w:tr>
    </w:tbl>
    <w:p w14:paraId="6A4F07E0" w14:textId="08A17D76" w:rsidR="00F641F0" w:rsidRDefault="002C2612" w:rsidP="00F641F0">
      <w:pPr>
        <w:pStyle w:val="Heading2"/>
      </w:pPr>
      <w:r>
        <w:t xml:space="preserve">Implementation: </w:t>
      </w:r>
      <w:r w:rsidR="000E5CBA">
        <w:t xml:space="preserve">HLC Contract with </w:t>
      </w:r>
      <w:r w:rsidR="00C616DE" w:rsidRPr="00C616DE">
        <w:t>Palladium</w:t>
      </w:r>
    </w:p>
    <w:tbl>
      <w:tblPr>
        <w:tblStyle w:val="TableGrid"/>
        <w:tblW w:w="13183" w:type="dxa"/>
        <w:tblInd w:w="-147" w:type="dxa"/>
        <w:tblLook w:val="04A0" w:firstRow="1" w:lastRow="0" w:firstColumn="1" w:lastColumn="0" w:noHBand="0" w:noVBand="1"/>
      </w:tblPr>
      <w:tblGrid>
        <w:gridCol w:w="4962"/>
        <w:gridCol w:w="1417"/>
        <w:gridCol w:w="4536"/>
        <w:gridCol w:w="2268"/>
      </w:tblGrid>
      <w:tr w:rsidR="00F641F0" w:rsidRPr="00CA7BEF" w14:paraId="78E91A4C" w14:textId="77777777" w:rsidTr="007C3EA6">
        <w:tc>
          <w:tcPr>
            <w:tcW w:w="4962" w:type="dxa"/>
          </w:tcPr>
          <w:p w14:paraId="74EE069F" w14:textId="0F87B603" w:rsidR="00F641F0" w:rsidRPr="00DB6FDC" w:rsidRDefault="00F641F0" w:rsidP="009A22FE">
            <w:pPr>
              <w:spacing w:line="240" w:lineRule="auto"/>
              <w:rPr>
                <w:rFonts w:cstheme="minorHAnsi"/>
                <w:color w:val="auto"/>
                <w:sz w:val="20"/>
                <w:szCs w:val="20"/>
                <w:lang w:val="en-AU"/>
              </w:rPr>
            </w:pPr>
            <w:r w:rsidRPr="00DB6FDC">
              <w:rPr>
                <w:rFonts w:cstheme="minorHAnsi"/>
                <w:b/>
                <w:bCs/>
                <w:color w:val="auto"/>
                <w:sz w:val="20"/>
                <w:szCs w:val="20"/>
                <w:lang w:val="en-AU"/>
              </w:rPr>
              <w:t>1</w:t>
            </w:r>
            <w:r w:rsidR="009C6331" w:rsidRPr="00DB6FDC">
              <w:rPr>
                <w:rFonts w:cstheme="minorHAnsi"/>
                <w:b/>
                <w:bCs/>
                <w:color w:val="auto"/>
                <w:sz w:val="20"/>
                <w:szCs w:val="20"/>
                <w:lang w:val="en-AU"/>
              </w:rPr>
              <w:t>4</w:t>
            </w:r>
            <w:r w:rsidRPr="00DB6FDC">
              <w:rPr>
                <w:rFonts w:cstheme="minorHAnsi"/>
                <w:b/>
                <w:bCs/>
                <w:color w:val="auto"/>
                <w:sz w:val="20"/>
                <w:szCs w:val="20"/>
                <w:lang w:val="en-AU"/>
              </w:rPr>
              <w:t xml:space="preserve">. </w:t>
            </w:r>
            <w:r w:rsidR="00884FF3" w:rsidRPr="00DB6FDC">
              <w:rPr>
                <w:rFonts w:cstheme="minorHAnsi"/>
                <w:b/>
                <w:bCs/>
                <w:color w:val="auto"/>
                <w:sz w:val="20"/>
                <w:szCs w:val="20"/>
                <w:lang w:val="en-AU"/>
              </w:rPr>
              <w:t>HLC contract management</w:t>
            </w:r>
            <w:r w:rsidR="009C6331" w:rsidRPr="00DB6FDC">
              <w:rPr>
                <w:rFonts w:cstheme="minorHAnsi"/>
                <w:b/>
                <w:bCs/>
                <w:color w:val="auto"/>
                <w:sz w:val="20"/>
                <w:szCs w:val="20"/>
                <w:lang w:val="en-AU"/>
              </w:rPr>
              <w:t>:</w:t>
            </w:r>
            <w:r w:rsidR="009C6331" w:rsidRPr="00DB6FDC">
              <w:rPr>
                <w:rFonts w:cstheme="minorHAnsi"/>
                <w:color w:val="auto"/>
                <w:sz w:val="20"/>
                <w:szCs w:val="20"/>
                <w:lang w:val="en-AU"/>
              </w:rPr>
              <w:t xml:space="preserve"> </w:t>
            </w:r>
            <w:r w:rsidR="00700C3C" w:rsidRPr="00DB6FDC">
              <w:rPr>
                <w:rFonts w:cstheme="minorHAnsi"/>
                <w:color w:val="auto"/>
                <w:sz w:val="20"/>
                <w:szCs w:val="20"/>
                <w:lang w:val="en-AU"/>
              </w:rPr>
              <w:t xml:space="preserve"> </w:t>
            </w:r>
            <w:r w:rsidR="00707759" w:rsidRPr="00707759">
              <w:rPr>
                <w:rFonts w:cstheme="minorHAnsi"/>
                <w:color w:val="auto"/>
                <w:sz w:val="20"/>
                <w:szCs w:val="20"/>
              </w:rPr>
              <w:t>In relation to HLC Contract management, DFAT is recommended to instruct Palladium to design and execute HLC Contract implementation arrangements (including robust M&amp;E mechanisms) aligned with the overarching HLC Investment.</w:t>
            </w:r>
          </w:p>
        </w:tc>
        <w:tc>
          <w:tcPr>
            <w:tcW w:w="1417" w:type="dxa"/>
            <w:shd w:val="clear" w:color="auto" w:fill="92D050"/>
          </w:tcPr>
          <w:p w14:paraId="6A80F154" w14:textId="205C9B93" w:rsidR="00F641F0" w:rsidRPr="00CA7BEF" w:rsidRDefault="006D1125" w:rsidP="008D7908">
            <w:pPr>
              <w:spacing w:line="240" w:lineRule="auto"/>
              <w:rPr>
                <w:rFonts w:cstheme="minorHAnsi"/>
                <w:iCs/>
                <w:color w:val="auto"/>
                <w:sz w:val="20"/>
                <w:szCs w:val="20"/>
              </w:rPr>
            </w:pPr>
            <w:r>
              <w:rPr>
                <w:rFonts w:cstheme="minorHAnsi"/>
                <w:iCs/>
                <w:color w:val="auto"/>
                <w:sz w:val="20"/>
                <w:szCs w:val="20"/>
              </w:rPr>
              <w:t>Agree</w:t>
            </w:r>
          </w:p>
        </w:tc>
        <w:tc>
          <w:tcPr>
            <w:tcW w:w="4536" w:type="dxa"/>
          </w:tcPr>
          <w:p w14:paraId="5EBE98DE" w14:textId="77777777" w:rsidR="007551D4" w:rsidRDefault="007551D4" w:rsidP="007551D4">
            <w:pPr>
              <w:spacing w:line="240" w:lineRule="auto"/>
              <w:rPr>
                <w:rFonts w:cstheme="minorHAnsi"/>
                <w:iCs/>
                <w:color w:val="auto"/>
                <w:sz w:val="20"/>
                <w:szCs w:val="20"/>
              </w:rPr>
            </w:pPr>
            <w:r>
              <w:rPr>
                <w:rFonts w:cstheme="minorHAnsi"/>
                <w:iCs/>
                <w:color w:val="auto"/>
                <w:sz w:val="20"/>
                <w:szCs w:val="20"/>
              </w:rPr>
              <w:t xml:space="preserve">DFAT and Palladium have finalised and implemented a MEL Plan including a GEDSI, Safeguarding, Sustainability and Greening Strategy. </w:t>
            </w:r>
          </w:p>
          <w:p w14:paraId="19AC1DD0" w14:textId="77777777" w:rsidR="00F641F0" w:rsidRDefault="007551D4" w:rsidP="007551D4">
            <w:pPr>
              <w:spacing w:line="240" w:lineRule="auto"/>
              <w:rPr>
                <w:rFonts w:cstheme="minorHAnsi"/>
                <w:iCs/>
                <w:color w:val="auto"/>
                <w:sz w:val="20"/>
                <w:szCs w:val="20"/>
              </w:rPr>
            </w:pPr>
            <w:r>
              <w:rPr>
                <w:rFonts w:cstheme="minorHAnsi"/>
                <w:iCs/>
                <w:color w:val="auto"/>
                <w:sz w:val="20"/>
                <w:szCs w:val="20"/>
              </w:rPr>
              <w:t>The</w:t>
            </w:r>
            <w:r w:rsidRPr="00760696">
              <w:rPr>
                <w:rFonts w:cstheme="minorHAnsi"/>
                <w:iCs/>
                <w:color w:val="auto"/>
                <w:sz w:val="20"/>
                <w:szCs w:val="20"/>
              </w:rPr>
              <w:t xml:space="preserve"> </w:t>
            </w:r>
            <w:r>
              <w:rPr>
                <w:rFonts w:cstheme="minorHAnsi"/>
                <w:iCs/>
                <w:color w:val="auto"/>
                <w:sz w:val="20"/>
                <w:szCs w:val="20"/>
              </w:rPr>
              <w:t>MEL</w:t>
            </w:r>
            <w:r w:rsidRPr="00760696">
              <w:rPr>
                <w:rFonts w:cstheme="minorHAnsi"/>
                <w:iCs/>
                <w:color w:val="auto"/>
                <w:sz w:val="20"/>
                <w:szCs w:val="20"/>
              </w:rPr>
              <w:t xml:space="preserve"> </w:t>
            </w:r>
            <w:r>
              <w:rPr>
                <w:rFonts w:cstheme="minorHAnsi"/>
                <w:iCs/>
                <w:color w:val="auto"/>
                <w:sz w:val="20"/>
                <w:szCs w:val="20"/>
              </w:rPr>
              <w:t xml:space="preserve">Plan and associated strategies support DFAT and Palladium to </w:t>
            </w:r>
            <w:r w:rsidRPr="00760696">
              <w:rPr>
                <w:rFonts w:cstheme="minorHAnsi"/>
                <w:iCs/>
                <w:color w:val="auto"/>
                <w:sz w:val="20"/>
                <w:szCs w:val="20"/>
              </w:rPr>
              <w:t>measure the effectiveness and efficiency of program outcomes</w:t>
            </w:r>
            <w:r w:rsidR="00925E19">
              <w:rPr>
                <w:rFonts w:cstheme="minorHAnsi"/>
                <w:iCs/>
                <w:color w:val="auto"/>
                <w:sz w:val="20"/>
                <w:szCs w:val="20"/>
              </w:rPr>
              <w:t>.</w:t>
            </w:r>
          </w:p>
          <w:p w14:paraId="6FB70F2F" w14:textId="76F036E4" w:rsidR="00B342F9" w:rsidRPr="00CA7BEF" w:rsidRDefault="00B342F9" w:rsidP="007551D4">
            <w:pPr>
              <w:spacing w:line="240" w:lineRule="auto"/>
              <w:rPr>
                <w:rFonts w:cstheme="minorHAnsi"/>
                <w:iCs/>
                <w:color w:val="auto"/>
                <w:sz w:val="20"/>
                <w:szCs w:val="20"/>
              </w:rPr>
            </w:pPr>
            <w:r w:rsidRPr="00B342F9">
              <w:rPr>
                <w:rFonts w:cstheme="minorHAnsi"/>
                <w:iCs/>
                <w:color w:val="auto"/>
                <w:sz w:val="20"/>
                <w:szCs w:val="20"/>
              </w:rPr>
              <w:t>DFAT will continue to monitor compliance.</w:t>
            </w:r>
          </w:p>
        </w:tc>
        <w:tc>
          <w:tcPr>
            <w:tcW w:w="2268" w:type="dxa"/>
          </w:tcPr>
          <w:p w14:paraId="5CCE7EF3" w14:textId="64DC0419" w:rsidR="00F641F0" w:rsidRPr="00CA7BEF" w:rsidRDefault="00D96AA4" w:rsidP="008D7908">
            <w:pPr>
              <w:spacing w:line="240" w:lineRule="auto"/>
              <w:rPr>
                <w:rFonts w:cstheme="minorHAnsi"/>
                <w:iCs/>
                <w:color w:val="auto"/>
                <w:sz w:val="20"/>
                <w:szCs w:val="20"/>
              </w:rPr>
            </w:pPr>
            <w:r>
              <w:rPr>
                <w:rFonts w:cstheme="minorHAnsi"/>
                <w:iCs/>
                <w:color w:val="auto"/>
                <w:sz w:val="20"/>
                <w:szCs w:val="20"/>
              </w:rPr>
              <w:t xml:space="preserve">The </w:t>
            </w:r>
            <w:r w:rsidR="009C7640">
              <w:rPr>
                <w:rFonts w:cstheme="minorHAnsi"/>
                <w:iCs/>
                <w:color w:val="auto"/>
                <w:sz w:val="20"/>
                <w:szCs w:val="20"/>
              </w:rPr>
              <w:t>MEL</w:t>
            </w:r>
            <w:r>
              <w:rPr>
                <w:rFonts w:cstheme="minorHAnsi"/>
                <w:iCs/>
                <w:color w:val="auto"/>
                <w:sz w:val="20"/>
                <w:szCs w:val="20"/>
              </w:rPr>
              <w:t xml:space="preserve"> Plan including GEDSI, Safeguarding, Sustainability and Greening Strategy was </w:t>
            </w:r>
            <w:r w:rsidR="00FB190F">
              <w:rPr>
                <w:rFonts w:cstheme="minorHAnsi"/>
                <w:iCs/>
                <w:color w:val="auto"/>
                <w:sz w:val="20"/>
                <w:szCs w:val="20"/>
              </w:rPr>
              <w:t>finalised</w:t>
            </w:r>
            <w:r>
              <w:rPr>
                <w:rFonts w:cstheme="minorHAnsi"/>
                <w:iCs/>
                <w:color w:val="auto"/>
                <w:sz w:val="20"/>
                <w:szCs w:val="20"/>
              </w:rPr>
              <w:t xml:space="preserve"> in December 2022.</w:t>
            </w:r>
          </w:p>
        </w:tc>
      </w:tr>
    </w:tbl>
    <w:p w14:paraId="3A82B770" w14:textId="77777777" w:rsidR="00F95D87" w:rsidRDefault="00F95D87">
      <w:r>
        <w:br w:type="page"/>
      </w:r>
    </w:p>
    <w:tbl>
      <w:tblPr>
        <w:tblStyle w:val="TableGrid"/>
        <w:tblW w:w="13183" w:type="dxa"/>
        <w:tblInd w:w="-147" w:type="dxa"/>
        <w:tblLook w:val="04A0" w:firstRow="1" w:lastRow="0" w:firstColumn="1" w:lastColumn="0" w:noHBand="0" w:noVBand="1"/>
      </w:tblPr>
      <w:tblGrid>
        <w:gridCol w:w="4962"/>
        <w:gridCol w:w="1417"/>
        <w:gridCol w:w="4536"/>
        <w:gridCol w:w="2268"/>
      </w:tblGrid>
      <w:tr w:rsidR="00F641F0" w:rsidRPr="00CA7BEF" w14:paraId="0BD32EB8" w14:textId="77777777" w:rsidTr="00550F60">
        <w:tc>
          <w:tcPr>
            <w:tcW w:w="4962" w:type="dxa"/>
          </w:tcPr>
          <w:p w14:paraId="21A2D6A3" w14:textId="72FBA1FF" w:rsidR="000A15C4" w:rsidRPr="00DB6FDC" w:rsidRDefault="00F641F0" w:rsidP="000A15C4">
            <w:pPr>
              <w:spacing w:line="240" w:lineRule="auto"/>
              <w:rPr>
                <w:rFonts w:cstheme="minorHAnsi"/>
                <w:color w:val="auto"/>
                <w:sz w:val="20"/>
                <w:szCs w:val="20"/>
                <w:lang w:val="en-AU"/>
              </w:rPr>
            </w:pPr>
            <w:r w:rsidRPr="00DB6FDC">
              <w:rPr>
                <w:rFonts w:cstheme="minorHAnsi"/>
                <w:b/>
                <w:bCs/>
                <w:color w:val="auto"/>
                <w:sz w:val="20"/>
                <w:szCs w:val="20"/>
                <w:lang w:val="en-AU"/>
              </w:rPr>
              <w:lastRenderedPageBreak/>
              <w:t>1</w:t>
            </w:r>
            <w:r w:rsidR="0031053D" w:rsidRPr="00DB6FDC">
              <w:rPr>
                <w:rFonts w:cstheme="minorHAnsi"/>
                <w:b/>
                <w:bCs/>
                <w:color w:val="auto"/>
                <w:sz w:val="20"/>
                <w:szCs w:val="20"/>
                <w:lang w:val="en-AU"/>
              </w:rPr>
              <w:t>5</w:t>
            </w:r>
            <w:r w:rsidRPr="00DB6FDC">
              <w:rPr>
                <w:rFonts w:cstheme="minorHAnsi"/>
                <w:b/>
                <w:bCs/>
                <w:color w:val="auto"/>
                <w:sz w:val="20"/>
                <w:szCs w:val="20"/>
                <w:lang w:val="en-AU"/>
              </w:rPr>
              <w:t xml:space="preserve">. </w:t>
            </w:r>
            <w:r w:rsidR="0031053D" w:rsidRPr="00DB6FDC">
              <w:rPr>
                <w:rFonts w:cstheme="minorHAnsi"/>
                <w:b/>
                <w:bCs/>
                <w:color w:val="auto"/>
                <w:sz w:val="20"/>
                <w:szCs w:val="20"/>
                <w:lang w:val="en-AU"/>
              </w:rPr>
              <w:t xml:space="preserve">Palladium management structure: </w:t>
            </w:r>
            <w:r w:rsidR="0031053D" w:rsidRPr="00DB6FDC">
              <w:rPr>
                <w:rFonts w:cstheme="minorHAnsi"/>
                <w:b/>
                <w:bCs/>
                <w:color w:val="auto"/>
                <w:sz w:val="20"/>
                <w:szCs w:val="20"/>
                <w:lang w:val="en-AU"/>
              </w:rPr>
              <w:cr/>
            </w:r>
            <w:r w:rsidR="00E2557B" w:rsidRPr="00E2557B">
              <w:rPr>
                <w:rFonts w:cstheme="minorHAnsi"/>
                <w:color w:val="auto"/>
                <w:sz w:val="20"/>
                <w:szCs w:val="20"/>
              </w:rPr>
              <w:t>Palladium is recommended to rearrange its management structure to include a broader skillset such as contract management and ensure a core team of response leads.</w:t>
            </w:r>
          </w:p>
        </w:tc>
        <w:tc>
          <w:tcPr>
            <w:tcW w:w="1417" w:type="dxa"/>
            <w:shd w:val="clear" w:color="auto" w:fill="92D050"/>
          </w:tcPr>
          <w:p w14:paraId="7F10FCF5" w14:textId="4DCFC7E2" w:rsidR="00F641F0" w:rsidRPr="00CA7BEF" w:rsidRDefault="005C5ABC" w:rsidP="008D7908">
            <w:pPr>
              <w:spacing w:line="240" w:lineRule="auto"/>
              <w:rPr>
                <w:rFonts w:cstheme="minorHAnsi"/>
                <w:iCs/>
                <w:color w:val="auto"/>
                <w:sz w:val="20"/>
                <w:szCs w:val="20"/>
              </w:rPr>
            </w:pPr>
            <w:r>
              <w:rPr>
                <w:rFonts w:cstheme="minorHAnsi"/>
                <w:iCs/>
                <w:color w:val="auto"/>
                <w:sz w:val="20"/>
                <w:szCs w:val="20"/>
              </w:rPr>
              <w:t>A</w:t>
            </w:r>
            <w:r w:rsidR="005D25EB">
              <w:rPr>
                <w:rFonts w:cstheme="minorHAnsi"/>
                <w:iCs/>
                <w:color w:val="auto"/>
                <w:sz w:val="20"/>
                <w:szCs w:val="20"/>
              </w:rPr>
              <w:t>gree</w:t>
            </w:r>
          </w:p>
        </w:tc>
        <w:tc>
          <w:tcPr>
            <w:tcW w:w="4536" w:type="dxa"/>
          </w:tcPr>
          <w:p w14:paraId="49C549BA" w14:textId="6EBEDE7E" w:rsidR="00F641F0" w:rsidRPr="00CA7BEF" w:rsidRDefault="0068654D" w:rsidP="008D7908">
            <w:pPr>
              <w:spacing w:line="240" w:lineRule="auto"/>
              <w:rPr>
                <w:rFonts w:cstheme="minorHAnsi"/>
                <w:iCs/>
                <w:color w:val="auto"/>
                <w:sz w:val="20"/>
                <w:szCs w:val="20"/>
              </w:rPr>
            </w:pPr>
            <w:r>
              <w:rPr>
                <w:rFonts w:cstheme="minorHAnsi"/>
                <w:iCs/>
                <w:color w:val="auto"/>
                <w:sz w:val="20"/>
                <w:szCs w:val="20"/>
              </w:rPr>
              <w:t>The Palladium</w:t>
            </w:r>
            <w:r w:rsidR="00D31015">
              <w:rPr>
                <w:rFonts w:cstheme="minorHAnsi"/>
                <w:iCs/>
                <w:color w:val="auto"/>
                <w:sz w:val="20"/>
                <w:szCs w:val="20"/>
              </w:rPr>
              <w:t xml:space="preserve"> </w:t>
            </w:r>
            <w:r w:rsidR="00C01156" w:rsidRPr="00C01156">
              <w:rPr>
                <w:rFonts w:cstheme="minorHAnsi"/>
                <w:iCs/>
                <w:color w:val="auto"/>
                <w:sz w:val="20"/>
                <w:szCs w:val="20"/>
              </w:rPr>
              <w:t>leadership team</w:t>
            </w:r>
            <w:r w:rsidR="003A22C7">
              <w:rPr>
                <w:rFonts w:cstheme="minorHAnsi"/>
                <w:iCs/>
                <w:color w:val="auto"/>
                <w:sz w:val="20"/>
                <w:szCs w:val="20"/>
              </w:rPr>
              <w:t xml:space="preserve"> </w:t>
            </w:r>
            <w:r w:rsidR="00E2557B">
              <w:rPr>
                <w:rFonts w:cstheme="minorHAnsi"/>
                <w:iCs/>
                <w:color w:val="auto"/>
                <w:sz w:val="20"/>
                <w:szCs w:val="20"/>
              </w:rPr>
              <w:t xml:space="preserve">is reviewing its </w:t>
            </w:r>
            <w:r w:rsidR="003A22C7">
              <w:rPr>
                <w:rFonts w:cstheme="minorHAnsi"/>
                <w:iCs/>
                <w:color w:val="auto"/>
                <w:sz w:val="20"/>
                <w:szCs w:val="20"/>
              </w:rPr>
              <w:t>management structure</w:t>
            </w:r>
            <w:r w:rsidR="009E65E6">
              <w:rPr>
                <w:rFonts w:cstheme="minorHAnsi"/>
                <w:iCs/>
                <w:color w:val="auto"/>
                <w:sz w:val="20"/>
                <w:szCs w:val="20"/>
              </w:rPr>
              <w:t xml:space="preserve"> </w:t>
            </w:r>
            <w:r w:rsidR="00DB5772">
              <w:rPr>
                <w:rFonts w:cstheme="minorHAnsi"/>
                <w:iCs/>
                <w:color w:val="auto"/>
                <w:sz w:val="20"/>
                <w:szCs w:val="20"/>
              </w:rPr>
              <w:t>to deliver</w:t>
            </w:r>
            <w:r w:rsidR="00C01156" w:rsidRPr="00C01156">
              <w:rPr>
                <w:rFonts w:cstheme="minorHAnsi"/>
                <w:iCs/>
                <w:color w:val="auto"/>
                <w:sz w:val="20"/>
                <w:szCs w:val="20"/>
              </w:rPr>
              <w:t xml:space="preserve"> </w:t>
            </w:r>
            <w:r w:rsidR="00D31015">
              <w:rPr>
                <w:rFonts w:cstheme="minorHAnsi"/>
                <w:iCs/>
                <w:color w:val="auto"/>
                <w:sz w:val="20"/>
                <w:szCs w:val="20"/>
              </w:rPr>
              <w:t>necessary</w:t>
            </w:r>
            <w:r w:rsidR="00C01156" w:rsidRPr="00C01156">
              <w:rPr>
                <w:rFonts w:cstheme="minorHAnsi"/>
                <w:iCs/>
                <w:color w:val="auto"/>
                <w:sz w:val="20"/>
                <w:szCs w:val="20"/>
              </w:rPr>
              <w:t xml:space="preserve"> oversight and contract compliance</w:t>
            </w:r>
            <w:r w:rsidR="00E2556C">
              <w:rPr>
                <w:rFonts w:cstheme="minorHAnsi"/>
                <w:iCs/>
                <w:color w:val="auto"/>
                <w:sz w:val="20"/>
                <w:szCs w:val="20"/>
              </w:rPr>
              <w:t>.</w:t>
            </w:r>
            <w:r w:rsidR="009E65E6">
              <w:rPr>
                <w:rFonts w:cstheme="minorHAnsi"/>
                <w:iCs/>
                <w:color w:val="auto"/>
                <w:sz w:val="20"/>
                <w:szCs w:val="20"/>
              </w:rPr>
              <w:t xml:space="preserve"> DFAT will continue</w:t>
            </w:r>
            <w:r w:rsidR="00B86B24">
              <w:rPr>
                <w:rFonts w:cstheme="minorHAnsi"/>
                <w:iCs/>
                <w:color w:val="auto"/>
                <w:sz w:val="20"/>
                <w:szCs w:val="20"/>
              </w:rPr>
              <w:t xml:space="preserve"> to monitor compliance</w:t>
            </w:r>
            <w:r w:rsidR="006470B2">
              <w:rPr>
                <w:rFonts w:cstheme="minorHAnsi"/>
                <w:iCs/>
                <w:color w:val="auto"/>
                <w:sz w:val="20"/>
                <w:szCs w:val="20"/>
              </w:rPr>
              <w:t xml:space="preserve"> with this recommendation</w:t>
            </w:r>
            <w:r w:rsidR="00B86B24">
              <w:rPr>
                <w:rFonts w:cstheme="minorHAnsi"/>
                <w:iCs/>
                <w:color w:val="auto"/>
                <w:sz w:val="20"/>
                <w:szCs w:val="20"/>
              </w:rPr>
              <w:t>.</w:t>
            </w:r>
          </w:p>
        </w:tc>
        <w:tc>
          <w:tcPr>
            <w:tcW w:w="2268" w:type="dxa"/>
          </w:tcPr>
          <w:p w14:paraId="6B80791D" w14:textId="0213691D" w:rsidR="002A0610" w:rsidRDefault="002A6442" w:rsidP="008D7908">
            <w:pPr>
              <w:spacing w:line="240" w:lineRule="auto"/>
              <w:rPr>
                <w:rFonts w:cstheme="minorHAnsi"/>
                <w:iCs/>
                <w:color w:val="auto"/>
                <w:sz w:val="20"/>
                <w:szCs w:val="20"/>
              </w:rPr>
            </w:pPr>
            <w:r>
              <w:rPr>
                <w:rFonts w:cstheme="minorHAnsi"/>
                <w:iCs/>
                <w:color w:val="auto"/>
                <w:sz w:val="20"/>
                <w:szCs w:val="20"/>
              </w:rPr>
              <w:t>New Palladium</w:t>
            </w:r>
            <w:r w:rsidR="00C463DD">
              <w:rPr>
                <w:rFonts w:cstheme="minorHAnsi"/>
                <w:iCs/>
                <w:color w:val="auto"/>
                <w:sz w:val="20"/>
                <w:szCs w:val="20"/>
              </w:rPr>
              <w:t xml:space="preserve"> HLC</w:t>
            </w:r>
            <w:r>
              <w:rPr>
                <w:rFonts w:cstheme="minorHAnsi"/>
                <w:iCs/>
                <w:color w:val="auto"/>
                <w:sz w:val="20"/>
                <w:szCs w:val="20"/>
              </w:rPr>
              <w:t xml:space="preserve"> Contractor Representative appointed </w:t>
            </w:r>
            <w:r w:rsidR="00FC16F5">
              <w:rPr>
                <w:rFonts w:cstheme="minorHAnsi"/>
                <w:iCs/>
                <w:color w:val="auto"/>
                <w:sz w:val="20"/>
                <w:szCs w:val="20"/>
              </w:rPr>
              <w:t xml:space="preserve">January 2023. </w:t>
            </w:r>
          </w:p>
          <w:p w14:paraId="30AA2ED3" w14:textId="795BA899" w:rsidR="00F641F0" w:rsidRPr="00CA7BEF" w:rsidRDefault="00FC16F5" w:rsidP="008D7908">
            <w:pPr>
              <w:spacing w:line="240" w:lineRule="auto"/>
              <w:rPr>
                <w:rFonts w:cstheme="minorHAnsi"/>
                <w:iCs/>
                <w:color w:val="auto"/>
                <w:sz w:val="20"/>
                <w:szCs w:val="20"/>
              </w:rPr>
            </w:pPr>
            <w:r>
              <w:rPr>
                <w:rFonts w:cstheme="minorHAnsi"/>
                <w:iCs/>
                <w:color w:val="auto"/>
                <w:sz w:val="20"/>
                <w:szCs w:val="20"/>
              </w:rPr>
              <w:t xml:space="preserve">Management structure </w:t>
            </w:r>
            <w:r w:rsidR="002A0610">
              <w:rPr>
                <w:rFonts w:cstheme="minorHAnsi"/>
                <w:iCs/>
                <w:color w:val="auto"/>
                <w:sz w:val="20"/>
                <w:szCs w:val="20"/>
              </w:rPr>
              <w:t>under review</w:t>
            </w:r>
            <w:r w:rsidR="00FD2E1A">
              <w:rPr>
                <w:rFonts w:cstheme="minorHAnsi"/>
                <w:iCs/>
                <w:color w:val="auto"/>
                <w:sz w:val="20"/>
                <w:szCs w:val="20"/>
              </w:rPr>
              <w:t xml:space="preserve"> and any changes </w:t>
            </w:r>
            <w:r w:rsidR="005F3D16">
              <w:rPr>
                <w:rFonts w:cstheme="minorHAnsi"/>
                <w:iCs/>
                <w:color w:val="auto"/>
                <w:sz w:val="20"/>
                <w:szCs w:val="20"/>
              </w:rPr>
              <w:t>to be</w:t>
            </w:r>
            <w:r w:rsidR="005E6762">
              <w:rPr>
                <w:rFonts w:cstheme="minorHAnsi"/>
                <w:iCs/>
                <w:color w:val="auto"/>
                <w:sz w:val="20"/>
                <w:szCs w:val="20"/>
              </w:rPr>
              <w:t xml:space="preserve"> </w:t>
            </w:r>
            <w:r w:rsidR="00F95D87">
              <w:rPr>
                <w:rFonts w:cstheme="minorHAnsi"/>
                <w:iCs/>
                <w:color w:val="auto"/>
                <w:sz w:val="20"/>
                <w:szCs w:val="20"/>
              </w:rPr>
              <w:t>instituted</w:t>
            </w:r>
            <w:r w:rsidR="005E6762">
              <w:rPr>
                <w:rFonts w:cstheme="minorHAnsi"/>
                <w:iCs/>
                <w:color w:val="auto"/>
                <w:sz w:val="20"/>
                <w:szCs w:val="20"/>
              </w:rPr>
              <w:t xml:space="preserve"> in consultation with DFAT</w:t>
            </w:r>
            <w:r w:rsidR="006A7621">
              <w:rPr>
                <w:rFonts w:cstheme="minorHAnsi"/>
                <w:iCs/>
                <w:color w:val="auto"/>
                <w:sz w:val="20"/>
                <w:szCs w:val="20"/>
              </w:rPr>
              <w:t xml:space="preserve"> by early 2023.</w:t>
            </w:r>
            <w:r w:rsidR="005E6762">
              <w:rPr>
                <w:rFonts w:cstheme="minorHAnsi"/>
                <w:iCs/>
                <w:color w:val="auto"/>
                <w:sz w:val="20"/>
                <w:szCs w:val="20"/>
              </w:rPr>
              <w:t xml:space="preserve"> </w:t>
            </w:r>
          </w:p>
        </w:tc>
      </w:tr>
      <w:tr w:rsidR="00F641F0" w:rsidRPr="00CA7BEF" w14:paraId="56DC303E" w14:textId="77777777" w:rsidTr="007C3EA6">
        <w:tc>
          <w:tcPr>
            <w:tcW w:w="4962" w:type="dxa"/>
          </w:tcPr>
          <w:p w14:paraId="3FB4090F" w14:textId="39874F4D" w:rsidR="00F641F0" w:rsidRPr="00A567CE" w:rsidRDefault="00F641F0" w:rsidP="00E73B7D">
            <w:pPr>
              <w:spacing w:line="240" w:lineRule="auto"/>
              <w:rPr>
                <w:rFonts w:cstheme="minorHAnsi"/>
                <w:color w:val="auto"/>
                <w:sz w:val="20"/>
                <w:szCs w:val="20"/>
                <w:lang w:val="en-AU"/>
              </w:rPr>
            </w:pPr>
            <w:r w:rsidRPr="00A567CE">
              <w:rPr>
                <w:rFonts w:cstheme="minorHAnsi"/>
                <w:b/>
                <w:bCs/>
                <w:color w:val="auto"/>
                <w:sz w:val="20"/>
                <w:szCs w:val="20"/>
                <w:lang w:val="en-AU"/>
              </w:rPr>
              <w:t>1</w:t>
            </w:r>
            <w:r w:rsidR="00D54241">
              <w:rPr>
                <w:rFonts w:cstheme="minorHAnsi"/>
                <w:b/>
                <w:bCs/>
                <w:color w:val="auto"/>
                <w:sz w:val="20"/>
                <w:szCs w:val="20"/>
                <w:lang w:val="en-AU"/>
              </w:rPr>
              <w:t>6</w:t>
            </w:r>
            <w:r w:rsidRPr="00A567CE">
              <w:rPr>
                <w:rFonts w:cstheme="minorHAnsi"/>
                <w:b/>
                <w:bCs/>
                <w:color w:val="auto"/>
                <w:sz w:val="20"/>
                <w:szCs w:val="20"/>
                <w:lang w:val="en-AU"/>
              </w:rPr>
              <w:t>.</w:t>
            </w:r>
            <w:r w:rsidR="00A567CE" w:rsidRPr="00A567CE">
              <w:rPr>
                <w:b/>
                <w:bCs/>
              </w:rPr>
              <w:t xml:space="preserve"> </w:t>
            </w:r>
            <w:r w:rsidR="00A567CE" w:rsidRPr="00A567CE">
              <w:rPr>
                <w:rFonts w:cstheme="minorHAnsi"/>
                <w:b/>
                <w:bCs/>
                <w:color w:val="auto"/>
                <w:sz w:val="20"/>
                <w:szCs w:val="20"/>
                <w:lang w:val="en-AU"/>
              </w:rPr>
              <w:t>GEDSI technical capacity</w:t>
            </w:r>
            <w:r w:rsidR="00A567CE">
              <w:rPr>
                <w:rFonts w:cstheme="minorHAnsi"/>
                <w:color w:val="auto"/>
                <w:sz w:val="20"/>
                <w:szCs w:val="20"/>
                <w:lang w:val="en-AU"/>
              </w:rPr>
              <w:t>:</w:t>
            </w:r>
            <w:r w:rsidR="00A567CE" w:rsidRPr="00A567CE">
              <w:rPr>
                <w:rFonts w:cstheme="minorHAnsi"/>
                <w:color w:val="auto"/>
                <w:sz w:val="20"/>
                <w:szCs w:val="20"/>
                <w:lang w:val="en-AU"/>
              </w:rPr>
              <w:cr/>
            </w:r>
            <w:r w:rsidRPr="00CA7BEF">
              <w:rPr>
                <w:rFonts w:cstheme="minorHAnsi"/>
                <w:color w:val="auto"/>
                <w:sz w:val="20"/>
                <w:szCs w:val="20"/>
                <w:lang w:val="en-AU"/>
              </w:rPr>
              <w:t xml:space="preserve"> </w:t>
            </w:r>
            <w:r w:rsidR="00E73B7D" w:rsidRPr="00E73B7D">
              <w:rPr>
                <w:rFonts w:cstheme="minorHAnsi"/>
                <w:color w:val="auto"/>
                <w:sz w:val="20"/>
                <w:szCs w:val="20"/>
                <w:lang w:val="en-AU"/>
              </w:rPr>
              <w:t>Palladium</w:t>
            </w:r>
            <w:r w:rsidR="00F23C5D">
              <w:rPr>
                <w:rFonts w:cstheme="minorHAnsi"/>
                <w:color w:val="auto"/>
                <w:sz w:val="20"/>
                <w:szCs w:val="20"/>
                <w:lang w:val="en-AU"/>
              </w:rPr>
              <w:t xml:space="preserve"> is recommended to</w:t>
            </w:r>
            <w:r w:rsidR="00E73B7D" w:rsidRPr="00E73B7D">
              <w:rPr>
                <w:rFonts w:cstheme="minorHAnsi"/>
                <w:color w:val="auto"/>
                <w:sz w:val="20"/>
                <w:szCs w:val="20"/>
                <w:lang w:val="en-AU"/>
              </w:rPr>
              <w:t xml:space="preserve"> maintain a designated GEDSI technical capacity ensuring that there is an appropriate level of knowledge and experience to manage the breadth of vulnerable groups that the investment needs to address.</w:t>
            </w:r>
          </w:p>
        </w:tc>
        <w:tc>
          <w:tcPr>
            <w:tcW w:w="1417" w:type="dxa"/>
            <w:shd w:val="clear" w:color="auto" w:fill="92D050"/>
          </w:tcPr>
          <w:p w14:paraId="78CC5179" w14:textId="77777777" w:rsidR="00F641F0" w:rsidRPr="00CA7BEF" w:rsidRDefault="00F641F0" w:rsidP="008D7908">
            <w:pPr>
              <w:spacing w:line="240" w:lineRule="auto"/>
              <w:rPr>
                <w:rFonts w:cstheme="minorHAnsi"/>
                <w:iCs/>
                <w:color w:val="auto"/>
                <w:sz w:val="20"/>
                <w:szCs w:val="20"/>
              </w:rPr>
            </w:pPr>
            <w:r w:rsidRPr="00CA7BEF">
              <w:rPr>
                <w:rFonts w:cstheme="minorHAnsi"/>
                <w:iCs/>
                <w:color w:val="auto"/>
                <w:sz w:val="20"/>
                <w:szCs w:val="20"/>
              </w:rPr>
              <w:t>Agree</w:t>
            </w:r>
          </w:p>
        </w:tc>
        <w:tc>
          <w:tcPr>
            <w:tcW w:w="4536" w:type="dxa"/>
          </w:tcPr>
          <w:p w14:paraId="515E84AB" w14:textId="3A508B63" w:rsidR="00F641F0" w:rsidRPr="00CA7BEF" w:rsidRDefault="00B2668A" w:rsidP="008D7908">
            <w:pPr>
              <w:spacing w:line="240" w:lineRule="auto"/>
              <w:rPr>
                <w:rFonts w:cstheme="minorHAnsi"/>
                <w:iCs/>
                <w:color w:val="auto"/>
                <w:sz w:val="20"/>
                <w:szCs w:val="20"/>
              </w:rPr>
            </w:pPr>
            <w:r>
              <w:rPr>
                <w:rFonts w:cstheme="minorHAnsi"/>
                <w:iCs/>
                <w:color w:val="auto"/>
                <w:sz w:val="20"/>
                <w:szCs w:val="20"/>
              </w:rPr>
              <w:t>Palladium recruited a GEDSI advisor in September 2022</w:t>
            </w:r>
            <w:r w:rsidR="007A1C48">
              <w:rPr>
                <w:rFonts w:cstheme="minorHAnsi"/>
                <w:iCs/>
                <w:color w:val="auto"/>
                <w:sz w:val="20"/>
                <w:szCs w:val="20"/>
              </w:rPr>
              <w:t>.</w:t>
            </w:r>
          </w:p>
        </w:tc>
        <w:tc>
          <w:tcPr>
            <w:tcW w:w="2268" w:type="dxa"/>
          </w:tcPr>
          <w:p w14:paraId="32147BC0" w14:textId="74A039EE" w:rsidR="00F641F0" w:rsidRPr="00CA7BEF" w:rsidRDefault="00B2668A" w:rsidP="008D7908">
            <w:pPr>
              <w:spacing w:line="240" w:lineRule="auto"/>
              <w:rPr>
                <w:rFonts w:cstheme="minorHAnsi"/>
                <w:iCs/>
                <w:color w:val="auto"/>
                <w:sz w:val="20"/>
                <w:szCs w:val="20"/>
              </w:rPr>
            </w:pPr>
            <w:r>
              <w:rPr>
                <w:rFonts w:cstheme="minorHAnsi"/>
                <w:iCs/>
                <w:color w:val="auto"/>
                <w:sz w:val="20"/>
                <w:szCs w:val="20"/>
              </w:rPr>
              <w:t>Completed</w:t>
            </w:r>
            <w:r w:rsidR="009C7640">
              <w:rPr>
                <w:rFonts w:cstheme="minorHAnsi"/>
                <w:iCs/>
                <w:color w:val="auto"/>
                <w:sz w:val="20"/>
                <w:szCs w:val="20"/>
              </w:rPr>
              <w:t xml:space="preserve"> in September 2022</w:t>
            </w:r>
            <w:r w:rsidR="007E17B0">
              <w:rPr>
                <w:rFonts w:cstheme="minorHAnsi"/>
                <w:iCs/>
                <w:color w:val="auto"/>
                <w:sz w:val="20"/>
                <w:szCs w:val="20"/>
              </w:rPr>
              <w:t>.</w:t>
            </w:r>
          </w:p>
        </w:tc>
      </w:tr>
      <w:tr w:rsidR="00F641F0" w:rsidRPr="00CA7BEF" w14:paraId="48E1C1B0" w14:textId="77777777" w:rsidTr="007C3EA6">
        <w:tc>
          <w:tcPr>
            <w:tcW w:w="4962" w:type="dxa"/>
          </w:tcPr>
          <w:p w14:paraId="58339CE7" w14:textId="47757D37" w:rsidR="00F641F0" w:rsidRPr="008C548B" w:rsidRDefault="00D54241" w:rsidP="009C782F">
            <w:pPr>
              <w:spacing w:line="240" w:lineRule="auto"/>
              <w:rPr>
                <w:rFonts w:cstheme="minorHAnsi"/>
                <w:color w:val="auto"/>
                <w:sz w:val="20"/>
                <w:szCs w:val="20"/>
                <w:lang w:val="en-AU"/>
              </w:rPr>
            </w:pPr>
            <w:r w:rsidRPr="009D4F89">
              <w:rPr>
                <w:rFonts w:cstheme="minorHAnsi"/>
                <w:b/>
                <w:bCs/>
                <w:color w:val="auto"/>
                <w:sz w:val="20"/>
                <w:szCs w:val="20"/>
                <w:lang w:val="en-AU"/>
              </w:rPr>
              <w:t>17</w:t>
            </w:r>
            <w:r w:rsidR="00F641F0" w:rsidRPr="009D4F89">
              <w:rPr>
                <w:rFonts w:cstheme="minorHAnsi"/>
                <w:b/>
                <w:bCs/>
                <w:color w:val="auto"/>
                <w:sz w:val="20"/>
                <w:szCs w:val="20"/>
                <w:lang w:val="en-AU"/>
              </w:rPr>
              <w:t xml:space="preserve">. </w:t>
            </w:r>
            <w:r w:rsidRPr="009D4F89">
              <w:rPr>
                <w:rFonts w:cstheme="minorHAnsi"/>
                <w:b/>
                <w:bCs/>
                <w:color w:val="auto"/>
                <w:sz w:val="20"/>
                <w:szCs w:val="20"/>
                <w:lang w:val="en-AU"/>
              </w:rPr>
              <w:t>GEDSI strategy:</w:t>
            </w:r>
            <w:r>
              <w:rPr>
                <w:rFonts w:cstheme="minorHAnsi"/>
                <w:b/>
                <w:bCs/>
                <w:color w:val="auto"/>
                <w:sz w:val="20"/>
                <w:szCs w:val="20"/>
                <w:lang w:val="en-AU"/>
              </w:rPr>
              <w:t xml:space="preserve"> </w:t>
            </w:r>
            <w:r w:rsidRPr="00D54241">
              <w:rPr>
                <w:rFonts w:cstheme="minorHAnsi"/>
                <w:color w:val="auto"/>
                <w:sz w:val="20"/>
                <w:szCs w:val="20"/>
                <w:lang w:val="en-AU"/>
              </w:rPr>
              <w:t xml:space="preserve"> </w:t>
            </w:r>
            <w:r w:rsidR="001C68D9" w:rsidRPr="00E73B7D">
              <w:rPr>
                <w:rFonts w:cstheme="minorHAnsi"/>
                <w:color w:val="auto"/>
                <w:sz w:val="20"/>
                <w:szCs w:val="20"/>
                <w:lang w:val="en-AU"/>
              </w:rPr>
              <w:t>Palladium</w:t>
            </w:r>
            <w:r w:rsidR="001C68D9">
              <w:rPr>
                <w:rFonts w:cstheme="minorHAnsi"/>
                <w:color w:val="auto"/>
                <w:sz w:val="20"/>
                <w:szCs w:val="20"/>
                <w:lang w:val="en-AU"/>
              </w:rPr>
              <w:t xml:space="preserve"> is recommended to </w:t>
            </w:r>
            <w:r w:rsidR="009C782F">
              <w:rPr>
                <w:rFonts w:cstheme="minorHAnsi"/>
                <w:color w:val="auto"/>
                <w:sz w:val="20"/>
                <w:szCs w:val="20"/>
                <w:lang w:val="en-AU"/>
              </w:rPr>
              <w:t>prioritis</w:t>
            </w:r>
            <w:r w:rsidR="001C68D9">
              <w:rPr>
                <w:rFonts w:cstheme="minorHAnsi"/>
                <w:color w:val="auto"/>
                <w:sz w:val="20"/>
                <w:szCs w:val="20"/>
                <w:lang w:val="en-AU"/>
              </w:rPr>
              <w:t xml:space="preserve">e </w:t>
            </w:r>
            <w:r w:rsidR="009C782F" w:rsidRPr="009C782F">
              <w:rPr>
                <w:rFonts w:cstheme="minorHAnsi"/>
                <w:color w:val="auto"/>
                <w:sz w:val="20"/>
                <w:szCs w:val="20"/>
                <w:lang w:val="en-AU"/>
              </w:rPr>
              <w:t>the development of a GEDSI strategy and implementation plan for the HLC</w:t>
            </w:r>
            <w:r w:rsidR="00F271B0">
              <w:rPr>
                <w:rFonts w:cstheme="minorHAnsi"/>
                <w:color w:val="auto"/>
                <w:sz w:val="20"/>
                <w:szCs w:val="20"/>
                <w:lang w:val="en-AU"/>
              </w:rPr>
              <w:t>.</w:t>
            </w:r>
          </w:p>
        </w:tc>
        <w:tc>
          <w:tcPr>
            <w:tcW w:w="1417" w:type="dxa"/>
            <w:shd w:val="clear" w:color="auto" w:fill="92D050"/>
          </w:tcPr>
          <w:p w14:paraId="4F1736B7" w14:textId="77777777" w:rsidR="00F641F0" w:rsidRPr="00CA7BEF" w:rsidRDefault="00F641F0" w:rsidP="008D7908">
            <w:pPr>
              <w:spacing w:line="240" w:lineRule="auto"/>
              <w:rPr>
                <w:rFonts w:cstheme="minorHAnsi"/>
                <w:iCs/>
                <w:color w:val="auto"/>
                <w:sz w:val="20"/>
                <w:szCs w:val="20"/>
              </w:rPr>
            </w:pPr>
            <w:r w:rsidRPr="00CA7BEF">
              <w:rPr>
                <w:rFonts w:cstheme="minorHAnsi"/>
                <w:iCs/>
                <w:color w:val="auto"/>
                <w:sz w:val="20"/>
                <w:szCs w:val="20"/>
              </w:rPr>
              <w:t>Agree</w:t>
            </w:r>
          </w:p>
        </w:tc>
        <w:tc>
          <w:tcPr>
            <w:tcW w:w="4536" w:type="dxa"/>
          </w:tcPr>
          <w:p w14:paraId="489ADA6E" w14:textId="7AC803F1" w:rsidR="00F641F0" w:rsidRPr="00CA7BEF" w:rsidRDefault="00CF30BD" w:rsidP="002E7015">
            <w:pPr>
              <w:spacing w:line="240" w:lineRule="auto"/>
              <w:rPr>
                <w:rFonts w:cstheme="minorHAnsi"/>
                <w:iCs/>
                <w:color w:val="auto"/>
                <w:sz w:val="20"/>
                <w:szCs w:val="20"/>
              </w:rPr>
            </w:pPr>
            <w:r>
              <w:rPr>
                <w:rFonts w:cstheme="minorHAnsi"/>
                <w:iCs/>
                <w:color w:val="auto"/>
                <w:sz w:val="20"/>
                <w:szCs w:val="20"/>
              </w:rPr>
              <w:t>A</w:t>
            </w:r>
            <w:r w:rsidR="001349D3">
              <w:rPr>
                <w:rFonts w:cstheme="minorHAnsi"/>
                <w:iCs/>
                <w:color w:val="auto"/>
                <w:sz w:val="20"/>
                <w:szCs w:val="20"/>
              </w:rPr>
              <w:t xml:space="preserve"> MEL Plan including GEDSI, Safeguarding, Sustainability and Greening Strategy was finalised in December 2022.</w:t>
            </w:r>
          </w:p>
        </w:tc>
        <w:tc>
          <w:tcPr>
            <w:tcW w:w="2268" w:type="dxa"/>
          </w:tcPr>
          <w:p w14:paraId="77BA8087" w14:textId="39DFCBFC" w:rsidR="00F641F0" w:rsidRPr="00CA7BEF" w:rsidRDefault="001349D3" w:rsidP="008D7908">
            <w:pPr>
              <w:spacing w:line="240" w:lineRule="auto"/>
              <w:rPr>
                <w:rFonts w:cstheme="minorHAnsi"/>
                <w:iCs/>
                <w:color w:val="auto"/>
                <w:sz w:val="20"/>
                <w:szCs w:val="20"/>
              </w:rPr>
            </w:pPr>
            <w:r>
              <w:rPr>
                <w:rFonts w:cstheme="minorHAnsi"/>
                <w:iCs/>
                <w:color w:val="auto"/>
                <w:sz w:val="20"/>
                <w:szCs w:val="20"/>
              </w:rPr>
              <w:t>GEDSI advisor recruited in September 2022, and a</w:t>
            </w:r>
            <w:r w:rsidRPr="00E24F39">
              <w:rPr>
                <w:rFonts w:cstheme="minorHAnsi"/>
                <w:iCs/>
                <w:color w:val="auto"/>
                <w:sz w:val="20"/>
                <w:szCs w:val="20"/>
              </w:rPr>
              <w:t xml:space="preserve">pproved </w:t>
            </w:r>
            <w:r w:rsidR="00E24F39" w:rsidRPr="00E24F39">
              <w:rPr>
                <w:rFonts w:cstheme="minorHAnsi"/>
                <w:iCs/>
                <w:color w:val="auto"/>
                <w:sz w:val="20"/>
                <w:szCs w:val="20"/>
              </w:rPr>
              <w:t xml:space="preserve">GEDSI Strategy and </w:t>
            </w:r>
            <w:r w:rsidR="003E2C6E">
              <w:rPr>
                <w:rFonts w:cstheme="minorHAnsi"/>
                <w:iCs/>
                <w:color w:val="auto"/>
                <w:sz w:val="20"/>
                <w:szCs w:val="20"/>
              </w:rPr>
              <w:t xml:space="preserve">Implementation </w:t>
            </w:r>
            <w:r w:rsidR="00E24F39" w:rsidRPr="00E24F39">
              <w:rPr>
                <w:rFonts w:cstheme="minorHAnsi"/>
                <w:iCs/>
                <w:color w:val="auto"/>
                <w:sz w:val="20"/>
                <w:szCs w:val="20"/>
              </w:rPr>
              <w:t>Plan</w:t>
            </w:r>
            <w:r>
              <w:rPr>
                <w:rFonts w:cstheme="minorHAnsi"/>
                <w:iCs/>
                <w:color w:val="auto"/>
                <w:sz w:val="20"/>
                <w:szCs w:val="20"/>
              </w:rPr>
              <w:t xml:space="preserve"> </w:t>
            </w:r>
            <w:r w:rsidR="004A07C8">
              <w:rPr>
                <w:rFonts w:cstheme="minorHAnsi"/>
                <w:iCs/>
                <w:color w:val="auto"/>
                <w:sz w:val="20"/>
                <w:szCs w:val="20"/>
              </w:rPr>
              <w:t xml:space="preserve">finalised in </w:t>
            </w:r>
            <w:r w:rsidR="00E24F39" w:rsidRPr="00E24F39">
              <w:rPr>
                <w:rFonts w:cstheme="minorHAnsi"/>
                <w:iCs/>
                <w:color w:val="auto"/>
                <w:sz w:val="20"/>
                <w:szCs w:val="20"/>
              </w:rPr>
              <w:t>December 2022.</w:t>
            </w:r>
          </w:p>
        </w:tc>
      </w:tr>
      <w:tr w:rsidR="00F641F0" w:rsidRPr="00CA7BEF" w14:paraId="38A5E3CD" w14:textId="77777777" w:rsidTr="007C3EA6">
        <w:tc>
          <w:tcPr>
            <w:tcW w:w="4962" w:type="dxa"/>
          </w:tcPr>
          <w:p w14:paraId="17D06684" w14:textId="4D544AAF" w:rsidR="00F641F0" w:rsidRPr="00CA7BEF" w:rsidRDefault="00B307F6" w:rsidP="00392A36">
            <w:pPr>
              <w:spacing w:line="240" w:lineRule="auto"/>
              <w:rPr>
                <w:rFonts w:cstheme="minorHAnsi"/>
                <w:color w:val="auto"/>
                <w:sz w:val="20"/>
                <w:szCs w:val="20"/>
                <w:lang w:val="en-AU"/>
              </w:rPr>
            </w:pPr>
            <w:r w:rsidRPr="00392A36">
              <w:rPr>
                <w:rFonts w:cstheme="minorHAnsi"/>
                <w:b/>
                <w:bCs/>
                <w:color w:val="auto"/>
                <w:sz w:val="20"/>
                <w:szCs w:val="20"/>
                <w:lang w:val="en-AU"/>
              </w:rPr>
              <w:t>18</w:t>
            </w:r>
            <w:r w:rsidR="00F641F0" w:rsidRPr="00392A36">
              <w:rPr>
                <w:rFonts w:cstheme="minorHAnsi"/>
                <w:b/>
                <w:bCs/>
                <w:color w:val="auto"/>
                <w:sz w:val="20"/>
                <w:szCs w:val="20"/>
                <w:lang w:val="en-AU"/>
              </w:rPr>
              <w:t xml:space="preserve">. </w:t>
            </w:r>
            <w:r w:rsidR="00392A36" w:rsidRPr="00392A36">
              <w:rPr>
                <w:rFonts w:cstheme="minorHAnsi"/>
                <w:b/>
                <w:bCs/>
                <w:color w:val="auto"/>
                <w:sz w:val="20"/>
                <w:szCs w:val="20"/>
                <w:lang w:val="en-AU"/>
              </w:rPr>
              <w:t>GEDSI leadership:</w:t>
            </w:r>
            <w:r w:rsidR="00392A36">
              <w:rPr>
                <w:rFonts w:cstheme="minorHAnsi"/>
                <w:color w:val="auto"/>
                <w:sz w:val="20"/>
                <w:szCs w:val="20"/>
                <w:lang w:val="en-AU"/>
              </w:rPr>
              <w:t xml:space="preserve"> </w:t>
            </w:r>
            <w:r w:rsidR="00392A36" w:rsidRPr="00392A36">
              <w:rPr>
                <w:rFonts w:cstheme="minorHAnsi"/>
                <w:color w:val="auto"/>
                <w:sz w:val="20"/>
                <w:szCs w:val="20"/>
                <w:lang w:val="en-AU"/>
              </w:rPr>
              <w:t>Palladium</w:t>
            </w:r>
            <w:r w:rsidR="006A4E73">
              <w:rPr>
                <w:rFonts w:cstheme="minorHAnsi"/>
                <w:color w:val="auto"/>
                <w:sz w:val="20"/>
                <w:szCs w:val="20"/>
                <w:lang w:val="en-AU"/>
              </w:rPr>
              <w:t xml:space="preserve"> is recommended</w:t>
            </w:r>
            <w:r w:rsidR="00392A36" w:rsidRPr="00392A36">
              <w:rPr>
                <w:rFonts w:cstheme="minorHAnsi"/>
                <w:color w:val="auto"/>
                <w:sz w:val="20"/>
                <w:szCs w:val="20"/>
                <w:lang w:val="en-AU"/>
              </w:rPr>
              <w:t xml:space="preserve"> to promote GEDSI in all aspects of </w:t>
            </w:r>
            <w:r w:rsidR="003E2C6E">
              <w:rPr>
                <w:rFonts w:cstheme="minorHAnsi"/>
                <w:color w:val="auto"/>
                <w:sz w:val="20"/>
                <w:szCs w:val="20"/>
                <w:lang w:val="en-AU"/>
              </w:rPr>
              <w:t xml:space="preserve">HLC </w:t>
            </w:r>
            <w:r w:rsidR="00392A36" w:rsidRPr="00392A36">
              <w:rPr>
                <w:rFonts w:cstheme="minorHAnsi"/>
                <w:color w:val="auto"/>
                <w:sz w:val="20"/>
                <w:szCs w:val="20"/>
                <w:lang w:val="en-AU"/>
              </w:rPr>
              <w:t>investment</w:t>
            </w:r>
            <w:r w:rsidR="006A4E73">
              <w:rPr>
                <w:rFonts w:cstheme="minorHAnsi"/>
                <w:color w:val="auto"/>
                <w:sz w:val="20"/>
                <w:szCs w:val="20"/>
                <w:lang w:val="en-AU"/>
              </w:rPr>
              <w:t xml:space="preserve"> through </w:t>
            </w:r>
            <w:r w:rsidR="006A4E73" w:rsidRPr="00392A36">
              <w:rPr>
                <w:rFonts w:cstheme="minorHAnsi"/>
                <w:color w:val="auto"/>
                <w:sz w:val="20"/>
                <w:szCs w:val="20"/>
                <w:lang w:val="en-AU"/>
              </w:rPr>
              <w:t>commitment and leadership by senior management</w:t>
            </w:r>
            <w:r w:rsidR="00C4360D">
              <w:rPr>
                <w:rFonts w:cstheme="minorHAnsi"/>
                <w:color w:val="auto"/>
                <w:sz w:val="20"/>
                <w:szCs w:val="20"/>
                <w:lang w:val="en-AU"/>
              </w:rPr>
              <w:t>.</w:t>
            </w:r>
          </w:p>
        </w:tc>
        <w:tc>
          <w:tcPr>
            <w:tcW w:w="1417" w:type="dxa"/>
            <w:shd w:val="clear" w:color="auto" w:fill="92D050"/>
          </w:tcPr>
          <w:p w14:paraId="30F986CF" w14:textId="77777777" w:rsidR="00F641F0" w:rsidRPr="00CA7BEF" w:rsidRDefault="00F641F0" w:rsidP="008D7908">
            <w:pPr>
              <w:spacing w:line="240" w:lineRule="auto"/>
              <w:rPr>
                <w:rFonts w:cstheme="minorHAnsi"/>
                <w:iCs/>
                <w:color w:val="auto"/>
                <w:sz w:val="20"/>
                <w:szCs w:val="20"/>
              </w:rPr>
            </w:pPr>
            <w:r w:rsidRPr="00CA7BEF">
              <w:rPr>
                <w:rFonts w:cstheme="minorHAnsi"/>
                <w:iCs/>
                <w:color w:val="auto"/>
                <w:sz w:val="20"/>
                <w:szCs w:val="20"/>
              </w:rPr>
              <w:t>Agree</w:t>
            </w:r>
          </w:p>
        </w:tc>
        <w:tc>
          <w:tcPr>
            <w:tcW w:w="4536" w:type="dxa"/>
          </w:tcPr>
          <w:p w14:paraId="6FB57728" w14:textId="50108365" w:rsidR="00F641F0" w:rsidRPr="00CA7BEF" w:rsidRDefault="00A82D3E" w:rsidP="008D7908">
            <w:pPr>
              <w:spacing w:line="240" w:lineRule="auto"/>
              <w:rPr>
                <w:rFonts w:cstheme="minorHAnsi"/>
                <w:iCs/>
                <w:color w:val="auto"/>
                <w:sz w:val="20"/>
                <w:szCs w:val="20"/>
              </w:rPr>
            </w:pPr>
            <w:r>
              <w:rPr>
                <w:rFonts w:cstheme="minorHAnsi"/>
                <w:iCs/>
                <w:color w:val="auto"/>
                <w:sz w:val="20"/>
                <w:szCs w:val="20"/>
              </w:rPr>
              <w:t xml:space="preserve">Palladium </w:t>
            </w:r>
            <w:r w:rsidR="00454C85">
              <w:rPr>
                <w:rFonts w:cstheme="minorHAnsi"/>
                <w:iCs/>
                <w:color w:val="auto"/>
                <w:sz w:val="20"/>
                <w:szCs w:val="20"/>
              </w:rPr>
              <w:t>recruited a GEDS</w:t>
            </w:r>
            <w:r w:rsidR="00B24E84">
              <w:rPr>
                <w:rFonts w:cstheme="minorHAnsi"/>
                <w:iCs/>
                <w:color w:val="auto"/>
                <w:sz w:val="20"/>
                <w:szCs w:val="20"/>
              </w:rPr>
              <w:t>I</w:t>
            </w:r>
            <w:r w:rsidR="00454C85">
              <w:rPr>
                <w:rFonts w:cstheme="minorHAnsi"/>
                <w:iCs/>
                <w:color w:val="auto"/>
                <w:sz w:val="20"/>
                <w:szCs w:val="20"/>
              </w:rPr>
              <w:t xml:space="preserve"> advis</w:t>
            </w:r>
            <w:r w:rsidR="00C336FF">
              <w:rPr>
                <w:rFonts w:cstheme="minorHAnsi"/>
                <w:iCs/>
                <w:color w:val="auto"/>
                <w:sz w:val="20"/>
                <w:szCs w:val="20"/>
              </w:rPr>
              <w:t>o</w:t>
            </w:r>
            <w:r w:rsidR="00454C85">
              <w:rPr>
                <w:rFonts w:cstheme="minorHAnsi"/>
                <w:iCs/>
                <w:color w:val="auto"/>
                <w:sz w:val="20"/>
                <w:szCs w:val="20"/>
              </w:rPr>
              <w:t>r to embed GEDSI</w:t>
            </w:r>
            <w:r w:rsidR="00B24E84">
              <w:rPr>
                <w:rFonts w:cstheme="minorHAnsi"/>
                <w:iCs/>
                <w:color w:val="auto"/>
                <w:sz w:val="20"/>
                <w:szCs w:val="20"/>
              </w:rPr>
              <w:t xml:space="preserve"> in all aspects of the HLC investment.</w:t>
            </w:r>
            <w:r w:rsidR="0086062B">
              <w:rPr>
                <w:rFonts w:cstheme="minorHAnsi"/>
                <w:iCs/>
                <w:color w:val="auto"/>
                <w:sz w:val="20"/>
                <w:szCs w:val="20"/>
              </w:rPr>
              <w:t xml:space="preserve"> DFAT</w:t>
            </w:r>
            <w:r w:rsidR="00DF6767">
              <w:rPr>
                <w:rFonts w:cstheme="minorHAnsi"/>
                <w:iCs/>
                <w:color w:val="auto"/>
                <w:sz w:val="20"/>
                <w:szCs w:val="20"/>
              </w:rPr>
              <w:t xml:space="preserve"> is monitoring compliance through </w:t>
            </w:r>
            <w:r w:rsidR="001349D3">
              <w:rPr>
                <w:rFonts w:cstheme="minorHAnsi"/>
                <w:iCs/>
                <w:color w:val="auto"/>
                <w:sz w:val="20"/>
                <w:szCs w:val="20"/>
              </w:rPr>
              <w:t>the approved</w:t>
            </w:r>
            <w:r w:rsidR="00F223FB">
              <w:rPr>
                <w:rFonts w:cstheme="minorHAnsi"/>
                <w:iCs/>
                <w:color w:val="auto"/>
                <w:sz w:val="20"/>
                <w:szCs w:val="20"/>
              </w:rPr>
              <w:t xml:space="preserve"> </w:t>
            </w:r>
            <w:r w:rsidR="001349D3">
              <w:rPr>
                <w:rFonts w:cstheme="minorHAnsi"/>
                <w:iCs/>
                <w:color w:val="auto"/>
                <w:sz w:val="20"/>
                <w:szCs w:val="20"/>
              </w:rPr>
              <w:t xml:space="preserve">MEL </w:t>
            </w:r>
            <w:r w:rsidR="00DF6767">
              <w:rPr>
                <w:rFonts w:cstheme="minorHAnsi"/>
                <w:iCs/>
                <w:color w:val="auto"/>
                <w:sz w:val="20"/>
                <w:szCs w:val="20"/>
              </w:rPr>
              <w:t>Plan and</w:t>
            </w:r>
            <w:r w:rsidR="00123784">
              <w:rPr>
                <w:rFonts w:cstheme="minorHAnsi"/>
                <w:iCs/>
                <w:color w:val="auto"/>
                <w:sz w:val="20"/>
                <w:szCs w:val="20"/>
              </w:rPr>
              <w:t xml:space="preserve"> engagement with Palladium leadership.</w:t>
            </w:r>
          </w:p>
        </w:tc>
        <w:tc>
          <w:tcPr>
            <w:tcW w:w="2268" w:type="dxa"/>
          </w:tcPr>
          <w:p w14:paraId="1FA93012" w14:textId="386B0C77" w:rsidR="00F641F0" w:rsidRPr="00CA7BEF" w:rsidRDefault="00123784" w:rsidP="008D7908">
            <w:pPr>
              <w:spacing w:line="240" w:lineRule="auto"/>
              <w:rPr>
                <w:rFonts w:cstheme="minorHAnsi"/>
                <w:iCs/>
                <w:color w:val="auto"/>
                <w:sz w:val="20"/>
                <w:szCs w:val="20"/>
              </w:rPr>
            </w:pPr>
            <w:r>
              <w:rPr>
                <w:rFonts w:cstheme="minorHAnsi"/>
                <w:iCs/>
                <w:color w:val="auto"/>
                <w:sz w:val="20"/>
                <w:szCs w:val="20"/>
              </w:rPr>
              <w:t>Actioned</w:t>
            </w:r>
            <w:r w:rsidR="001349D3">
              <w:rPr>
                <w:rFonts w:cstheme="minorHAnsi"/>
                <w:iCs/>
                <w:color w:val="auto"/>
                <w:sz w:val="20"/>
                <w:szCs w:val="20"/>
              </w:rPr>
              <w:t xml:space="preserve"> in September 2022</w:t>
            </w:r>
            <w:r>
              <w:rPr>
                <w:rFonts w:cstheme="minorHAnsi"/>
                <w:iCs/>
                <w:color w:val="auto"/>
                <w:sz w:val="20"/>
                <w:szCs w:val="20"/>
              </w:rPr>
              <w:t xml:space="preserve"> and ongoing</w:t>
            </w:r>
            <w:r w:rsidR="00AA0F24">
              <w:rPr>
                <w:rFonts w:cstheme="minorHAnsi"/>
                <w:iCs/>
                <w:color w:val="auto"/>
                <w:sz w:val="20"/>
                <w:szCs w:val="20"/>
              </w:rPr>
              <w:t>.</w:t>
            </w:r>
          </w:p>
        </w:tc>
      </w:tr>
      <w:tr w:rsidR="00B307F6" w:rsidRPr="00CA7BEF" w14:paraId="65EB65F8" w14:textId="77777777" w:rsidTr="00550F60">
        <w:tc>
          <w:tcPr>
            <w:tcW w:w="4962" w:type="dxa"/>
          </w:tcPr>
          <w:p w14:paraId="4FDDD35E" w14:textId="1272E5F6" w:rsidR="00B307F6" w:rsidRDefault="00392A36" w:rsidP="0061073A">
            <w:pPr>
              <w:spacing w:line="240" w:lineRule="auto"/>
              <w:rPr>
                <w:rFonts w:cstheme="minorHAnsi"/>
                <w:color w:val="auto"/>
                <w:sz w:val="20"/>
                <w:szCs w:val="20"/>
                <w:lang w:val="en-AU"/>
              </w:rPr>
            </w:pPr>
            <w:r w:rsidRPr="0061073A">
              <w:rPr>
                <w:rFonts w:cstheme="minorHAnsi"/>
                <w:b/>
                <w:bCs/>
                <w:color w:val="auto"/>
                <w:sz w:val="20"/>
                <w:szCs w:val="20"/>
                <w:lang w:val="en-AU"/>
              </w:rPr>
              <w:t>19.</w:t>
            </w:r>
            <w:r>
              <w:rPr>
                <w:rFonts w:cstheme="minorHAnsi"/>
                <w:color w:val="auto"/>
                <w:sz w:val="20"/>
                <w:szCs w:val="20"/>
                <w:lang w:val="en-AU"/>
              </w:rPr>
              <w:t xml:space="preserve"> </w:t>
            </w:r>
            <w:r w:rsidRPr="00392A36">
              <w:rPr>
                <w:rFonts w:cstheme="minorHAnsi"/>
                <w:b/>
                <w:bCs/>
                <w:color w:val="auto"/>
                <w:sz w:val="20"/>
                <w:szCs w:val="20"/>
                <w:lang w:val="en-AU"/>
              </w:rPr>
              <w:t>GEDSI advice</w:t>
            </w:r>
            <w:r w:rsidR="0061073A">
              <w:rPr>
                <w:rFonts w:cstheme="minorHAnsi"/>
                <w:b/>
                <w:bCs/>
                <w:color w:val="auto"/>
                <w:sz w:val="20"/>
                <w:szCs w:val="20"/>
                <w:lang w:val="en-AU"/>
              </w:rPr>
              <w:t xml:space="preserve">: </w:t>
            </w:r>
            <w:r w:rsidR="00924C85">
              <w:rPr>
                <w:rFonts w:cstheme="minorHAnsi"/>
                <w:color w:val="auto"/>
                <w:sz w:val="20"/>
                <w:szCs w:val="20"/>
                <w:lang w:val="en-AU"/>
              </w:rPr>
              <w:t>DFAT</w:t>
            </w:r>
            <w:r w:rsidR="006A4E73">
              <w:rPr>
                <w:rFonts w:cstheme="minorHAnsi"/>
                <w:color w:val="auto"/>
                <w:sz w:val="20"/>
                <w:szCs w:val="20"/>
                <w:lang w:val="en-AU"/>
              </w:rPr>
              <w:t xml:space="preserve"> is recommended to</w:t>
            </w:r>
            <w:r w:rsidR="00924C85">
              <w:rPr>
                <w:rFonts w:cstheme="minorHAnsi"/>
                <w:color w:val="auto"/>
                <w:sz w:val="20"/>
                <w:szCs w:val="20"/>
                <w:lang w:val="en-AU"/>
              </w:rPr>
              <w:t xml:space="preserve"> </w:t>
            </w:r>
            <w:r w:rsidR="0061073A" w:rsidRPr="0061073A">
              <w:rPr>
                <w:rFonts w:cstheme="minorHAnsi"/>
                <w:color w:val="auto"/>
                <w:sz w:val="20"/>
                <w:szCs w:val="20"/>
                <w:lang w:val="en-AU"/>
              </w:rPr>
              <w:t>establish</w:t>
            </w:r>
            <w:r w:rsidR="003E2C6E">
              <w:rPr>
                <w:rFonts w:cstheme="minorHAnsi"/>
                <w:color w:val="auto"/>
                <w:sz w:val="20"/>
                <w:szCs w:val="20"/>
                <w:lang w:val="en-AU"/>
              </w:rPr>
              <w:t xml:space="preserve"> </w:t>
            </w:r>
            <w:r w:rsidR="0061073A" w:rsidRPr="0061073A">
              <w:rPr>
                <w:rFonts w:cstheme="minorHAnsi"/>
                <w:color w:val="auto"/>
                <w:sz w:val="20"/>
                <w:szCs w:val="20"/>
                <w:lang w:val="en-AU"/>
              </w:rPr>
              <w:t>an HLC GEDSI reference group with advisory and accountability oversight responsibilities</w:t>
            </w:r>
            <w:r w:rsidR="0061073A">
              <w:rPr>
                <w:rFonts w:cstheme="minorHAnsi"/>
                <w:color w:val="auto"/>
                <w:sz w:val="20"/>
                <w:szCs w:val="20"/>
                <w:lang w:val="en-AU"/>
              </w:rPr>
              <w:t>.</w:t>
            </w:r>
          </w:p>
        </w:tc>
        <w:tc>
          <w:tcPr>
            <w:tcW w:w="1417" w:type="dxa"/>
            <w:shd w:val="clear" w:color="auto" w:fill="92D050"/>
          </w:tcPr>
          <w:p w14:paraId="0C02A29B" w14:textId="6DD95B7C" w:rsidR="00B307F6" w:rsidRPr="00CA7BEF" w:rsidRDefault="00B20123" w:rsidP="008D7908">
            <w:pPr>
              <w:spacing w:line="240" w:lineRule="auto"/>
              <w:rPr>
                <w:rFonts w:cstheme="minorHAnsi"/>
                <w:iCs/>
                <w:color w:val="auto"/>
                <w:sz w:val="20"/>
                <w:szCs w:val="20"/>
              </w:rPr>
            </w:pPr>
            <w:r>
              <w:rPr>
                <w:rFonts w:cstheme="minorHAnsi"/>
                <w:iCs/>
                <w:color w:val="auto"/>
                <w:sz w:val="20"/>
                <w:szCs w:val="20"/>
              </w:rPr>
              <w:t>A</w:t>
            </w:r>
            <w:r w:rsidR="00BF5E06">
              <w:rPr>
                <w:rFonts w:cstheme="minorHAnsi"/>
                <w:iCs/>
                <w:color w:val="auto"/>
                <w:sz w:val="20"/>
                <w:szCs w:val="20"/>
              </w:rPr>
              <w:t>gree</w:t>
            </w:r>
          </w:p>
        </w:tc>
        <w:tc>
          <w:tcPr>
            <w:tcW w:w="4536" w:type="dxa"/>
          </w:tcPr>
          <w:p w14:paraId="5C24C589" w14:textId="49E21029" w:rsidR="00B307F6" w:rsidRPr="00CA7BEF" w:rsidRDefault="00B20123" w:rsidP="008D7908">
            <w:pPr>
              <w:spacing w:line="240" w:lineRule="auto"/>
              <w:rPr>
                <w:rFonts w:cstheme="minorHAnsi"/>
                <w:iCs/>
                <w:color w:val="auto"/>
                <w:sz w:val="20"/>
                <w:szCs w:val="20"/>
              </w:rPr>
            </w:pPr>
            <w:r>
              <w:rPr>
                <w:rFonts w:cstheme="minorHAnsi"/>
                <w:iCs/>
                <w:color w:val="auto"/>
                <w:sz w:val="20"/>
                <w:szCs w:val="20"/>
              </w:rPr>
              <w:t>DFAT has convened</w:t>
            </w:r>
            <w:r w:rsidR="0006521B">
              <w:rPr>
                <w:rFonts w:cstheme="minorHAnsi"/>
                <w:iCs/>
                <w:color w:val="auto"/>
                <w:sz w:val="20"/>
                <w:szCs w:val="20"/>
              </w:rPr>
              <w:t xml:space="preserve"> a GEDSI reference group</w:t>
            </w:r>
            <w:r w:rsidR="00361B98">
              <w:rPr>
                <w:rFonts w:cstheme="minorHAnsi"/>
                <w:iCs/>
                <w:color w:val="auto"/>
                <w:sz w:val="20"/>
                <w:szCs w:val="20"/>
              </w:rPr>
              <w:t xml:space="preserve"> which</w:t>
            </w:r>
            <w:r w:rsidR="008F1EAE">
              <w:rPr>
                <w:rFonts w:cstheme="minorHAnsi"/>
                <w:iCs/>
                <w:color w:val="auto"/>
                <w:sz w:val="20"/>
                <w:szCs w:val="20"/>
              </w:rPr>
              <w:t xml:space="preserve"> convenes at regular program M&amp;E meetings</w:t>
            </w:r>
            <w:r w:rsidR="00BF5E06" w:rsidRPr="00CA7BEF">
              <w:rPr>
                <w:rFonts w:cstheme="minorHAnsi"/>
                <w:iCs/>
                <w:color w:val="auto"/>
                <w:sz w:val="20"/>
                <w:szCs w:val="20"/>
              </w:rPr>
              <w:t>.</w:t>
            </w:r>
          </w:p>
        </w:tc>
        <w:tc>
          <w:tcPr>
            <w:tcW w:w="2268" w:type="dxa"/>
          </w:tcPr>
          <w:p w14:paraId="09BAFF93" w14:textId="49C6A91E" w:rsidR="00B307F6" w:rsidRPr="00CA7BEF" w:rsidRDefault="008F1EAE" w:rsidP="008D7908">
            <w:pPr>
              <w:spacing w:line="240" w:lineRule="auto"/>
              <w:rPr>
                <w:rFonts w:cstheme="minorHAnsi"/>
                <w:iCs/>
                <w:color w:val="auto"/>
                <w:sz w:val="20"/>
                <w:szCs w:val="20"/>
              </w:rPr>
            </w:pPr>
            <w:r>
              <w:rPr>
                <w:rFonts w:cstheme="minorHAnsi"/>
                <w:iCs/>
                <w:color w:val="auto"/>
                <w:sz w:val="20"/>
                <w:szCs w:val="20"/>
              </w:rPr>
              <w:t xml:space="preserve">Actioned </w:t>
            </w:r>
            <w:r w:rsidR="001349D3">
              <w:rPr>
                <w:rFonts w:cstheme="minorHAnsi"/>
                <w:iCs/>
                <w:color w:val="auto"/>
                <w:sz w:val="20"/>
                <w:szCs w:val="20"/>
              </w:rPr>
              <w:t xml:space="preserve">in December 2022 </w:t>
            </w:r>
            <w:r>
              <w:rPr>
                <w:rFonts w:cstheme="minorHAnsi"/>
                <w:iCs/>
                <w:color w:val="auto"/>
                <w:sz w:val="20"/>
                <w:szCs w:val="20"/>
              </w:rPr>
              <w:t>and ongoing</w:t>
            </w:r>
            <w:r w:rsidR="008A077F">
              <w:rPr>
                <w:rFonts w:cstheme="minorHAnsi"/>
                <w:iCs/>
                <w:color w:val="auto"/>
                <w:sz w:val="20"/>
                <w:szCs w:val="20"/>
              </w:rPr>
              <w:t>.</w:t>
            </w:r>
          </w:p>
        </w:tc>
      </w:tr>
    </w:tbl>
    <w:p w14:paraId="371E3CB3" w14:textId="3BF048F3" w:rsidR="0020551D" w:rsidRPr="00DB3079" w:rsidRDefault="0020551D" w:rsidP="002E7313">
      <w:pPr>
        <w:suppressAutoHyphens w:val="0"/>
        <w:spacing w:before="0" w:after="120" w:line="440" w:lineRule="atLeast"/>
        <w:rPr>
          <w:rFonts w:asciiTheme="majorHAnsi" w:hAnsiTheme="majorHAnsi" w:cs="Arial"/>
          <w:color w:val="FF0000"/>
          <w:szCs w:val="21"/>
        </w:rPr>
      </w:pPr>
    </w:p>
    <w:sectPr w:rsidR="0020551D" w:rsidRPr="00DB3079" w:rsidSect="0020551D">
      <w:headerReference w:type="even" r:id="rId9"/>
      <w:headerReference w:type="default" r:id="rId10"/>
      <w:footerReference w:type="default" r:id="rId11"/>
      <w:headerReference w:type="first" r:id="rId12"/>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D3048" w14:textId="77777777" w:rsidR="00D679B8" w:rsidRDefault="00D679B8" w:rsidP="00D37B04">
      <w:r>
        <w:separator/>
      </w:r>
    </w:p>
  </w:endnote>
  <w:endnote w:type="continuationSeparator" w:id="0">
    <w:p w14:paraId="51F1A4B4" w14:textId="77777777" w:rsidR="00D679B8" w:rsidRDefault="00D679B8"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5668" w14:textId="2EC72513" w:rsidR="00453888" w:rsidRDefault="00453888">
    <w:pPr>
      <w:pStyle w:val="Footer"/>
      <w:jc w:val="right"/>
    </w:pPr>
  </w:p>
  <w:p w14:paraId="6C71B39D" w14:textId="77777777" w:rsidR="00FC322F" w:rsidRPr="00FC322F" w:rsidRDefault="00FC322F" w:rsidP="00FC322F">
    <w:pPr>
      <w:pStyle w:val="Footer"/>
      <w:rPr>
        <w:b/>
      </w:rPr>
    </w:pPr>
  </w:p>
  <w:p w14:paraId="44723676" w14:textId="77777777" w:rsidR="0050695E" w:rsidRDefault="005069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98D5C" w14:textId="77777777" w:rsidR="00D679B8" w:rsidRPr="008C5A0E" w:rsidRDefault="00D679B8" w:rsidP="00D37B04">
      <w:pPr>
        <w:pStyle w:val="Footer"/>
      </w:pPr>
    </w:p>
  </w:footnote>
  <w:footnote w:type="continuationSeparator" w:id="0">
    <w:p w14:paraId="3163129E" w14:textId="77777777" w:rsidR="00D679B8" w:rsidRDefault="00D679B8"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CACB" w14:textId="77777777" w:rsidR="00EE5F36" w:rsidRDefault="00EE5F36">
    <w:pPr>
      <w:pStyle w:val="Header"/>
    </w:pPr>
  </w:p>
  <w:p w14:paraId="5403B843" w14:textId="77777777" w:rsidR="002810DD" w:rsidRDefault="002810DD"/>
  <w:p w14:paraId="3C7BF2DA" w14:textId="57851C6A" w:rsidR="002D5B25" w:rsidRPr="000854FD" w:rsidRDefault="002D5B25" w:rsidP="002D5B25">
    <w:pPr>
      <w:pStyle w:val="Header"/>
    </w:pPr>
    <w:r w:rsidRPr="00943730">
      <w:rPr>
        <w:noProof/>
        <w:lang w:val="en-AU" w:eastAsia="en-AU"/>
      </w:rPr>
      <w:drawing>
        <wp:inline distT="0" distB="0" distL="0" distR="0" wp14:anchorId="00FE8894" wp14:editId="6126FF63">
          <wp:extent cx="10658475" cy="10692765"/>
          <wp:effectExtent l="0" t="0" r="9525" b="0"/>
          <wp:docPr id="5" name="Picture 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658475" cy="10692765"/>
                  </a:xfrm>
                  <a:prstGeom prst="rect">
                    <a:avLst/>
                  </a:prstGeom>
                </pic:spPr>
              </pic:pic>
            </a:graphicData>
          </a:graphic>
        </wp:inline>
      </w:drawing>
    </w:r>
  </w:p>
  <w:p w14:paraId="17900E3E" w14:textId="77777777" w:rsidR="0050695E" w:rsidRDefault="005069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0BA6" w14:textId="6B845E2C" w:rsidR="0020551D" w:rsidRDefault="0020551D" w:rsidP="00CA7BEF">
    <w:pPr>
      <w:pStyle w:val="Header"/>
      <w:tabs>
        <w:tab w:val="clear" w:pos="4513"/>
        <w:tab w:val="clear" w:pos="9026"/>
        <w:tab w:val="left" w:pos="5430"/>
      </w:tabs>
      <w:ind w:left="0"/>
    </w:pPr>
    <w:r w:rsidRPr="00943730">
      <w:rPr>
        <w:noProof/>
        <w:lang w:val="en-AU" w:eastAsia="en-AU"/>
      </w:rPr>
      <w:drawing>
        <wp:anchor distT="0" distB="0" distL="114300" distR="114300" simplePos="0" relativeHeight="251664384" behindDoc="1" locked="1" layoutInCell="1" allowOverlap="1" wp14:anchorId="5DF91C06" wp14:editId="302064F0">
          <wp:simplePos x="0" y="0"/>
          <wp:positionH relativeFrom="page">
            <wp:align>right</wp:align>
          </wp:positionH>
          <wp:positionV relativeFrom="page">
            <wp:align>top</wp:align>
          </wp:positionV>
          <wp:extent cx="10048875" cy="7753350"/>
          <wp:effectExtent l="0" t="0" r="9525"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48875" cy="7753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38EB" w14:textId="28E623BE" w:rsidR="00D37B04" w:rsidRPr="00943730" w:rsidRDefault="002D5B25" w:rsidP="00943730">
    <w:pPr>
      <w:pStyle w:val="Header"/>
    </w:pPr>
    <w:r w:rsidRPr="00943730">
      <w:rPr>
        <w:noProof/>
        <w:lang w:val="en-AU" w:eastAsia="en-AU"/>
      </w:rPr>
      <w:drawing>
        <wp:inline distT="0" distB="0" distL="0" distR="0" wp14:anchorId="736E0EE7" wp14:editId="0899C029">
          <wp:extent cx="10668000" cy="10692130"/>
          <wp:effectExtent l="0" t="0" r="0" b="0"/>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668000" cy="10692130"/>
                  </a:xfrm>
                  <a:prstGeom prst="rect">
                    <a:avLst/>
                  </a:prstGeom>
                </pic:spPr>
              </pic:pic>
            </a:graphicData>
          </a:graphic>
        </wp:inline>
      </w:drawing>
    </w:r>
    <w:r w:rsidR="003555AD">
      <w:t xml:space="preserve">  </w:t>
    </w:r>
  </w:p>
  <w:p w14:paraId="399C1483" w14:textId="77777777" w:rsidR="0050695E" w:rsidRDefault="005069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2"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3F294DF9"/>
    <w:multiLevelType w:val="hybridMultilevel"/>
    <w:tmpl w:val="742E7FA4"/>
    <w:lvl w:ilvl="0" w:tplc="F3800094">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E55308"/>
    <w:multiLevelType w:val="hybridMultilevel"/>
    <w:tmpl w:val="E4C267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2553D9F"/>
    <w:multiLevelType w:val="multilevel"/>
    <w:tmpl w:val="A6FA45D0"/>
    <w:numStyleLink w:val="BulletsList"/>
  </w:abstractNum>
  <w:abstractNum w:abstractNumId="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 w15:restartNumberingAfterBreak="0">
    <w:nsid w:val="6D75013C"/>
    <w:multiLevelType w:val="multilevel"/>
    <w:tmpl w:val="3C2CC722"/>
    <w:lvl w:ilvl="0">
      <w:start w:val="1"/>
      <w:numFmt w:val="decimal"/>
      <w:lvlText w:val="%1."/>
      <w:lvlJc w:val="left"/>
      <w:pPr>
        <w:ind w:left="360" w:hanging="360"/>
      </w:pPr>
      <w:rPr>
        <w:rFonts w:asciiTheme="minorHAnsi" w:eastAsiaTheme="minorHAnsi" w:hAnsiTheme="minorHAnsi" w:cstheme="minorHAnsi"/>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7F7A528B"/>
    <w:multiLevelType w:val="hybridMultilevel"/>
    <w:tmpl w:val="A39658C0"/>
    <w:lvl w:ilvl="0" w:tplc="7B640FF6">
      <w:start w:val="1"/>
      <w:numFmt w:val="bullet"/>
      <w:pStyle w:val="ListBullet"/>
      <w:lvlText w:val="›"/>
      <w:lvlJc w:val="left"/>
      <w:pPr>
        <w:ind w:left="0" w:hanging="360"/>
      </w:pPr>
      <w:rPr>
        <w:rFonts w:ascii="Times New Roman" w:hAnsi="Times New Roman" w:cs="Times New Roman" w:hint="default"/>
        <w:color w:val="auto"/>
        <w:position w:val="3"/>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9"/>
  </w:num>
  <w:num w:numId="2">
    <w:abstractNumId w:val="0"/>
  </w:num>
  <w:num w:numId="3">
    <w:abstractNumId w:val="2"/>
  </w:num>
  <w:num w:numId="4">
    <w:abstractNumId w:val="6"/>
  </w:num>
  <w:num w:numId="5">
    <w:abstractNumId w:val="7"/>
  </w:num>
  <w:num w:numId="6">
    <w:abstractNumId w:val="2"/>
  </w:num>
  <w:num w:numId="7">
    <w:abstractNumId w:val="0"/>
  </w:num>
  <w:num w:numId="8">
    <w:abstractNumId w:val="1"/>
  </w:num>
  <w:num w:numId="9">
    <w:abstractNumId w:val="10"/>
  </w:num>
  <w:num w:numId="10">
    <w:abstractNumId w:val="5"/>
  </w:num>
  <w:num w:numId="11">
    <w:abstractNumId w:val="11"/>
  </w:num>
  <w:num w:numId="12">
    <w:abstractNumId w:val="8"/>
  </w:num>
  <w:num w:numId="13">
    <w:abstractNumId w:val="4"/>
  </w:num>
  <w:num w:numId="1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C57"/>
    <w:rsid w:val="00001DA8"/>
    <w:rsid w:val="000020C1"/>
    <w:rsid w:val="00005698"/>
    <w:rsid w:val="000064B5"/>
    <w:rsid w:val="000077E4"/>
    <w:rsid w:val="00010F32"/>
    <w:rsid w:val="00012C16"/>
    <w:rsid w:val="00016E1F"/>
    <w:rsid w:val="0002080A"/>
    <w:rsid w:val="0002240A"/>
    <w:rsid w:val="000234DD"/>
    <w:rsid w:val="0002782F"/>
    <w:rsid w:val="00035BBF"/>
    <w:rsid w:val="00041499"/>
    <w:rsid w:val="000415BB"/>
    <w:rsid w:val="0004260F"/>
    <w:rsid w:val="000465AE"/>
    <w:rsid w:val="00050806"/>
    <w:rsid w:val="00050C68"/>
    <w:rsid w:val="00053DA3"/>
    <w:rsid w:val="000546D9"/>
    <w:rsid w:val="00054E4D"/>
    <w:rsid w:val="00055AB3"/>
    <w:rsid w:val="00060073"/>
    <w:rsid w:val="00060885"/>
    <w:rsid w:val="000616C6"/>
    <w:rsid w:val="00062A44"/>
    <w:rsid w:val="0006521B"/>
    <w:rsid w:val="00067CD9"/>
    <w:rsid w:val="00072B6A"/>
    <w:rsid w:val="00073185"/>
    <w:rsid w:val="00073895"/>
    <w:rsid w:val="00075A7F"/>
    <w:rsid w:val="0008401F"/>
    <w:rsid w:val="000854FD"/>
    <w:rsid w:val="000859B7"/>
    <w:rsid w:val="0008610E"/>
    <w:rsid w:val="00086166"/>
    <w:rsid w:val="000903DA"/>
    <w:rsid w:val="00090BE0"/>
    <w:rsid w:val="00091385"/>
    <w:rsid w:val="000960F0"/>
    <w:rsid w:val="000A15C4"/>
    <w:rsid w:val="000A5F14"/>
    <w:rsid w:val="000B37F5"/>
    <w:rsid w:val="000C3F57"/>
    <w:rsid w:val="000C4996"/>
    <w:rsid w:val="000C4E33"/>
    <w:rsid w:val="000D0D92"/>
    <w:rsid w:val="000D51A7"/>
    <w:rsid w:val="000D66D6"/>
    <w:rsid w:val="000E5CBA"/>
    <w:rsid w:val="000E72B9"/>
    <w:rsid w:val="000F08D3"/>
    <w:rsid w:val="000F104A"/>
    <w:rsid w:val="000F3962"/>
    <w:rsid w:val="000F756B"/>
    <w:rsid w:val="001012C8"/>
    <w:rsid w:val="00102299"/>
    <w:rsid w:val="001111F3"/>
    <w:rsid w:val="00111F2E"/>
    <w:rsid w:val="00112382"/>
    <w:rsid w:val="00113288"/>
    <w:rsid w:val="00120167"/>
    <w:rsid w:val="001214BE"/>
    <w:rsid w:val="00123784"/>
    <w:rsid w:val="0012651C"/>
    <w:rsid w:val="00130CAD"/>
    <w:rsid w:val="00130F0B"/>
    <w:rsid w:val="0013101C"/>
    <w:rsid w:val="00131E20"/>
    <w:rsid w:val="0013233F"/>
    <w:rsid w:val="001349D3"/>
    <w:rsid w:val="00134C2E"/>
    <w:rsid w:val="00135516"/>
    <w:rsid w:val="00140669"/>
    <w:rsid w:val="00143156"/>
    <w:rsid w:val="0014546B"/>
    <w:rsid w:val="001461D6"/>
    <w:rsid w:val="001541EA"/>
    <w:rsid w:val="00162FFD"/>
    <w:rsid w:val="00163249"/>
    <w:rsid w:val="00172358"/>
    <w:rsid w:val="0017383F"/>
    <w:rsid w:val="001815AD"/>
    <w:rsid w:val="001863B4"/>
    <w:rsid w:val="00190443"/>
    <w:rsid w:val="0019181D"/>
    <w:rsid w:val="00193353"/>
    <w:rsid w:val="00193962"/>
    <w:rsid w:val="00194F25"/>
    <w:rsid w:val="00195590"/>
    <w:rsid w:val="00195B88"/>
    <w:rsid w:val="001A29A5"/>
    <w:rsid w:val="001B10C3"/>
    <w:rsid w:val="001B168B"/>
    <w:rsid w:val="001B1B41"/>
    <w:rsid w:val="001C0556"/>
    <w:rsid w:val="001C066E"/>
    <w:rsid w:val="001C228B"/>
    <w:rsid w:val="001C325B"/>
    <w:rsid w:val="001C68D9"/>
    <w:rsid w:val="001C7C45"/>
    <w:rsid w:val="001D00FF"/>
    <w:rsid w:val="001D2448"/>
    <w:rsid w:val="001D32FF"/>
    <w:rsid w:val="001D389D"/>
    <w:rsid w:val="001D663E"/>
    <w:rsid w:val="001E1B05"/>
    <w:rsid w:val="001E1DC0"/>
    <w:rsid w:val="001E41E6"/>
    <w:rsid w:val="001F31BC"/>
    <w:rsid w:val="001F439D"/>
    <w:rsid w:val="001F60F9"/>
    <w:rsid w:val="001F649D"/>
    <w:rsid w:val="00201429"/>
    <w:rsid w:val="00202FC9"/>
    <w:rsid w:val="00203277"/>
    <w:rsid w:val="002042CD"/>
    <w:rsid w:val="0020551D"/>
    <w:rsid w:val="00205615"/>
    <w:rsid w:val="00205B2E"/>
    <w:rsid w:val="00207C4D"/>
    <w:rsid w:val="00214BC5"/>
    <w:rsid w:val="00215881"/>
    <w:rsid w:val="00215EFD"/>
    <w:rsid w:val="002215EC"/>
    <w:rsid w:val="00221A63"/>
    <w:rsid w:val="00221E6D"/>
    <w:rsid w:val="00231BF2"/>
    <w:rsid w:val="00235821"/>
    <w:rsid w:val="0023687E"/>
    <w:rsid w:val="002423AB"/>
    <w:rsid w:val="002423E2"/>
    <w:rsid w:val="00245240"/>
    <w:rsid w:val="002455D7"/>
    <w:rsid w:val="002527F4"/>
    <w:rsid w:val="00252C04"/>
    <w:rsid w:val="00254F69"/>
    <w:rsid w:val="00265D14"/>
    <w:rsid w:val="0027010A"/>
    <w:rsid w:val="0027132E"/>
    <w:rsid w:val="00275EB4"/>
    <w:rsid w:val="002810DD"/>
    <w:rsid w:val="00281602"/>
    <w:rsid w:val="00283313"/>
    <w:rsid w:val="0028602A"/>
    <w:rsid w:val="00286B63"/>
    <w:rsid w:val="00287542"/>
    <w:rsid w:val="00293230"/>
    <w:rsid w:val="00295498"/>
    <w:rsid w:val="002970FC"/>
    <w:rsid w:val="00297CCB"/>
    <w:rsid w:val="002A0610"/>
    <w:rsid w:val="002A0E7E"/>
    <w:rsid w:val="002A110D"/>
    <w:rsid w:val="002A50D2"/>
    <w:rsid w:val="002A6442"/>
    <w:rsid w:val="002B045F"/>
    <w:rsid w:val="002B0C57"/>
    <w:rsid w:val="002B0FE0"/>
    <w:rsid w:val="002B3088"/>
    <w:rsid w:val="002B45DC"/>
    <w:rsid w:val="002B5E10"/>
    <w:rsid w:val="002C2612"/>
    <w:rsid w:val="002C34A2"/>
    <w:rsid w:val="002C42D8"/>
    <w:rsid w:val="002C4E1F"/>
    <w:rsid w:val="002C634A"/>
    <w:rsid w:val="002C793D"/>
    <w:rsid w:val="002D3649"/>
    <w:rsid w:val="002D5B25"/>
    <w:rsid w:val="002D6362"/>
    <w:rsid w:val="002D6E90"/>
    <w:rsid w:val="002D7361"/>
    <w:rsid w:val="002D780B"/>
    <w:rsid w:val="002E1BEF"/>
    <w:rsid w:val="002E2B7F"/>
    <w:rsid w:val="002E62F2"/>
    <w:rsid w:val="002E7015"/>
    <w:rsid w:val="002E71B6"/>
    <w:rsid w:val="002E7313"/>
    <w:rsid w:val="002F3007"/>
    <w:rsid w:val="002F4F2B"/>
    <w:rsid w:val="002F667C"/>
    <w:rsid w:val="003002C0"/>
    <w:rsid w:val="0030063B"/>
    <w:rsid w:val="00301144"/>
    <w:rsid w:val="003031C6"/>
    <w:rsid w:val="00304984"/>
    <w:rsid w:val="0030740B"/>
    <w:rsid w:val="003104E8"/>
    <w:rsid w:val="0031053D"/>
    <w:rsid w:val="00311EAB"/>
    <w:rsid w:val="00312BF8"/>
    <w:rsid w:val="003140F5"/>
    <w:rsid w:val="003148B7"/>
    <w:rsid w:val="003158C3"/>
    <w:rsid w:val="00317661"/>
    <w:rsid w:val="003245D0"/>
    <w:rsid w:val="00326760"/>
    <w:rsid w:val="003274CD"/>
    <w:rsid w:val="00333501"/>
    <w:rsid w:val="00334F95"/>
    <w:rsid w:val="00337DB0"/>
    <w:rsid w:val="00343514"/>
    <w:rsid w:val="003457C4"/>
    <w:rsid w:val="00347DB8"/>
    <w:rsid w:val="0035119D"/>
    <w:rsid w:val="003513ED"/>
    <w:rsid w:val="00353346"/>
    <w:rsid w:val="003553E2"/>
    <w:rsid w:val="003555AD"/>
    <w:rsid w:val="003556AA"/>
    <w:rsid w:val="00361B98"/>
    <w:rsid w:val="00361C89"/>
    <w:rsid w:val="00362E1F"/>
    <w:rsid w:val="00365784"/>
    <w:rsid w:val="00366716"/>
    <w:rsid w:val="0037149C"/>
    <w:rsid w:val="00372499"/>
    <w:rsid w:val="00372FFF"/>
    <w:rsid w:val="00373227"/>
    <w:rsid w:val="00373ABC"/>
    <w:rsid w:val="00375B18"/>
    <w:rsid w:val="003770B0"/>
    <w:rsid w:val="00380064"/>
    <w:rsid w:val="00384400"/>
    <w:rsid w:val="00384D40"/>
    <w:rsid w:val="0038589C"/>
    <w:rsid w:val="003862F5"/>
    <w:rsid w:val="00392A36"/>
    <w:rsid w:val="0039344A"/>
    <w:rsid w:val="00393B74"/>
    <w:rsid w:val="0039509F"/>
    <w:rsid w:val="00395163"/>
    <w:rsid w:val="00397D97"/>
    <w:rsid w:val="003A0822"/>
    <w:rsid w:val="003A22C7"/>
    <w:rsid w:val="003B0C2D"/>
    <w:rsid w:val="003B2876"/>
    <w:rsid w:val="003B4F12"/>
    <w:rsid w:val="003C2747"/>
    <w:rsid w:val="003C4DB4"/>
    <w:rsid w:val="003C6102"/>
    <w:rsid w:val="003C717F"/>
    <w:rsid w:val="003C741D"/>
    <w:rsid w:val="003C755A"/>
    <w:rsid w:val="003C7D5A"/>
    <w:rsid w:val="003D4DB2"/>
    <w:rsid w:val="003D52FF"/>
    <w:rsid w:val="003D5A31"/>
    <w:rsid w:val="003D7A40"/>
    <w:rsid w:val="003E07EE"/>
    <w:rsid w:val="003E2C6E"/>
    <w:rsid w:val="003E57FE"/>
    <w:rsid w:val="003F1DC4"/>
    <w:rsid w:val="003F2041"/>
    <w:rsid w:val="003F49B0"/>
    <w:rsid w:val="003F793D"/>
    <w:rsid w:val="004011CE"/>
    <w:rsid w:val="004016D3"/>
    <w:rsid w:val="00401E5C"/>
    <w:rsid w:val="00402ACC"/>
    <w:rsid w:val="00404074"/>
    <w:rsid w:val="00406133"/>
    <w:rsid w:val="00407197"/>
    <w:rsid w:val="00411232"/>
    <w:rsid w:val="004120EC"/>
    <w:rsid w:val="00412335"/>
    <w:rsid w:val="0041662B"/>
    <w:rsid w:val="004167B4"/>
    <w:rsid w:val="0042111E"/>
    <w:rsid w:val="00423C83"/>
    <w:rsid w:val="00423F31"/>
    <w:rsid w:val="00424ED7"/>
    <w:rsid w:val="004310D3"/>
    <w:rsid w:val="00431899"/>
    <w:rsid w:val="00431BDD"/>
    <w:rsid w:val="004326E7"/>
    <w:rsid w:val="00433815"/>
    <w:rsid w:val="00436585"/>
    <w:rsid w:val="00441731"/>
    <w:rsid w:val="00442055"/>
    <w:rsid w:val="0044319C"/>
    <w:rsid w:val="00443F7F"/>
    <w:rsid w:val="00446E11"/>
    <w:rsid w:val="00452300"/>
    <w:rsid w:val="004533A3"/>
    <w:rsid w:val="00453888"/>
    <w:rsid w:val="00454C85"/>
    <w:rsid w:val="004559A8"/>
    <w:rsid w:val="004559CF"/>
    <w:rsid w:val="004602A2"/>
    <w:rsid w:val="00463991"/>
    <w:rsid w:val="00466682"/>
    <w:rsid w:val="0046683B"/>
    <w:rsid w:val="00467AAC"/>
    <w:rsid w:val="0047025A"/>
    <w:rsid w:val="004741CA"/>
    <w:rsid w:val="004776A5"/>
    <w:rsid w:val="00480B67"/>
    <w:rsid w:val="00482AE8"/>
    <w:rsid w:val="004831D9"/>
    <w:rsid w:val="0048492D"/>
    <w:rsid w:val="00484B4D"/>
    <w:rsid w:val="00484EE7"/>
    <w:rsid w:val="00486804"/>
    <w:rsid w:val="0048779A"/>
    <w:rsid w:val="00490CDB"/>
    <w:rsid w:val="004939C4"/>
    <w:rsid w:val="00493A0B"/>
    <w:rsid w:val="004A07C8"/>
    <w:rsid w:val="004A3C74"/>
    <w:rsid w:val="004A3DED"/>
    <w:rsid w:val="004A4DAB"/>
    <w:rsid w:val="004A4E33"/>
    <w:rsid w:val="004A74B0"/>
    <w:rsid w:val="004A782F"/>
    <w:rsid w:val="004A7AFF"/>
    <w:rsid w:val="004B3775"/>
    <w:rsid w:val="004C3185"/>
    <w:rsid w:val="004C348E"/>
    <w:rsid w:val="004C3552"/>
    <w:rsid w:val="004C6342"/>
    <w:rsid w:val="004D0BA0"/>
    <w:rsid w:val="004D580F"/>
    <w:rsid w:val="004D609B"/>
    <w:rsid w:val="004E058F"/>
    <w:rsid w:val="004E15B0"/>
    <w:rsid w:val="004E266D"/>
    <w:rsid w:val="004E2F72"/>
    <w:rsid w:val="004E3B87"/>
    <w:rsid w:val="004F20AC"/>
    <w:rsid w:val="004F2537"/>
    <w:rsid w:val="004F2767"/>
    <w:rsid w:val="004F2AF9"/>
    <w:rsid w:val="004F2FC2"/>
    <w:rsid w:val="004F66D4"/>
    <w:rsid w:val="004F76D1"/>
    <w:rsid w:val="00500136"/>
    <w:rsid w:val="00500361"/>
    <w:rsid w:val="0050614F"/>
    <w:rsid w:val="0050695E"/>
    <w:rsid w:val="005107CC"/>
    <w:rsid w:val="00510921"/>
    <w:rsid w:val="00510AD3"/>
    <w:rsid w:val="00513348"/>
    <w:rsid w:val="00513760"/>
    <w:rsid w:val="00513AD8"/>
    <w:rsid w:val="00514B6D"/>
    <w:rsid w:val="00515BEC"/>
    <w:rsid w:val="00516A71"/>
    <w:rsid w:val="005204D2"/>
    <w:rsid w:val="00521183"/>
    <w:rsid w:val="0052204E"/>
    <w:rsid w:val="00522396"/>
    <w:rsid w:val="0052371E"/>
    <w:rsid w:val="00523D33"/>
    <w:rsid w:val="00524502"/>
    <w:rsid w:val="00526A60"/>
    <w:rsid w:val="00530ED9"/>
    <w:rsid w:val="005337C0"/>
    <w:rsid w:val="00533B5D"/>
    <w:rsid w:val="00535F00"/>
    <w:rsid w:val="00540736"/>
    <w:rsid w:val="00543783"/>
    <w:rsid w:val="00543ABB"/>
    <w:rsid w:val="00543D2F"/>
    <w:rsid w:val="00550F60"/>
    <w:rsid w:val="00552428"/>
    <w:rsid w:val="00554290"/>
    <w:rsid w:val="00556155"/>
    <w:rsid w:val="00564D88"/>
    <w:rsid w:val="00565F7F"/>
    <w:rsid w:val="0057203C"/>
    <w:rsid w:val="00573518"/>
    <w:rsid w:val="005735D3"/>
    <w:rsid w:val="0057621A"/>
    <w:rsid w:val="005777A6"/>
    <w:rsid w:val="00583961"/>
    <w:rsid w:val="00584185"/>
    <w:rsid w:val="005852A5"/>
    <w:rsid w:val="0058619A"/>
    <w:rsid w:val="00587FE6"/>
    <w:rsid w:val="005906D1"/>
    <w:rsid w:val="00591095"/>
    <w:rsid w:val="005921CC"/>
    <w:rsid w:val="00594014"/>
    <w:rsid w:val="0059402B"/>
    <w:rsid w:val="005A20F6"/>
    <w:rsid w:val="005A283D"/>
    <w:rsid w:val="005A3985"/>
    <w:rsid w:val="005A6249"/>
    <w:rsid w:val="005A660F"/>
    <w:rsid w:val="005B0986"/>
    <w:rsid w:val="005B2ED0"/>
    <w:rsid w:val="005B55E8"/>
    <w:rsid w:val="005B63C5"/>
    <w:rsid w:val="005C0135"/>
    <w:rsid w:val="005C0183"/>
    <w:rsid w:val="005C04BB"/>
    <w:rsid w:val="005C2ADC"/>
    <w:rsid w:val="005C5ABC"/>
    <w:rsid w:val="005D187C"/>
    <w:rsid w:val="005D25EB"/>
    <w:rsid w:val="005D3559"/>
    <w:rsid w:val="005D3655"/>
    <w:rsid w:val="005D3976"/>
    <w:rsid w:val="005D3DE4"/>
    <w:rsid w:val="005D71F4"/>
    <w:rsid w:val="005D78E9"/>
    <w:rsid w:val="005E09BC"/>
    <w:rsid w:val="005E4830"/>
    <w:rsid w:val="005E6762"/>
    <w:rsid w:val="005E6B02"/>
    <w:rsid w:val="005E7E28"/>
    <w:rsid w:val="005E7FD4"/>
    <w:rsid w:val="005F0105"/>
    <w:rsid w:val="005F1287"/>
    <w:rsid w:val="005F3D16"/>
    <w:rsid w:val="005F5358"/>
    <w:rsid w:val="005F71AB"/>
    <w:rsid w:val="005F72AB"/>
    <w:rsid w:val="0061073A"/>
    <w:rsid w:val="0061361B"/>
    <w:rsid w:val="00616E28"/>
    <w:rsid w:val="006173C3"/>
    <w:rsid w:val="00622B86"/>
    <w:rsid w:val="006234E5"/>
    <w:rsid w:val="00623BA1"/>
    <w:rsid w:val="00625A20"/>
    <w:rsid w:val="0063239F"/>
    <w:rsid w:val="006346BC"/>
    <w:rsid w:val="006352A1"/>
    <w:rsid w:val="00635AD5"/>
    <w:rsid w:val="006470B2"/>
    <w:rsid w:val="00650E8C"/>
    <w:rsid w:val="006524FD"/>
    <w:rsid w:val="00653D91"/>
    <w:rsid w:val="00655656"/>
    <w:rsid w:val="0066358F"/>
    <w:rsid w:val="00664654"/>
    <w:rsid w:val="00664F51"/>
    <w:rsid w:val="0066535E"/>
    <w:rsid w:val="0066652A"/>
    <w:rsid w:val="006668C6"/>
    <w:rsid w:val="006707E4"/>
    <w:rsid w:val="006719C3"/>
    <w:rsid w:val="0067272D"/>
    <w:rsid w:val="00675211"/>
    <w:rsid w:val="00680321"/>
    <w:rsid w:val="00680522"/>
    <w:rsid w:val="00680A31"/>
    <w:rsid w:val="00682167"/>
    <w:rsid w:val="00684802"/>
    <w:rsid w:val="0068654D"/>
    <w:rsid w:val="00691066"/>
    <w:rsid w:val="0069290E"/>
    <w:rsid w:val="006941F1"/>
    <w:rsid w:val="006A1EA0"/>
    <w:rsid w:val="006A3175"/>
    <w:rsid w:val="006A4E73"/>
    <w:rsid w:val="006A51BF"/>
    <w:rsid w:val="006A655C"/>
    <w:rsid w:val="006A6833"/>
    <w:rsid w:val="006A72CA"/>
    <w:rsid w:val="006A7621"/>
    <w:rsid w:val="006B0D69"/>
    <w:rsid w:val="006B3699"/>
    <w:rsid w:val="006B3B7B"/>
    <w:rsid w:val="006B54D9"/>
    <w:rsid w:val="006B73F7"/>
    <w:rsid w:val="006B797D"/>
    <w:rsid w:val="006B7F2C"/>
    <w:rsid w:val="006C09EE"/>
    <w:rsid w:val="006C42AF"/>
    <w:rsid w:val="006C5A6A"/>
    <w:rsid w:val="006D1125"/>
    <w:rsid w:val="006D2430"/>
    <w:rsid w:val="006D3077"/>
    <w:rsid w:val="006E25B6"/>
    <w:rsid w:val="006E4D33"/>
    <w:rsid w:val="006E556A"/>
    <w:rsid w:val="006E7FD9"/>
    <w:rsid w:val="006F0B7B"/>
    <w:rsid w:val="006F20C0"/>
    <w:rsid w:val="00700C3C"/>
    <w:rsid w:val="00700D3B"/>
    <w:rsid w:val="00702306"/>
    <w:rsid w:val="00705C3E"/>
    <w:rsid w:val="00707759"/>
    <w:rsid w:val="00711D8E"/>
    <w:rsid w:val="00712672"/>
    <w:rsid w:val="00712946"/>
    <w:rsid w:val="0071343E"/>
    <w:rsid w:val="00714D79"/>
    <w:rsid w:val="00715923"/>
    <w:rsid w:val="0071617E"/>
    <w:rsid w:val="00716969"/>
    <w:rsid w:val="00721BC9"/>
    <w:rsid w:val="0072247D"/>
    <w:rsid w:val="00722E09"/>
    <w:rsid w:val="00726CDA"/>
    <w:rsid w:val="0073202F"/>
    <w:rsid w:val="007339C3"/>
    <w:rsid w:val="00734E3F"/>
    <w:rsid w:val="00736985"/>
    <w:rsid w:val="00745DF5"/>
    <w:rsid w:val="00746158"/>
    <w:rsid w:val="00751649"/>
    <w:rsid w:val="00754B26"/>
    <w:rsid w:val="007551D4"/>
    <w:rsid w:val="007570C9"/>
    <w:rsid w:val="0076033F"/>
    <w:rsid w:val="00760696"/>
    <w:rsid w:val="0076250F"/>
    <w:rsid w:val="007662DA"/>
    <w:rsid w:val="00766B2D"/>
    <w:rsid w:val="00766D5F"/>
    <w:rsid w:val="007706B8"/>
    <w:rsid w:val="00771B4F"/>
    <w:rsid w:val="00774EE4"/>
    <w:rsid w:val="0078095C"/>
    <w:rsid w:val="00780FA5"/>
    <w:rsid w:val="00782D88"/>
    <w:rsid w:val="007833E5"/>
    <w:rsid w:val="007834A8"/>
    <w:rsid w:val="0078638B"/>
    <w:rsid w:val="00787884"/>
    <w:rsid w:val="007A0073"/>
    <w:rsid w:val="007A0DE1"/>
    <w:rsid w:val="007A1C48"/>
    <w:rsid w:val="007A22E6"/>
    <w:rsid w:val="007A5349"/>
    <w:rsid w:val="007B0479"/>
    <w:rsid w:val="007B1079"/>
    <w:rsid w:val="007B6200"/>
    <w:rsid w:val="007B6C46"/>
    <w:rsid w:val="007B7298"/>
    <w:rsid w:val="007B7CEE"/>
    <w:rsid w:val="007C3C03"/>
    <w:rsid w:val="007C3EA6"/>
    <w:rsid w:val="007C5DE5"/>
    <w:rsid w:val="007C7468"/>
    <w:rsid w:val="007C774A"/>
    <w:rsid w:val="007D2151"/>
    <w:rsid w:val="007E17B0"/>
    <w:rsid w:val="007E3B19"/>
    <w:rsid w:val="007E41E6"/>
    <w:rsid w:val="007E58AC"/>
    <w:rsid w:val="007F06AF"/>
    <w:rsid w:val="007F13C6"/>
    <w:rsid w:val="007F3395"/>
    <w:rsid w:val="007F4B87"/>
    <w:rsid w:val="007F56B2"/>
    <w:rsid w:val="007F7B93"/>
    <w:rsid w:val="00801B9F"/>
    <w:rsid w:val="0080204D"/>
    <w:rsid w:val="00805B9C"/>
    <w:rsid w:val="00805FC2"/>
    <w:rsid w:val="008145BA"/>
    <w:rsid w:val="00815718"/>
    <w:rsid w:val="00817D76"/>
    <w:rsid w:val="008237D6"/>
    <w:rsid w:val="0083052F"/>
    <w:rsid w:val="00831D46"/>
    <w:rsid w:val="00834614"/>
    <w:rsid w:val="008372C0"/>
    <w:rsid w:val="0083789C"/>
    <w:rsid w:val="00841744"/>
    <w:rsid w:val="008438BA"/>
    <w:rsid w:val="00844262"/>
    <w:rsid w:val="008475F0"/>
    <w:rsid w:val="008557A7"/>
    <w:rsid w:val="008558C9"/>
    <w:rsid w:val="0086062B"/>
    <w:rsid w:val="008621C2"/>
    <w:rsid w:val="00864A84"/>
    <w:rsid w:val="0086749E"/>
    <w:rsid w:val="00870928"/>
    <w:rsid w:val="0087094C"/>
    <w:rsid w:val="00870E60"/>
    <w:rsid w:val="00874734"/>
    <w:rsid w:val="00875B2F"/>
    <w:rsid w:val="008765D5"/>
    <w:rsid w:val="00876CC4"/>
    <w:rsid w:val="008813F0"/>
    <w:rsid w:val="00884FF3"/>
    <w:rsid w:val="00885A62"/>
    <w:rsid w:val="008866E5"/>
    <w:rsid w:val="0089132E"/>
    <w:rsid w:val="00893200"/>
    <w:rsid w:val="0089405C"/>
    <w:rsid w:val="00896BB0"/>
    <w:rsid w:val="00897FA2"/>
    <w:rsid w:val="008A077F"/>
    <w:rsid w:val="008A0DEB"/>
    <w:rsid w:val="008A1BD6"/>
    <w:rsid w:val="008A2010"/>
    <w:rsid w:val="008A3430"/>
    <w:rsid w:val="008A4F6C"/>
    <w:rsid w:val="008A4FBC"/>
    <w:rsid w:val="008A5AFE"/>
    <w:rsid w:val="008B0754"/>
    <w:rsid w:val="008B430C"/>
    <w:rsid w:val="008B6C8F"/>
    <w:rsid w:val="008C3786"/>
    <w:rsid w:val="008C548B"/>
    <w:rsid w:val="008C5A0E"/>
    <w:rsid w:val="008C7DB6"/>
    <w:rsid w:val="008D39BF"/>
    <w:rsid w:val="008D4941"/>
    <w:rsid w:val="008D5004"/>
    <w:rsid w:val="008D5987"/>
    <w:rsid w:val="008E1357"/>
    <w:rsid w:val="008E3068"/>
    <w:rsid w:val="008E3B93"/>
    <w:rsid w:val="008E3BDC"/>
    <w:rsid w:val="008E53DA"/>
    <w:rsid w:val="008E7209"/>
    <w:rsid w:val="008F0083"/>
    <w:rsid w:val="008F1EAE"/>
    <w:rsid w:val="008F4551"/>
    <w:rsid w:val="008F45F7"/>
    <w:rsid w:val="008F5F0E"/>
    <w:rsid w:val="008F7ACC"/>
    <w:rsid w:val="009040A9"/>
    <w:rsid w:val="00906285"/>
    <w:rsid w:val="009104DD"/>
    <w:rsid w:val="00916F92"/>
    <w:rsid w:val="00917AE3"/>
    <w:rsid w:val="00924C85"/>
    <w:rsid w:val="00925E19"/>
    <w:rsid w:val="00927107"/>
    <w:rsid w:val="0093045A"/>
    <w:rsid w:val="00934623"/>
    <w:rsid w:val="0093544E"/>
    <w:rsid w:val="009421F1"/>
    <w:rsid w:val="00943730"/>
    <w:rsid w:val="009448CC"/>
    <w:rsid w:val="009460AA"/>
    <w:rsid w:val="0094718A"/>
    <w:rsid w:val="00955258"/>
    <w:rsid w:val="00955803"/>
    <w:rsid w:val="00955ABA"/>
    <w:rsid w:val="009566F2"/>
    <w:rsid w:val="00960B9B"/>
    <w:rsid w:val="00961E72"/>
    <w:rsid w:val="00963F9C"/>
    <w:rsid w:val="0096624A"/>
    <w:rsid w:val="0096797B"/>
    <w:rsid w:val="00970BDB"/>
    <w:rsid w:val="00971557"/>
    <w:rsid w:val="00971FA2"/>
    <w:rsid w:val="00972194"/>
    <w:rsid w:val="00974A32"/>
    <w:rsid w:val="00975CA5"/>
    <w:rsid w:val="00976132"/>
    <w:rsid w:val="0098039B"/>
    <w:rsid w:val="00983088"/>
    <w:rsid w:val="00983AED"/>
    <w:rsid w:val="00984425"/>
    <w:rsid w:val="00986590"/>
    <w:rsid w:val="00986B99"/>
    <w:rsid w:val="009929AF"/>
    <w:rsid w:val="00992C76"/>
    <w:rsid w:val="009969D6"/>
    <w:rsid w:val="009976A7"/>
    <w:rsid w:val="00997AEE"/>
    <w:rsid w:val="009A0CEF"/>
    <w:rsid w:val="009A22FE"/>
    <w:rsid w:val="009A3DD2"/>
    <w:rsid w:val="009A59FA"/>
    <w:rsid w:val="009B0591"/>
    <w:rsid w:val="009B2070"/>
    <w:rsid w:val="009B3DA1"/>
    <w:rsid w:val="009B4D3B"/>
    <w:rsid w:val="009B7942"/>
    <w:rsid w:val="009C1062"/>
    <w:rsid w:val="009C10C4"/>
    <w:rsid w:val="009C1D79"/>
    <w:rsid w:val="009C451B"/>
    <w:rsid w:val="009C5F86"/>
    <w:rsid w:val="009C6331"/>
    <w:rsid w:val="009C7640"/>
    <w:rsid w:val="009C782F"/>
    <w:rsid w:val="009D3927"/>
    <w:rsid w:val="009D4F89"/>
    <w:rsid w:val="009D52FB"/>
    <w:rsid w:val="009D7407"/>
    <w:rsid w:val="009D796D"/>
    <w:rsid w:val="009E0866"/>
    <w:rsid w:val="009E2636"/>
    <w:rsid w:val="009E273C"/>
    <w:rsid w:val="009E4AD8"/>
    <w:rsid w:val="009E65E6"/>
    <w:rsid w:val="009E75EA"/>
    <w:rsid w:val="009F1350"/>
    <w:rsid w:val="009F6423"/>
    <w:rsid w:val="00A03123"/>
    <w:rsid w:val="00A033C0"/>
    <w:rsid w:val="00A0360A"/>
    <w:rsid w:val="00A12969"/>
    <w:rsid w:val="00A1627E"/>
    <w:rsid w:val="00A16DDA"/>
    <w:rsid w:val="00A175B3"/>
    <w:rsid w:val="00A179C8"/>
    <w:rsid w:val="00A2081E"/>
    <w:rsid w:val="00A23039"/>
    <w:rsid w:val="00A23606"/>
    <w:rsid w:val="00A239D6"/>
    <w:rsid w:val="00A24607"/>
    <w:rsid w:val="00A24A62"/>
    <w:rsid w:val="00A276DA"/>
    <w:rsid w:val="00A31C9F"/>
    <w:rsid w:val="00A32858"/>
    <w:rsid w:val="00A3298B"/>
    <w:rsid w:val="00A33718"/>
    <w:rsid w:val="00A33859"/>
    <w:rsid w:val="00A33C74"/>
    <w:rsid w:val="00A351D2"/>
    <w:rsid w:val="00A37A5F"/>
    <w:rsid w:val="00A4144F"/>
    <w:rsid w:val="00A43CF8"/>
    <w:rsid w:val="00A531E7"/>
    <w:rsid w:val="00A56628"/>
    <w:rsid w:val="00A567CE"/>
    <w:rsid w:val="00A56E83"/>
    <w:rsid w:val="00A619C7"/>
    <w:rsid w:val="00A61B4D"/>
    <w:rsid w:val="00A6354F"/>
    <w:rsid w:val="00A64B33"/>
    <w:rsid w:val="00A67CB8"/>
    <w:rsid w:val="00A71F94"/>
    <w:rsid w:val="00A7771B"/>
    <w:rsid w:val="00A80F95"/>
    <w:rsid w:val="00A82D3E"/>
    <w:rsid w:val="00A83A4F"/>
    <w:rsid w:val="00A90C58"/>
    <w:rsid w:val="00A91795"/>
    <w:rsid w:val="00A935E3"/>
    <w:rsid w:val="00A9572E"/>
    <w:rsid w:val="00A9717C"/>
    <w:rsid w:val="00A97BF1"/>
    <w:rsid w:val="00AA0E16"/>
    <w:rsid w:val="00AA0F24"/>
    <w:rsid w:val="00AA1176"/>
    <w:rsid w:val="00AA2051"/>
    <w:rsid w:val="00AA298A"/>
    <w:rsid w:val="00AA315B"/>
    <w:rsid w:val="00AA33EB"/>
    <w:rsid w:val="00AA67E1"/>
    <w:rsid w:val="00AB0773"/>
    <w:rsid w:val="00AB2626"/>
    <w:rsid w:val="00AB52F2"/>
    <w:rsid w:val="00AB6522"/>
    <w:rsid w:val="00AB7146"/>
    <w:rsid w:val="00AC164A"/>
    <w:rsid w:val="00AD4363"/>
    <w:rsid w:val="00AD5DA2"/>
    <w:rsid w:val="00AD7AEB"/>
    <w:rsid w:val="00AE02F8"/>
    <w:rsid w:val="00AE23AD"/>
    <w:rsid w:val="00AE448A"/>
    <w:rsid w:val="00AE5E24"/>
    <w:rsid w:val="00AF04E5"/>
    <w:rsid w:val="00AF1149"/>
    <w:rsid w:val="00AF2050"/>
    <w:rsid w:val="00AF21A9"/>
    <w:rsid w:val="00AF4078"/>
    <w:rsid w:val="00AF5CFA"/>
    <w:rsid w:val="00B018C6"/>
    <w:rsid w:val="00B01B57"/>
    <w:rsid w:val="00B03CA8"/>
    <w:rsid w:val="00B102D1"/>
    <w:rsid w:val="00B10D81"/>
    <w:rsid w:val="00B130F1"/>
    <w:rsid w:val="00B20123"/>
    <w:rsid w:val="00B21311"/>
    <w:rsid w:val="00B2199F"/>
    <w:rsid w:val="00B23946"/>
    <w:rsid w:val="00B24E84"/>
    <w:rsid w:val="00B2668A"/>
    <w:rsid w:val="00B26DC9"/>
    <w:rsid w:val="00B277F8"/>
    <w:rsid w:val="00B27C88"/>
    <w:rsid w:val="00B307F6"/>
    <w:rsid w:val="00B318CF"/>
    <w:rsid w:val="00B328B8"/>
    <w:rsid w:val="00B33C0A"/>
    <w:rsid w:val="00B342F9"/>
    <w:rsid w:val="00B377CA"/>
    <w:rsid w:val="00B37FD6"/>
    <w:rsid w:val="00B42772"/>
    <w:rsid w:val="00B54518"/>
    <w:rsid w:val="00B54A9C"/>
    <w:rsid w:val="00B55E19"/>
    <w:rsid w:val="00B62004"/>
    <w:rsid w:val="00B72E26"/>
    <w:rsid w:val="00B810CA"/>
    <w:rsid w:val="00B8321F"/>
    <w:rsid w:val="00B85198"/>
    <w:rsid w:val="00B866C3"/>
    <w:rsid w:val="00B8677B"/>
    <w:rsid w:val="00B86B24"/>
    <w:rsid w:val="00B91ACA"/>
    <w:rsid w:val="00B93DDB"/>
    <w:rsid w:val="00B9434E"/>
    <w:rsid w:val="00B94758"/>
    <w:rsid w:val="00B947C6"/>
    <w:rsid w:val="00B95CC3"/>
    <w:rsid w:val="00B96E59"/>
    <w:rsid w:val="00BA2A12"/>
    <w:rsid w:val="00BA4B6D"/>
    <w:rsid w:val="00BA6927"/>
    <w:rsid w:val="00BA6E98"/>
    <w:rsid w:val="00BB15E9"/>
    <w:rsid w:val="00BB26C5"/>
    <w:rsid w:val="00BB2CB1"/>
    <w:rsid w:val="00BB50AA"/>
    <w:rsid w:val="00BB757B"/>
    <w:rsid w:val="00BB7D68"/>
    <w:rsid w:val="00BC1769"/>
    <w:rsid w:val="00BC2523"/>
    <w:rsid w:val="00BC31BD"/>
    <w:rsid w:val="00BC624F"/>
    <w:rsid w:val="00BC6562"/>
    <w:rsid w:val="00BC6A92"/>
    <w:rsid w:val="00BD07B0"/>
    <w:rsid w:val="00BE0729"/>
    <w:rsid w:val="00BE1899"/>
    <w:rsid w:val="00BE47BC"/>
    <w:rsid w:val="00BE4DC3"/>
    <w:rsid w:val="00BF13AA"/>
    <w:rsid w:val="00BF1E2C"/>
    <w:rsid w:val="00BF2BF3"/>
    <w:rsid w:val="00BF4DE6"/>
    <w:rsid w:val="00BF5E06"/>
    <w:rsid w:val="00BF6C3E"/>
    <w:rsid w:val="00C01156"/>
    <w:rsid w:val="00C02A2F"/>
    <w:rsid w:val="00C0692C"/>
    <w:rsid w:val="00C06B13"/>
    <w:rsid w:val="00C06BDF"/>
    <w:rsid w:val="00C12155"/>
    <w:rsid w:val="00C20623"/>
    <w:rsid w:val="00C23951"/>
    <w:rsid w:val="00C24C42"/>
    <w:rsid w:val="00C24D5A"/>
    <w:rsid w:val="00C27D25"/>
    <w:rsid w:val="00C31E4A"/>
    <w:rsid w:val="00C336FF"/>
    <w:rsid w:val="00C41A7F"/>
    <w:rsid w:val="00C422F9"/>
    <w:rsid w:val="00C42541"/>
    <w:rsid w:val="00C42CDE"/>
    <w:rsid w:val="00C42E39"/>
    <w:rsid w:val="00C4360D"/>
    <w:rsid w:val="00C44C2F"/>
    <w:rsid w:val="00C45F98"/>
    <w:rsid w:val="00C463DD"/>
    <w:rsid w:val="00C50C07"/>
    <w:rsid w:val="00C5182A"/>
    <w:rsid w:val="00C522BE"/>
    <w:rsid w:val="00C55F37"/>
    <w:rsid w:val="00C57A18"/>
    <w:rsid w:val="00C611B5"/>
    <w:rsid w:val="00C616DE"/>
    <w:rsid w:val="00C62BEA"/>
    <w:rsid w:val="00C6314C"/>
    <w:rsid w:val="00C63EE9"/>
    <w:rsid w:val="00C64EC1"/>
    <w:rsid w:val="00C65C02"/>
    <w:rsid w:val="00C74455"/>
    <w:rsid w:val="00C75937"/>
    <w:rsid w:val="00C84C52"/>
    <w:rsid w:val="00C86228"/>
    <w:rsid w:val="00C869C4"/>
    <w:rsid w:val="00C878BB"/>
    <w:rsid w:val="00C87A98"/>
    <w:rsid w:val="00C903AA"/>
    <w:rsid w:val="00C912A5"/>
    <w:rsid w:val="00C9733A"/>
    <w:rsid w:val="00CA0D64"/>
    <w:rsid w:val="00CA0DE1"/>
    <w:rsid w:val="00CA16F3"/>
    <w:rsid w:val="00CA37B1"/>
    <w:rsid w:val="00CA44DC"/>
    <w:rsid w:val="00CA7BEF"/>
    <w:rsid w:val="00CB028E"/>
    <w:rsid w:val="00CB1959"/>
    <w:rsid w:val="00CB2CCA"/>
    <w:rsid w:val="00CB3DA3"/>
    <w:rsid w:val="00CC1C40"/>
    <w:rsid w:val="00CC24E7"/>
    <w:rsid w:val="00CC3888"/>
    <w:rsid w:val="00CC4DD1"/>
    <w:rsid w:val="00CC5471"/>
    <w:rsid w:val="00CC741B"/>
    <w:rsid w:val="00CC7C39"/>
    <w:rsid w:val="00CD0E4B"/>
    <w:rsid w:val="00CD0FC9"/>
    <w:rsid w:val="00CD4E34"/>
    <w:rsid w:val="00CD5117"/>
    <w:rsid w:val="00CD79BA"/>
    <w:rsid w:val="00CE2074"/>
    <w:rsid w:val="00CE4C89"/>
    <w:rsid w:val="00CE5246"/>
    <w:rsid w:val="00CE5736"/>
    <w:rsid w:val="00CE7721"/>
    <w:rsid w:val="00CF07BA"/>
    <w:rsid w:val="00CF0FA6"/>
    <w:rsid w:val="00CF30BD"/>
    <w:rsid w:val="00CF39CD"/>
    <w:rsid w:val="00CF5D4E"/>
    <w:rsid w:val="00CF6B50"/>
    <w:rsid w:val="00CF746E"/>
    <w:rsid w:val="00CF7A17"/>
    <w:rsid w:val="00D0296C"/>
    <w:rsid w:val="00D02A27"/>
    <w:rsid w:val="00D05D70"/>
    <w:rsid w:val="00D069E7"/>
    <w:rsid w:val="00D07974"/>
    <w:rsid w:val="00D1258E"/>
    <w:rsid w:val="00D129C9"/>
    <w:rsid w:val="00D1768D"/>
    <w:rsid w:val="00D207F0"/>
    <w:rsid w:val="00D31015"/>
    <w:rsid w:val="00D32D6F"/>
    <w:rsid w:val="00D368C5"/>
    <w:rsid w:val="00D377C9"/>
    <w:rsid w:val="00D37B04"/>
    <w:rsid w:val="00D4059F"/>
    <w:rsid w:val="00D40C43"/>
    <w:rsid w:val="00D45040"/>
    <w:rsid w:val="00D452C5"/>
    <w:rsid w:val="00D47392"/>
    <w:rsid w:val="00D50444"/>
    <w:rsid w:val="00D52845"/>
    <w:rsid w:val="00D53446"/>
    <w:rsid w:val="00D53639"/>
    <w:rsid w:val="00D540C6"/>
    <w:rsid w:val="00D54241"/>
    <w:rsid w:val="00D55ADE"/>
    <w:rsid w:val="00D57F0A"/>
    <w:rsid w:val="00D57F26"/>
    <w:rsid w:val="00D621AA"/>
    <w:rsid w:val="00D64BD1"/>
    <w:rsid w:val="00D64F30"/>
    <w:rsid w:val="00D679B8"/>
    <w:rsid w:val="00D819D8"/>
    <w:rsid w:val="00D85133"/>
    <w:rsid w:val="00D86ECA"/>
    <w:rsid w:val="00D871DB"/>
    <w:rsid w:val="00D878D3"/>
    <w:rsid w:val="00D92254"/>
    <w:rsid w:val="00D96AA4"/>
    <w:rsid w:val="00DA1E13"/>
    <w:rsid w:val="00DA29B1"/>
    <w:rsid w:val="00DA572B"/>
    <w:rsid w:val="00DA5A20"/>
    <w:rsid w:val="00DA6CC7"/>
    <w:rsid w:val="00DB2507"/>
    <w:rsid w:val="00DB3079"/>
    <w:rsid w:val="00DB311F"/>
    <w:rsid w:val="00DB367C"/>
    <w:rsid w:val="00DB4279"/>
    <w:rsid w:val="00DB5772"/>
    <w:rsid w:val="00DB5F9A"/>
    <w:rsid w:val="00DB6FDC"/>
    <w:rsid w:val="00DC1321"/>
    <w:rsid w:val="00DC383F"/>
    <w:rsid w:val="00DC6AE3"/>
    <w:rsid w:val="00DC7E7E"/>
    <w:rsid w:val="00DD3DD3"/>
    <w:rsid w:val="00DD41A5"/>
    <w:rsid w:val="00DD5115"/>
    <w:rsid w:val="00DD57AD"/>
    <w:rsid w:val="00DD697F"/>
    <w:rsid w:val="00DE084C"/>
    <w:rsid w:val="00DE2E84"/>
    <w:rsid w:val="00DE4B1B"/>
    <w:rsid w:val="00DE5698"/>
    <w:rsid w:val="00DF4602"/>
    <w:rsid w:val="00DF6332"/>
    <w:rsid w:val="00DF6767"/>
    <w:rsid w:val="00DF72A3"/>
    <w:rsid w:val="00E00972"/>
    <w:rsid w:val="00E01FC6"/>
    <w:rsid w:val="00E025F5"/>
    <w:rsid w:val="00E03B7A"/>
    <w:rsid w:val="00E04705"/>
    <w:rsid w:val="00E04C1A"/>
    <w:rsid w:val="00E05B2D"/>
    <w:rsid w:val="00E05ECB"/>
    <w:rsid w:val="00E0605F"/>
    <w:rsid w:val="00E06C52"/>
    <w:rsid w:val="00E12968"/>
    <w:rsid w:val="00E1489B"/>
    <w:rsid w:val="00E14F51"/>
    <w:rsid w:val="00E206CF"/>
    <w:rsid w:val="00E207F3"/>
    <w:rsid w:val="00E24F39"/>
    <w:rsid w:val="00E2556C"/>
    <w:rsid w:val="00E2557B"/>
    <w:rsid w:val="00E26F0B"/>
    <w:rsid w:val="00E330DB"/>
    <w:rsid w:val="00E33C35"/>
    <w:rsid w:val="00E357B7"/>
    <w:rsid w:val="00E42033"/>
    <w:rsid w:val="00E46DD0"/>
    <w:rsid w:val="00E50289"/>
    <w:rsid w:val="00E53800"/>
    <w:rsid w:val="00E554B0"/>
    <w:rsid w:val="00E6081F"/>
    <w:rsid w:val="00E6086D"/>
    <w:rsid w:val="00E60A0E"/>
    <w:rsid w:val="00E60A82"/>
    <w:rsid w:val="00E63F2F"/>
    <w:rsid w:val="00E70601"/>
    <w:rsid w:val="00E707B8"/>
    <w:rsid w:val="00E714D6"/>
    <w:rsid w:val="00E73B7D"/>
    <w:rsid w:val="00E74B16"/>
    <w:rsid w:val="00E8039B"/>
    <w:rsid w:val="00E8296D"/>
    <w:rsid w:val="00E832D1"/>
    <w:rsid w:val="00E8457B"/>
    <w:rsid w:val="00E84F3D"/>
    <w:rsid w:val="00E85E4F"/>
    <w:rsid w:val="00E87544"/>
    <w:rsid w:val="00E929B9"/>
    <w:rsid w:val="00E94744"/>
    <w:rsid w:val="00E96C5C"/>
    <w:rsid w:val="00EA04B2"/>
    <w:rsid w:val="00EA17A4"/>
    <w:rsid w:val="00EA20F3"/>
    <w:rsid w:val="00EA7798"/>
    <w:rsid w:val="00EB07E2"/>
    <w:rsid w:val="00EB1812"/>
    <w:rsid w:val="00EB1E6C"/>
    <w:rsid w:val="00EB506E"/>
    <w:rsid w:val="00EC0134"/>
    <w:rsid w:val="00EC1AFE"/>
    <w:rsid w:val="00EC2DB1"/>
    <w:rsid w:val="00EC73A5"/>
    <w:rsid w:val="00ED0A78"/>
    <w:rsid w:val="00ED2831"/>
    <w:rsid w:val="00ED31CE"/>
    <w:rsid w:val="00ED43D1"/>
    <w:rsid w:val="00ED6779"/>
    <w:rsid w:val="00EE1ED0"/>
    <w:rsid w:val="00EE25F4"/>
    <w:rsid w:val="00EE4EE1"/>
    <w:rsid w:val="00EE5F36"/>
    <w:rsid w:val="00EE6D08"/>
    <w:rsid w:val="00EE79B5"/>
    <w:rsid w:val="00EF2DC8"/>
    <w:rsid w:val="00EF4574"/>
    <w:rsid w:val="00EF5FB3"/>
    <w:rsid w:val="00EF633B"/>
    <w:rsid w:val="00EF69C9"/>
    <w:rsid w:val="00EF7667"/>
    <w:rsid w:val="00F01C76"/>
    <w:rsid w:val="00F01F30"/>
    <w:rsid w:val="00F0607F"/>
    <w:rsid w:val="00F06A3C"/>
    <w:rsid w:val="00F11277"/>
    <w:rsid w:val="00F13429"/>
    <w:rsid w:val="00F141CE"/>
    <w:rsid w:val="00F14F8B"/>
    <w:rsid w:val="00F15398"/>
    <w:rsid w:val="00F22003"/>
    <w:rsid w:val="00F223FB"/>
    <w:rsid w:val="00F23C5D"/>
    <w:rsid w:val="00F25A93"/>
    <w:rsid w:val="00F2684E"/>
    <w:rsid w:val="00F271B0"/>
    <w:rsid w:val="00F27306"/>
    <w:rsid w:val="00F30548"/>
    <w:rsid w:val="00F31A57"/>
    <w:rsid w:val="00F36697"/>
    <w:rsid w:val="00F41C57"/>
    <w:rsid w:val="00F441AE"/>
    <w:rsid w:val="00F442A0"/>
    <w:rsid w:val="00F50165"/>
    <w:rsid w:val="00F5404C"/>
    <w:rsid w:val="00F5445F"/>
    <w:rsid w:val="00F56C79"/>
    <w:rsid w:val="00F619D0"/>
    <w:rsid w:val="00F61D43"/>
    <w:rsid w:val="00F61E4F"/>
    <w:rsid w:val="00F63DF8"/>
    <w:rsid w:val="00F641F0"/>
    <w:rsid w:val="00F67DB5"/>
    <w:rsid w:val="00F7268E"/>
    <w:rsid w:val="00F729EF"/>
    <w:rsid w:val="00F738F6"/>
    <w:rsid w:val="00F744A2"/>
    <w:rsid w:val="00F77728"/>
    <w:rsid w:val="00F77CAE"/>
    <w:rsid w:val="00F82271"/>
    <w:rsid w:val="00F83428"/>
    <w:rsid w:val="00F927E0"/>
    <w:rsid w:val="00F94053"/>
    <w:rsid w:val="00F95D87"/>
    <w:rsid w:val="00F96BB9"/>
    <w:rsid w:val="00FA6830"/>
    <w:rsid w:val="00FA7C63"/>
    <w:rsid w:val="00FA7D1A"/>
    <w:rsid w:val="00FB190F"/>
    <w:rsid w:val="00FC0571"/>
    <w:rsid w:val="00FC16F5"/>
    <w:rsid w:val="00FC243D"/>
    <w:rsid w:val="00FC322F"/>
    <w:rsid w:val="00FC3E25"/>
    <w:rsid w:val="00FC6C54"/>
    <w:rsid w:val="00FD0484"/>
    <w:rsid w:val="00FD048B"/>
    <w:rsid w:val="00FD297A"/>
    <w:rsid w:val="00FD2E1A"/>
    <w:rsid w:val="00FD4FCB"/>
    <w:rsid w:val="00FD6F33"/>
    <w:rsid w:val="00FD7E1D"/>
    <w:rsid w:val="00FE3311"/>
    <w:rsid w:val="00FE6D51"/>
    <w:rsid w:val="00FE6F2A"/>
    <w:rsid w:val="00FE7E92"/>
    <w:rsid w:val="00FF1392"/>
    <w:rsid w:val="00FF25B6"/>
    <w:rsid w:val="00FF27E7"/>
    <w:rsid w:val="00FF2EA3"/>
    <w:rsid w:val="00FF3FF2"/>
    <w:rsid w:val="00FF5E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SpacebeforeTitle"/>
    <w:next w:val="Normal"/>
    <w:link w:val="Heading1Char"/>
    <w:uiPriority w:val="9"/>
    <w:qFormat/>
    <w:rsid w:val="000F3962"/>
    <w:pPr>
      <w:tabs>
        <w:tab w:val="left" w:pos="1114"/>
        <w:tab w:val="left" w:pos="2205"/>
      </w:tabs>
      <w:spacing w:after="0"/>
      <w:outlineLvl w:val="0"/>
    </w:pPr>
    <w:rPr>
      <w:bCs/>
      <w:sz w:val="36"/>
      <w:szCs w:val="36"/>
    </w:rPr>
  </w:style>
  <w:style w:type="paragraph" w:styleId="Heading2">
    <w:name w:val="heading 2"/>
    <w:basedOn w:val="SpacebeforeTitle"/>
    <w:next w:val="Normal"/>
    <w:link w:val="Heading2Char"/>
    <w:uiPriority w:val="9"/>
    <w:unhideWhenUsed/>
    <w:qFormat/>
    <w:rsid w:val="000F3962"/>
    <w:pPr>
      <w:tabs>
        <w:tab w:val="left" w:pos="1114"/>
        <w:tab w:val="left" w:pos="2205"/>
      </w:tabs>
      <w:spacing w:after="240"/>
      <w:outlineLvl w:val="1"/>
    </w:pPr>
    <w:rPr>
      <w:rFonts w:cstheme="minorHAnsi"/>
      <w:b/>
      <w:bCs/>
      <w:iCs/>
      <w:sz w:val="24"/>
      <w:szCs w:val="24"/>
    </w:rPr>
  </w:style>
  <w:style w:type="paragraph" w:styleId="Heading3">
    <w:name w:val="heading 3"/>
    <w:basedOn w:val="Heading2"/>
    <w:next w:val="Normal"/>
    <w:link w:val="Heading3Char"/>
    <w:uiPriority w:val="9"/>
    <w:unhideWhenUsed/>
    <w:qFormat/>
    <w:rsid w:val="00ED2831"/>
    <w:pPr>
      <w:spacing w:line="360" w:lineRule="atLeast"/>
      <w:outlineLvl w:val="2"/>
    </w:pPr>
    <w:rPr>
      <w:bCs w:val="0"/>
      <w:caps/>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val="0"/>
      <w:sz w:val="24"/>
    </w:rPr>
  </w:style>
  <w:style w:type="paragraph" w:styleId="Heading5">
    <w:name w:val="heading 5"/>
    <w:basedOn w:val="Heading4"/>
    <w:next w:val="Normal"/>
    <w:link w:val="Heading5Char"/>
    <w:uiPriority w:val="9"/>
    <w:unhideWhenUsed/>
    <w:qFormat/>
    <w:rsid w:val="007706B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962"/>
    <w:rPr>
      <w:bCs/>
      <w:color w:val="495965" w:themeColor="text2"/>
      <w:sz w:val="36"/>
      <w:szCs w:val="36"/>
      <w:lang w:val="en-GB"/>
    </w:rPr>
  </w:style>
  <w:style w:type="character" w:customStyle="1" w:styleId="Heading2Char">
    <w:name w:val="Heading 2 Char"/>
    <w:basedOn w:val="DefaultParagraphFont"/>
    <w:link w:val="Heading2"/>
    <w:uiPriority w:val="9"/>
    <w:rsid w:val="000F3962"/>
    <w:rPr>
      <w:rFonts w:cstheme="minorHAnsi"/>
      <w:b/>
      <w:bCs/>
      <w:iCs/>
      <w:color w:val="495965" w:themeColor="text2"/>
      <w:sz w:val="24"/>
      <w:szCs w:val="24"/>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b/>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val="0"/>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8C5A0E"/>
    <w:rPr>
      <w:color w:val="495965" w:themeColor="text2"/>
      <w:sz w:val="12"/>
      <w:szCs w:val="20"/>
    </w:rPr>
  </w:style>
  <w:style w:type="character" w:styleId="FootnoteReference">
    <w:name w:val="footnote reference"/>
    <w:aliases w:val="Normal + Font:9 Point,Superscript 3 Point Times"/>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basedOn w:val="Normal"/>
    <w:uiPriority w:val="34"/>
    <w:qFormat/>
    <w:locked/>
    <w:rsid w:val="00A32858"/>
    <w:pPr>
      <w:ind w:left="720"/>
      <w:contextualSpacing/>
    </w:pPr>
  </w:style>
  <w:style w:type="paragraph" w:styleId="ListBullet">
    <w:name w:val="List Bullet"/>
    <w:basedOn w:val="BodyText"/>
    <w:qFormat/>
    <w:locked/>
    <w:rsid w:val="00A32858"/>
    <w:pPr>
      <w:numPr>
        <w:numId w:val="11"/>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character" w:styleId="FollowedHyperlink">
    <w:name w:val="FollowedHyperlink"/>
    <w:basedOn w:val="DefaultParagraphFont"/>
    <w:uiPriority w:val="99"/>
    <w:semiHidden/>
    <w:unhideWhenUsed/>
    <w:rsid w:val="001F439D"/>
    <w:rPr>
      <w:color w:val="800080" w:themeColor="followedHyperlink"/>
      <w:u w:val="single"/>
    </w:rPr>
  </w:style>
  <w:style w:type="paragraph" w:styleId="Revision">
    <w:name w:val="Revision"/>
    <w:hidden/>
    <w:uiPriority w:val="99"/>
    <w:semiHidden/>
    <w:rsid w:val="00A179C8"/>
    <w:pPr>
      <w:spacing w:after="0" w:line="240" w:lineRule="auto"/>
    </w:pPr>
    <w:rPr>
      <w:color w:val="495965" w:themeColor="text2"/>
      <w:lang w:val="en-GB"/>
    </w:rPr>
  </w:style>
  <w:style w:type="paragraph" w:customStyle="1" w:styleId="Default">
    <w:name w:val="Default"/>
    <w:rsid w:val="00C50C07"/>
    <w:pPr>
      <w:autoSpaceDE w:val="0"/>
      <w:autoSpaceDN w:val="0"/>
      <w:adjustRightInd w:val="0"/>
      <w:spacing w:after="0" w:line="240" w:lineRule="auto"/>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2525">
      <w:bodyDiv w:val="1"/>
      <w:marLeft w:val="0"/>
      <w:marRight w:val="0"/>
      <w:marTop w:val="0"/>
      <w:marBottom w:val="0"/>
      <w:divBdr>
        <w:top w:val="none" w:sz="0" w:space="0" w:color="auto"/>
        <w:left w:val="none" w:sz="0" w:space="0" w:color="auto"/>
        <w:bottom w:val="none" w:sz="0" w:space="0" w:color="auto"/>
        <w:right w:val="none" w:sz="0" w:space="0" w:color="auto"/>
      </w:divBdr>
    </w:div>
    <w:div w:id="125004059">
      <w:bodyDiv w:val="1"/>
      <w:marLeft w:val="0"/>
      <w:marRight w:val="0"/>
      <w:marTop w:val="0"/>
      <w:marBottom w:val="0"/>
      <w:divBdr>
        <w:top w:val="none" w:sz="0" w:space="0" w:color="auto"/>
        <w:left w:val="none" w:sz="0" w:space="0" w:color="auto"/>
        <w:bottom w:val="none" w:sz="0" w:space="0" w:color="auto"/>
        <w:right w:val="none" w:sz="0" w:space="0" w:color="auto"/>
      </w:divBdr>
    </w:div>
    <w:div w:id="411049495">
      <w:bodyDiv w:val="1"/>
      <w:marLeft w:val="0"/>
      <w:marRight w:val="0"/>
      <w:marTop w:val="0"/>
      <w:marBottom w:val="0"/>
      <w:divBdr>
        <w:top w:val="none" w:sz="0" w:space="0" w:color="auto"/>
        <w:left w:val="none" w:sz="0" w:space="0" w:color="auto"/>
        <w:bottom w:val="none" w:sz="0" w:space="0" w:color="auto"/>
        <w:right w:val="none" w:sz="0" w:space="0" w:color="auto"/>
      </w:divBdr>
    </w:div>
    <w:div w:id="1312324784">
      <w:bodyDiv w:val="1"/>
      <w:marLeft w:val="0"/>
      <w:marRight w:val="0"/>
      <w:marTop w:val="0"/>
      <w:marBottom w:val="0"/>
      <w:divBdr>
        <w:top w:val="none" w:sz="0" w:space="0" w:color="auto"/>
        <w:left w:val="none" w:sz="0" w:space="0" w:color="auto"/>
        <w:bottom w:val="none" w:sz="0" w:space="0" w:color="auto"/>
        <w:right w:val="none" w:sz="0" w:space="0" w:color="auto"/>
      </w:divBdr>
    </w:div>
    <w:div w:id="1328250154">
      <w:bodyDiv w:val="1"/>
      <w:marLeft w:val="0"/>
      <w:marRight w:val="0"/>
      <w:marTop w:val="0"/>
      <w:marBottom w:val="0"/>
      <w:divBdr>
        <w:top w:val="none" w:sz="0" w:space="0" w:color="auto"/>
        <w:left w:val="none" w:sz="0" w:space="0" w:color="auto"/>
        <w:bottom w:val="none" w:sz="0" w:space="0" w:color="auto"/>
        <w:right w:val="none" w:sz="0" w:space="0" w:color="auto"/>
      </w:divBdr>
    </w:div>
    <w:div w:id="1470589181">
      <w:bodyDiv w:val="1"/>
      <w:marLeft w:val="0"/>
      <w:marRight w:val="0"/>
      <w:marTop w:val="0"/>
      <w:marBottom w:val="0"/>
      <w:divBdr>
        <w:top w:val="none" w:sz="0" w:space="0" w:color="auto"/>
        <w:left w:val="none" w:sz="0" w:space="0" w:color="auto"/>
        <w:bottom w:val="none" w:sz="0" w:space="0" w:color="auto"/>
        <w:right w:val="none" w:sz="0" w:space="0" w:color="auto"/>
      </w:divBdr>
    </w:div>
    <w:div w:id="1722709818">
      <w:bodyDiv w:val="1"/>
      <w:marLeft w:val="0"/>
      <w:marRight w:val="0"/>
      <w:marTop w:val="0"/>
      <w:marBottom w:val="0"/>
      <w:divBdr>
        <w:top w:val="none" w:sz="0" w:space="0" w:color="auto"/>
        <w:left w:val="none" w:sz="0" w:space="0" w:color="auto"/>
        <w:bottom w:val="none" w:sz="0" w:space="0" w:color="auto"/>
        <w:right w:val="none" w:sz="0" w:space="0" w:color="auto"/>
      </w:divBdr>
    </w:div>
    <w:div w:id="1846746900">
      <w:bodyDiv w:val="1"/>
      <w:marLeft w:val="0"/>
      <w:marRight w:val="0"/>
      <w:marTop w:val="0"/>
      <w:marBottom w:val="0"/>
      <w:divBdr>
        <w:top w:val="none" w:sz="0" w:space="0" w:color="auto"/>
        <w:left w:val="none" w:sz="0" w:space="0" w:color="auto"/>
        <w:bottom w:val="none" w:sz="0" w:space="0" w:color="auto"/>
        <w:right w:val="none" w:sz="0" w:space="0" w:color="auto"/>
      </w:divBdr>
    </w:div>
    <w:div w:id="1914047352">
      <w:bodyDiv w:val="1"/>
      <w:marLeft w:val="0"/>
      <w:marRight w:val="0"/>
      <w:marTop w:val="0"/>
      <w:marBottom w:val="0"/>
      <w:divBdr>
        <w:top w:val="none" w:sz="0" w:space="0" w:color="auto"/>
        <w:left w:val="none" w:sz="0" w:space="0" w:color="auto"/>
        <w:bottom w:val="none" w:sz="0" w:space="0" w:color="auto"/>
        <w:right w:val="none" w:sz="0" w:space="0" w:color="auto"/>
      </w:divBdr>
    </w:div>
    <w:div w:id="2075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70C8E-C58E-471A-BB20-830DF38C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1577</Words>
  <Characters>9390</Characters>
  <Application>Microsoft Office Word</Application>
  <DocSecurity>0</DocSecurity>
  <Lines>306</Lines>
  <Paragraphs>107</Paragraphs>
  <ScaleCrop>false</ScaleCrop>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Humanitarian Logistics Capability Mid-Term Review 2022 Management Response</dc:title>
  <dc:subject/>
  <dc:creator/>
  <cp:keywords>[SEC=OFFICIAL:Sensitive]</cp:keywords>
  <dc:description/>
  <cp:lastModifiedBy/>
  <cp:revision>1</cp:revision>
  <dcterms:created xsi:type="dcterms:W3CDTF">2023-01-26T22:28:00Z</dcterms:created>
  <dcterms:modified xsi:type="dcterms:W3CDTF">2023-01-26T22:28:00Z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OFFICIAL:Sensitive</vt:lpwstr>
  </property>
  <property fmtid="{D5CDD505-2E9C-101B-9397-08002B2CF9AE}" pid="5" name="PM_Qualifier">
    <vt:lpwstr/>
  </property>
  <property fmtid="{D5CDD505-2E9C-101B-9397-08002B2CF9AE}" pid="6" name="PM_DisplayValueSecClassificationWithQualifier">
    <vt:lpwstr>OFFICIAL: Sensitive</vt:lpwstr>
  </property>
  <property fmtid="{D5CDD505-2E9C-101B-9397-08002B2CF9AE}" pid="7" name="PM_InsertionValue">
    <vt:lpwstr>OFFICIAL: Sensitive</vt:lpwstr>
  </property>
  <property fmtid="{D5CDD505-2E9C-101B-9397-08002B2CF9AE}" pid="8" name="PM_Originator_Hash_SHA1">
    <vt:lpwstr>147BDA1C70C086A9F81A77E6FE179F82ED42EC5D</vt:lpwstr>
  </property>
  <property fmtid="{D5CDD505-2E9C-101B-9397-08002B2CF9AE}" pid="9" name="PM_Originating_FileId">
    <vt:lpwstr>F67C8732F14446A08EEC8B0D9A72D2E1</vt:lpwstr>
  </property>
  <property fmtid="{D5CDD505-2E9C-101B-9397-08002B2CF9AE}" pid="10" name="PM_ProtectiveMarkingValue_Footer">
    <vt:lpwstr>OFFICIAL: Sensitive</vt:lpwstr>
  </property>
  <property fmtid="{D5CDD505-2E9C-101B-9397-08002B2CF9AE}" pid="11" name="PM_ProtectiveMarkingValue_Header">
    <vt:lpwstr>OFFICIAL: Sensitive</vt:lpwstr>
  </property>
  <property fmtid="{D5CDD505-2E9C-101B-9397-08002B2CF9AE}" pid="12" name="PM_OriginationTimeStamp">
    <vt:lpwstr>2023-01-26T22:28:14Z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C554CC823AB80258CABD5C7996D7747F</vt:lpwstr>
  </property>
  <property fmtid="{D5CDD505-2E9C-101B-9397-08002B2CF9AE}" pid="20" name="PM_Hash_Salt">
    <vt:lpwstr>C2FA59B6F4B60F528AF38E34B4C8D541</vt:lpwstr>
  </property>
  <property fmtid="{D5CDD505-2E9C-101B-9397-08002B2CF9AE}" pid="21" name="PM_Hash_SHA1">
    <vt:lpwstr>7F9F190D02F560F698A58BF3B716AFB73E06C86C</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PM_Display">
    <vt:lpwstr>OFFICIAL: Sensitive</vt:lpwstr>
  </property>
  <property fmtid="{D5CDD505-2E9C-101B-9397-08002B2CF9AE}" pid="25" name="PM_OriginatorUserAccountName_SHA256">
    <vt:lpwstr>61DF37F305778EEFEC3DEF440A7A7FE067A7817CEFD90AC3C27908DBA8611FA7</vt:lpwstr>
  </property>
  <property fmtid="{D5CDD505-2E9C-101B-9397-08002B2CF9AE}" pid="26" name="PM_OriginatorDomainName_SHA256">
    <vt:lpwstr>6F3591835F3B2A8A025B00B5BA6418010DA3A17C9C26EA9C049FFD28039489A2</vt:lpwstr>
  </property>
  <property fmtid="{D5CDD505-2E9C-101B-9397-08002B2CF9AE}" pid="27" name="PMUuid">
    <vt:lpwstr>EE98687A-19B3-51E0-A29A-CB59B2B324BA</vt:lpwstr>
  </property>
  <property fmtid="{D5CDD505-2E9C-101B-9397-08002B2CF9AE}" pid="28" name="PMUuidVer">
    <vt:lpwstr>2022.1</vt:lpwstr>
  </property>
</Properties>
</file>