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C414" w14:textId="7B89B76D" w:rsidR="00707E31" w:rsidRDefault="00707E31" w:rsidP="00707E31">
      <w:pPr>
        <w:spacing w:line="276" w:lineRule="auto"/>
        <w:rPr>
          <w:b/>
          <w:bCs/>
          <w:color w:val="FF0000"/>
        </w:rPr>
      </w:pPr>
    </w:p>
    <w:p w14:paraId="18118235" w14:textId="77777777" w:rsidR="00D22821" w:rsidRDefault="00D22821" w:rsidP="00707E31">
      <w:pPr>
        <w:spacing w:line="276" w:lineRule="auto"/>
        <w:jc w:val="center"/>
        <w:rPr>
          <w:b/>
          <w:bCs/>
          <w:sz w:val="28"/>
          <w:szCs w:val="28"/>
          <w:u w:val="single"/>
        </w:rPr>
      </w:pPr>
      <w:r>
        <w:rPr>
          <w:b/>
          <w:bCs/>
          <w:sz w:val="28"/>
          <w:szCs w:val="28"/>
          <w:u w:val="single"/>
        </w:rPr>
        <w:t>International Finance Corporation</w:t>
      </w:r>
      <w:r w:rsidR="00707E31" w:rsidRPr="00707E31">
        <w:rPr>
          <w:b/>
          <w:bCs/>
          <w:sz w:val="28"/>
          <w:szCs w:val="28"/>
          <w:u w:val="single"/>
        </w:rPr>
        <w:t xml:space="preserve"> </w:t>
      </w:r>
    </w:p>
    <w:p w14:paraId="6D4ECEED" w14:textId="5B6A2EA0" w:rsidR="00707E31" w:rsidRPr="00707E31" w:rsidRDefault="00707E31" w:rsidP="00707E31">
      <w:pPr>
        <w:spacing w:line="276" w:lineRule="auto"/>
        <w:jc w:val="center"/>
        <w:rPr>
          <w:b/>
          <w:bCs/>
          <w:sz w:val="28"/>
          <w:szCs w:val="28"/>
          <w:u w:val="single"/>
        </w:rPr>
      </w:pPr>
      <w:r w:rsidRPr="006F79EB">
        <w:rPr>
          <w:b/>
          <w:bCs/>
          <w:sz w:val="28"/>
          <w:szCs w:val="28"/>
          <w:u w:val="single"/>
        </w:rPr>
        <w:t>Mid Term Review</w:t>
      </w:r>
      <w:r w:rsidR="0084620D">
        <w:rPr>
          <w:b/>
          <w:bCs/>
          <w:sz w:val="28"/>
          <w:szCs w:val="28"/>
          <w:u w:val="single"/>
        </w:rPr>
        <w:t>, July 2021</w:t>
      </w:r>
    </w:p>
    <w:p w14:paraId="75E9F065" w14:textId="56FA7A0F" w:rsidR="00C35AF1" w:rsidRDefault="00707E31" w:rsidP="00D22821">
      <w:pPr>
        <w:spacing w:line="276" w:lineRule="auto"/>
        <w:jc w:val="center"/>
        <w:rPr>
          <w:b/>
          <w:bCs/>
          <w:sz w:val="28"/>
          <w:szCs w:val="28"/>
          <w:u w:val="single"/>
        </w:rPr>
      </w:pPr>
      <w:r w:rsidRPr="00707E31">
        <w:rPr>
          <w:b/>
          <w:bCs/>
          <w:sz w:val="28"/>
          <w:szCs w:val="28"/>
          <w:u w:val="single"/>
        </w:rPr>
        <w:t xml:space="preserve">AHC Management Responses </w:t>
      </w:r>
      <w:r w:rsidR="00D22821">
        <w:rPr>
          <w:b/>
          <w:bCs/>
          <w:sz w:val="28"/>
          <w:szCs w:val="28"/>
          <w:u w:val="single"/>
        </w:rPr>
        <w:t xml:space="preserve">- </w:t>
      </w:r>
      <w:r w:rsidR="00F943D5">
        <w:rPr>
          <w:b/>
          <w:bCs/>
          <w:sz w:val="28"/>
          <w:szCs w:val="28"/>
          <w:u w:val="single"/>
        </w:rPr>
        <w:t>March</w:t>
      </w:r>
      <w:r w:rsidRPr="00707E31">
        <w:rPr>
          <w:b/>
          <w:bCs/>
          <w:sz w:val="28"/>
          <w:szCs w:val="28"/>
          <w:u w:val="single"/>
        </w:rPr>
        <w:t xml:space="preserve"> 2022</w:t>
      </w:r>
    </w:p>
    <w:p w14:paraId="23200D47" w14:textId="77777777" w:rsidR="00286B4B" w:rsidRPr="00707E31" w:rsidRDefault="00286B4B" w:rsidP="00286B4B">
      <w:pPr>
        <w:spacing w:line="276" w:lineRule="auto"/>
        <w:rPr>
          <w:b/>
          <w:bCs/>
          <w:sz w:val="28"/>
          <w:szCs w:val="28"/>
          <w:u w:val="single"/>
        </w:rPr>
      </w:pPr>
    </w:p>
    <w:tbl>
      <w:tblPr>
        <w:tblStyle w:val="TableGrid"/>
        <w:tblW w:w="22108" w:type="dxa"/>
        <w:tblLayout w:type="fixed"/>
        <w:tblLook w:val="04A0" w:firstRow="1" w:lastRow="0" w:firstColumn="1" w:lastColumn="0" w:noHBand="0" w:noVBand="1"/>
      </w:tblPr>
      <w:tblGrid>
        <w:gridCol w:w="421"/>
        <w:gridCol w:w="6662"/>
        <w:gridCol w:w="1984"/>
        <w:gridCol w:w="6096"/>
        <w:gridCol w:w="5244"/>
        <w:gridCol w:w="1701"/>
      </w:tblGrid>
      <w:tr w:rsidR="00FD01C6" w14:paraId="292418FF" w14:textId="73DF8315" w:rsidTr="002C0DAC">
        <w:trPr>
          <w:tblHeader/>
        </w:trPr>
        <w:tc>
          <w:tcPr>
            <w:tcW w:w="421" w:type="dxa"/>
            <w:shd w:val="pct55" w:color="auto" w:fill="auto"/>
          </w:tcPr>
          <w:p w14:paraId="15A3FDE9" w14:textId="77777777" w:rsidR="00FD01C6" w:rsidRPr="004122C4" w:rsidRDefault="00FD01C6" w:rsidP="00707E31">
            <w:pPr>
              <w:spacing w:line="276" w:lineRule="auto"/>
              <w:rPr>
                <w:b/>
                <w:bCs/>
              </w:rPr>
            </w:pPr>
          </w:p>
        </w:tc>
        <w:tc>
          <w:tcPr>
            <w:tcW w:w="6662" w:type="dxa"/>
            <w:shd w:val="pct55" w:color="auto" w:fill="auto"/>
          </w:tcPr>
          <w:p w14:paraId="4F509A00" w14:textId="2F2C36BC" w:rsidR="00FD01C6" w:rsidRPr="001E5D58" w:rsidRDefault="00FD01C6" w:rsidP="00707E31">
            <w:pPr>
              <w:spacing w:line="276" w:lineRule="auto"/>
              <w:rPr>
                <w:b/>
                <w:bCs/>
                <w:color w:val="FFFFFF" w:themeColor="background1"/>
                <w:sz w:val="32"/>
                <w:szCs w:val="32"/>
              </w:rPr>
            </w:pPr>
            <w:r w:rsidRPr="001E5D58">
              <w:rPr>
                <w:b/>
                <w:bCs/>
                <w:color w:val="FFFFFF" w:themeColor="background1"/>
                <w:sz w:val="32"/>
                <w:szCs w:val="32"/>
              </w:rPr>
              <w:t>Recommendation</w:t>
            </w:r>
          </w:p>
        </w:tc>
        <w:tc>
          <w:tcPr>
            <w:tcW w:w="1984" w:type="dxa"/>
            <w:shd w:val="pct55" w:color="auto" w:fill="auto"/>
          </w:tcPr>
          <w:p w14:paraId="6230E157" w14:textId="43462A44" w:rsidR="00FD01C6" w:rsidRPr="001E5D58" w:rsidRDefault="00FD01C6" w:rsidP="00707E31">
            <w:pPr>
              <w:spacing w:line="276" w:lineRule="auto"/>
              <w:rPr>
                <w:b/>
                <w:bCs/>
                <w:color w:val="FFFFFF" w:themeColor="background1"/>
                <w:sz w:val="32"/>
                <w:szCs w:val="32"/>
              </w:rPr>
            </w:pPr>
            <w:r w:rsidRPr="001E5D58">
              <w:rPr>
                <w:b/>
                <w:bCs/>
                <w:color w:val="FFFFFF" w:themeColor="background1"/>
                <w:sz w:val="32"/>
                <w:szCs w:val="32"/>
              </w:rPr>
              <w:t>Response</w:t>
            </w:r>
          </w:p>
        </w:tc>
        <w:tc>
          <w:tcPr>
            <w:tcW w:w="6096" w:type="dxa"/>
            <w:shd w:val="pct55" w:color="auto" w:fill="auto"/>
          </w:tcPr>
          <w:p w14:paraId="0841C3AA" w14:textId="5FBFD960" w:rsidR="00FD01C6" w:rsidRPr="001E5D58" w:rsidRDefault="00FD01C6" w:rsidP="00707E31">
            <w:pPr>
              <w:spacing w:line="276" w:lineRule="auto"/>
              <w:rPr>
                <w:b/>
                <w:bCs/>
                <w:color w:val="FFFFFF" w:themeColor="background1"/>
                <w:sz w:val="32"/>
                <w:szCs w:val="32"/>
              </w:rPr>
            </w:pPr>
            <w:r w:rsidRPr="001E5D58">
              <w:rPr>
                <w:b/>
                <w:bCs/>
                <w:color w:val="FFFFFF" w:themeColor="background1"/>
                <w:sz w:val="32"/>
                <w:szCs w:val="32"/>
              </w:rPr>
              <w:t xml:space="preserve">Explanation </w:t>
            </w:r>
          </w:p>
        </w:tc>
        <w:tc>
          <w:tcPr>
            <w:tcW w:w="5244" w:type="dxa"/>
            <w:shd w:val="pct55" w:color="auto" w:fill="auto"/>
          </w:tcPr>
          <w:p w14:paraId="14991D38" w14:textId="6E725DE9" w:rsidR="00FD01C6" w:rsidRPr="001E5D58" w:rsidRDefault="00FD01C6" w:rsidP="00707E31">
            <w:pPr>
              <w:spacing w:line="276" w:lineRule="auto"/>
              <w:rPr>
                <w:b/>
                <w:bCs/>
                <w:color w:val="FFFFFF" w:themeColor="background1"/>
                <w:sz w:val="32"/>
                <w:szCs w:val="32"/>
              </w:rPr>
            </w:pPr>
            <w:r>
              <w:rPr>
                <w:b/>
                <w:bCs/>
                <w:color w:val="FFFFFF" w:themeColor="background1"/>
                <w:sz w:val="32"/>
                <w:szCs w:val="32"/>
              </w:rPr>
              <w:t>Action Plan</w:t>
            </w:r>
            <w:r w:rsidR="002304F5">
              <w:rPr>
                <w:b/>
                <w:bCs/>
                <w:color w:val="FFFFFF" w:themeColor="background1"/>
                <w:sz w:val="32"/>
                <w:szCs w:val="32"/>
              </w:rPr>
              <w:t xml:space="preserve"> </w:t>
            </w:r>
          </w:p>
        </w:tc>
        <w:tc>
          <w:tcPr>
            <w:tcW w:w="1701" w:type="dxa"/>
            <w:shd w:val="pct55" w:color="auto" w:fill="auto"/>
          </w:tcPr>
          <w:p w14:paraId="60B4A826" w14:textId="0DDFB880" w:rsidR="00FD01C6" w:rsidRDefault="00FD01C6" w:rsidP="00707E31">
            <w:pPr>
              <w:spacing w:line="276" w:lineRule="auto"/>
              <w:rPr>
                <w:b/>
                <w:bCs/>
                <w:color w:val="FFFFFF" w:themeColor="background1"/>
                <w:sz w:val="32"/>
                <w:szCs w:val="32"/>
              </w:rPr>
            </w:pPr>
            <w:r>
              <w:rPr>
                <w:b/>
                <w:bCs/>
                <w:color w:val="FFFFFF" w:themeColor="background1"/>
                <w:sz w:val="32"/>
                <w:szCs w:val="32"/>
              </w:rPr>
              <w:t>Timeframe</w:t>
            </w:r>
          </w:p>
        </w:tc>
      </w:tr>
      <w:tr w:rsidR="00FD01C6" w14:paraId="4EE0C140" w14:textId="6CCA45AF" w:rsidTr="002C0DAC">
        <w:tc>
          <w:tcPr>
            <w:tcW w:w="421" w:type="dxa"/>
          </w:tcPr>
          <w:p w14:paraId="68DFAD20" w14:textId="5349C353" w:rsidR="00FD01C6" w:rsidRDefault="00FD01C6" w:rsidP="00707E31">
            <w:pPr>
              <w:spacing w:line="276" w:lineRule="auto"/>
            </w:pPr>
            <w:r>
              <w:t>1</w:t>
            </w:r>
          </w:p>
        </w:tc>
        <w:tc>
          <w:tcPr>
            <w:tcW w:w="6662" w:type="dxa"/>
          </w:tcPr>
          <w:p w14:paraId="443E8A1A" w14:textId="1080A4AB" w:rsidR="00FD01C6" w:rsidRPr="00A14784" w:rsidRDefault="00FD01C6" w:rsidP="00707E31">
            <w:pPr>
              <w:pStyle w:val="Default"/>
              <w:spacing w:line="276" w:lineRule="auto"/>
              <w:rPr>
                <w:b/>
                <w:bCs/>
                <w:sz w:val="22"/>
                <w:szCs w:val="22"/>
              </w:rPr>
            </w:pPr>
            <w:r>
              <w:rPr>
                <w:b/>
                <w:bCs/>
                <w:sz w:val="22"/>
                <w:szCs w:val="22"/>
              </w:rPr>
              <w:t xml:space="preserve">Recommendation 1: No-cost extension (12 months) </w:t>
            </w:r>
          </w:p>
          <w:p w14:paraId="5A9166AF" w14:textId="77777777" w:rsidR="00FD01C6" w:rsidRDefault="00FD01C6" w:rsidP="00707E31">
            <w:pPr>
              <w:spacing w:line="276" w:lineRule="auto"/>
              <w:jc w:val="both"/>
            </w:pPr>
            <w:r>
              <w:t xml:space="preserve">It is recommended that DFAT, MFAT and IFC agree to a no-cost extension to at least 30 June 2023 for the PNG Partnership. This would allow the partnership to respond to the substantial and ongoing delays created by the COVID-19 pandemic and to address the unallocated funding of the partnership budget. </w:t>
            </w:r>
          </w:p>
          <w:p w14:paraId="530AD784" w14:textId="45050328" w:rsidR="00FD01C6" w:rsidRDefault="00FD01C6" w:rsidP="00707E31">
            <w:pPr>
              <w:spacing w:line="276" w:lineRule="auto"/>
              <w:jc w:val="both"/>
            </w:pPr>
            <w:r>
              <w:t xml:space="preserve">However, before agreeing to this extension, the IFC should submit a detailed workplan for the Steering Committee’s approval outlining how each of the current partnership projects will be adjusted, where necessary. While this workplan may also outline the options of supporting new projects in the extension period, there would be challenges faced to ensure these are completed by 30 June 2023. </w:t>
            </w:r>
          </w:p>
          <w:p w14:paraId="27F2E130" w14:textId="171D1DBF" w:rsidR="00FD01C6" w:rsidRDefault="00FD01C6" w:rsidP="00707E31">
            <w:pPr>
              <w:spacing w:line="276" w:lineRule="auto"/>
              <w:jc w:val="both"/>
              <w:rPr>
                <w:b/>
                <w:bCs/>
                <w:i/>
                <w:iCs/>
              </w:rPr>
            </w:pPr>
            <w:r>
              <w:t xml:space="preserve">Thus, a period of no-cost extension would allow the partnership to take some difficult decisions regarding which sectors and markets to continue in and which to conclude. </w:t>
            </w:r>
          </w:p>
          <w:p w14:paraId="68019132" w14:textId="0BF85A45" w:rsidR="00FD01C6" w:rsidRPr="004122C4" w:rsidRDefault="00FD01C6" w:rsidP="00707E31">
            <w:pPr>
              <w:spacing w:line="276" w:lineRule="auto"/>
              <w:jc w:val="both"/>
              <w:rPr>
                <w:i/>
                <w:iCs/>
              </w:rPr>
            </w:pPr>
          </w:p>
        </w:tc>
        <w:tc>
          <w:tcPr>
            <w:tcW w:w="1984" w:type="dxa"/>
            <w:tcBorders>
              <w:bottom w:val="single" w:sz="4" w:space="0" w:color="auto"/>
            </w:tcBorders>
            <w:shd w:val="clear" w:color="auto" w:fill="A8D08D" w:themeFill="accent6" w:themeFillTint="99"/>
          </w:tcPr>
          <w:p w14:paraId="1F2C0C93" w14:textId="756932D6" w:rsidR="00FD01C6" w:rsidRDefault="00FD01C6" w:rsidP="00707E31">
            <w:pPr>
              <w:spacing w:line="276" w:lineRule="auto"/>
            </w:pPr>
            <w:r>
              <w:t>Agree</w:t>
            </w:r>
          </w:p>
        </w:tc>
        <w:tc>
          <w:tcPr>
            <w:tcW w:w="6096" w:type="dxa"/>
          </w:tcPr>
          <w:p w14:paraId="2C232D72" w14:textId="6B474507" w:rsidR="002304F5" w:rsidRDefault="002304F5" w:rsidP="00210892">
            <w:pPr>
              <w:widowControl w:val="0"/>
              <w:spacing w:before="120" w:after="120" w:line="276" w:lineRule="auto"/>
            </w:pPr>
            <w:r>
              <w:t>Given the significant impact of COVID-19 on IFC’s ability to expend funds and consequent delays in achieving development outcomes in the program, a no cost of extension of 12 months is appropriate. This will allow projects to finalise which have stalled due to COVID-19.</w:t>
            </w:r>
          </w:p>
          <w:p w14:paraId="77EB1BF8" w14:textId="17226022" w:rsidR="00FD01C6" w:rsidRDefault="00FD01C6" w:rsidP="002304F5">
            <w:pPr>
              <w:widowControl w:val="0"/>
              <w:spacing w:before="120" w:after="120" w:line="276" w:lineRule="auto"/>
            </w:pPr>
          </w:p>
        </w:tc>
        <w:tc>
          <w:tcPr>
            <w:tcW w:w="5244" w:type="dxa"/>
          </w:tcPr>
          <w:p w14:paraId="29B07FFB" w14:textId="4165E142" w:rsidR="002304F5" w:rsidRDefault="002304F5" w:rsidP="002304F5">
            <w:pPr>
              <w:pStyle w:val="ListParagraph"/>
              <w:widowControl w:val="0"/>
              <w:numPr>
                <w:ilvl w:val="0"/>
                <w:numId w:val="11"/>
              </w:numPr>
              <w:spacing w:before="120" w:after="120" w:line="276" w:lineRule="auto"/>
            </w:pPr>
            <w:r>
              <w:t>IFC to submit a detailed workplan.</w:t>
            </w:r>
          </w:p>
          <w:p w14:paraId="7C7F7904" w14:textId="73D9244F" w:rsidR="002304F5" w:rsidRDefault="002304F5" w:rsidP="002304F5">
            <w:pPr>
              <w:pStyle w:val="ListParagraph"/>
              <w:widowControl w:val="0"/>
              <w:numPr>
                <w:ilvl w:val="0"/>
                <w:numId w:val="11"/>
              </w:numPr>
              <w:spacing w:before="120" w:after="120" w:line="276" w:lineRule="auto"/>
            </w:pPr>
            <w:r>
              <w:t>DFAT to review and approve workplan (with Steering Committee members).</w:t>
            </w:r>
          </w:p>
          <w:p w14:paraId="0DDCA5B6" w14:textId="01CB2A0B" w:rsidR="002304F5" w:rsidRDefault="002304F5" w:rsidP="002304F5">
            <w:pPr>
              <w:pStyle w:val="ListParagraph"/>
              <w:widowControl w:val="0"/>
              <w:numPr>
                <w:ilvl w:val="0"/>
                <w:numId w:val="11"/>
              </w:numPr>
              <w:spacing w:before="120" w:after="120" w:line="276" w:lineRule="auto"/>
            </w:pPr>
            <w:r>
              <w:t>DFAT to progress a 12 month no cost extension to be signed at HOM level given the value of the agreement.</w:t>
            </w:r>
          </w:p>
          <w:p w14:paraId="737A572D" w14:textId="2859232E" w:rsidR="002304F5" w:rsidRDefault="002304F5" w:rsidP="002304F5">
            <w:pPr>
              <w:widowControl w:val="0"/>
              <w:spacing w:before="120" w:after="120" w:line="276" w:lineRule="auto"/>
            </w:pPr>
            <w:r>
              <w:t xml:space="preserve"> </w:t>
            </w:r>
          </w:p>
          <w:p w14:paraId="17E66AF3" w14:textId="12E09E66" w:rsidR="00FD01C6" w:rsidRDefault="00FD01C6" w:rsidP="00707E31">
            <w:pPr>
              <w:spacing w:before="120" w:after="120" w:line="276" w:lineRule="auto"/>
            </w:pPr>
          </w:p>
        </w:tc>
        <w:tc>
          <w:tcPr>
            <w:tcW w:w="1701" w:type="dxa"/>
          </w:tcPr>
          <w:p w14:paraId="26E049F4" w14:textId="14B74754" w:rsidR="00FD01C6" w:rsidRDefault="002304F5" w:rsidP="00707E31">
            <w:pPr>
              <w:spacing w:before="120" w:after="120" w:line="276" w:lineRule="auto"/>
            </w:pPr>
            <w:r>
              <w:t xml:space="preserve">March </w:t>
            </w:r>
            <w:r w:rsidR="003B0701">
              <w:t>2022</w:t>
            </w:r>
          </w:p>
        </w:tc>
      </w:tr>
      <w:tr w:rsidR="00FD01C6" w14:paraId="56446A5C" w14:textId="24B7B742" w:rsidTr="002C0DAC">
        <w:tc>
          <w:tcPr>
            <w:tcW w:w="421" w:type="dxa"/>
          </w:tcPr>
          <w:p w14:paraId="1F628387" w14:textId="4FD73320" w:rsidR="00FD01C6" w:rsidRDefault="00FD01C6" w:rsidP="00707E31">
            <w:pPr>
              <w:spacing w:line="276" w:lineRule="auto"/>
            </w:pPr>
            <w:r>
              <w:t>2</w:t>
            </w:r>
          </w:p>
        </w:tc>
        <w:tc>
          <w:tcPr>
            <w:tcW w:w="6662" w:type="dxa"/>
          </w:tcPr>
          <w:p w14:paraId="47A2C753" w14:textId="77777777" w:rsidR="00FD01C6" w:rsidRDefault="00FD01C6" w:rsidP="00707E31">
            <w:pPr>
              <w:pStyle w:val="Default"/>
              <w:spacing w:line="276" w:lineRule="auto"/>
              <w:rPr>
                <w:sz w:val="22"/>
                <w:szCs w:val="22"/>
              </w:rPr>
            </w:pPr>
            <w:r>
              <w:rPr>
                <w:b/>
                <w:bCs/>
                <w:sz w:val="22"/>
                <w:szCs w:val="22"/>
              </w:rPr>
              <w:t xml:space="preserve">Recommendation 2: Strengthen support for donor coordination </w:t>
            </w:r>
          </w:p>
          <w:p w14:paraId="132C4293" w14:textId="77777777" w:rsidR="00FD01C6" w:rsidRDefault="00FD01C6" w:rsidP="00707E31">
            <w:pPr>
              <w:spacing w:line="276" w:lineRule="auto"/>
            </w:pPr>
            <w:r>
              <w:t>It is recommended that DFAT and MFAT––as the donors of the PNG Partnership––consider the ways in which donor coordination in PSD in PNG can be improved. A critical starting point for this should be strategies to improve the sharing of program information with other donors and development agencies working on PSD. This may also involve further engagement with the PNG Government on this topic.</w:t>
            </w:r>
          </w:p>
          <w:p w14:paraId="215C8C44" w14:textId="2B666B39" w:rsidR="00FD01C6" w:rsidRPr="0047637F" w:rsidRDefault="00FD01C6" w:rsidP="00707E31">
            <w:pPr>
              <w:spacing w:line="276" w:lineRule="auto"/>
              <w:rPr>
                <w:i/>
                <w:iCs/>
              </w:rPr>
            </w:pPr>
          </w:p>
        </w:tc>
        <w:tc>
          <w:tcPr>
            <w:tcW w:w="1984" w:type="dxa"/>
            <w:shd w:val="clear" w:color="auto" w:fill="FFE599" w:themeFill="accent4" w:themeFillTint="66"/>
          </w:tcPr>
          <w:p w14:paraId="767DC559" w14:textId="18A33681" w:rsidR="00FD01C6" w:rsidRPr="00563BC4" w:rsidRDefault="00FD01C6" w:rsidP="00707E31">
            <w:pPr>
              <w:spacing w:line="276" w:lineRule="auto"/>
            </w:pPr>
            <w:r>
              <w:t>Agree in part</w:t>
            </w:r>
          </w:p>
        </w:tc>
        <w:tc>
          <w:tcPr>
            <w:tcW w:w="6096" w:type="dxa"/>
          </w:tcPr>
          <w:p w14:paraId="7973BE8D" w14:textId="16F0F2DF" w:rsidR="00FD01C6" w:rsidRDefault="00FD01C6" w:rsidP="00707E31">
            <w:pPr>
              <w:spacing w:before="120" w:after="120" w:line="276" w:lineRule="auto"/>
              <w:rPr>
                <w:color w:val="000000" w:themeColor="text1"/>
              </w:rPr>
            </w:pPr>
            <w:r>
              <w:rPr>
                <w:color w:val="000000" w:themeColor="text1"/>
              </w:rPr>
              <w:t xml:space="preserve">With a significant number of development partners in PNG, including in the private sector development sector, donor coordination is a longstanding issue. </w:t>
            </w:r>
          </w:p>
          <w:p w14:paraId="15C0B2AE" w14:textId="0DA10AEC" w:rsidR="00FD01C6" w:rsidRDefault="002304F5" w:rsidP="00707E31">
            <w:pPr>
              <w:spacing w:before="120" w:after="120" w:line="276" w:lineRule="auto"/>
              <w:rPr>
                <w:color w:val="000000" w:themeColor="text1"/>
              </w:rPr>
            </w:pPr>
            <w:r>
              <w:rPr>
                <w:color w:val="000000" w:themeColor="text1"/>
              </w:rPr>
              <w:t>DFAT supports</w:t>
            </w:r>
            <w:r w:rsidR="00FD01C6">
              <w:rPr>
                <w:color w:val="000000" w:themeColor="text1"/>
              </w:rPr>
              <w:t xml:space="preserve"> improved sharing of program information </w:t>
            </w:r>
            <w:r>
              <w:rPr>
                <w:color w:val="000000" w:themeColor="text1"/>
              </w:rPr>
              <w:t xml:space="preserve">across </w:t>
            </w:r>
            <w:r w:rsidR="00FD01C6">
              <w:rPr>
                <w:color w:val="000000" w:themeColor="text1"/>
              </w:rPr>
              <w:t xml:space="preserve">donors and development agencies working </w:t>
            </w:r>
            <w:r w:rsidR="00CD3DCD">
              <w:rPr>
                <w:color w:val="000000" w:themeColor="text1"/>
              </w:rPr>
              <w:t>in the</w:t>
            </w:r>
            <w:r w:rsidR="00FD01C6">
              <w:rPr>
                <w:color w:val="000000" w:themeColor="text1"/>
              </w:rPr>
              <w:t xml:space="preserve"> private sector development</w:t>
            </w:r>
            <w:r w:rsidR="00CD3DCD">
              <w:rPr>
                <w:color w:val="000000" w:themeColor="text1"/>
              </w:rPr>
              <w:t xml:space="preserve"> sphere</w:t>
            </w:r>
            <w:r w:rsidR="00FD01C6">
              <w:rPr>
                <w:color w:val="000000" w:themeColor="text1"/>
              </w:rPr>
              <w:t xml:space="preserve">. </w:t>
            </w:r>
          </w:p>
          <w:p w14:paraId="428B3431" w14:textId="3873E9D4" w:rsidR="002304F5" w:rsidRDefault="002304F5" w:rsidP="00707E31">
            <w:pPr>
              <w:spacing w:before="120" w:after="120" w:line="276" w:lineRule="auto"/>
              <w:rPr>
                <w:color w:val="000000" w:themeColor="text1"/>
              </w:rPr>
            </w:pPr>
            <w:r>
              <w:rPr>
                <w:color w:val="000000" w:themeColor="text1"/>
              </w:rPr>
              <w:t>Consistent with good practice, it is preferable that the PNG Government lead this coordination and Australia will continue to engage with PNG across this sphere.</w:t>
            </w:r>
          </w:p>
          <w:p w14:paraId="036B3978" w14:textId="23B818E9" w:rsidR="0089708F" w:rsidRDefault="00FD01C6" w:rsidP="00707E31">
            <w:pPr>
              <w:spacing w:before="120" w:after="120" w:line="276" w:lineRule="auto"/>
              <w:rPr>
                <w:color w:val="000000" w:themeColor="text1"/>
              </w:rPr>
            </w:pPr>
            <w:r>
              <w:rPr>
                <w:color w:val="000000" w:themeColor="text1"/>
              </w:rPr>
              <w:t xml:space="preserve">Notwithstanding </w:t>
            </w:r>
            <w:r w:rsidR="00A856A8">
              <w:rPr>
                <w:color w:val="000000" w:themeColor="text1"/>
              </w:rPr>
              <w:t>Australia’s commitment</w:t>
            </w:r>
            <w:r>
              <w:rPr>
                <w:color w:val="000000" w:themeColor="text1"/>
              </w:rPr>
              <w:t xml:space="preserve"> to improv</w:t>
            </w:r>
            <w:r w:rsidR="00A856A8">
              <w:rPr>
                <w:color w:val="000000" w:themeColor="text1"/>
              </w:rPr>
              <w:t>ing</w:t>
            </w:r>
            <w:r>
              <w:rPr>
                <w:color w:val="000000" w:themeColor="text1"/>
              </w:rPr>
              <w:t xml:space="preserve"> donor coordination in private sector development, it is a challenge that the Australian High Commission cannot solve alone g</w:t>
            </w:r>
            <w:r w:rsidRPr="0033653F">
              <w:rPr>
                <w:color w:val="000000" w:themeColor="text1"/>
              </w:rPr>
              <w:t xml:space="preserve">iven </w:t>
            </w:r>
            <w:r>
              <w:rPr>
                <w:color w:val="000000" w:themeColor="text1"/>
              </w:rPr>
              <w:t>the number of</w:t>
            </w:r>
            <w:r w:rsidR="00544338">
              <w:rPr>
                <w:color w:val="000000" w:themeColor="text1"/>
              </w:rPr>
              <w:t xml:space="preserve"> development</w:t>
            </w:r>
            <w:r w:rsidRPr="0033653F">
              <w:rPr>
                <w:color w:val="000000" w:themeColor="text1"/>
              </w:rPr>
              <w:t xml:space="preserve"> </w:t>
            </w:r>
            <w:r w:rsidR="00A856A8">
              <w:rPr>
                <w:color w:val="000000" w:themeColor="text1"/>
              </w:rPr>
              <w:t>partners</w:t>
            </w:r>
            <w:r>
              <w:rPr>
                <w:color w:val="000000" w:themeColor="text1"/>
              </w:rPr>
              <w:t xml:space="preserve"> in PNG. We will however, seek to </w:t>
            </w:r>
            <w:r w:rsidR="00851434">
              <w:rPr>
                <w:color w:val="000000" w:themeColor="text1"/>
              </w:rPr>
              <w:t>pursue mechanisms</w:t>
            </w:r>
            <w:r>
              <w:rPr>
                <w:color w:val="000000" w:themeColor="text1"/>
              </w:rPr>
              <w:t xml:space="preserve"> to improve coordination where</w:t>
            </w:r>
            <w:r w:rsidR="00A856A8">
              <w:rPr>
                <w:color w:val="000000" w:themeColor="text1"/>
              </w:rPr>
              <w:t>ver feasible</w:t>
            </w:r>
            <w:r>
              <w:rPr>
                <w:color w:val="000000" w:themeColor="text1"/>
              </w:rPr>
              <w:t xml:space="preserve">. </w:t>
            </w:r>
          </w:p>
          <w:p w14:paraId="3AF9D1C3" w14:textId="77777777" w:rsidR="0089708F" w:rsidRDefault="0089708F" w:rsidP="00707E31">
            <w:pPr>
              <w:spacing w:before="120" w:after="120" w:line="276" w:lineRule="auto"/>
              <w:rPr>
                <w:color w:val="000000" w:themeColor="text1"/>
              </w:rPr>
            </w:pPr>
          </w:p>
          <w:p w14:paraId="5208CD75" w14:textId="7103D470" w:rsidR="000F1F52" w:rsidRPr="0033653F" w:rsidRDefault="000F1F52" w:rsidP="00707E31">
            <w:pPr>
              <w:spacing w:before="120" w:after="120" w:line="276" w:lineRule="auto"/>
              <w:rPr>
                <w:color w:val="000000" w:themeColor="text1"/>
              </w:rPr>
            </w:pPr>
          </w:p>
        </w:tc>
        <w:tc>
          <w:tcPr>
            <w:tcW w:w="5244" w:type="dxa"/>
          </w:tcPr>
          <w:p w14:paraId="01817BB4" w14:textId="25B4D79F" w:rsidR="002304F5" w:rsidRPr="002304F5" w:rsidRDefault="002304F5" w:rsidP="002304F5">
            <w:pPr>
              <w:pStyle w:val="ListParagraph"/>
              <w:numPr>
                <w:ilvl w:val="0"/>
                <w:numId w:val="13"/>
              </w:numPr>
              <w:spacing w:before="120" w:after="120" w:line="276" w:lineRule="auto"/>
              <w:rPr>
                <w:color w:val="000000" w:themeColor="text1"/>
              </w:rPr>
            </w:pPr>
            <w:r w:rsidRPr="002304F5">
              <w:rPr>
                <w:color w:val="000000" w:themeColor="text1"/>
              </w:rPr>
              <w:t xml:space="preserve">Post </w:t>
            </w:r>
            <w:r>
              <w:rPr>
                <w:color w:val="000000" w:themeColor="text1"/>
              </w:rPr>
              <w:t xml:space="preserve">to </w:t>
            </w:r>
            <w:r w:rsidRPr="002304F5">
              <w:rPr>
                <w:color w:val="000000" w:themeColor="text1"/>
              </w:rPr>
              <w:t xml:space="preserve">host a </w:t>
            </w:r>
            <w:r>
              <w:rPr>
                <w:color w:val="000000" w:themeColor="text1"/>
              </w:rPr>
              <w:t xml:space="preserve">Private Sector and Rural Development </w:t>
            </w:r>
            <w:r w:rsidRPr="002304F5">
              <w:rPr>
                <w:color w:val="000000" w:themeColor="text1"/>
              </w:rPr>
              <w:t xml:space="preserve">Partners forum for </w:t>
            </w:r>
            <w:r>
              <w:rPr>
                <w:color w:val="000000" w:themeColor="text1"/>
              </w:rPr>
              <w:t>AHC programs</w:t>
            </w:r>
            <w:r w:rsidRPr="002304F5">
              <w:rPr>
                <w:color w:val="000000" w:themeColor="text1"/>
              </w:rPr>
              <w:t xml:space="preserve"> in the </w:t>
            </w:r>
            <w:r>
              <w:rPr>
                <w:color w:val="000000" w:themeColor="text1"/>
              </w:rPr>
              <w:t>Economics section</w:t>
            </w:r>
            <w:r w:rsidRPr="002304F5">
              <w:rPr>
                <w:color w:val="000000" w:themeColor="text1"/>
              </w:rPr>
              <w:t xml:space="preserve"> to provide an overview in 2021 and to share key lessons learned.</w:t>
            </w:r>
          </w:p>
          <w:p w14:paraId="7D2A5A71" w14:textId="25C0BF29" w:rsidR="00FD01C6" w:rsidRDefault="002304F5" w:rsidP="00707E31">
            <w:pPr>
              <w:pStyle w:val="ListParagraph"/>
              <w:numPr>
                <w:ilvl w:val="0"/>
                <w:numId w:val="12"/>
              </w:numPr>
              <w:spacing w:before="120" w:after="120" w:line="276" w:lineRule="auto"/>
              <w:rPr>
                <w:color w:val="000000" w:themeColor="text1"/>
              </w:rPr>
            </w:pPr>
            <w:r>
              <w:rPr>
                <w:color w:val="000000" w:themeColor="text1"/>
              </w:rPr>
              <w:t xml:space="preserve">DFAT to work with PNG to cohost a </w:t>
            </w:r>
            <w:r w:rsidR="00242C1D" w:rsidRPr="002304F5">
              <w:rPr>
                <w:color w:val="000000" w:themeColor="text1"/>
              </w:rPr>
              <w:t>Development Partners</w:t>
            </w:r>
            <w:r w:rsidR="00844E2A" w:rsidRPr="002304F5">
              <w:rPr>
                <w:color w:val="000000" w:themeColor="text1"/>
              </w:rPr>
              <w:t xml:space="preserve"> forum in 2022 with development partners </w:t>
            </w:r>
            <w:r w:rsidR="004359F8" w:rsidRPr="002304F5">
              <w:rPr>
                <w:color w:val="000000" w:themeColor="text1"/>
              </w:rPr>
              <w:t>to share lessons learned and ways to improve donor coordination.</w:t>
            </w:r>
          </w:p>
          <w:p w14:paraId="0A4152DA" w14:textId="3489A191" w:rsidR="003B0701" w:rsidRPr="002304F5" w:rsidRDefault="003B0701" w:rsidP="00707E31">
            <w:pPr>
              <w:pStyle w:val="ListParagraph"/>
              <w:numPr>
                <w:ilvl w:val="0"/>
                <w:numId w:val="12"/>
              </w:numPr>
              <w:spacing w:before="120" w:after="120" w:line="276" w:lineRule="auto"/>
              <w:rPr>
                <w:color w:val="000000" w:themeColor="text1"/>
              </w:rPr>
            </w:pPr>
            <w:r w:rsidRPr="002304F5">
              <w:rPr>
                <w:color w:val="000000" w:themeColor="text1"/>
              </w:rPr>
              <w:t xml:space="preserve">Australia’s new Economic Partnership </w:t>
            </w:r>
            <w:r w:rsidR="002304F5">
              <w:rPr>
                <w:color w:val="000000" w:themeColor="text1"/>
              </w:rPr>
              <w:t>to</w:t>
            </w:r>
            <w:r w:rsidRPr="002304F5">
              <w:rPr>
                <w:color w:val="000000" w:themeColor="text1"/>
              </w:rPr>
              <w:t xml:space="preserve"> explore opportunities to improve donor coordination through regular </w:t>
            </w:r>
            <w:r w:rsidR="001133F1" w:rsidRPr="002304F5">
              <w:rPr>
                <w:color w:val="000000" w:themeColor="text1"/>
              </w:rPr>
              <w:t>dialogue</w:t>
            </w:r>
            <w:r w:rsidRPr="002304F5">
              <w:rPr>
                <w:color w:val="000000" w:themeColor="text1"/>
              </w:rPr>
              <w:t xml:space="preserve"> with other donors where key members of the PNG Government will be invited to enhance our engagement. </w:t>
            </w:r>
          </w:p>
          <w:p w14:paraId="2AA06792" w14:textId="1BEA80C9" w:rsidR="004359F8" w:rsidRDefault="004359F8" w:rsidP="00707E31">
            <w:pPr>
              <w:spacing w:before="120" w:after="120" w:line="276" w:lineRule="auto"/>
              <w:rPr>
                <w:color w:val="000000" w:themeColor="text1"/>
              </w:rPr>
            </w:pPr>
          </w:p>
        </w:tc>
        <w:tc>
          <w:tcPr>
            <w:tcW w:w="1701" w:type="dxa"/>
          </w:tcPr>
          <w:p w14:paraId="36FE2B1B" w14:textId="68F8EEE4" w:rsidR="00FD01C6" w:rsidRDefault="001B704C" w:rsidP="00707E31">
            <w:pPr>
              <w:spacing w:before="120" w:after="120" w:line="276" w:lineRule="auto"/>
              <w:rPr>
                <w:color w:val="000000" w:themeColor="text1"/>
              </w:rPr>
            </w:pPr>
            <w:r>
              <w:rPr>
                <w:color w:val="000000" w:themeColor="text1"/>
              </w:rPr>
              <w:t>Ongoing</w:t>
            </w:r>
          </w:p>
        </w:tc>
      </w:tr>
      <w:tr w:rsidR="00FD01C6" w14:paraId="4B6844DD" w14:textId="4A3D4A93" w:rsidTr="002C0DAC">
        <w:tc>
          <w:tcPr>
            <w:tcW w:w="421" w:type="dxa"/>
          </w:tcPr>
          <w:p w14:paraId="19B12C9B" w14:textId="0DD122A7" w:rsidR="00FD01C6" w:rsidRDefault="00FD01C6" w:rsidP="00707E31">
            <w:pPr>
              <w:spacing w:line="276" w:lineRule="auto"/>
            </w:pPr>
            <w:r>
              <w:lastRenderedPageBreak/>
              <w:t>3</w:t>
            </w:r>
          </w:p>
        </w:tc>
        <w:tc>
          <w:tcPr>
            <w:tcW w:w="6662" w:type="dxa"/>
          </w:tcPr>
          <w:p w14:paraId="6F194775" w14:textId="77777777" w:rsidR="00FD01C6" w:rsidRDefault="00FD01C6" w:rsidP="00707E31">
            <w:pPr>
              <w:pStyle w:val="Default"/>
              <w:spacing w:line="276" w:lineRule="auto"/>
              <w:rPr>
                <w:sz w:val="22"/>
                <w:szCs w:val="22"/>
              </w:rPr>
            </w:pPr>
            <w:r>
              <w:rPr>
                <w:b/>
                <w:bCs/>
                <w:sz w:val="22"/>
                <w:szCs w:val="22"/>
              </w:rPr>
              <w:t xml:space="preserve">Recommendation 3: Improve the design and monitoring of gender mainstreaming </w:t>
            </w:r>
          </w:p>
          <w:p w14:paraId="3A8C9201" w14:textId="77777777" w:rsidR="00FD01C6" w:rsidRDefault="00FD01C6" w:rsidP="00707E31">
            <w:pPr>
              <w:spacing w:line="276" w:lineRule="auto"/>
            </w:pPr>
            <w:r>
              <w:t xml:space="preserve">It is recommended that the IFC gender team and IFC industry gender focal points conduct a review with project teams where gender is not well integrated and for new projects to identify opportunities to close the gender gaps identified and develop interventions and adjustments to the relevant monitoring and evaluation frameworks. </w:t>
            </w:r>
          </w:p>
          <w:p w14:paraId="19549138" w14:textId="2B14083B" w:rsidR="00FD01C6" w:rsidRDefault="00FD01C6" w:rsidP="00707E31">
            <w:pPr>
              <w:spacing w:line="276" w:lineRule="auto"/>
            </w:pPr>
            <w:r>
              <w:t>This analysis should also include awareness of other gender interventions in the sector. This should lead to a briefing note that is submitted to the PNG Partnership Steering Committee outlining the practical actions taken to address these concerns within the current project portfolio and advice for future project formulation, management and monitoring within the partnership.</w:t>
            </w:r>
          </w:p>
          <w:p w14:paraId="3D090057" w14:textId="2402C537" w:rsidR="00FD01C6" w:rsidRPr="008B099A" w:rsidRDefault="00FD01C6" w:rsidP="00707E31">
            <w:pPr>
              <w:spacing w:line="276" w:lineRule="auto"/>
              <w:rPr>
                <w:i/>
                <w:iCs/>
              </w:rPr>
            </w:pPr>
          </w:p>
        </w:tc>
        <w:tc>
          <w:tcPr>
            <w:tcW w:w="1984" w:type="dxa"/>
            <w:shd w:val="clear" w:color="auto" w:fill="A8D08D" w:themeFill="accent6" w:themeFillTint="99"/>
          </w:tcPr>
          <w:p w14:paraId="1D5ECEC4" w14:textId="5CE17099" w:rsidR="00FD01C6" w:rsidRDefault="00FD01C6" w:rsidP="00707E31">
            <w:pPr>
              <w:spacing w:line="276" w:lineRule="auto"/>
            </w:pPr>
            <w:r>
              <w:t>Agree</w:t>
            </w:r>
          </w:p>
        </w:tc>
        <w:tc>
          <w:tcPr>
            <w:tcW w:w="6096" w:type="dxa"/>
          </w:tcPr>
          <w:p w14:paraId="5CEB6657" w14:textId="72805A31" w:rsidR="00C8681E" w:rsidRDefault="00FD01C6" w:rsidP="00707E31">
            <w:pPr>
              <w:spacing w:before="120" w:after="120" w:line="276" w:lineRule="auto"/>
            </w:pPr>
            <w:r>
              <w:t>GEDSI principles are core DFAT principles which are required to be mainstreamed across all</w:t>
            </w:r>
            <w:r w:rsidR="002B7625">
              <w:t xml:space="preserve"> of Australia’s</w:t>
            </w:r>
            <w:r>
              <w:t xml:space="preserve"> development programs</w:t>
            </w:r>
            <w:r w:rsidR="00461A6D">
              <w:t xml:space="preserve">. </w:t>
            </w:r>
          </w:p>
          <w:p w14:paraId="422A0D06" w14:textId="1931847B" w:rsidR="00FD01C6" w:rsidRDefault="00F943D5" w:rsidP="00707E31">
            <w:pPr>
              <w:spacing w:before="120" w:after="120" w:line="276" w:lineRule="auto"/>
            </w:pPr>
            <w:r>
              <w:t>T</w:t>
            </w:r>
            <w:r w:rsidR="002B7625">
              <w:t xml:space="preserve">here is considerable </w:t>
            </w:r>
            <w:r w:rsidR="00461A6D">
              <w:t xml:space="preserve">value </w:t>
            </w:r>
            <w:r w:rsidR="002B7625">
              <w:t>to</w:t>
            </w:r>
            <w:r w:rsidR="00461A6D">
              <w:t xml:space="preserve"> improving the design and monitoring of gender mainstreaming</w:t>
            </w:r>
            <w:r w:rsidR="00C8681E">
              <w:t xml:space="preserve"> in the Partnership</w:t>
            </w:r>
            <w:r w:rsidR="002B7625">
              <w:t>.</w:t>
            </w:r>
            <w:r w:rsidR="00FD01C6">
              <w:t xml:space="preserve"> </w:t>
            </w:r>
            <w:r w:rsidR="00C8681E">
              <w:t xml:space="preserve">IFC has agreed to undertake a gender review. </w:t>
            </w:r>
            <w:r w:rsidR="002B7625">
              <w:t>W</w:t>
            </w:r>
            <w:r w:rsidR="00FD01C6">
              <w:t xml:space="preserve">e look forward to receiving the results from this review in 2022 and to implementing these lessons learned into the rest of the </w:t>
            </w:r>
            <w:r w:rsidR="00C8681E">
              <w:t>Partnership.</w:t>
            </w:r>
          </w:p>
          <w:p w14:paraId="592F01C7" w14:textId="14691816" w:rsidR="00FD01C6" w:rsidRDefault="00FD01C6" w:rsidP="00707E31">
            <w:pPr>
              <w:pStyle w:val="ListParagraph"/>
              <w:spacing w:before="120" w:after="120" w:line="276" w:lineRule="auto"/>
            </w:pPr>
            <w:r w:rsidRPr="000509DF">
              <w:t xml:space="preserve"> </w:t>
            </w:r>
          </w:p>
        </w:tc>
        <w:tc>
          <w:tcPr>
            <w:tcW w:w="5244" w:type="dxa"/>
          </w:tcPr>
          <w:p w14:paraId="7921E1E1" w14:textId="146168A2" w:rsidR="002304F5" w:rsidRDefault="00F96B4A" w:rsidP="00F96B4A">
            <w:pPr>
              <w:pStyle w:val="ListParagraph"/>
              <w:numPr>
                <w:ilvl w:val="0"/>
                <w:numId w:val="14"/>
              </w:numPr>
              <w:spacing w:before="120" w:after="120" w:line="276" w:lineRule="auto"/>
            </w:pPr>
            <w:r>
              <w:t>IFC to</w:t>
            </w:r>
            <w:r w:rsidR="00436607">
              <w:t xml:space="preserve"> action this recommendation</w:t>
            </w:r>
            <w:r w:rsidR="00C8681E">
              <w:t xml:space="preserve"> </w:t>
            </w:r>
            <w:r w:rsidR="00FA656E">
              <w:t>with</w:t>
            </w:r>
            <w:r w:rsidR="00436607">
              <w:t xml:space="preserve"> results </w:t>
            </w:r>
            <w:r w:rsidR="00D10E85">
              <w:t xml:space="preserve">to be </w:t>
            </w:r>
            <w:r w:rsidR="00436607">
              <w:t>available in 2022</w:t>
            </w:r>
            <w:r>
              <w:t>.</w:t>
            </w:r>
          </w:p>
          <w:p w14:paraId="0C0CF5A5" w14:textId="78AC3F56" w:rsidR="00C800D9" w:rsidRDefault="00C800D9" w:rsidP="00F96B4A">
            <w:pPr>
              <w:pStyle w:val="ListParagraph"/>
              <w:numPr>
                <w:ilvl w:val="0"/>
                <w:numId w:val="14"/>
              </w:numPr>
              <w:spacing w:before="120" w:after="120" w:line="276" w:lineRule="auto"/>
            </w:pPr>
            <w:r>
              <w:t xml:space="preserve">Once the review is </w:t>
            </w:r>
            <w:r w:rsidR="00D10E85">
              <w:t>finalised</w:t>
            </w:r>
            <w:r>
              <w:t xml:space="preserve">, </w:t>
            </w:r>
            <w:r w:rsidR="00D10E85">
              <w:t>DFAT</w:t>
            </w:r>
            <w:r>
              <w:t xml:space="preserve"> </w:t>
            </w:r>
            <w:r w:rsidR="00D10E85">
              <w:t>to</w:t>
            </w:r>
            <w:r>
              <w:t xml:space="preserve"> </w:t>
            </w:r>
            <w:r w:rsidR="00D32963">
              <w:t xml:space="preserve">work with IFC and MFAT to implement lessons in the remaining </w:t>
            </w:r>
            <w:r w:rsidR="00C8681E">
              <w:t>duration of</w:t>
            </w:r>
            <w:r w:rsidR="00D32963">
              <w:t xml:space="preserve"> the Partnership.</w:t>
            </w:r>
          </w:p>
          <w:p w14:paraId="377FC0EC" w14:textId="77777777" w:rsidR="00FD01C6" w:rsidRDefault="00FD01C6" w:rsidP="00707E31">
            <w:pPr>
              <w:spacing w:before="120" w:after="120" w:line="276" w:lineRule="auto"/>
            </w:pPr>
          </w:p>
        </w:tc>
        <w:tc>
          <w:tcPr>
            <w:tcW w:w="1701" w:type="dxa"/>
          </w:tcPr>
          <w:p w14:paraId="2C62D3CD" w14:textId="5ED215D6" w:rsidR="00FD01C6" w:rsidRDefault="00D60BFE" w:rsidP="00707E31">
            <w:pPr>
              <w:spacing w:before="120" w:after="120" w:line="276" w:lineRule="auto"/>
            </w:pPr>
            <w:r>
              <w:t>June 2023</w:t>
            </w:r>
          </w:p>
        </w:tc>
      </w:tr>
      <w:tr w:rsidR="00FD01C6" w14:paraId="778B0045" w14:textId="099EB8A0" w:rsidTr="002C0DAC">
        <w:tc>
          <w:tcPr>
            <w:tcW w:w="421" w:type="dxa"/>
          </w:tcPr>
          <w:p w14:paraId="7A26AAEC" w14:textId="2B2B13D8" w:rsidR="00FD01C6" w:rsidRDefault="00FD01C6" w:rsidP="00707E31">
            <w:pPr>
              <w:spacing w:line="276" w:lineRule="auto"/>
            </w:pPr>
            <w:r>
              <w:t>4</w:t>
            </w:r>
          </w:p>
        </w:tc>
        <w:tc>
          <w:tcPr>
            <w:tcW w:w="6662" w:type="dxa"/>
          </w:tcPr>
          <w:p w14:paraId="16A1FD77" w14:textId="77777777" w:rsidR="00FD01C6" w:rsidRDefault="00FD01C6" w:rsidP="00707E31">
            <w:pPr>
              <w:pStyle w:val="Default"/>
              <w:spacing w:line="276" w:lineRule="auto"/>
              <w:rPr>
                <w:sz w:val="22"/>
                <w:szCs w:val="22"/>
              </w:rPr>
            </w:pPr>
            <w:r>
              <w:rPr>
                <w:b/>
                <w:bCs/>
                <w:sz w:val="22"/>
                <w:szCs w:val="22"/>
              </w:rPr>
              <w:t xml:space="preserve">Recommendation 4: Conduct independent project evaluations </w:t>
            </w:r>
          </w:p>
          <w:p w14:paraId="17F9D833" w14:textId="77777777" w:rsidR="00FD01C6" w:rsidRDefault="00FD01C6" w:rsidP="00707E31">
            <w:pPr>
              <w:spacing w:line="276" w:lineRule="auto"/>
            </w:pPr>
            <w:r>
              <w:t>It is recommended that IFC present a proposal to the PNG Partnership Steering Committee for the independent evaluation of at least three projects before the end of the PP-II no-cost extension in June 2023 (or two evaluations by June 2022 should the no-cost extension not be agreed to). This would require the allocation of partnership funds for this purpose. The independent evaluation reports should be made public and disseminated to relevant actors in PNG and the Pacific.</w:t>
            </w:r>
          </w:p>
          <w:p w14:paraId="38781B5E" w14:textId="5C53DAB2" w:rsidR="00FD01C6" w:rsidRPr="00C47586" w:rsidRDefault="00FD01C6" w:rsidP="00707E31">
            <w:pPr>
              <w:spacing w:line="276" w:lineRule="auto"/>
            </w:pPr>
          </w:p>
        </w:tc>
        <w:tc>
          <w:tcPr>
            <w:tcW w:w="1984" w:type="dxa"/>
            <w:tcBorders>
              <w:bottom w:val="single" w:sz="4" w:space="0" w:color="auto"/>
            </w:tcBorders>
            <w:shd w:val="clear" w:color="auto" w:fill="A8D08D" w:themeFill="accent6" w:themeFillTint="99"/>
          </w:tcPr>
          <w:p w14:paraId="779AF6A6" w14:textId="24C6D83D" w:rsidR="00FD01C6" w:rsidRDefault="00FD01C6" w:rsidP="00707E31">
            <w:pPr>
              <w:spacing w:line="276" w:lineRule="auto"/>
            </w:pPr>
            <w:r>
              <w:t xml:space="preserve">Agree </w:t>
            </w:r>
          </w:p>
          <w:p w14:paraId="724928F0" w14:textId="4AA7BFB5" w:rsidR="00FD01C6" w:rsidRDefault="00FD01C6" w:rsidP="00707E31">
            <w:pPr>
              <w:tabs>
                <w:tab w:val="left" w:pos="2440"/>
              </w:tabs>
              <w:spacing w:line="276" w:lineRule="auto"/>
            </w:pPr>
            <w:r>
              <w:tab/>
            </w:r>
          </w:p>
          <w:p w14:paraId="54E723E7" w14:textId="77777777" w:rsidR="00FD01C6" w:rsidRDefault="00FD01C6" w:rsidP="00707E31">
            <w:pPr>
              <w:spacing w:line="276" w:lineRule="auto"/>
            </w:pPr>
          </w:p>
          <w:p w14:paraId="70369921" w14:textId="77777777" w:rsidR="00FD01C6" w:rsidRDefault="00FD01C6" w:rsidP="00707E31">
            <w:pPr>
              <w:tabs>
                <w:tab w:val="left" w:pos="2370"/>
              </w:tabs>
              <w:spacing w:line="276" w:lineRule="auto"/>
            </w:pPr>
            <w:r>
              <w:tab/>
            </w:r>
          </w:p>
          <w:p w14:paraId="72BEB3E5" w14:textId="799D6E29" w:rsidR="00FD01C6" w:rsidRPr="00563BC4" w:rsidRDefault="00FD01C6" w:rsidP="00707E31">
            <w:pPr>
              <w:tabs>
                <w:tab w:val="left" w:pos="1030"/>
              </w:tabs>
              <w:spacing w:line="276" w:lineRule="auto"/>
            </w:pPr>
            <w:r>
              <w:tab/>
            </w:r>
          </w:p>
        </w:tc>
        <w:tc>
          <w:tcPr>
            <w:tcW w:w="6096" w:type="dxa"/>
          </w:tcPr>
          <w:p w14:paraId="7EBB7517" w14:textId="5A42E9BA" w:rsidR="00C8681E" w:rsidRDefault="005F7998" w:rsidP="002822FE">
            <w:pPr>
              <w:spacing w:before="120" w:after="120" w:line="276" w:lineRule="auto"/>
            </w:pPr>
            <w:r>
              <w:t>I</w:t>
            </w:r>
            <w:r w:rsidR="00436607">
              <w:t xml:space="preserve">ndependent evaluations of </w:t>
            </w:r>
            <w:r w:rsidR="00F943D5">
              <w:t xml:space="preserve">two or </w:t>
            </w:r>
            <w:r w:rsidR="00436607">
              <w:t xml:space="preserve">three projects before the end of the no-cost extension in June 2023 provide an opportunity </w:t>
            </w:r>
            <w:r w:rsidR="005D4550">
              <w:t xml:space="preserve">to </w:t>
            </w:r>
            <w:r w:rsidR="006D6A74">
              <w:t>carefully consider</w:t>
            </w:r>
            <w:r w:rsidR="00307723">
              <w:t xml:space="preserve"> </w:t>
            </w:r>
            <w:r w:rsidR="006D6A74">
              <w:t xml:space="preserve">some key </w:t>
            </w:r>
            <w:r w:rsidR="00307723">
              <w:t>successes and failures</w:t>
            </w:r>
            <w:r w:rsidR="00C8681E">
              <w:t xml:space="preserve"> in</w:t>
            </w:r>
            <w:r w:rsidR="00307723">
              <w:t xml:space="preserve"> the Partnership. </w:t>
            </w:r>
          </w:p>
          <w:p w14:paraId="6BC1EBF5" w14:textId="17BBF5F5" w:rsidR="00307723" w:rsidRDefault="00C8681E" w:rsidP="002822FE">
            <w:pPr>
              <w:spacing w:before="120" w:after="120" w:line="276" w:lineRule="auto"/>
            </w:pPr>
            <w:r>
              <w:t xml:space="preserve">The independent evaluations will also help to provide </w:t>
            </w:r>
            <w:r w:rsidR="00307723">
              <w:t xml:space="preserve">lessons </w:t>
            </w:r>
            <w:r>
              <w:t xml:space="preserve">learned </w:t>
            </w:r>
            <w:r w:rsidR="00DE50F9">
              <w:t>to inform decisions taken under</w:t>
            </w:r>
            <w:r w:rsidR="006D6A74">
              <w:t xml:space="preserve"> </w:t>
            </w:r>
            <w:r>
              <w:t xml:space="preserve">Australia’s </w:t>
            </w:r>
            <w:r w:rsidR="00307723">
              <w:t>new Economic Partnership.</w:t>
            </w:r>
          </w:p>
          <w:p w14:paraId="190854BA" w14:textId="7E84F5AD" w:rsidR="00FD01C6" w:rsidRDefault="00FD01C6" w:rsidP="008B1C74">
            <w:pPr>
              <w:pStyle w:val="ListParagraph"/>
              <w:spacing w:before="120" w:after="120" w:line="276" w:lineRule="auto"/>
            </w:pPr>
          </w:p>
        </w:tc>
        <w:tc>
          <w:tcPr>
            <w:tcW w:w="5244" w:type="dxa"/>
          </w:tcPr>
          <w:p w14:paraId="207B17F1" w14:textId="5EA6D5B7" w:rsidR="00F943D5" w:rsidRDefault="00F943D5" w:rsidP="005040E4">
            <w:pPr>
              <w:pStyle w:val="ListParagraph"/>
              <w:numPr>
                <w:ilvl w:val="0"/>
                <w:numId w:val="15"/>
              </w:numPr>
              <w:spacing w:before="120" w:after="120" w:line="276" w:lineRule="auto"/>
            </w:pPr>
            <w:r>
              <w:t>IFC to conduct two or three evaluations</w:t>
            </w:r>
            <w:r w:rsidR="00484399">
              <w:t xml:space="preserve">. </w:t>
            </w:r>
          </w:p>
          <w:p w14:paraId="1264442A" w14:textId="5049C340" w:rsidR="00484399" w:rsidRDefault="00F943D5" w:rsidP="005040E4">
            <w:pPr>
              <w:pStyle w:val="ListParagraph"/>
              <w:numPr>
                <w:ilvl w:val="0"/>
                <w:numId w:val="15"/>
              </w:numPr>
              <w:spacing w:before="120" w:after="120" w:line="276" w:lineRule="auto"/>
            </w:pPr>
            <w:r>
              <w:t>DFAT</w:t>
            </w:r>
            <w:r w:rsidR="00701303">
              <w:t>/</w:t>
            </w:r>
            <w:r w:rsidR="005D4550">
              <w:t xml:space="preserve">MFAT </w:t>
            </w:r>
            <w:r w:rsidR="002822FE">
              <w:t xml:space="preserve">to select </w:t>
            </w:r>
            <w:r>
              <w:t xml:space="preserve">at least one </w:t>
            </w:r>
            <w:r w:rsidR="002822FE">
              <w:t>underperforming project and one high performing project.</w:t>
            </w:r>
          </w:p>
        </w:tc>
        <w:tc>
          <w:tcPr>
            <w:tcW w:w="1701" w:type="dxa"/>
          </w:tcPr>
          <w:p w14:paraId="291D92DD" w14:textId="029446FD" w:rsidR="00FD01C6" w:rsidRDefault="001B704C" w:rsidP="001B704C">
            <w:pPr>
              <w:spacing w:before="120" w:after="120" w:line="276" w:lineRule="auto"/>
            </w:pPr>
            <w:r>
              <w:t>June 2023</w:t>
            </w:r>
          </w:p>
        </w:tc>
      </w:tr>
      <w:tr w:rsidR="00FD01C6" w14:paraId="30C42EC0" w14:textId="51D29BA6" w:rsidTr="002C0DAC">
        <w:tc>
          <w:tcPr>
            <w:tcW w:w="421" w:type="dxa"/>
          </w:tcPr>
          <w:p w14:paraId="2A965792" w14:textId="2EA521A2" w:rsidR="00FD01C6" w:rsidRDefault="00FD01C6" w:rsidP="00707E31">
            <w:pPr>
              <w:spacing w:line="276" w:lineRule="auto"/>
            </w:pPr>
            <w:r>
              <w:t>5</w:t>
            </w:r>
          </w:p>
        </w:tc>
        <w:tc>
          <w:tcPr>
            <w:tcW w:w="6662" w:type="dxa"/>
          </w:tcPr>
          <w:p w14:paraId="2B17320B" w14:textId="77777777" w:rsidR="00FD01C6" w:rsidRDefault="00FD01C6" w:rsidP="00707E31">
            <w:pPr>
              <w:pStyle w:val="Default"/>
              <w:spacing w:line="276" w:lineRule="auto"/>
              <w:rPr>
                <w:sz w:val="22"/>
                <w:szCs w:val="22"/>
              </w:rPr>
            </w:pPr>
            <w:r>
              <w:rPr>
                <w:b/>
                <w:bCs/>
                <w:sz w:val="22"/>
                <w:szCs w:val="22"/>
              </w:rPr>
              <w:t xml:space="preserve">Recommendation 5: Improve longer-term program alignment </w:t>
            </w:r>
          </w:p>
          <w:p w14:paraId="66981119" w14:textId="77777777" w:rsidR="00FD01C6" w:rsidRDefault="00FD01C6" w:rsidP="00707E31">
            <w:pPr>
              <w:pStyle w:val="Default"/>
              <w:spacing w:line="276" w:lineRule="auto"/>
              <w:rPr>
                <w:sz w:val="22"/>
                <w:szCs w:val="22"/>
              </w:rPr>
            </w:pPr>
            <w:r>
              <w:rPr>
                <w:sz w:val="22"/>
                <w:szCs w:val="22"/>
              </w:rPr>
              <w:t xml:space="preserve">It is recommended that the PNG Partnership Steering Committee consider the opportunities for strengthening the partnership’s longer-term alignment with Australian, New Zealand, IFC, and PNG priorities and strategies. </w:t>
            </w:r>
          </w:p>
          <w:p w14:paraId="69ED270E" w14:textId="77777777" w:rsidR="00FD01C6" w:rsidRDefault="00FD01C6" w:rsidP="00707E31">
            <w:pPr>
              <w:pStyle w:val="Default"/>
              <w:spacing w:line="276" w:lineRule="auto"/>
              <w:rPr>
                <w:sz w:val="22"/>
                <w:szCs w:val="22"/>
              </w:rPr>
            </w:pPr>
            <w:r>
              <w:rPr>
                <w:sz w:val="22"/>
                <w:szCs w:val="22"/>
              </w:rPr>
              <w:t xml:space="preserve">The emergence of the new Australian-PNG Economic Partnership will be important in this regard. Moreover, the PNG Partnership would benefit from a clearer articulation of its strategy for supporting market development and PSD in the selected sectors and markets, rather than relying on a general set of goals that span all these sectors without differentiating the partnership’s approach. </w:t>
            </w:r>
          </w:p>
          <w:p w14:paraId="06ECA0B2" w14:textId="77777777" w:rsidR="00FD01C6" w:rsidRDefault="00FD01C6" w:rsidP="00707E31">
            <w:pPr>
              <w:pStyle w:val="Default"/>
              <w:spacing w:line="276" w:lineRule="auto"/>
              <w:rPr>
                <w:color w:val="auto"/>
                <w:sz w:val="22"/>
                <w:szCs w:val="22"/>
              </w:rPr>
            </w:pPr>
            <w:r>
              <w:rPr>
                <w:sz w:val="22"/>
                <w:szCs w:val="22"/>
              </w:rPr>
              <w:t xml:space="preserve">A better program alignment would also contribute to improving donor coordination (Recommendation 2), including opportunities for strengthening project-based collaboration with other donor and development agencies. Better program alignment would also be more conducive to more effectively integrating gender as a crosscutting theme (Recommendation 3), </w:t>
            </w:r>
            <w:r>
              <w:rPr>
                <w:color w:val="auto"/>
                <w:sz w:val="22"/>
                <w:szCs w:val="22"/>
              </w:rPr>
              <w:t xml:space="preserve">while creating more opportunities for stronger synergies across groups of projects. </w:t>
            </w:r>
          </w:p>
          <w:p w14:paraId="64AA434B" w14:textId="0B6AB17B" w:rsidR="003B629C" w:rsidRPr="003B629C" w:rsidRDefault="00FD01C6" w:rsidP="00707E31">
            <w:pPr>
              <w:pStyle w:val="Default"/>
              <w:spacing w:line="276" w:lineRule="auto"/>
              <w:rPr>
                <w:color w:val="auto"/>
                <w:sz w:val="22"/>
                <w:szCs w:val="22"/>
              </w:rPr>
            </w:pPr>
            <w:r>
              <w:rPr>
                <w:color w:val="auto"/>
                <w:sz w:val="22"/>
                <w:szCs w:val="22"/>
              </w:rPr>
              <w:t xml:space="preserve">This alignment would contribute to a broader consideration of the role of the PNG Partnership beyond PP-II (i.e., towards a possible third phase of the partnership). </w:t>
            </w:r>
          </w:p>
        </w:tc>
        <w:tc>
          <w:tcPr>
            <w:tcW w:w="1984" w:type="dxa"/>
            <w:tcBorders>
              <w:bottom w:val="single" w:sz="4" w:space="0" w:color="auto"/>
            </w:tcBorders>
            <w:shd w:val="clear" w:color="auto" w:fill="FFE599" w:themeFill="accent4" w:themeFillTint="66"/>
          </w:tcPr>
          <w:p w14:paraId="72E48A7B" w14:textId="3BD555A0" w:rsidR="00FD01C6" w:rsidRDefault="00FD01C6" w:rsidP="00707E31">
            <w:pPr>
              <w:spacing w:line="276" w:lineRule="auto"/>
            </w:pPr>
            <w:r>
              <w:t>Agree in part</w:t>
            </w:r>
          </w:p>
        </w:tc>
        <w:tc>
          <w:tcPr>
            <w:tcW w:w="6096" w:type="dxa"/>
          </w:tcPr>
          <w:p w14:paraId="0E3B39B9" w14:textId="76A6BE49" w:rsidR="00FD01C6" w:rsidRDefault="00D11453" w:rsidP="0095335B">
            <w:pPr>
              <w:spacing w:line="276" w:lineRule="auto"/>
              <w:rPr>
                <w:color w:val="000000" w:themeColor="text1"/>
              </w:rPr>
            </w:pPr>
            <w:r>
              <w:rPr>
                <w:color w:val="000000" w:themeColor="text1"/>
              </w:rPr>
              <w:t>L</w:t>
            </w:r>
            <w:r w:rsidR="000B431C">
              <w:rPr>
                <w:color w:val="000000" w:themeColor="text1"/>
              </w:rPr>
              <w:t xml:space="preserve">ess than </w:t>
            </w:r>
            <w:r w:rsidR="00210EDA">
              <w:rPr>
                <w:color w:val="000000" w:themeColor="text1"/>
              </w:rPr>
              <w:t>1</w:t>
            </w:r>
            <w:r w:rsidR="005D4550">
              <w:rPr>
                <w:color w:val="000000" w:themeColor="text1"/>
              </w:rPr>
              <w:t>6</w:t>
            </w:r>
            <w:r w:rsidR="00210EDA">
              <w:rPr>
                <w:color w:val="000000" w:themeColor="text1"/>
              </w:rPr>
              <w:t xml:space="preserve"> </w:t>
            </w:r>
            <w:r w:rsidR="000B431C">
              <w:rPr>
                <w:color w:val="000000" w:themeColor="text1"/>
              </w:rPr>
              <w:t xml:space="preserve">months </w:t>
            </w:r>
            <w:r w:rsidR="00D32963">
              <w:rPr>
                <w:color w:val="000000" w:themeColor="text1"/>
              </w:rPr>
              <w:t xml:space="preserve">remain </w:t>
            </w:r>
            <w:r w:rsidR="000B431C">
              <w:rPr>
                <w:color w:val="000000" w:themeColor="text1"/>
              </w:rPr>
              <w:t xml:space="preserve">on the </w:t>
            </w:r>
            <w:r>
              <w:rPr>
                <w:color w:val="000000" w:themeColor="text1"/>
              </w:rPr>
              <w:t xml:space="preserve">PNG </w:t>
            </w:r>
            <w:r w:rsidR="000B431C">
              <w:rPr>
                <w:color w:val="000000" w:themeColor="text1"/>
              </w:rPr>
              <w:t>Partnership</w:t>
            </w:r>
            <w:r w:rsidR="00210EDA">
              <w:rPr>
                <w:color w:val="000000" w:themeColor="text1"/>
              </w:rPr>
              <w:t xml:space="preserve">, </w:t>
            </w:r>
            <w:r>
              <w:rPr>
                <w:color w:val="000000" w:themeColor="text1"/>
              </w:rPr>
              <w:t xml:space="preserve">which will likely include </w:t>
            </w:r>
            <w:r w:rsidR="00210EDA">
              <w:rPr>
                <w:color w:val="000000" w:themeColor="text1"/>
              </w:rPr>
              <w:t>a 12 month no cost extension.</w:t>
            </w:r>
            <w:r>
              <w:rPr>
                <w:color w:val="000000" w:themeColor="text1"/>
              </w:rPr>
              <w:t xml:space="preserve"> </w:t>
            </w:r>
            <w:r w:rsidR="00F9163A">
              <w:rPr>
                <w:color w:val="000000" w:themeColor="text1"/>
              </w:rPr>
              <w:t>C</w:t>
            </w:r>
            <w:r w:rsidR="000B431C">
              <w:rPr>
                <w:color w:val="000000" w:themeColor="text1"/>
              </w:rPr>
              <w:t xml:space="preserve">urrent projects within the </w:t>
            </w:r>
            <w:r w:rsidR="00965178">
              <w:rPr>
                <w:color w:val="000000" w:themeColor="text1"/>
              </w:rPr>
              <w:t xml:space="preserve">IFC-PNG </w:t>
            </w:r>
            <w:r w:rsidR="000B431C">
              <w:rPr>
                <w:color w:val="000000" w:themeColor="text1"/>
              </w:rPr>
              <w:t>Partnership</w:t>
            </w:r>
            <w:r w:rsidR="00F9163A">
              <w:rPr>
                <w:color w:val="000000" w:themeColor="text1"/>
              </w:rPr>
              <w:t xml:space="preserve"> will seek</w:t>
            </w:r>
            <w:r>
              <w:rPr>
                <w:color w:val="000000" w:themeColor="text1"/>
              </w:rPr>
              <w:t xml:space="preserve"> to improve gender mainstreaming </w:t>
            </w:r>
            <w:r w:rsidR="000B431C">
              <w:rPr>
                <w:color w:val="000000" w:themeColor="text1"/>
              </w:rPr>
              <w:t>and</w:t>
            </w:r>
            <w:r>
              <w:rPr>
                <w:color w:val="000000" w:themeColor="text1"/>
              </w:rPr>
              <w:t xml:space="preserve">, in </w:t>
            </w:r>
            <w:r w:rsidR="00210EDA">
              <w:rPr>
                <w:color w:val="000000" w:themeColor="text1"/>
              </w:rPr>
              <w:t xml:space="preserve">particular, </w:t>
            </w:r>
            <w:r>
              <w:rPr>
                <w:color w:val="000000" w:themeColor="text1"/>
              </w:rPr>
              <w:t>align</w:t>
            </w:r>
            <w:r w:rsidR="006F700B">
              <w:rPr>
                <w:color w:val="000000" w:themeColor="text1"/>
              </w:rPr>
              <w:t xml:space="preserve"> </w:t>
            </w:r>
            <w:r>
              <w:rPr>
                <w:color w:val="000000" w:themeColor="text1"/>
              </w:rPr>
              <w:t xml:space="preserve">with </w:t>
            </w:r>
            <w:r w:rsidR="0095335B">
              <w:rPr>
                <w:color w:val="000000" w:themeColor="text1"/>
              </w:rPr>
              <w:t>Australia’s new Economic Partnership</w:t>
            </w:r>
            <w:r>
              <w:rPr>
                <w:color w:val="000000" w:themeColor="text1"/>
              </w:rPr>
              <w:t xml:space="preserve">, which will commence in April 2022. </w:t>
            </w:r>
          </w:p>
          <w:p w14:paraId="44A182A6" w14:textId="05B23B82" w:rsidR="00B20DCA" w:rsidRPr="00A935AA" w:rsidRDefault="00B20DCA" w:rsidP="0095335B">
            <w:pPr>
              <w:spacing w:line="276" w:lineRule="auto"/>
              <w:rPr>
                <w:color w:val="000000" w:themeColor="text1"/>
              </w:rPr>
            </w:pPr>
          </w:p>
        </w:tc>
        <w:tc>
          <w:tcPr>
            <w:tcW w:w="5244" w:type="dxa"/>
          </w:tcPr>
          <w:p w14:paraId="784C093E" w14:textId="77777777" w:rsidR="000E7F9C" w:rsidRPr="000E7F9C" w:rsidRDefault="0095335B" w:rsidP="00F943D5">
            <w:pPr>
              <w:pStyle w:val="ListParagraph"/>
              <w:numPr>
                <w:ilvl w:val="0"/>
                <w:numId w:val="16"/>
              </w:numPr>
              <w:spacing w:line="276" w:lineRule="auto"/>
              <w:rPr>
                <w:color w:val="000000" w:themeColor="text1"/>
              </w:rPr>
            </w:pPr>
            <w:r>
              <w:t>Once the new Economic Partnership is stood up</w:t>
            </w:r>
            <w:r w:rsidR="00A36D0B">
              <w:t xml:space="preserve"> in </w:t>
            </w:r>
            <w:r w:rsidR="00965178">
              <w:t xml:space="preserve">April </w:t>
            </w:r>
            <w:r w:rsidR="00A36D0B">
              <w:t xml:space="preserve">2022, </w:t>
            </w:r>
            <w:r w:rsidR="00F9163A">
              <w:t xml:space="preserve">DFAT to </w:t>
            </w:r>
            <w:r w:rsidR="00D32963">
              <w:t>seek out</w:t>
            </w:r>
            <w:r>
              <w:t xml:space="preserve"> opportunities to engage IFC and the new </w:t>
            </w:r>
            <w:r w:rsidR="00D32963">
              <w:t>Economic Partnership</w:t>
            </w:r>
            <w:r>
              <w:t xml:space="preserve"> team</w:t>
            </w:r>
            <w:r w:rsidR="00A36D0B">
              <w:t xml:space="preserve"> to improve alignment</w:t>
            </w:r>
            <w:r w:rsidR="00965178">
              <w:t>.</w:t>
            </w:r>
            <w:r w:rsidR="00A36D0B">
              <w:t xml:space="preserve"> </w:t>
            </w:r>
          </w:p>
          <w:p w14:paraId="489E8FB0" w14:textId="5336CC64" w:rsidR="00FD01C6" w:rsidRPr="00F943D5" w:rsidRDefault="00B811AB" w:rsidP="00F943D5">
            <w:pPr>
              <w:pStyle w:val="ListParagraph"/>
              <w:numPr>
                <w:ilvl w:val="0"/>
                <w:numId w:val="16"/>
              </w:numPr>
              <w:spacing w:line="276" w:lineRule="auto"/>
              <w:rPr>
                <w:color w:val="000000" w:themeColor="text1"/>
              </w:rPr>
            </w:pPr>
            <w:r>
              <w:t>DFAT to</w:t>
            </w:r>
            <w:r w:rsidR="006F700B">
              <w:t xml:space="preserve"> continue to engage PNG and New Zealand on priorities to ensure consistency with our Economic Partnership.  </w:t>
            </w:r>
          </w:p>
        </w:tc>
        <w:tc>
          <w:tcPr>
            <w:tcW w:w="1701" w:type="dxa"/>
          </w:tcPr>
          <w:p w14:paraId="17A9FF7B" w14:textId="3C30A3AD" w:rsidR="00FD01C6" w:rsidRPr="00C35AF1" w:rsidRDefault="003B629C" w:rsidP="00C35AF1">
            <w:pPr>
              <w:spacing w:line="276" w:lineRule="auto"/>
              <w:rPr>
                <w:color w:val="000000" w:themeColor="text1"/>
              </w:rPr>
            </w:pPr>
            <w:r>
              <w:rPr>
                <w:color w:val="000000" w:themeColor="text1"/>
              </w:rPr>
              <w:t>Ongoing</w:t>
            </w:r>
          </w:p>
        </w:tc>
      </w:tr>
    </w:tbl>
    <w:p w14:paraId="65D5378A" w14:textId="77777777" w:rsidR="00B3272B" w:rsidRDefault="00B3272B" w:rsidP="003B629C">
      <w:pPr>
        <w:spacing w:line="276" w:lineRule="auto"/>
      </w:pPr>
    </w:p>
    <w:sectPr w:rsidR="00B3272B" w:rsidSect="00F943D5">
      <w:footerReference w:type="default" r:id="rId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2E69" w14:textId="77777777" w:rsidR="005F173E" w:rsidRDefault="005F173E" w:rsidP="00B3272B">
      <w:pPr>
        <w:spacing w:after="0" w:line="240" w:lineRule="auto"/>
      </w:pPr>
      <w:r>
        <w:separator/>
      </w:r>
    </w:p>
  </w:endnote>
  <w:endnote w:type="continuationSeparator" w:id="0">
    <w:p w14:paraId="40BC02C7" w14:textId="77777777" w:rsidR="005F173E" w:rsidRDefault="005F173E" w:rsidP="00B3272B">
      <w:pPr>
        <w:spacing w:after="0" w:line="240" w:lineRule="auto"/>
      </w:pPr>
      <w:r>
        <w:continuationSeparator/>
      </w:r>
    </w:p>
  </w:endnote>
  <w:endnote w:type="continuationNotice" w:id="1">
    <w:p w14:paraId="6C3DCE86" w14:textId="77777777" w:rsidR="005F173E" w:rsidRDefault="005F1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487680"/>
      <w:docPartObj>
        <w:docPartGallery w:val="Page Numbers (Bottom of Page)"/>
        <w:docPartUnique/>
      </w:docPartObj>
    </w:sdtPr>
    <w:sdtEndPr/>
    <w:sdtContent>
      <w:sdt>
        <w:sdtPr>
          <w:id w:val="-1769616900"/>
          <w:docPartObj>
            <w:docPartGallery w:val="Page Numbers (Top of Page)"/>
            <w:docPartUnique/>
          </w:docPartObj>
        </w:sdtPr>
        <w:sdtEndPr/>
        <w:sdtContent>
          <w:p w14:paraId="401E6EA3" w14:textId="5E4FD583" w:rsidR="005B6D6D" w:rsidRDefault="005B6D6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59AACA" w14:textId="7233FD92" w:rsidR="005B6D6D" w:rsidRDefault="005B6D6D" w:rsidP="009402A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4626" w14:textId="77777777" w:rsidR="005F173E" w:rsidRDefault="005F173E" w:rsidP="00B3272B">
      <w:pPr>
        <w:spacing w:after="0" w:line="240" w:lineRule="auto"/>
      </w:pPr>
      <w:r>
        <w:separator/>
      </w:r>
    </w:p>
  </w:footnote>
  <w:footnote w:type="continuationSeparator" w:id="0">
    <w:p w14:paraId="6001C595" w14:textId="77777777" w:rsidR="005F173E" w:rsidRDefault="005F173E" w:rsidP="00B3272B">
      <w:pPr>
        <w:spacing w:after="0" w:line="240" w:lineRule="auto"/>
      </w:pPr>
      <w:r>
        <w:continuationSeparator/>
      </w:r>
    </w:p>
  </w:footnote>
  <w:footnote w:type="continuationNotice" w:id="1">
    <w:p w14:paraId="5D955E12" w14:textId="77777777" w:rsidR="005F173E" w:rsidRDefault="005F17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9BCD66"/>
    <w:multiLevelType w:val="hybridMultilevel"/>
    <w:tmpl w:val="AD7949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664AC9"/>
    <w:multiLevelType w:val="hybridMultilevel"/>
    <w:tmpl w:val="6876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1D8E7D50"/>
    <w:multiLevelType w:val="hybridMultilevel"/>
    <w:tmpl w:val="9A983CF8"/>
    <w:lvl w:ilvl="0" w:tplc="F26EEEB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DAB470B"/>
    <w:multiLevelType w:val="hybridMultilevel"/>
    <w:tmpl w:val="BAAE1F8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551BFC"/>
    <w:multiLevelType w:val="hybridMultilevel"/>
    <w:tmpl w:val="ECA075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0551CA"/>
    <w:multiLevelType w:val="hybridMultilevel"/>
    <w:tmpl w:val="C5C6F2D6"/>
    <w:lvl w:ilvl="0" w:tplc="7D00D3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3A5EE1"/>
    <w:multiLevelType w:val="hybridMultilevel"/>
    <w:tmpl w:val="4BBCC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EE52ED"/>
    <w:multiLevelType w:val="hybridMultilevel"/>
    <w:tmpl w:val="265E4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871352"/>
    <w:multiLevelType w:val="hybridMultilevel"/>
    <w:tmpl w:val="75FA5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213B60"/>
    <w:multiLevelType w:val="hybridMultilevel"/>
    <w:tmpl w:val="1C765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B92D52"/>
    <w:multiLevelType w:val="hybridMultilevel"/>
    <w:tmpl w:val="9CDA0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4B7DAD"/>
    <w:multiLevelType w:val="hybridMultilevel"/>
    <w:tmpl w:val="51E40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29443A"/>
    <w:multiLevelType w:val="hybridMultilevel"/>
    <w:tmpl w:val="6D3AD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4A1775"/>
    <w:multiLevelType w:val="hybridMultilevel"/>
    <w:tmpl w:val="5AD068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AA550A4"/>
    <w:multiLevelType w:val="hybridMultilevel"/>
    <w:tmpl w:val="490CE1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num>
  <w:num w:numId="2">
    <w:abstractNumId w:val="2"/>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5"/>
  </w:num>
  <w:num w:numId="8">
    <w:abstractNumId w:val="6"/>
  </w:num>
  <w:num w:numId="9">
    <w:abstractNumId w:val="4"/>
  </w:num>
  <w:num w:numId="10">
    <w:abstractNumId w:val="0"/>
  </w:num>
  <w:num w:numId="11">
    <w:abstractNumId w:val="13"/>
  </w:num>
  <w:num w:numId="12">
    <w:abstractNumId w:val="7"/>
  </w:num>
  <w:num w:numId="13">
    <w:abstractNumId w:val="12"/>
  </w:num>
  <w:num w:numId="14">
    <w:abstractNumId w:val="8"/>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2B"/>
    <w:rsid w:val="00005844"/>
    <w:rsid w:val="00010E09"/>
    <w:rsid w:val="000126A5"/>
    <w:rsid w:val="0001338E"/>
    <w:rsid w:val="00015883"/>
    <w:rsid w:val="00015B44"/>
    <w:rsid w:val="000177B6"/>
    <w:rsid w:val="00034145"/>
    <w:rsid w:val="00034833"/>
    <w:rsid w:val="00035DAC"/>
    <w:rsid w:val="00046851"/>
    <w:rsid w:val="000509DF"/>
    <w:rsid w:val="000659BF"/>
    <w:rsid w:val="000668FE"/>
    <w:rsid w:val="00066DB4"/>
    <w:rsid w:val="00070BB5"/>
    <w:rsid w:val="000711E7"/>
    <w:rsid w:val="00071B46"/>
    <w:rsid w:val="00074EF1"/>
    <w:rsid w:val="000818D0"/>
    <w:rsid w:val="00083D78"/>
    <w:rsid w:val="0008415B"/>
    <w:rsid w:val="000846AC"/>
    <w:rsid w:val="00091C6C"/>
    <w:rsid w:val="00097CCF"/>
    <w:rsid w:val="000A02A3"/>
    <w:rsid w:val="000A083B"/>
    <w:rsid w:val="000A1992"/>
    <w:rsid w:val="000B36E7"/>
    <w:rsid w:val="000B431C"/>
    <w:rsid w:val="000B5B7A"/>
    <w:rsid w:val="000D0551"/>
    <w:rsid w:val="000D0AC0"/>
    <w:rsid w:val="000D5D98"/>
    <w:rsid w:val="000E7DA1"/>
    <w:rsid w:val="000E7F9C"/>
    <w:rsid w:val="000F1B1D"/>
    <w:rsid w:val="000F1F52"/>
    <w:rsid w:val="000F6BCA"/>
    <w:rsid w:val="00100863"/>
    <w:rsid w:val="001133F1"/>
    <w:rsid w:val="00113793"/>
    <w:rsid w:val="00114227"/>
    <w:rsid w:val="00117272"/>
    <w:rsid w:val="00120275"/>
    <w:rsid w:val="001240B2"/>
    <w:rsid w:val="00144166"/>
    <w:rsid w:val="001466E4"/>
    <w:rsid w:val="00152480"/>
    <w:rsid w:val="00157300"/>
    <w:rsid w:val="00163B23"/>
    <w:rsid w:val="00164859"/>
    <w:rsid w:val="00164F69"/>
    <w:rsid w:val="001763E4"/>
    <w:rsid w:val="00177918"/>
    <w:rsid w:val="00183758"/>
    <w:rsid w:val="0019165F"/>
    <w:rsid w:val="00195625"/>
    <w:rsid w:val="001B704C"/>
    <w:rsid w:val="001C141E"/>
    <w:rsid w:val="001C2603"/>
    <w:rsid w:val="001C4114"/>
    <w:rsid w:val="001D7F4B"/>
    <w:rsid w:val="001E01B1"/>
    <w:rsid w:val="001E2871"/>
    <w:rsid w:val="001E5D58"/>
    <w:rsid w:val="001F2BA5"/>
    <w:rsid w:val="001F784C"/>
    <w:rsid w:val="00206E72"/>
    <w:rsid w:val="00210892"/>
    <w:rsid w:val="00210EDA"/>
    <w:rsid w:val="00214354"/>
    <w:rsid w:val="00216FA5"/>
    <w:rsid w:val="00217339"/>
    <w:rsid w:val="002304F5"/>
    <w:rsid w:val="002363AF"/>
    <w:rsid w:val="00242C1D"/>
    <w:rsid w:val="00247B6F"/>
    <w:rsid w:val="00250410"/>
    <w:rsid w:val="00262097"/>
    <w:rsid w:val="002626BB"/>
    <w:rsid w:val="00270E36"/>
    <w:rsid w:val="00277DEA"/>
    <w:rsid w:val="002802D6"/>
    <w:rsid w:val="002822FE"/>
    <w:rsid w:val="00282D78"/>
    <w:rsid w:val="00285CA4"/>
    <w:rsid w:val="00285D90"/>
    <w:rsid w:val="00286B4B"/>
    <w:rsid w:val="002914BF"/>
    <w:rsid w:val="00294DB6"/>
    <w:rsid w:val="00296D53"/>
    <w:rsid w:val="002A3D1B"/>
    <w:rsid w:val="002B1272"/>
    <w:rsid w:val="002B7625"/>
    <w:rsid w:val="002C0DAC"/>
    <w:rsid w:val="002D03E1"/>
    <w:rsid w:val="002D0834"/>
    <w:rsid w:val="002D7532"/>
    <w:rsid w:val="002E75CC"/>
    <w:rsid w:val="002F03F7"/>
    <w:rsid w:val="002F083E"/>
    <w:rsid w:val="002F1C15"/>
    <w:rsid w:val="002F517E"/>
    <w:rsid w:val="002F54B6"/>
    <w:rsid w:val="002F585E"/>
    <w:rsid w:val="002F77A2"/>
    <w:rsid w:val="00303157"/>
    <w:rsid w:val="003051A7"/>
    <w:rsid w:val="00306F32"/>
    <w:rsid w:val="00307723"/>
    <w:rsid w:val="0032397F"/>
    <w:rsid w:val="00323F1E"/>
    <w:rsid w:val="003243F8"/>
    <w:rsid w:val="00324FDB"/>
    <w:rsid w:val="0033012A"/>
    <w:rsid w:val="0033653F"/>
    <w:rsid w:val="00344C0F"/>
    <w:rsid w:val="00352685"/>
    <w:rsid w:val="00352EC5"/>
    <w:rsid w:val="00360F24"/>
    <w:rsid w:val="00361055"/>
    <w:rsid w:val="00362926"/>
    <w:rsid w:val="00364D6D"/>
    <w:rsid w:val="00366560"/>
    <w:rsid w:val="00371B79"/>
    <w:rsid w:val="0037296D"/>
    <w:rsid w:val="00382BC4"/>
    <w:rsid w:val="0039494B"/>
    <w:rsid w:val="00394CE4"/>
    <w:rsid w:val="003A4B9F"/>
    <w:rsid w:val="003A77B4"/>
    <w:rsid w:val="003B0701"/>
    <w:rsid w:val="003B4E30"/>
    <w:rsid w:val="003B603F"/>
    <w:rsid w:val="003B629C"/>
    <w:rsid w:val="003E55CB"/>
    <w:rsid w:val="003F0E56"/>
    <w:rsid w:val="00407941"/>
    <w:rsid w:val="00411649"/>
    <w:rsid w:val="00411C98"/>
    <w:rsid w:val="004122C4"/>
    <w:rsid w:val="00414924"/>
    <w:rsid w:val="00415FAE"/>
    <w:rsid w:val="0041743A"/>
    <w:rsid w:val="0042275D"/>
    <w:rsid w:val="00431503"/>
    <w:rsid w:val="004359E9"/>
    <w:rsid w:val="004359F8"/>
    <w:rsid w:val="00436607"/>
    <w:rsid w:val="00436AE9"/>
    <w:rsid w:val="0043756F"/>
    <w:rsid w:val="00437E70"/>
    <w:rsid w:val="00450982"/>
    <w:rsid w:val="00451AAA"/>
    <w:rsid w:val="00451F5E"/>
    <w:rsid w:val="00455AA7"/>
    <w:rsid w:val="00461A6D"/>
    <w:rsid w:val="00470854"/>
    <w:rsid w:val="0047230B"/>
    <w:rsid w:val="0047637F"/>
    <w:rsid w:val="00480164"/>
    <w:rsid w:val="00481995"/>
    <w:rsid w:val="00482618"/>
    <w:rsid w:val="00484399"/>
    <w:rsid w:val="00491F5B"/>
    <w:rsid w:val="00493635"/>
    <w:rsid w:val="00495E29"/>
    <w:rsid w:val="004B6BBD"/>
    <w:rsid w:val="004B76FE"/>
    <w:rsid w:val="004D6086"/>
    <w:rsid w:val="004E29B2"/>
    <w:rsid w:val="004F274B"/>
    <w:rsid w:val="004F6283"/>
    <w:rsid w:val="004F6306"/>
    <w:rsid w:val="005040E4"/>
    <w:rsid w:val="00506ABE"/>
    <w:rsid w:val="00521C67"/>
    <w:rsid w:val="00523158"/>
    <w:rsid w:val="00525A4B"/>
    <w:rsid w:val="005361DA"/>
    <w:rsid w:val="00536A26"/>
    <w:rsid w:val="00537F21"/>
    <w:rsid w:val="005429A3"/>
    <w:rsid w:val="00544338"/>
    <w:rsid w:val="0054536E"/>
    <w:rsid w:val="00547A56"/>
    <w:rsid w:val="00551837"/>
    <w:rsid w:val="00552247"/>
    <w:rsid w:val="00556065"/>
    <w:rsid w:val="00560EF0"/>
    <w:rsid w:val="00562567"/>
    <w:rsid w:val="00562C47"/>
    <w:rsid w:val="00563BC4"/>
    <w:rsid w:val="00566885"/>
    <w:rsid w:val="00567458"/>
    <w:rsid w:val="00575650"/>
    <w:rsid w:val="00581E22"/>
    <w:rsid w:val="00585443"/>
    <w:rsid w:val="00591EE9"/>
    <w:rsid w:val="00594306"/>
    <w:rsid w:val="005A037E"/>
    <w:rsid w:val="005A2260"/>
    <w:rsid w:val="005B0CE1"/>
    <w:rsid w:val="005B37A8"/>
    <w:rsid w:val="005B3948"/>
    <w:rsid w:val="005B6565"/>
    <w:rsid w:val="005B6D6D"/>
    <w:rsid w:val="005C61D7"/>
    <w:rsid w:val="005D0D59"/>
    <w:rsid w:val="005D4550"/>
    <w:rsid w:val="005D4A8F"/>
    <w:rsid w:val="005D54DD"/>
    <w:rsid w:val="005D568F"/>
    <w:rsid w:val="005D74D1"/>
    <w:rsid w:val="005F173E"/>
    <w:rsid w:val="005F2AAD"/>
    <w:rsid w:val="005F7998"/>
    <w:rsid w:val="00602C4E"/>
    <w:rsid w:val="006055D0"/>
    <w:rsid w:val="00610CD7"/>
    <w:rsid w:val="00622A1B"/>
    <w:rsid w:val="00656668"/>
    <w:rsid w:val="006649A2"/>
    <w:rsid w:val="00675506"/>
    <w:rsid w:val="006807D0"/>
    <w:rsid w:val="00680F30"/>
    <w:rsid w:val="00684F31"/>
    <w:rsid w:val="006B5CD4"/>
    <w:rsid w:val="006B6EBF"/>
    <w:rsid w:val="006C64CD"/>
    <w:rsid w:val="006D3D7A"/>
    <w:rsid w:val="006D6A74"/>
    <w:rsid w:val="006E7790"/>
    <w:rsid w:val="006F0410"/>
    <w:rsid w:val="006F0513"/>
    <w:rsid w:val="006F3343"/>
    <w:rsid w:val="006F63D6"/>
    <w:rsid w:val="006F700B"/>
    <w:rsid w:val="006F79EB"/>
    <w:rsid w:val="00701303"/>
    <w:rsid w:val="007076FE"/>
    <w:rsid w:val="00707E31"/>
    <w:rsid w:val="00716589"/>
    <w:rsid w:val="00721B0B"/>
    <w:rsid w:val="00723B98"/>
    <w:rsid w:val="00725796"/>
    <w:rsid w:val="00726608"/>
    <w:rsid w:val="007340DB"/>
    <w:rsid w:val="00743C82"/>
    <w:rsid w:val="00755A39"/>
    <w:rsid w:val="00766B9F"/>
    <w:rsid w:val="00771834"/>
    <w:rsid w:val="00776446"/>
    <w:rsid w:val="0077673D"/>
    <w:rsid w:val="00777A64"/>
    <w:rsid w:val="00784143"/>
    <w:rsid w:val="0078606A"/>
    <w:rsid w:val="007B12D0"/>
    <w:rsid w:val="007B13D0"/>
    <w:rsid w:val="007B2861"/>
    <w:rsid w:val="007B3A30"/>
    <w:rsid w:val="007D5942"/>
    <w:rsid w:val="007F089B"/>
    <w:rsid w:val="007F3A72"/>
    <w:rsid w:val="00807BA8"/>
    <w:rsid w:val="00810188"/>
    <w:rsid w:val="008107B8"/>
    <w:rsid w:val="00812F16"/>
    <w:rsid w:val="00826918"/>
    <w:rsid w:val="0083144F"/>
    <w:rsid w:val="00844E2A"/>
    <w:rsid w:val="0084620D"/>
    <w:rsid w:val="00846AE5"/>
    <w:rsid w:val="00851434"/>
    <w:rsid w:val="008561C6"/>
    <w:rsid w:val="00857DD2"/>
    <w:rsid w:val="00857FC4"/>
    <w:rsid w:val="00863989"/>
    <w:rsid w:val="00870DB2"/>
    <w:rsid w:val="008732D8"/>
    <w:rsid w:val="00875D6B"/>
    <w:rsid w:val="00880C2A"/>
    <w:rsid w:val="00891E87"/>
    <w:rsid w:val="008927C2"/>
    <w:rsid w:val="00892F58"/>
    <w:rsid w:val="00893294"/>
    <w:rsid w:val="008934DD"/>
    <w:rsid w:val="0089708F"/>
    <w:rsid w:val="008A03D9"/>
    <w:rsid w:val="008B099A"/>
    <w:rsid w:val="008B0E64"/>
    <w:rsid w:val="008B1C74"/>
    <w:rsid w:val="008B6E38"/>
    <w:rsid w:val="008C22AA"/>
    <w:rsid w:val="008C2D99"/>
    <w:rsid w:val="008C6A1F"/>
    <w:rsid w:val="008D4209"/>
    <w:rsid w:val="008D44F1"/>
    <w:rsid w:val="008D6BC7"/>
    <w:rsid w:val="008D6C86"/>
    <w:rsid w:val="008E59F9"/>
    <w:rsid w:val="008F0EED"/>
    <w:rsid w:val="008F5B15"/>
    <w:rsid w:val="00904D78"/>
    <w:rsid w:val="0091013B"/>
    <w:rsid w:val="0091362B"/>
    <w:rsid w:val="00924A71"/>
    <w:rsid w:val="00934491"/>
    <w:rsid w:val="0093568F"/>
    <w:rsid w:val="009402A5"/>
    <w:rsid w:val="0095335B"/>
    <w:rsid w:val="00965178"/>
    <w:rsid w:val="00970429"/>
    <w:rsid w:val="00970A9F"/>
    <w:rsid w:val="00977881"/>
    <w:rsid w:val="00980D2B"/>
    <w:rsid w:val="009867BA"/>
    <w:rsid w:val="00995261"/>
    <w:rsid w:val="009A317D"/>
    <w:rsid w:val="009A57FD"/>
    <w:rsid w:val="009C4FAA"/>
    <w:rsid w:val="009C6AF9"/>
    <w:rsid w:val="009C72DA"/>
    <w:rsid w:val="009E5254"/>
    <w:rsid w:val="00A006C6"/>
    <w:rsid w:val="00A00994"/>
    <w:rsid w:val="00A137D7"/>
    <w:rsid w:val="00A14784"/>
    <w:rsid w:val="00A221DB"/>
    <w:rsid w:val="00A348D9"/>
    <w:rsid w:val="00A366AA"/>
    <w:rsid w:val="00A36D0B"/>
    <w:rsid w:val="00A40625"/>
    <w:rsid w:val="00A44101"/>
    <w:rsid w:val="00A60668"/>
    <w:rsid w:val="00A66776"/>
    <w:rsid w:val="00A756F4"/>
    <w:rsid w:val="00A762DE"/>
    <w:rsid w:val="00A76EC9"/>
    <w:rsid w:val="00A77DF0"/>
    <w:rsid w:val="00A8181A"/>
    <w:rsid w:val="00A84B38"/>
    <w:rsid w:val="00A85685"/>
    <w:rsid w:val="00A856A8"/>
    <w:rsid w:val="00A935AA"/>
    <w:rsid w:val="00AA59DA"/>
    <w:rsid w:val="00AA7BBF"/>
    <w:rsid w:val="00AB06D8"/>
    <w:rsid w:val="00AB0B39"/>
    <w:rsid w:val="00AB6E1C"/>
    <w:rsid w:val="00AD0D7B"/>
    <w:rsid w:val="00AE030F"/>
    <w:rsid w:val="00AE4560"/>
    <w:rsid w:val="00AF4067"/>
    <w:rsid w:val="00AF5141"/>
    <w:rsid w:val="00B0706B"/>
    <w:rsid w:val="00B15F5E"/>
    <w:rsid w:val="00B17882"/>
    <w:rsid w:val="00B20DCA"/>
    <w:rsid w:val="00B30060"/>
    <w:rsid w:val="00B31EF4"/>
    <w:rsid w:val="00B3272B"/>
    <w:rsid w:val="00B40479"/>
    <w:rsid w:val="00B52043"/>
    <w:rsid w:val="00B53D18"/>
    <w:rsid w:val="00B70214"/>
    <w:rsid w:val="00B769D8"/>
    <w:rsid w:val="00B811AB"/>
    <w:rsid w:val="00B8390A"/>
    <w:rsid w:val="00B84BA2"/>
    <w:rsid w:val="00B90266"/>
    <w:rsid w:val="00B91554"/>
    <w:rsid w:val="00B94685"/>
    <w:rsid w:val="00BA48C9"/>
    <w:rsid w:val="00BA5EC6"/>
    <w:rsid w:val="00BC4579"/>
    <w:rsid w:val="00BE08B3"/>
    <w:rsid w:val="00BE21DD"/>
    <w:rsid w:val="00BE3D0A"/>
    <w:rsid w:val="00BE45AD"/>
    <w:rsid w:val="00BF4635"/>
    <w:rsid w:val="00C051D1"/>
    <w:rsid w:val="00C10623"/>
    <w:rsid w:val="00C1272F"/>
    <w:rsid w:val="00C16ECB"/>
    <w:rsid w:val="00C219CC"/>
    <w:rsid w:val="00C27DA9"/>
    <w:rsid w:val="00C27E11"/>
    <w:rsid w:val="00C34700"/>
    <w:rsid w:val="00C35AF1"/>
    <w:rsid w:val="00C42BDB"/>
    <w:rsid w:val="00C47586"/>
    <w:rsid w:val="00C47C67"/>
    <w:rsid w:val="00C53658"/>
    <w:rsid w:val="00C5409A"/>
    <w:rsid w:val="00C746E3"/>
    <w:rsid w:val="00C800D9"/>
    <w:rsid w:val="00C80645"/>
    <w:rsid w:val="00C81CCC"/>
    <w:rsid w:val="00C8681E"/>
    <w:rsid w:val="00C96D8B"/>
    <w:rsid w:val="00CB140A"/>
    <w:rsid w:val="00CB38F2"/>
    <w:rsid w:val="00CC5C96"/>
    <w:rsid w:val="00CC6216"/>
    <w:rsid w:val="00CD3DCD"/>
    <w:rsid w:val="00CD729B"/>
    <w:rsid w:val="00CE569E"/>
    <w:rsid w:val="00CE62CA"/>
    <w:rsid w:val="00CE7DA2"/>
    <w:rsid w:val="00CF39F2"/>
    <w:rsid w:val="00D03DDA"/>
    <w:rsid w:val="00D03EEA"/>
    <w:rsid w:val="00D048E3"/>
    <w:rsid w:val="00D054EE"/>
    <w:rsid w:val="00D10E85"/>
    <w:rsid w:val="00D10FB7"/>
    <w:rsid w:val="00D11453"/>
    <w:rsid w:val="00D13334"/>
    <w:rsid w:val="00D22821"/>
    <w:rsid w:val="00D24627"/>
    <w:rsid w:val="00D2781C"/>
    <w:rsid w:val="00D27963"/>
    <w:rsid w:val="00D32963"/>
    <w:rsid w:val="00D42904"/>
    <w:rsid w:val="00D47B95"/>
    <w:rsid w:val="00D5354E"/>
    <w:rsid w:val="00D571C7"/>
    <w:rsid w:val="00D60BFE"/>
    <w:rsid w:val="00D625E7"/>
    <w:rsid w:val="00D637B9"/>
    <w:rsid w:val="00D74535"/>
    <w:rsid w:val="00D7756A"/>
    <w:rsid w:val="00D8104F"/>
    <w:rsid w:val="00D854FF"/>
    <w:rsid w:val="00D90141"/>
    <w:rsid w:val="00D93515"/>
    <w:rsid w:val="00D97BDE"/>
    <w:rsid w:val="00DA0EF3"/>
    <w:rsid w:val="00DA1C2F"/>
    <w:rsid w:val="00DA763C"/>
    <w:rsid w:val="00DB40A2"/>
    <w:rsid w:val="00DC6FA6"/>
    <w:rsid w:val="00DD2619"/>
    <w:rsid w:val="00DE3D0F"/>
    <w:rsid w:val="00DE50F9"/>
    <w:rsid w:val="00DE59D7"/>
    <w:rsid w:val="00DE666F"/>
    <w:rsid w:val="00DF3A1F"/>
    <w:rsid w:val="00E00477"/>
    <w:rsid w:val="00E00BB8"/>
    <w:rsid w:val="00E05FEE"/>
    <w:rsid w:val="00E1496C"/>
    <w:rsid w:val="00E26433"/>
    <w:rsid w:val="00E416E9"/>
    <w:rsid w:val="00E43E74"/>
    <w:rsid w:val="00E45862"/>
    <w:rsid w:val="00E459D0"/>
    <w:rsid w:val="00E504AC"/>
    <w:rsid w:val="00E648CE"/>
    <w:rsid w:val="00E75CEA"/>
    <w:rsid w:val="00E75F75"/>
    <w:rsid w:val="00E76D94"/>
    <w:rsid w:val="00E8532B"/>
    <w:rsid w:val="00E87286"/>
    <w:rsid w:val="00E903CF"/>
    <w:rsid w:val="00E915D6"/>
    <w:rsid w:val="00E94C0B"/>
    <w:rsid w:val="00E96E58"/>
    <w:rsid w:val="00EA0E23"/>
    <w:rsid w:val="00EB0736"/>
    <w:rsid w:val="00EB344B"/>
    <w:rsid w:val="00EB6186"/>
    <w:rsid w:val="00EC4E5D"/>
    <w:rsid w:val="00ED3603"/>
    <w:rsid w:val="00ED54E4"/>
    <w:rsid w:val="00EE5952"/>
    <w:rsid w:val="00EF2E91"/>
    <w:rsid w:val="00F00E32"/>
    <w:rsid w:val="00F03124"/>
    <w:rsid w:val="00F042AE"/>
    <w:rsid w:val="00F119AA"/>
    <w:rsid w:val="00F30F85"/>
    <w:rsid w:val="00F313AB"/>
    <w:rsid w:val="00F379E9"/>
    <w:rsid w:val="00F45858"/>
    <w:rsid w:val="00F52137"/>
    <w:rsid w:val="00F530D3"/>
    <w:rsid w:val="00F62457"/>
    <w:rsid w:val="00F6297D"/>
    <w:rsid w:val="00F62A29"/>
    <w:rsid w:val="00F63704"/>
    <w:rsid w:val="00F63A74"/>
    <w:rsid w:val="00F65F19"/>
    <w:rsid w:val="00F70699"/>
    <w:rsid w:val="00F737AE"/>
    <w:rsid w:val="00F81186"/>
    <w:rsid w:val="00F87F4D"/>
    <w:rsid w:val="00F9163A"/>
    <w:rsid w:val="00F921E0"/>
    <w:rsid w:val="00F943D5"/>
    <w:rsid w:val="00F94FB3"/>
    <w:rsid w:val="00F96B4A"/>
    <w:rsid w:val="00FA2FA4"/>
    <w:rsid w:val="00FA656E"/>
    <w:rsid w:val="00FA6A94"/>
    <w:rsid w:val="00FB08F2"/>
    <w:rsid w:val="00FB4D74"/>
    <w:rsid w:val="00FB570B"/>
    <w:rsid w:val="00FC0A03"/>
    <w:rsid w:val="00FC72B8"/>
    <w:rsid w:val="00FD01C6"/>
    <w:rsid w:val="00FD1C38"/>
    <w:rsid w:val="00FE0CF2"/>
    <w:rsid w:val="00FE3D4A"/>
    <w:rsid w:val="00FE6AF2"/>
    <w:rsid w:val="00FF4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4C7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72B"/>
  </w:style>
  <w:style w:type="paragraph" w:styleId="Footer">
    <w:name w:val="footer"/>
    <w:basedOn w:val="Normal"/>
    <w:link w:val="FooterChar"/>
    <w:uiPriority w:val="99"/>
    <w:unhideWhenUsed/>
    <w:rsid w:val="00B3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72B"/>
  </w:style>
  <w:style w:type="table" w:styleId="TableGrid">
    <w:name w:val="Table Grid"/>
    <w:basedOn w:val="TableNormal"/>
    <w:uiPriority w:val="39"/>
    <w:rsid w:val="00F9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5FAE"/>
    <w:rPr>
      <w:sz w:val="16"/>
      <w:szCs w:val="16"/>
    </w:rPr>
  </w:style>
  <w:style w:type="paragraph" w:styleId="CommentText">
    <w:name w:val="annotation text"/>
    <w:basedOn w:val="Normal"/>
    <w:link w:val="CommentTextChar"/>
    <w:uiPriority w:val="99"/>
    <w:semiHidden/>
    <w:unhideWhenUsed/>
    <w:rsid w:val="00415FAE"/>
    <w:pPr>
      <w:spacing w:line="240" w:lineRule="auto"/>
    </w:pPr>
    <w:rPr>
      <w:sz w:val="20"/>
      <w:szCs w:val="20"/>
    </w:rPr>
  </w:style>
  <w:style w:type="character" w:customStyle="1" w:styleId="CommentTextChar">
    <w:name w:val="Comment Text Char"/>
    <w:basedOn w:val="DefaultParagraphFont"/>
    <w:link w:val="CommentText"/>
    <w:uiPriority w:val="99"/>
    <w:semiHidden/>
    <w:rsid w:val="00415FAE"/>
    <w:rPr>
      <w:sz w:val="20"/>
      <w:szCs w:val="20"/>
    </w:rPr>
  </w:style>
  <w:style w:type="paragraph" w:styleId="CommentSubject">
    <w:name w:val="annotation subject"/>
    <w:basedOn w:val="CommentText"/>
    <w:next w:val="CommentText"/>
    <w:link w:val="CommentSubjectChar"/>
    <w:uiPriority w:val="99"/>
    <w:semiHidden/>
    <w:unhideWhenUsed/>
    <w:rsid w:val="00415FAE"/>
    <w:rPr>
      <w:b/>
      <w:bCs/>
    </w:rPr>
  </w:style>
  <w:style w:type="character" w:customStyle="1" w:styleId="CommentSubjectChar">
    <w:name w:val="Comment Subject Char"/>
    <w:basedOn w:val="CommentTextChar"/>
    <w:link w:val="CommentSubject"/>
    <w:uiPriority w:val="99"/>
    <w:semiHidden/>
    <w:rsid w:val="00415FAE"/>
    <w:rPr>
      <w:b/>
      <w:bCs/>
      <w:sz w:val="20"/>
      <w:szCs w:val="20"/>
    </w:rPr>
  </w:style>
  <w:style w:type="paragraph" w:styleId="Caption">
    <w:name w:val="caption"/>
    <w:basedOn w:val="Normal"/>
    <w:next w:val="Normal"/>
    <w:uiPriority w:val="35"/>
    <w:unhideWhenUsed/>
    <w:qFormat/>
    <w:rsid w:val="009402A5"/>
    <w:pPr>
      <w:keepNext/>
      <w:spacing w:after="120" w:line="240" w:lineRule="auto"/>
      <w:jc w:val="center"/>
    </w:pPr>
    <w:rPr>
      <w:rFonts w:ascii="Helvetica Neue Light" w:hAnsi="Helvetica Neue Light"/>
      <w:i/>
      <w:iCs/>
      <w:color w:val="000000" w:themeColor="text1"/>
      <w:sz w:val="20"/>
      <w:szCs w:val="20"/>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Dot p"/>
    <w:basedOn w:val="Normal"/>
    <w:link w:val="ListParagraphChar"/>
    <w:uiPriority w:val="34"/>
    <w:qFormat/>
    <w:rsid w:val="00F62A29"/>
    <w:pPr>
      <w:spacing w:after="0" w:line="240" w:lineRule="auto"/>
      <w:ind w:left="720"/>
    </w:pPr>
    <w:rPr>
      <w:rFonts w:ascii="Calibri" w:hAnsi="Calibri" w:cs="Calibri"/>
      <w:lang w:eastAsia="en-AU"/>
    </w:rPr>
  </w:style>
  <w:style w:type="paragraph" w:customStyle="1" w:styleId="Bullet1">
    <w:name w:val="Bullet 1"/>
    <w:basedOn w:val="ListParagraph"/>
    <w:link w:val="Bullet1Char"/>
    <w:qFormat/>
    <w:rsid w:val="003243F8"/>
    <w:pPr>
      <w:numPr>
        <w:numId w:val="2"/>
      </w:numPr>
      <w:contextualSpacing/>
    </w:pPr>
    <w:rPr>
      <w:rFonts w:asciiTheme="minorHAnsi" w:eastAsia="Times New Roman" w:hAnsiTheme="minorHAnsi" w:cs="Times New Roman"/>
      <w:sz w:val="24"/>
      <w:szCs w:val="24"/>
      <w:lang w:eastAsia="en-US"/>
    </w:rPr>
  </w:style>
  <w:style w:type="paragraph" w:customStyle="1" w:styleId="Bullet2">
    <w:name w:val="Bullet 2"/>
    <w:basedOn w:val="Bullet1"/>
    <w:qFormat/>
    <w:rsid w:val="003243F8"/>
    <w:pPr>
      <w:numPr>
        <w:ilvl w:val="1"/>
      </w:numPr>
      <w:tabs>
        <w:tab w:val="clear" w:pos="1134"/>
        <w:tab w:val="num" w:pos="360"/>
      </w:tabs>
    </w:pPr>
  </w:style>
  <w:style w:type="paragraph" w:customStyle="1" w:styleId="Bullet3">
    <w:name w:val="Bullet 3"/>
    <w:basedOn w:val="Bullet2"/>
    <w:qFormat/>
    <w:rsid w:val="003243F8"/>
    <w:pPr>
      <w:numPr>
        <w:ilvl w:val="2"/>
      </w:numPr>
      <w:tabs>
        <w:tab w:val="clear" w:pos="1701"/>
        <w:tab w:val="num" w:pos="360"/>
      </w:tabs>
    </w:pPr>
  </w:style>
  <w:style w:type="character" w:customStyle="1" w:styleId="Bullet1Char">
    <w:name w:val="Bullet 1 Char"/>
    <w:aliases w:val="List Bullet Cab Char,CAB - List Bullet Char,3 Char,Bullet Points Char,Colorful List - Accent 11 Char,Indicator Text Char,Issue Action POC Char,List Paragraph Char Char Char Char"/>
    <w:basedOn w:val="DefaultParagraphFont"/>
    <w:link w:val="Bullet1"/>
    <w:qFormat/>
    <w:locked/>
    <w:rsid w:val="003243F8"/>
    <w:rPr>
      <w:rFonts w:eastAsia="Times New Roman" w:cs="Times New Roman"/>
      <w:sz w:val="24"/>
      <w:szCs w:val="24"/>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locked/>
    <w:rsid w:val="00C27E11"/>
    <w:rPr>
      <w:rFonts w:ascii="Calibri" w:hAnsi="Calibri" w:cs="Calibri"/>
      <w:lang w:eastAsia="en-AU"/>
    </w:rPr>
  </w:style>
  <w:style w:type="paragraph" w:customStyle="1" w:styleId="Default">
    <w:name w:val="Default"/>
    <w:rsid w:val="00F737A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2972">
      <w:bodyDiv w:val="1"/>
      <w:marLeft w:val="0"/>
      <w:marRight w:val="0"/>
      <w:marTop w:val="0"/>
      <w:marBottom w:val="0"/>
      <w:divBdr>
        <w:top w:val="none" w:sz="0" w:space="0" w:color="auto"/>
        <w:left w:val="none" w:sz="0" w:space="0" w:color="auto"/>
        <w:bottom w:val="none" w:sz="0" w:space="0" w:color="auto"/>
        <w:right w:val="none" w:sz="0" w:space="0" w:color="auto"/>
      </w:divBdr>
    </w:div>
    <w:div w:id="2902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073AD-E28D-4540-84A3-5BAEB2C9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1171</Words>
  <Characters>6535</Characters>
  <Application>Microsoft Office Word</Application>
  <DocSecurity>0</DocSecurity>
  <Lines>185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Finance Corporation - Mid Term Review - AHC Management Response</dc:title>
  <dc:subject/>
  <dc:creator/>
  <cp:keywords> [SEC=OFFICIAL]</cp:keywords>
  <dc:description/>
  <cp:lastModifiedBy/>
  <cp:revision>1</cp:revision>
  <dcterms:created xsi:type="dcterms:W3CDTF">2022-06-09T04:32:00Z</dcterms:created>
  <dcterms:modified xsi:type="dcterms:W3CDTF">2022-06-09T04:33:00Z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B6A0D226F1C04D8C86D21C90744134A2</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2022-06-09T04:33:57Z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715C822EEC16B58AF0815B38F6E24E4D</vt:lpwstr>
  </property>
  <property fmtid="{D5CDD505-2E9C-101B-9397-08002B2CF9AE}" pid="20" name="PM_Hash_Salt">
    <vt:lpwstr>4FC35BBAB2F6FF3A3FBE699755C8DAC3</vt:lpwstr>
  </property>
  <property fmtid="{D5CDD505-2E9C-101B-9397-08002B2CF9AE}" pid="21" name="PM_Hash_SHA1">
    <vt:lpwstr>9C920BE7EF466A2A726B176D15165B8F2D221B3F</vt:lpwstr>
  </property>
  <property fmtid="{D5CDD505-2E9C-101B-9397-08002B2CF9AE}" pid="22" name="PM_SecurityClassification_Prev">
    <vt:lpwstr>OFFICIAL</vt:lpwstr>
  </property>
  <property fmtid="{D5CDD505-2E9C-101B-9397-08002B2CF9AE}" pid="23" name="PM_Qualifier_Prev">
    <vt:lpwstr/>
  </property>
</Properties>
</file>