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0110" w14:textId="78D67F7F" w:rsidR="003E1305" w:rsidRPr="00A95242" w:rsidRDefault="003E1305" w:rsidP="00A95242">
      <w:pPr>
        <w:pStyle w:val="Title"/>
        <w:rPr>
          <w:sz w:val="20"/>
          <w:szCs w:val="20"/>
        </w:rPr>
      </w:pPr>
    </w:p>
    <w:p w14:paraId="560B2292" w14:textId="1E1D074E" w:rsidR="00465DD6" w:rsidRPr="00A95242" w:rsidRDefault="00A769D0" w:rsidP="00A95242">
      <w:pPr>
        <w:pStyle w:val="Heading1"/>
      </w:pPr>
      <w:r w:rsidRPr="00A95242">
        <w:t>INDEPENDENT EVALUATION OF THE AUSTRALIAN VOLUNTEERS PROGRAM</w:t>
      </w:r>
      <w:r>
        <w:t xml:space="preserve"> </w:t>
      </w:r>
      <w:r w:rsidRPr="00A95242">
        <w:t>MANAGEMENT</w:t>
      </w:r>
      <w:r>
        <w:t> </w:t>
      </w:r>
      <w:r w:rsidRPr="00A95242">
        <w:t>RESPONSE</w:t>
      </w:r>
      <w:r>
        <w:t xml:space="preserve"> </w:t>
      </w:r>
      <w:r w:rsidR="00A95242">
        <w:t xml:space="preserve">– </w:t>
      </w:r>
      <w:r w:rsidR="00531B7D">
        <w:t xml:space="preserve">PROGRESS REPORT – </w:t>
      </w:r>
      <w:r w:rsidR="00C035B4">
        <w:t>J</w:t>
      </w:r>
      <w:r w:rsidR="00622768">
        <w:t>ULY</w:t>
      </w:r>
      <w:r w:rsidR="00CE2421">
        <w:t xml:space="preserve"> 2024</w:t>
      </w:r>
    </w:p>
    <w:p w14:paraId="5044EAEF" w14:textId="193EBC90" w:rsidR="003E1305" w:rsidRPr="001E6632" w:rsidRDefault="00E6573E" w:rsidP="001E6632">
      <w:pPr>
        <w:pStyle w:val="Heading2"/>
      </w:pPr>
      <w:r w:rsidRPr="001E6632">
        <w:t xml:space="preserve">Summary of </w:t>
      </w:r>
      <w:r w:rsidR="00B806CE">
        <w:t xml:space="preserve">progress made on </w:t>
      </w:r>
      <w:r w:rsidRPr="001E6632">
        <w:t xml:space="preserve">management </w:t>
      </w:r>
      <w:r w:rsidR="00B806CE">
        <w:t>actions</w:t>
      </w:r>
    </w:p>
    <w:p w14:paraId="2B1D6D81" w14:textId="77777777" w:rsidR="001A7736" w:rsidRDefault="007547E1" w:rsidP="007E4862">
      <w:pPr>
        <w:spacing w:before="240" w:after="228" w:line="250" w:lineRule="auto"/>
        <w:ind w:left="-6" w:hanging="11"/>
      </w:pPr>
      <w:r w:rsidRPr="00DF071D">
        <w:t xml:space="preserve">DFAT commissioned an independent evaluation of the Australian Volunteers Program in October 2020 to assess the relevance, effectiveness, efficiency and future direction of the program. The final evaluation report was submitted and accepted by DFAT on 30 April 2021 </w:t>
      </w:r>
      <w:r w:rsidR="00810F69" w:rsidRPr="00DF071D">
        <w:t>and contain</w:t>
      </w:r>
      <w:r w:rsidR="002D5E5F">
        <w:t>ed</w:t>
      </w:r>
      <w:r w:rsidR="00810F69" w:rsidRPr="00DF071D">
        <w:t xml:space="preserve"> </w:t>
      </w:r>
      <w:r w:rsidR="00775726" w:rsidRPr="00DF071D">
        <w:t>valuable</w:t>
      </w:r>
      <w:r w:rsidR="00810F69" w:rsidRPr="00DF071D">
        <w:t xml:space="preserve"> findings on the program</w:t>
      </w:r>
      <w:r w:rsidR="004441EC" w:rsidRPr="00DF071D">
        <w:t>’</w:t>
      </w:r>
      <w:r w:rsidR="00810F69" w:rsidRPr="00DF071D">
        <w:t xml:space="preserve">s performance, as well </w:t>
      </w:r>
      <w:r w:rsidR="00C61E7C">
        <w:t xml:space="preserve">as </w:t>
      </w:r>
      <w:r w:rsidR="00810F69" w:rsidRPr="00DF071D">
        <w:t xml:space="preserve">recommendations on how to ensure the program can </w:t>
      </w:r>
      <w:r w:rsidR="00775726" w:rsidRPr="00DF071D">
        <w:t xml:space="preserve">continue to deliver results </w:t>
      </w:r>
      <w:r w:rsidR="00810F69" w:rsidRPr="00DF071D">
        <w:t xml:space="preserve">within an evolving global context. </w:t>
      </w:r>
    </w:p>
    <w:p w14:paraId="13D1261D" w14:textId="148E387E" w:rsidR="00B55B4F" w:rsidRDefault="002408DC" w:rsidP="00B55B4F">
      <w:pPr>
        <w:spacing w:before="240" w:after="228" w:line="250" w:lineRule="auto"/>
        <w:ind w:left="-6" w:hanging="11"/>
      </w:pPr>
      <w:r>
        <w:t xml:space="preserve">DFAT </w:t>
      </w:r>
      <w:r w:rsidR="00D97FDF">
        <w:t xml:space="preserve">finalised its management response </w:t>
      </w:r>
      <w:r w:rsidR="001A7736">
        <w:t xml:space="preserve">to the </w:t>
      </w:r>
      <w:hyperlink r:id="rId8" w:history="1">
        <w:r w:rsidR="001A7736" w:rsidRPr="009972D4">
          <w:rPr>
            <w:rStyle w:val="Hyperlink"/>
          </w:rPr>
          <w:t xml:space="preserve">independent evaluation </w:t>
        </w:r>
        <w:r w:rsidR="00D97FDF" w:rsidRPr="009972D4">
          <w:rPr>
            <w:rStyle w:val="Hyperlink"/>
          </w:rPr>
          <w:t>in September 202</w:t>
        </w:r>
        <w:r w:rsidR="00423DE9" w:rsidRPr="009972D4">
          <w:rPr>
            <w:rStyle w:val="Hyperlink"/>
          </w:rPr>
          <w:t>1</w:t>
        </w:r>
      </w:hyperlink>
      <w:r w:rsidR="009972D4">
        <w:t>.</w:t>
      </w:r>
      <w:r w:rsidR="003F3797">
        <w:t xml:space="preserve"> </w:t>
      </w:r>
      <w:r w:rsidR="00BB4378">
        <w:t xml:space="preserve">The first progress report outlining progress made against management actions was published in December 2022. </w:t>
      </w:r>
      <w:r w:rsidR="00B55B4F">
        <w:t xml:space="preserve"> </w:t>
      </w:r>
      <w:r w:rsidR="00564CD1">
        <w:t>Th</w:t>
      </w:r>
      <w:r w:rsidR="001A7736">
        <w:t>e following</w:t>
      </w:r>
      <w:r w:rsidR="00C05A6D">
        <w:t xml:space="preserve"> document</w:t>
      </w:r>
      <w:r w:rsidR="00F65F2E">
        <w:t xml:space="preserve"> </w:t>
      </w:r>
      <w:r w:rsidR="00C4222F">
        <w:t xml:space="preserve">outlines </w:t>
      </w:r>
      <w:r w:rsidR="00F65F2E">
        <w:t>progress</w:t>
      </w:r>
      <w:r w:rsidR="00C4222F">
        <w:t xml:space="preserve"> </w:t>
      </w:r>
      <w:r w:rsidR="00AB3901">
        <w:t>to</w:t>
      </w:r>
      <w:r w:rsidR="00A6615D">
        <w:t xml:space="preserve"> </w:t>
      </w:r>
      <w:r w:rsidR="00C035B4">
        <w:t>J</w:t>
      </w:r>
      <w:r w:rsidR="00622768">
        <w:t>uly</w:t>
      </w:r>
      <w:r w:rsidR="00A6615D">
        <w:t xml:space="preserve"> 2024</w:t>
      </w:r>
      <w:r w:rsidR="00C05A6D">
        <w:t xml:space="preserve">, and shows that </w:t>
      </w:r>
      <w:r w:rsidR="005D6729">
        <w:t>all</w:t>
      </w:r>
      <w:r w:rsidR="009955D7">
        <w:t xml:space="preserve"> management actions are now complete</w:t>
      </w:r>
      <w:r w:rsidR="00384D88">
        <w:t>.</w:t>
      </w:r>
      <w:r w:rsidR="00D82FCF">
        <w:t xml:space="preserve"> </w:t>
      </w:r>
    </w:p>
    <w:p w14:paraId="74E08FA0" w14:textId="656F5F5E" w:rsidR="001E6632" w:rsidRPr="00564CD1" w:rsidRDefault="001E6632" w:rsidP="00B55B4F">
      <w:pPr>
        <w:spacing w:before="240" w:after="228" w:line="250" w:lineRule="auto"/>
        <w:ind w:left="-6" w:hanging="11"/>
        <w:rPr>
          <w:rFonts w:ascii="Calibri" w:hAnsi="Calibri" w:cs="Calibri"/>
          <w:color w:val="0563C1" w:themeColor="hyperlink"/>
          <w:sz w:val="22"/>
          <w:szCs w:val="22"/>
          <w:u w:val="single"/>
        </w:rPr>
      </w:pPr>
      <w:r>
        <w:rPr>
          <w:color w:val="495965"/>
        </w:rPr>
        <w:br w:type="page"/>
      </w:r>
    </w:p>
    <w:tbl>
      <w:tblPr>
        <w:tblStyle w:val="ListTable6Colorful-Accent1"/>
        <w:tblW w:w="5098" w:type="pct"/>
        <w:tblLayout w:type="fixed"/>
        <w:tblLook w:val="04A0" w:firstRow="1" w:lastRow="0" w:firstColumn="1" w:lastColumn="0" w:noHBand="0" w:noVBand="1"/>
      </w:tblPr>
      <w:tblGrid>
        <w:gridCol w:w="2553"/>
        <w:gridCol w:w="1275"/>
        <w:gridCol w:w="2505"/>
        <w:gridCol w:w="60"/>
        <w:gridCol w:w="17"/>
        <w:gridCol w:w="2522"/>
        <w:gridCol w:w="1984"/>
        <w:gridCol w:w="3302"/>
        <w:gridCol w:w="14"/>
      </w:tblGrid>
      <w:tr w:rsidR="009972D4" w14:paraId="5B13C955" w14:textId="77777777" w:rsidTr="00E34521">
        <w:trPr>
          <w:cnfStyle w:val="100000000000" w:firstRow="1" w:lastRow="0" w:firstColumn="0" w:lastColumn="0" w:oddVBand="0" w:evenVBand="0" w:oddHBand="0" w:evenHBand="0" w:firstRowFirstColumn="0" w:firstRowLastColumn="0" w:lastRowFirstColumn="0" w:lastRowLastColumn="0"/>
          <w:trHeight w:val="318"/>
          <w:tblHeader/>
        </w:trPr>
        <w:tc>
          <w:tcPr>
            <w:cnfStyle w:val="001000000000" w:firstRow="0" w:lastRow="0" w:firstColumn="1" w:lastColumn="0" w:oddVBand="0" w:evenVBand="0" w:oddHBand="0" w:evenHBand="0" w:firstRowFirstColumn="0" w:firstRowLastColumn="0" w:lastRowFirstColumn="0" w:lastRowLastColumn="0"/>
            <w:tcW w:w="897" w:type="pct"/>
          </w:tcPr>
          <w:p w14:paraId="6647DE71" w14:textId="0D6F9DAE" w:rsidR="00E34521" w:rsidRPr="00E34521" w:rsidRDefault="009972D4" w:rsidP="00E34521">
            <w:pPr>
              <w:ind w:right="134"/>
              <w:jc w:val="center"/>
              <w:rPr>
                <w:b w:val="0"/>
                <w:bCs w:val="0"/>
              </w:rPr>
            </w:pPr>
            <w:r>
              <w:lastRenderedPageBreak/>
              <w:t>Recommendation</w:t>
            </w:r>
          </w:p>
        </w:tc>
        <w:tc>
          <w:tcPr>
            <w:tcW w:w="448" w:type="pct"/>
          </w:tcPr>
          <w:p w14:paraId="6E2D7841" w14:textId="4DE2A4D9" w:rsidR="009972D4" w:rsidRDefault="009972D4" w:rsidP="009972D4">
            <w:pPr>
              <w:ind w:right="134"/>
              <w:jc w:val="center"/>
              <w:cnfStyle w:val="100000000000" w:firstRow="1" w:lastRow="0" w:firstColumn="0" w:lastColumn="0" w:oddVBand="0" w:evenVBand="0" w:oddHBand="0" w:evenHBand="0" w:firstRowFirstColumn="0" w:firstRowLastColumn="0" w:lastRowFirstColumn="0" w:lastRowLastColumn="0"/>
            </w:pPr>
            <w:r>
              <w:t>Response</w:t>
            </w:r>
          </w:p>
        </w:tc>
        <w:tc>
          <w:tcPr>
            <w:tcW w:w="907" w:type="pct"/>
            <w:gridSpan w:val="3"/>
          </w:tcPr>
          <w:p w14:paraId="616B4255" w14:textId="7F23E038" w:rsidR="009972D4" w:rsidRDefault="009972D4" w:rsidP="009972D4">
            <w:pPr>
              <w:ind w:right="39"/>
              <w:jc w:val="center"/>
              <w:cnfStyle w:val="100000000000" w:firstRow="1" w:lastRow="0" w:firstColumn="0" w:lastColumn="0" w:oddVBand="0" w:evenVBand="0" w:oddHBand="0" w:evenHBand="0" w:firstRowFirstColumn="0" w:firstRowLastColumn="0" w:lastRowFirstColumn="0" w:lastRowLastColumn="0"/>
            </w:pPr>
            <w:r>
              <w:t>Explanation</w:t>
            </w:r>
          </w:p>
        </w:tc>
        <w:tc>
          <w:tcPr>
            <w:tcW w:w="886" w:type="pct"/>
          </w:tcPr>
          <w:p w14:paraId="6ADCA64C" w14:textId="0DDBF551" w:rsidR="009972D4" w:rsidRDefault="009972D4" w:rsidP="009972D4">
            <w:pPr>
              <w:ind w:right="-134"/>
              <w:jc w:val="center"/>
              <w:cnfStyle w:val="100000000000" w:firstRow="1" w:lastRow="0" w:firstColumn="0" w:lastColumn="0" w:oddVBand="0" w:evenVBand="0" w:oddHBand="0" w:evenHBand="0" w:firstRowFirstColumn="0" w:firstRowLastColumn="0" w:lastRowFirstColumn="0" w:lastRowLastColumn="0"/>
            </w:pPr>
            <w:r>
              <w:t>Action Plan</w:t>
            </w:r>
          </w:p>
        </w:tc>
        <w:tc>
          <w:tcPr>
            <w:tcW w:w="697" w:type="pct"/>
          </w:tcPr>
          <w:p w14:paraId="2DE48F45" w14:textId="698E6C3D" w:rsidR="009972D4" w:rsidRDefault="009972D4" w:rsidP="009972D4">
            <w:pPr>
              <w:ind w:left="34" w:right="326" w:hanging="34"/>
              <w:jc w:val="center"/>
              <w:cnfStyle w:val="100000000000" w:firstRow="1" w:lastRow="0" w:firstColumn="0" w:lastColumn="0" w:oddVBand="0" w:evenVBand="0" w:oddHBand="0" w:evenHBand="0" w:firstRowFirstColumn="0" w:firstRowLastColumn="0" w:lastRowFirstColumn="0" w:lastRowLastColumn="0"/>
            </w:pPr>
            <w:r>
              <w:t>Timeframe</w:t>
            </w:r>
          </w:p>
        </w:tc>
        <w:tc>
          <w:tcPr>
            <w:tcW w:w="1165" w:type="pct"/>
            <w:gridSpan w:val="2"/>
          </w:tcPr>
          <w:p w14:paraId="34592601" w14:textId="4A8FBD8E" w:rsidR="009972D4" w:rsidRDefault="009972D4" w:rsidP="009972D4">
            <w:pPr>
              <w:ind w:right="134"/>
              <w:jc w:val="center"/>
              <w:cnfStyle w:val="100000000000" w:firstRow="1" w:lastRow="0" w:firstColumn="0" w:lastColumn="0" w:oddVBand="0" w:evenVBand="0" w:oddHBand="0" w:evenHBand="0" w:firstRowFirstColumn="0" w:firstRowLastColumn="0" w:lastRowFirstColumn="0" w:lastRowLastColumn="0"/>
            </w:pPr>
            <w:r>
              <w:t>Status</w:t>
            </w:r>
          </w:p>
        </w:tc>
      </w:tr>
      <w:tr w:rsidR="009972D4" w14:paraId="2C8A5084" w14:textId="388A4CF3" w:rsidTr="00997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743D63FB" w14:textId="77777777" w:rsidR="009972D4" w:rsidRDefault="009972D4" w:rsidP="009972D4">
            <w:pPr>
              <w:ind w:right="134"/>
            </w:pPr>
            <w:r>
              <w:t xml:space="preserve">1. </w:t>
            </w:r>
            <w:r w:rsidRPr="006F374E">
              <w:t xml:space="preserve">That DFAT and the program work together to refresh the program’s outcomes and logic. This is an opportunity to reposition the program in an evolving global context, to consider the benefits of alternative volunteering modalities, and </w:t>
            </w:r>
            <w:r>
              <w:t xml:space="preserve">test and recalibrate priorities </w:t>
            </w:r>
            <w:r w:rsidRPr="006F374E">
              <w:t>to help to build a consensus amongst program stakeholders.</w:t>
            </w:r>
          </w:p>
          <w:p w14:paraId="565348EF" w14:textId="228F730C" w:rsidR="009972D4" w:rsidRDefault="009972D4" w:rsidP="009972D4">
            <w:pPr>
              <w:ind w:right="134"/>
            </w:pPr>
          </w:p>
        </w:tc>
        <w:tc>
          <w:tcPr>
            <w:tcW w:w="448" w:type="pct"/>
          </w:tcPr>
          <w:p w14:paraId="5421DD3A" w14:textId="0E2FC4D6" w:rsidR="009972D4" w:rsidRDefault="009972D4" w:rsidP="009972D4">
            <w:pPr>
              <w:ind w:right="134"/>
              <w:jc w:val="center"/>
              <w:cnfStyle w:val="000000100000" w:firstRow="0" w:lastRow="0" w:firstColumn="0" w:lastColumn="0" w:oddVBand="0" w:evenVBand="0" w:oddHBand="1" w:evenHBand="0" w:firstRowFirstColumn="0" w:firstRowLastColumn="0" w:lastRowFirstColumn="0" w:lastRowLastColumn="0"/>
            </w:pPr>
            <w:r>
              <w:t>Agree.</w:t>
            </w:r>
          </w:p>
        </w:tc>
        <w:tc>
          <w:tcPr>
            <w:tcW w:w="907" w:type="pct"/>
            <w:gridSpan w:val="3"/>
          </w:tcPr>
          <w:p w14:paraId="3230E332" w14:textId="4C0BAB5C" w:rsidR="009972D4" w:rsidRDefault="009972D4" w:rsidP="009972D4">
            <w:pPr>
              <w:ind w:right="39"/>
              <w:cnfStyle w:val="000000100000" w:firstRow="0" w:lastRow="0" w:firstColumn="0" w:lastColumn="0" w:oddVBand="0" w:evenVBand="0" w:oddHBand="1" w:evenHBand="0" w:firstRowFirstColumn="0" w:firstRowLastColumn="0" w:lastRowFirstColumn="0" w:lastRowLastColumn="0"/>
            </w:pPr>
            <w:r>
              <w:t>DFAT agrees that the changing global context as well as evolving foreign policy priorities since the program was first designed warrant a re</w:t>
            </w:r>
            <w:r>
              <w:noBreakHyphen/>
              <w:t>examination of the program’s outcomes and logic, with a view to making any necessary updates.</w:t>
            </w:r>
          </w:p>
        </w:tc>
        <w:tc>
          <w:tcPr>
            <w:tcW w:w="886" w:type="pct"/>
          </w:tcPr>
          <w:p w14:paraId="1888C8F0" w14:textId="0263630E" w:rsidR="009972D4" w:rsidRDefault="009972D4" w:rsidP="009972D4">
            <w:pPr>
              <w:ind w:right="-134"/>
              <w:cnfStyle w:val="000000100000" w:firstRow="0" w:lastRow="0" w:firstColumn="0" w:lastColumn="0" w:oddVBand="0" w:evenVBand="0" w:oddHBand="1" w:evenHBand="0" w:firstRowFirstColumn="0" w:firstRowLastColumn="0" w:lastRowFirstColumn="0" w:lastRowLastColumn="0"/>
            </w:pPr>
            <w:r>
              <w:t>DFAT and Australian Volunteers Program staff will work together to revise the program logic, with the assistance of external specialists as required.</w:t>
            </w:r>
          </w:p>
        </w:tc>
        <w:tc>
          <w:tcPr>
            <w:tcW w:w="697" w:type="pct"/>
          </w:tcPr>
          <w:p w14:paraId="52915582" w14:textId="33B1B65F" w:rsidR="009972D4" w:rsidRDefault="009972D4" w:rsidP="009972D4">
            <w:pPr>
              <w:ind w:left="34" w:right="326" w:hanging="34"/>
              <w:jc w:val="center"/>
              <w:cnfStyle w:val="000000100000" w:firstRow="0" w:lastRow="0" w:firstColumn="0" w:lastColumn="0" w:oddVBand="0" w:evenVBand="0" w:oddHBand="1" w:evenHBand="0" w:firstRowFirstColumn="0" w:firstRowLastColumn="0" w:lastRowFirstColumn="0" w:lastRowLastColumn="0"/>
            </w:pPr>
            <w:r>
              <w:t>Completed by 30 November 2021.</w:t>
            </w:r>
          </w:p>
        </w:tc>
        <w:tc>
          <w:tcPr>
            <w:tcW w:w="1165" w:type="pct"/>
            <w:gridSpan w:val="2"/>
          </w:tcPr>
          <w:p w14:paraId="2CB6E54A" w14:textId="7CAA8C76" w:rsidR="009972D4" w:rsidRDefault="009972D4" w:rsidP="009972D4">
            <w:pPr>
              <w:ind w:right="134"/>
              <w:cnfStyle w:val="000000100000" w:firstRow="0" w:lastRow="0" w:firstColumn="0" w:lastColumn="0" w:oddVBand="0" w:evenVBand="0" w:oddHBand="1" w:evenHBand="0" w:firstRowFirstColumn="0" w:firstRowLastColumn="0" w:lastRowFirstColumn="0" w:lastRowLastColumn="0"/>
            </w:pPr>
            <w:r>
              <w:t>Complete.</w:t>
            </w:r>
            <w:r w:rsidR="00073ECA">
              <w:t xml:space="preserve"> </w:t>
            </w:r>
            <w:r>
              <w:t xml:space="preserve">The </w:t>
            </w:r>
            <w:r w:rsidR="00021665">
              <w:t xml:space="preserve">new </w:t>
            </w:r>
            <w:r>
              <w:t xml:space="preserve">outcomes and </w:t>
            </w:r>
            <w:r w:rsidR="00021665">
              <w:t xml:space="preserve">program </w:t>
            </w:r>
            <w:r>
              <w:t xml:space="preserve">logic </w:t>
            </w:r>
            <w:r w:rsidR="00021665">
              <w:t xml:space="preserve">are </w:t>
            </w:r>
            <w:r>
              <w:t xml:space="preserve">available on the DFAT website. </w:t>
            </w:r>
          </w:p>
        </w:tc>
      </w:tr>
      <w:tr w:rsidR="009972D4" w14:paraId="2BB2166E" w14:textId="1922AA54" w:rsidTr="009972D4">
        <w:trPr>
          <w:trHeight w:val="408"/>
        </w:trPr>
        <w:tc>
          <w:tcPr>
            <w:cnfStyle w:val="001000000000" w:firstRow="0" w:lastRow="0" w:firstColumn="1" w:lastColumn="0" w:oddVBand="0" w:evenVBand="0" w:oddHBand="0" w:evenHBand="0" w:firstRowFirstColumn="0" w:firstRowLastColumn="0" w:lastRowFirstColumn="0" w:lastRowLastColumn="0"/>
            <w:tcW w:w="897" w:type="pct"/>
          </w:tcPr>
          <w:p w14:paraId="51863D2E" w14:textId="77777777" w:rsidR="009972D4" w:rsidRDefault="009972D4" w:rsidP="009972D4">
            <w:pPr>
              <w:ind w:right="134"/>
              <w:rPr>
                <w:b w:val="0"/>
                <w:bCs w:val="0"/>
              </w:rPr>
            </w:pPr>
            <w:r>
              <w:t xml:space="preserve">2. </w:t>
            </w:r>
            <w:r w:rsidRPr="006F374E">
              <w:t>That current strategic partnerships are expanded, and new partnerships are explored to identify and scale up new volunteering modalities, multiply capacity development outcomes, and increase the program’s profile and outreach through leveraging international networks.</w:t>
            </w:r>
          </w:p>
          <w:p w14:paraId="513FAE32" w14:textId="76B9D0A5" w:rsidR="009972D4" w:rsidRDefault="009972D4" w:rsidP="009972D4">
            <w:pPr>
              <w:ind w:right="134"/>
            </w:pPr>
          </w:p>
        </w:tc>
        <w:tc>
          <w:tcPr>
            <w:tcW w:w="448" w:type="pct"/>
          </w:tcPr>
          <w:p w14:paraId="130A90A1" w14:textId="19E139CC" w:rsidR="009972D4" w:rsidRDefault="009972D4" w:rsidP="009972D4">
            <w:pPr>
              <w:ind w:right="134"/>
              <w:jc w:val="center"/>
              <w:cnfStyle w:val="000000000000" w:firstRow="0" w:lastRow="0" w:firstColumn="0" w:lastColumn="0" w:oddVBand="0" w:evenVBand="0" w:oddHBand="0" w:evenHBand="0" w:firstRowFirstColumn="0" w:firstRowLastColumn="0" w:lastRowFirstColumn="0" w:lastRowLastColumn="0"/>
            </w:pPr>
            <w:r>
              <w:t>Agree.</w:t>
            </w:r>
          </w:p>
        </w:tc>
        <w:tc>
          <w:tcPr>
            <w:tcW w:w="907" w:type="pct"/>
            <w:gridSpan w:val="3"/>
          </w:tcPr>
          <w:p w14:paraId="43E6D4B8" w14:textId="77777777"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r>
              <w:t xml:space="preserve">The program has proven over time that strategic partnerships (between Australian organisations, partner organisations in-country and DFAT) lead to effective capacity building outcomes in the long term. There is value in exploring new partnerships to enable a wider reach of the program and generate new volunteering modalities. Experience shows that strategic partnerships are resource intensive, and it will be important to ensure there </w:t>
            </w:r>
            <w:r>
              <w:lastRenderedPageBreak/>
              <w:t>is adequate management capacity (within DFAT and the Program).</w:t>
            </w:r>
          </w:p>
          <w:p w14:paraId="175B2983" w14:textId="0937FCB8"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p>
        </w:tc>
        <w:tc>
          <w:tcPr>
            <w:tcW w:w="886" w:type="pct"/>
          </w:tcPr>
          <w:p w14:paraId="1F5442D6" w14:textId="39DBB1CE" w:rsidR="009972D4" w:rsidRDefault="009972D4" w:rsidP="009972D4">
            <w:pPr>
              <w:ind w:right="-134"/>
              <w:cnfStyle w:val="000000000000" w:firstRow="0" w:lastRow="0" w:firstColumn="0" w:lastColumn="0" w:oddVBand="0" w:evenVBand="0" w:oddHBand="0" w:evenHBand="0" w:firstRowFirstColumn="0" w:firstRowLastColumn="0" w:lastRowFirstColumn="0" w:lastRowLastColumn="0"/>
            </w:pPr>
            <w:r>
              <w:lastRenderedPageBreak/>
              <w:t>DFAT and Australian Volunteers Program staff will work together to seek out new partnerships that add value to the program’s aims, within Australia and overseas.</w:t>
            </w:r>
          </w:p>
        </w:tc>
        <w:tc>
          <w:tcPr>
            <w:tcW w:w="697" w:type="pct"/>
          </w:tcPr>
          <w:p w14:paraId="7E94C0B7" w14:textId="1C13746A" w:rsidR="009972D4" w:rsidRDefault="005A07C0" w:rsidP="009972D4">
            <w:pPr>
              <w:ind w:left="257" w:right="326" w:hanging="257"/>
              <w:jc w:val="center"/>
              <w:cnfStyle w:val="000000000000" w:firstRow="0" w:lastRow="0" w:firstColumn="0" w:lastColumn="0" w:oddVBand="0" w:evenVBand="0" w:oddHBand="0" w:evenHBand="0" w:firstRowFirstColumn="0" w:firstRowLastColumn="0" w:lastRowFirstColumn="0" w:lastRowLastColumn="0"/>
            </w:pPr>
            <w:r>
              <w:t xml:space="preserve">Commenced </w:t>
            </w:r>
            <w:r w:rsidR="009972D4">
              <w:t>in FY2021-22.</w:t>
            </w:r>
          </w:p>
        </w:tc>
        <w:tc>
          <w:tcPr>
            <w:tcW w:w="1165" w:type="pct"/>
            <w:gridSpan w:val="2"/>
          </w:tcPr>
          <w:p w14:paraId="7447518F" w14:textId="77777777" w:rsidR="00014A3B" w:rsidRDefault="00C93CF5" w:rsidP="009972D4">
            <w:pPr>
              <w:ind w:right="35"/>
              <w:cnfStyle w:val="000000000000" w:firstRow="0" w:lastRow="0" w:firstColumn="0" w:lastColumn="0" w:oddVBand="0" w:evenVBand="0" w:oddHBand="0" w:evenHBand="0" w:firstRowFirstColumn="0" w:firstRowLastColumn="0" w:lastRowFirstColumn="0" w:lastRowLastColumn="0"/>
            </w:pPr>
            <w:r>
              <w:t>Complete.</w:t>
            </w:r>
            <w:r w:rsidR="00B45F2E" w:rsidRPr="005D6729">
              <w:t xml:space="preserve"> </w:t>
            </w:r>
          </w:p>
          <w:p w14:paraId="61ED2577" w14:textId="249DB0A3" w:rsidR="009972D4" w:rsidRDefault="009972D4" w:rsidP="009972D4">
            <w:pPr>
              <w:ind w:right="35"/>
              <w:cnfStyle w:val="000000000000" w:firstRow="0" w:lastRow="0" w:firstColumn="0" w:lastColumn="0" w:oddVBand="0" w:evenVBand="0" w:oddHBand="0" w:evenHBand="0" w:firstRowFirstColumn="0" w:firstRowLastColumn="0" w:lastRowFirstColumn="0" w:lastRowLastColumn="0"/>
            </w:pPr>
            <w:r w:rsidRPr="005D6729">
              <w:t xml:space="preserve">The </w:t>
            </w:r>
            <w:r w:rsidR="00C93CF5">
              <w:t>program, over time has</w:t>
            </w:r>
            <w:r w:rsidR="00010550">
              <w:t xml:space="preserve"> addressed this recommendation with expanded strategic partnerships and </w:t>
            </w:r>
            <w:r w:rsidR="005A07C0">
              <w:t>implemented</w:t>
            </w:r>
            <w:r w:rsidR="00010550">
              <w:t xml:space="preserve"> new volunteering modalities (remote and hybrid)</w:t>
            </w:r>
            <w:r w:rsidR="00AB3901">
              <w:t>.</w:t>
            </w:r>
          </w:p>
        </w:tc>
      </w:tr>
      <w:tr w:rsidR="009972D4" w14:paraId="26E6D95C" w14:textId="1CE16C81" w:rsidTr="00997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588933A7" w14:textId="77777777" w:rsidR="009972D4" w:rsidRDefault="009972D4" w:rsidP="009972D4">
            <w:pPr>
              <w:ind w:right="134"/>
            </w:pPr>
            <w:r>
              <w:t xml:space="preserve">3. </w:t>
            </w:r>
            <w:r w:rsidRPr="006F374E">
              <w:t>That consideration is given to establishing appropriate, consultative, or advisory mechanisms in-country to engage government, peak bodies representing the private sector, small and medium enterprises, and civil society with DFAT and program managers at a strategic level.</w:t>
            </w:r>
          </w:p>
          <w:p w14:paraId="6A134DCE" w14:textId="31710994" w:rsidR="009972D4" w:rsidRDefault="009972D4" w:rsidP="009972D4">
            <w:pPr>
              <w:ind w:right="134"/>
            </w:pPr>
          </w:p>
        </w:tc>
        <w:tc>
          <w:tcPr>
            <w:tcW w:w="448" w:type="pct"/>
          </w:tcPr>
          <w:p w14:paraId="019CBB7F" w14:textId="51DB1329" w:rsidR="009972D4" w:rsidRPr="006274FA" w:rsidRDefault="009972D4" w:rsidP="009972D4">
            <w:pPr>
              <w:ind w:right="134"/>
              <w:jc w:val="center"/>
              <w:cnfStyle w:val="000000100000" w:firstRow="0" w:lastRow="0" w:firstColumn="0" w:lastColumn="0" w:oddVBand="0" w:evenVBand="0" w:oddHBand="1" w:evenHBand="0" w:firstRowFirstColumn="0" w:firstRowLastColumn="0" w:lastRowFirstColumn="0" w:lastRowLastColumn="0"/>
            </w:pPr>
            <w:r w:rsidRPr="006274FA">
              <w:t>Agree.</w:t>
            </w:r>
          </w:p>
        </w:tc>
        <w:tc>
          <w:tcPr>
            <w:tcW w:w="907" w:type="pct"/>
            <w:gridSpan w:val="3"/>
          </w:tcPr>
          <w:p w14:paraId="0345C133" w14:textId="77777777" w:rsidR="009972D4" w:rsidRDefault="009972D4" w:rsidP="009972D4">
            <w:pPr>
              <w:ind w:right="134"/>
              <w:cnfStyle w:val="000000100000" w:firstRow="0" w:lastRow="0" w:firstColumn="0" w:lastColumn="0" w:oddVBand="0" w:evenVBand="0" w:oddHBand="1" w:evenHBand="0" w:firstRowFirstColumn="0" w:firstRowLastColumn="0" w:lastRowFirstColumn="0" w:lastRowLastColumn="0"/>
            </w:pPr>
            <w:r w:rsidRPr="006274FA">
              <w:t>The establishment of an advisory mechanism relevant to a specific country context may provide an additional forum where partner governments, diverse community voices and other sectors can be consulted – ensuring both greater ownership and ‘voice’ from counterparts in-country as well as from our DFAT posts.</w:t>
            </w:r>
          </w:p>
          <w:p w14:paraId="74D19A93" w14:textId="43E6AB48" w:rsidR="009972D4" w:rsidRPr="006274FA" w:rsidRDefault="009972D4" w:rsidP="009972D4">
            <w:pPr>
              <w:ind w:right="134"/>
              <w:cnfStyle w:val="000000100000" w:firstRow="0" w:lastRow="0" w:firstColumn="0" w:lastColumn="0" w:oddVBand="0" w:evenVBand="0" w:oddHBand="1" w:evenHBand="0" w:firstRowFirstColumn="0" w:firstRowLastColumn="0" w:lastRowFirstColumn="0" w:lastRowLastColumn="0"/>
            </w:pPr>
          </w:p>
        </w:tc>
        <w:tc>
          <w:tcPr>
            <w:tcW w:w="886" w:type="pct"/>
          </w:tcPr>
          <w:p w14:paraId="2823F663" w14:textId="3C40FBA3" w:rsidR="009972D4" w:rsidRPr="006274FA" w:rsidRDefault="009972D4" w:rsidP="009972D4">
            <w:pPr>
              <w:ind w:right="134"/>
              <w:cnfStyle w:val="000000100000" w:firstRow="0" w:lastRow="0" w:firstColumn="0" w:lastColumn="0" w:oddVBand="0" w:evenVBand="0" w:oddHBand="1" w:evenHBand="0" w:firstRowFirstColumn="0" w:firstRowLastColumn="0" w:lastRowFirstColumn="0" w:lastRowLastColumn="0"/>
            </w:pPr>
            <w:r w:rsidRPr="006274FA">
              <w:t>DFAT and Australian Volunteers Program staff will develop terms of reference for two pilots which will be conducted in two countries to test how this mechanism can be established and inform future program operations.</w:t>
            </w:r>
          </w:p>
        </w:tc>
        <w:tc>
          <w:tcPr>
            <w:tcW w:w="697" w:type="pct"/>
          </w:tcPr>
          <w:p w14:paraId="06AFF216" w14:textId="3B25FEBE" w:rsidR="009972D4" w:rsidRPr="006274FA" w:rsidRDefault="009972D4" w:rsidP="009972D4">
            <w:pPr>
              <w:ind w:right="134"/>
              <w:jc w:val="center"/>
              <w:cnfStyle w:val="000000100000" w:firstRow="0" w:lastRow="0" w:firstColumn="0" w:lastColumn="0" w:oddVBand="0" w:evenVBand="0" w:oddHBand="1" w:evenHBand="0" w:firstRowFirstColumn="0" w:firstRowLastColumn="0" w:lastRowFirstColumn="0" w:lastRowLastColumn="0"/>
            </w:pPr>
            <w:r w:rsidRPr="006274FA">
              <w:t>Beginning in January 2022 and further expanded in FY2022-23 upon successful completion of pilots.</w:t>
            </w:r>
          </w:p>
        </w:tc>
        <w:tc>
          <w:tcPr>
            <w:tcW w:w="1165" w:type="pct"/>
            <w:gridSpan w:val="2"/>
          </w:tcPr>
          <w:p w14:paraId="0F0C5487" w14:textId="134A63EC" w:rsidR="009972D4" w:rsidRPr="006274FA" w:rsidRDefault="003F4150" w:rsidP="009972D4">
            <w:pPr>
              <w:ind w:right="35"/>
              <w:cnfStyle w:val="000000100000" w:firstRow="0" w:lastRow="0" w:firstColumn="0" w:lastColumn="0" w:oddVBand="0" w:evenVBand="0" w:oddHBand="1" w:evenHBand="0" w:firstRowFirstColumn="0" w:firstRowLastColumn="0" w:lastRowFirstColumn="0" w:lastRowLastColumn="0"/>
            </w:pPr>
            <w:r>
              <w:t>Complete.</w:t>
            </w:r>
            <w:r w:rsidR="00834576">
              <w:t xml:space="preserve"> </w:t>
            </w:r>
            <w:r>
              <w:t>Pilot mechanism trial 2024</w:t>
            </w:r>
            <w:r w:rsidR="00622768">
              <w:t>-</w:t>
            </w:r>
            <w:r>
              <w:t>25.</w:t>
            </w:r>
            <w:r w:rsidR="0017503F">
              <w:t xml:space="preserve"> </w:t>
            </w:r>
          </w:p>
        </w:tc>
      </w:tr>
      <w:tr w:rsidR="009972D4" w14:paraId="0B113D08" w14:textId="66E73518" w:rsidTr="009972D4">
        <w:tc>
          <w:tcPr>
            <w:cnfStyle w:val="001000000000" w:firstRow="0" w:lastRow="0" w:firstColumn="1" w:lastColumn="0" w:oddVBand="0" w:evenVBand="0" w:oddHBand="0" w:evenHBand="0" w:firstRowFirstColumn="0" w:firstRowLastColumn="0" w:lastRowFirstColumn="0" w:lastRowLastColumn="0"/>
            <w:tcW w:w="897" w:type="pct"/>
          </w:tcPr>
          <w:p w14:paraId="628207C5" w14:textId="16CB4C09" w:rsidR="009972D4" w:rsidRDefault="009972D4" w:rsidP="009972D4">
            <w:r>
              <w:t xml:space="preserve">4. </w:t>
            </w:r>
            <w:r w:rsidRPr="006F374E">
              <w:t xml:space="preserve">That </w:t>
            </w:r>
            <w:r>
              <w:t xml:space="preserve">in </w:t>
            </w:r>
            <w:r w:rsidRPr="006F374E">
              <w:t>refresh</w:t>
            </w:r>
            <w:r>
              <w:t>ing</w:t>
            </w:r>
            <w:r w:rsidRPr="006F374E">
              <w:t xml:space="preserve"> and recalibrat</w:t>
            </w:r>
            <w:r>
              <w:t>ing</w:t>
            </w:r>
            <w:r w:rsidRPr="006F374E">
              <w:t xml:space="preserve"> the program’s outcomes</w:t>
            </w:r>
            <w:r>
              <w:t xml:space="preserve"> and </w:t>
            </w:r>
            <w:r w:rsidRPr="006F374E">
              <w:t>logic</w:t>
            </w:r>
            <w:r>
              <w:t xml:space="preserve">, </w:t>
            </w:r>
            <w:r w:rsidRPr="006F374E">
              <w:t>particular attention is given to reviewing two of the three E</w:t>
            </w:r>
            <w:r>
              <w:t xml:space="preserve">nd </w:t>
            </w:r>
            <w:r w:rsidRPr="006F374E">
              <w:t>o</w:t>
            </w:r>
            <w:r>
              <w:t xml:space="preserve">f </w:t>
            </w:r>
            <w:r w:rsidRPr="006F374E">
              <w:t>P</w:t>
            </w:r>
            <w:r>
              <w:t xml:space="preserve">rogram </w:t>
            </w:r>
            <w:r w:rsidRPr="006F374E">
              <w:t>O</w:t>
            </w:r>
            <w:r>
              <w:t>utcome</w:t>
            </w:r>
            <w:r w:rsidRPr="006F374E">
              <w:t>s, ‘</w:t>
            </w:r>
            <w:r w:rsidRPr="006F374E">
              <w:rPr>
                <w:i/>
                <w:iCs/>
              </w:rPr>
              <w:t>The public in Australia better appreciates the value of international volunteering’</w:t>
            </w:r>
            <w:r w:rsidRPr="006F374E">
              <w:t xml:space="preserve"> and ‘</w:t>
            </w:r>
            <w:r w:rsidRPr="006F374E">
              <w:rPr>
                <w:i/>
                <w:iCs/>
              </w:rPr>
              <w:t xml:space="preserve">Australian volunteers gain professionally and </w:t>
            </w:r>
            <w:r w:rsidRPr="006F374E">
              <w:rPr>
                <w:i/>
                <w:iCs/>
              </w:rPr>
              <w:lastRenderedPageBreak/>
              <w:t>personally</w:t>
            </w:r>
            <w:r>
              <w:rPr>
                <w:i/>
                <w:iCs/>
              </w:rPr>
              <w:t>,</w:t>
            </w:r>
            <w:r w:rsidRPr="006F374E">
              <w:rPr>
                <w:i/>
                <w:iCs/>
              </w:rPr>
              <w:t>’</w:t>
            </w:r>
            <w:r w:rsidRPr="006F374E">
              <w:t xml:space="preserve"> to ensure logical articulation into program goals, a description of the desired future ‘end state’ and compliance with DFAT standards.</w:t>
            </w:r>
          </w:p>
          <w:p w14:paraId="012D6E13" w14:textId="30FC84DE" w:rsidR="009972D4" w:rsidRDefault="009972D4" w:rsidP="009972D4"/>
        </w:tc>
        <w:tc>
          <w:tcPr>
            <w:tcW w:w="448" w:type="pct"/>
          </w:tcPr>
          <w:p w14:paraId="46E4859A" w14:textId="4522944D" w:rsidR="009972D4" w:rsidRDefault="009972D4" w:rsidP="009972D4">
            <w:pPr>
              <w:jc w:val="center"/>
              <w:cnfStyle w:val="000000000000" w:firstRow="0" w:lastRow="0" w:firstColumn="0" w:lastColumn="0" w:oddVBand="0" w:evenVBand="0" w:oddHBand="0" w:evenHBand="0" w:firstRowFirstColumn="0" w:firstRowLastColumn="0" w:lastRowFirstColumn="0" w:lastRowLastColumn="0"/>
            </w:pPr>
            <w:r>
              <w:lastRenderedPageBreak/>
              <w:t>Agree.</w:t>
            </w:r>
          </w:p>
        </w:tc>
        <w:tc>
          <w:tcPr>
            <w:tcW w:w="907" w:type="pct"/>
            <w:gridSpan w:val="3"/>
          </w:tcPr>
          <w:p w14:paraId="6E8942FA" w14:textId="7486304E"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r>
              <w:t>After nearly five years of implementation,</w:t>
            </w:r>
          </w:p>
          <w:p w14:paraId="29A21DB4" w14:textId="73A3D0AC"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r>
              <w:t>it is timely that DFAT examine whether the</w:t>
            </w:r>
          </w:p>
          <w:p w14:paraId="5FB74CF9" w14:textId="7C72A6E5"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r>
              <w:t>End of Program Outcomes remain</w:t>
            </w:r>
          </w:p>
          <w:p w14:paraId="47E62F5A" w14:textId="55799414" w:rsidR="009972D4" w:rsidRDefault="009972D4" w:rsidP="009972D4">
            <w:pPr>
              <w:ind w:right="39"/>
              <w:cnfStyle w:val="000000000000" w:firstRow="0" w:lastRow="0" w:firstColumn="0" w:lastColumn="0" w:oddVBand="0" w:evenVBand="0" w:oddHBand="0" w:evenHBand="0" w:firstRowFirstColumn="0" w:firstRowLastColumn="0" w:lastRowFirstColumn="0" w:lastRowLastColumn="0"/>
            </w:pPr>
            <w:r>
              <w:t>relevant and align with policy priorities.</w:t>
            </w:r>
          </w:p>
        </w:tc>
        <w:tc>
          <w:tcPr>
            <w:tcW w:w="886" w:type="pct"/>
          </w:tcPr>
          <w:p w14:paraId="64B35CCB" w14:textId="240277DB" w:rsidR="009972D4" w:rsidRDefault="009972D4" w:rsidP="009972D4">
            <w:pPr>
              <w:cnfStyle w:val="000000000000" w:firstRow="0" w:lastRow="0" w:firstColumn="0" w:lastColumn="0" w:oddVBand="0" w:evenVBand="0" w:oddHBand="0" w:evenHBand="0" w:firstRowFirstColumn="0" w:firstRowLastColumn="0" w:lastRowFirstColumn="0" w:lastRowLastColumn="0"/>
            </w:pPr>
            <w:r>
              <w:t>DFAT and Australian Volunteers Program staff will work together to revise the program logic, with the assistance of external specialists as required.</w:t>
            </w:r>
          </w:p>
        </w:tc>
        <w:tc>
          <w:tcPr>
            <w:tcW w:w="697" w:type="pct"/>
          </w:tcPr>
          <w:p w14:paraId="4FFBD46D" w14:textId="5D953E8E" w:rsidR="009972D4" w:rsidRDefault="009972D4" w:rsidP="009972D4">
            <w:pPr>
              <w:ind w:right="134"/>
              <w:jc w:val="center"/>
              <w:cnfStyle w:val="000000000000" w:firstRow="0" w:lastRow="0" w:firstColumn="0" w:lastColumn="0" w:oddVBand="0" w:evenVBand="0" w:oddHBand="0" w:evenHBand="0" w:firstRowFirstColumn="0" w:firstRowLastColumn="0" w:lastRowFirstColumn="0" w:lastRowLastColumn="0"/>
            </w:pPr>
            <w:r>
              <w:t>Completed by 30 November 2021.</w:t>
            </w:r>
          </w:p>
        </w:tc>
        <w:tc>
          <w:tcPr>
            <w:tcW w:w="1165" w:type="pct"/>
            <w:gridSpan w:val="2"/>
          </w:tcPr>
          <w:p w14:paraId="18356FCB" w14:textId="77777777" w:rsidR="009972D4" w:rsidRPr="00E52D36" w:rsidRDefault="009972D4" w:rsidP="009972D4">
            <w:pPr>
              <w:ind w:right="35"/>
              <w:cnfStyle w:val="000000000000" w:firstRow="0" w:lastRow="0" w:firstColumn="0" w:lastColumn="0" w:oddVBand="0" w:evenVBand="0" w:oddHBand="0" w:evenHBand="0" w:firstRowFirstColumn="0" w:firstRowLastColumn="0" w:lastRowFirstColumn="0" w:lastRowLastColumn="0"/>
            </w:pPr>
            <w:r w:rsidRPr="00E52D36">
              <w:t>Complete.</w:t>
            </w:r>
          </w:p>
          <w:p w14:paraId="550E6B06" w14:textId="2508F294" w:rsidR="009972D4" w:rsidRPr="00E52D36" w:rsidRDefault="009972D4" w:rsidP="009972D4">
            <w:pPr>
              <w:ind w:right="35"/>
              <w:cnfStyle w:val="000000000000" w:firstRow="0" w:lastRow="0" w:firstColumn="0" w:lastColumn="0" w:oddVBand="0" w:evenVBand="0" w:oddHBand="0" w:evenHBand="0" w:firstRowFirstColumn="0" w:firstRowLastColumn="0" w:lastRowFirstColumn="0" w:lastRowLastColumn="0"/>
            </w:pPr>
            <w:r>
              <w:t>As per</w:t>
            </w:r>
            <w:r w:rsidRPr="00E52D36">
              <w:t xml:space="preserve"> recommendation 1, the program logic has been refreshed. In line with input from the consultation process and DFAT standards, the second outcome (previously ‘The public in Australia better appreciates the value of international volunteering’) has been given a sharper focus on ‘key stakeholders’ to </w:t>
            </w:r>
            <w:r>
              <w:t>enable it to be a</w:t>
            </w:r>
            <w:r w:rsidRPr="00E52D36">
              <w:t xml:space="preserve"> more realistic, achievable end of program outcome. This outcome </w:t>
            </w:r>
            <w:r w:rsidRPr="00E52D36">
              <w:lastRenderedPageBreak/>
              <w:t xml:space="preserve">also references stakeholders in partner countries, recognising that the program works to increase the value of volunteering with specific target groups outside of Australia. The logical causality of the third outcome has also been amended, to clarify that ‘volunteers gaining personally and professionally’ is a precursor to the end of program outcome relating to volunteers gaining greater cultural awareness. This then flows on more logically to the revised </w:t>
            </w:r>
            <w:r w:rsidR="00BA6081">
              <w:t>o</w:t>
            </w:r>
            <w:r w:rsidRPr="00E52D36">
              <w:t xml:space="preserve">bjective-level statement relating to strong, mutual relationships across the region.  </w:t>
            </w:r>
          </w:p>
          <w:p w14:paraId="4EECD26D" w14:textId="77777777" w:rsidR="009972D4" w:rsidRDefault="009972D4" w:rsidP="009972D4">
            <w:pPr>
              <w:ind w:right="35"/>
              <w:cnfStyle w:val="000000000000" w:firstRow="0" w:lastRow="0" w:firstColumn="0" w:lastColumn="0" w:oddVBand="0" w:evenVBand="0" w:oddHBand="0" w:evenHBand="0" w:firstRowFirstColumn="0" w:firstRowLastColumn="0" w:lastRowFirstColumn="0" w:lastRowLastColumn="0"/>
            </w:pPr>
          </w:p>
        </w:tc>
      </w:tr>
      <w:tr w:rsidR="009972D4" w14:paraId="3DDC21F4" w14:textId="4EC28902" w:rsidTr="00997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2F5F10CF" w14:textId="5E259BC1" w:rsidR="009972D4" w:rsidRDefault="009972D4" w:rsidP="009972D4">
            <w:r>
              <w:lastRenderedPageBreak/>
              <w:t>5. That DFAT examine the value for money assessment and build on it by commissioning relevant follow-up work as required.</w:t>
            </w:r>
            <w:r w:rsidRPr="006F374E">
              <w:t xml:space="preserve"> </w:t>
            </w:r>
          </w:p>
        </w:tc>
        <w:tc>
          <w:tcPr>
            <w:tcW w:w="448" w:type="pct"/>
          </w:tcPr>
          <w:p w14:paraId="6D1491D0" w14:textId="77632D65" w:rsidR="009972D4" w:rsidRDefault="009972D4" w:rsidP="009972D4">
            <w:pPr>
              <w:jc w:val="center"/>
              <w:cnfStyle w:val="000000100000" w:firstRow="0" w:lastRow="0" w:firstColumn="0" w:lastColumn="0" w:oddVBand="0" w:evenVBand="0" w:oddHBand="1" w:evenHBand="0" w:firstRowFirstColumn="0" w:firstRowLastColumn="0" w:lastRowFirstColumn="0" w:lastRowLastColumn="0"/>
            </w:pPr>
            <w:r>
              <w:t>Agree.</w:t>
            </w:r>
          </w:p>
        </w:tc>
        <w:tc>
          <w:tcPr>
            <w:tcW w:w="901" w:type="pct"/>
            <w:gridSpan w:val="2"/>
          </w:tcPr>
          <w:p w14:paraId="5FFF34A0" w14:textId="746760DB" w:rsidR="009972D4" w:rsidRPr="0088287C" w:rsidRDefault="009972D4" w:rsidP="009972D4">
            <w:pPr>
              <w:cnfStyle w:val="000000100000" w:firstRow="0" w:lastRow="0" w:firstColumn="0" w:lastColumn="0" w:oddVBand="0" w:evenVBand="0" w:oddHBand="1" w:evenHBand="0" w:firstRowFirstColumn="0" w:firstRowLastColumn="0" w:lastRowFirstColumn="0" w:lastRowLastColumn="0"/>
              <w:rPr>
                <w:i/>
                <w:iCs/>
              </w:rPr>
            </w:pPr>
            <w:r w:rsidRPr="0088287C">
              <w:rPr>
                <w:i/>
                <w:iCs/>
              </w:rPr>
              <w:t>Revised for operational reason</w:t>
            </w:r>
            <w:r>
              <w:rPr>
                <w:i/>
                <w:iCs/>
              </w:rPr>
              <w:t>s, please refer to hyperlink above</w:t>
            </w:r>
            <w:r w:rsidRPr="0088287C">
              <w:rPr>
                <w:i/>
                <w:iCs/>
              </w:rPr>
              <w:t xml:space="preserve"> for original text:</w:t>
            </w:r>
          </w:p>
          <w:p w14:paraId="40F4CF3C" w14:textId="77777777" w:rsidR="009972D4" w:rsidRDefault="009972D4" w:rsidP="009972D4">
            <w:pPr>
              <w:cnfStyle w:val="000000100000" w:firstRow="0" w:lastRow="0" w:firstColumn="0" w:lastColumn="0" w:oddVBand="0" w:evenVBand="0" w:oddHBand="1" w:evenHBand="0" w:firstRowFirstColumn="0" w:firstRowLastColumn="0" w:lastRowFirstColumn="0" w:lastRowLastColumn="0"/>
            </w:pPr>
          </w:p>
          <w:p w14:paraId="70F5221A" w14:textId="2D882E53" w:rsidR="009972D4" w:rsidRPr="001354F8" w:rsidRDefault="009972D4" w:rsidP="009972D4">
            <w:pPr>
              <w:cnfStyle w:val="000000100000" w:firstRow="0" w:lastRow="0" w:firstColumn="0" w:lastColumn="0" w:oddVBand="0" w:evenVBand="0" w:oddHBand="1" w:evenHBand="0" w:firstRowFirstColumn="0" w:firstRowLastColumn="0" w:lastRowFirstColumn="0" w:lastRowLastColumn="0"/>
            </w:pPr>
            <w:r w:rsidRPr="001354F8">
              <w:t xml:space="preserve">The Value for Money Assessment undertaken by the </w:t>
            </w:r>
            <w:r>
              <w:t>Australian Volunteers P</w:t>
            </w:r>
            <w:r w:rsidRPr="001354F8">
              <w:t xml:space="preserve">rogram comprises a ‘proof of concept’ and was envisaged to be an initial overview assessment to be followed by a more extensive assessment in </w:t>
            </w:r>
            <w:r w:rsidRPr="001354F8">
              <w:lastRenderedPageBreak/>
              <w:t>the second phase of the program (2022-2027).</w:t>
            </w:r>
          </w:p>
          <w:p w14:paraId="072A4426" w14:textId="77777777" w:rsidR="009972D4" w:rsidRPr="001354F8" w:rsidRDefault="009972D4" w:rsidP="009972D4">
            <w:pPr>
              <w:cnfStyle w:val="000000100000" w:firstRow="0" w:lastRow="0" w:firstColumn="0" w:lastColumn="0" w:oddVBand="0" w:evenVBand="0" w:oddHBand="1" w:evenHBand="0" w:firstRowFirstColumn="0" w:firstRowLastColumn="0" w:lastRowFirstColumn="0" w:lastRowLastColumn="0"/>
            </w:pPr>
            <w:r w:rsidRPr="001354F8">
              <w:t> </w:t>
            </w:r>
          </w:p>
          <w:p w14:paraId="7B850D4A" w14:textId="5F505FA8" w:rsidR="009972D4" w:rsidRDefault="009972D4" w:rsidP="009972D4">
            <w:pPr>
              <w:cnfStyle w:val="000000100000" w:firstRow="0" w:lastRow="0" w:firstColumn="0" w:lastColumn="0" w:oddVBand="0" w:evenVBand="0" w:oddHBand="1" w:evenHBand="0" w:firstRowFirstColumn="0" w:firstRowLastColumn="0" w:lastRowFirstColumn="0" w:lastRowLastColumn="0"/>
            </w:pPr>
            <w:r w:rsidRPr="001354F8">
              <w:t>Given the significant and ongoing changes in global context due to COVID-19 and subsequent changes to the</w:t>
            </w:r>
            <w:r>
              <w:t xml:space="preserve"> Australian</w:t>
            </w:r>
            <w:r w:rsidRPr="001354F8">
              <w:t xml:space="preserve"> </w:t>
            </w:r>
            <w:r>
              <w:t>V</w:t>
            </w:r>
            <w:r w:rsidRPr="001354F8">
              <w:t xml:space="preserve">olunteer </w:t>
            </w:r>
            <w:r>
              <w:t>P</w:t>
            </w:r>
            <w:r w:rsidRPr="001354F8">
              <w:t>rogram’s scope and scale, DFAT will not commission a further value for money assessment at this time.</w:t>
            </w:r>
          </w:p>
          <w:p w14:paraId="29729A35" w14:textId="142EED3F" w:rsidR="009972D4" w:rsidRPr="001354F8" w:rsidRDefault="009972D4" w:rsidP="009972D4">
            <w:pPr>
              <w:cnfStyle w:val="000000100000" w:firstRow="0" w:lastRow="0" w:firstColumn="0" w:lastColumn="0" w:oddVBand="0" w:evenVBand="0" w:oddHBand="1" w:evenHBand="0" w:firstRowFirstColumn="0" w:firstRowLastColumn="0" w:lastRowFirstColumn="0" w:lastRowLastColumn="0"/>
            </w:pPr>
            <w:r w:rsidRPr="00E85D84">
              <w:t>However, the Australian Volunteer</w:t>
            </w:r>
            <w:r>
              <w:t>s</w:t>
            </w:r>
            <w:r w:rsidRPr="00E85D84">
              <w:t xml:space="preserve"> Program will conduct a follow-up assessment in the second phase of the program (2022-2027).</w:t>
            </w:r>
          </w:p>
          <w:p w14:paraId="492AD6BE" w14:textId="4AFB920B" w:rsidR="009972D4" w:rsidRDefault="009972D4" w:rsidP="009972D4">
            <w:pPr>
              <w:cnfStyle w:val="000000100000" w:firstRow="0" w:lastRow="0" w:firstColumn="0" w:lastColumn="0" w:oddVBand="0" w:evenVBand="0" w:oddHBand="1" w:evenHBand="0" w:firstRowFirstColumn="0" w:firstRowLastColumn="0" w:lastRowFirstColumn="0" w:lastRowLastColumn="0"/>
            </w:pPr>
          </w:p>
        </w:tc>
        <w:tc>
          <w:tcPr>
            <w:tcW w:w="892" w:type="pct"/>
            <w:gridSpan w:val="2"/>
          </w:tcPr>
          <w:p w14:paraId="0B7D0C5F" w14:textId="0A603316" w:rsidR="009972D4" w:rsidRPr="00AB6D45" w:rsidRDefault="009972D4" w:rsidP="00A062B3">
            <w:pPr>
              <w:cnfStyle w:val="000000100000" w:firstRow="0" w:lastRow="0" w:firstColumn="0" w:lastColumn="0" w:oddVBand="0" w:evenVBand="0" w:oddHBand="1" w:evenHBand="0" w:firstRowFirstColumn="0" w:firstRowLastColumn="0" w:lastRowFirstColumn="0" w:lastRowLastColumn="0"/>
            </w:pPr>
          </w:p>
        </w:tc>
        <w:tc>
          <w:tcPr>
            <w:tcW w:w="697" w:type="pct"/>
          </w:tcPr>
          <w:p w14:paraId="575047B7" w14:textId="087C875C" w:rsidR="009972D4" w:rsidRPr="00AB6D45" w:rsidRDefault="009972D4" w:rsidP="009972D4">
            <w:pPr>
              <w:jc w:val="center"/>
              <w:cnfStyle w:val="000000100000" w:firstRow="0" w:lastRow="0" w:firstColumn="0" w:lastColumn="0" w:oddVBand="0" w:evenVBand="0" w:oddHBand="1" w:evenHBand="0" w:firstRowFirstColumn="0" w:firstRowLastColumn="0" w:lastRowFirstColumn="0" w:lastRowLastColumn="0"/>
            </w:pPr>
            <w:r w:rsidRPr="00AB6D45">
              <w:rPr>
                <w:rFonts w:cstheme="minorHAnsi"/>
              </w:rPr>
              <w:t>To be conducted during the second phase of the program (2022-2027).</w:t>
            </w:r>
          </w:p>
        </w:tc>
        <w:tc>
          <w:tcPr>
            <w:tcW w:w="1165" w:type="pct"/>
            <w:gridSpan w:val="2"/>
          </w:tcPr>
          <w:p w14:paraId="0E1BC8A3" w14:textId="77777777" w:rsidR="00A062B3" w:rsidRDefault="00AB6D45" w:rsidP="009972D4">
            <w:pPr>
              <w:ind w:right="35"/>
              <w:cnfStyle w:val="000000100000" w:firstRow="0" w:lastRow="0" w:firstColumn="0" w:lastColumn="0" w:oddVBand="0" w:evenVBand="0" w:oddHBand="1" w:evenHBand="0" w:firstRowFirstColumn="0" w:firstRowLastColumn="0" w:lastRowFirstColumn="0" w:lastRowLastColumn="0"/>
            </w:pPr>
            <w:r>
              <w:t>Complete.</w:t>
            </w:r>
            <w:r w:rsidR="009972D4" w:rsidRPr="00AB6D45">
              <w:t xml:space="preserve"> </w:t>
            </w:r>
          </w:p>
          <w:p w14:paraId="180EEB58" w14:textId="370452DF" w:rsidR="009972D4" w:rsidRPr="00AB6D45" w:rsidRDefault="00A062B3" w:rsidP="009972D4">
            <w:pPr>
              <w:ind w:right="35"/>
              <w:cnfStyle w:val="000000100000" w:firstRow="0" w:lastRow="0" w:firstColumn="0" w:lastColumn="0" w:oddVBand="0" w:evenVBand="0" w:oddHBand="1" w:evenHBand="0" w:firstRowFirstColumn="0" w:firstRowLastColumn="0" w:lastRowFirstColumn="0" w:lastRowLastColumn="0"/>
            </w:pPr>
            <w:r>
              <w:t xml:space="preserve">Incorporated into </w:t>
            </w:r>
            <w:r w:rsidR="00774EC3">
              <w:t>broader end of program evaluation</w:t>
            </w:r>
            <w:r w:rsidR="00622768">
              <w:t xml:space="preserve">, to commence in </w:t>
            </w:r>
            <w:r w:rsidR="00774EC3">
              <w:t>Aug</w:t>
            </w:r>
            <w:r w:rsidR="00622768">
              <w:t>ust</w:t>
            </w:r>
            <w:r w:rsidR="00774EC3">
              <w:t xml:space="preserve"> 2024. </w:t>
            </w:r>
          </w:p>
        </w:tc>
      </w:tr>
      <w:tr w:rsidR="009972D4" w14:paraId="17FEDB7E" w14:textId="611F2CD2" w:rsidTr="009972D4">
        <w:trPr>
          <w:gridAfter w:val="1"/>
          <w:wAfter w:w="5" w:type="pct"/>
        </w:trPr>
        <w:tc>
          <w:tcPr>
            <w:cnfStyle w:val="001000000000" w:firstRow="0" w:lastRow="0" w:firstColumn="1" w:lastColumn="0" w:oddVBand="0" w:evenVBand="0" w:oddHBand="0" w:evenHBand="0" w:firstRowFirstColumn="0" w:firstRowLastColumn="0" w:lastRowFirstColumn="0" w:lastRowLastColumn="0"/>
            <w:tcW w:w="897" w:type="pct"/>
          </w:tcPr>
          <w:p w14:paraId="4F98B8F6" w14:textId="2BFB6187" w:rsidR="009972D4" w:rsidRDefault="009972D4" w:rsidP="009972D4">
            <w:r>
              <w:t xml:space="preserve">6. </w:t>
            </w:r>
            <w:r w:rsidRPr="006F374E">
              <w:t>That DFAT and senior program staff work together to address the role of the P</w:t>
            </w:r>
            <w:r>
              <w:t xml:space="preserve">rogram </w:t>
            </w:r>
            <w:r w:rsidRPr="006F374E">
              <w:t>M</w:t>
            </w:r>
            <w:r>
              <w:t xml:space="preserve">anagement </w:t>
            </w:r>
            <w:r w:rsidRPr="006F374E">
              <w:t>G</w:t>
            </w:r>
            <w:r>
              <w:t>roup</w:t>
            </w:r>
            <w:r w:rsidRPr="006F374E">
              <w:t xml:space="preserve"> to ensure that it is fulfilling all of its mandated functions and DFAT is receiving an appropriate level of performance assurance and transparency commensurate with its </w:t>
            </w:r>
            <w:r w:rsidRPr="006F374E">
              <w:lastRenderedPageBreak/>
              <w:t>role as the program’s funding body.</w:t>
            </w:r>
          </w:p>
          <w:p w14:paraId="410F6BC0" w14:textId="34F90099" w:rsidR="009972D4" w:rsidRDefault="009972D4" w:rsidP="009972D4"/>
        </w:tc>
        <w:tc>
          <w:tcPr>
            <w:tcW w:w="448" w:type="pct"/>
          </w:tcPr>
          <w:p w14:paraId="07A583FD" w14:textId="6B106939" w:rsidR="009972D4" w:rsidRDefault="009972D4" w:rsidP="009972D4">
            <w:pPr>
              <w:jc w:val="center"/>
              <w:cnfStyle w:val="000000000000" w:firstRow="0" w:lastRow="0" w:firstColumn="0" w:lastColumn="0" w:oddVBand="0" w:evenVBand="0" w:oddHBand="0" w:evenHBand="0" w:firstRowFirstColumn="0" w:firstRowLastColumn="0" w:lastRowFirstColumn="0" w:lastRowLastColumn="0"/>
            </w:pPr>
            <w:r>
              <w:lastRenderedPageBreak/>
              <w:t>Agree.</w:t>
            </w:r>
          </w:p>
        </w:tc>
        <w:tc>
          <w:tcPr>
            <w:tcW w:w="901" w:type="pct"/>
            <w:gridSpan w:val="2"/>
          </w:tcPr>
          <w:p w14:paraId="73C52F37" w14:textId="74A91814" w:rsidR="009972D4" w:rsidRDefault="009972D4" w:rsidP="009972D4">
            <w:pPr>
              <w:cnfStyle w:val="000000000000" w:firstRow="0" w:lastRow="0" w:firstColumn="0" w:lastColumn="0" w:oddVBand="0" w:evenVBand="0" w:oddHBand="0" w:evenHBand="0" w:firstRowFirstColumn="0" w:firstRowLastColumn="0" w:lastRowFirstColumn="0" w:lastRowLastColumn="0"/>
            </w:pPr>
            <w:r>
              <w:t xml:space="preserve">As the program’s governance body, the Program Management Group provides DFAT and senior program staff with a mechanism to discuss program issues at a strategic level bi-annually. </w:t>
            </w:r>
          </w:p>
        </w:tc>
        <w:tc>
          <w:tcPr>
            <w:tcW w:w="892" w:type="pct"/>
            <w:gridSpan w:val="2"/>
          </w:tcPr>
          <w:p w14:paraId="6EB1348F" w14:textId="0FCB7276" w:rsidR="009972D4" w:rsidRDefault="009972D4" w:rsidP="009972D4">
            <w:pPr>
              <w:cnfStyle w:val="000000000000" w:firstRow="0" w:lastRow="0" w:firstColumn="0" w:lastColumn="0" w:oddVBand="0" w:evenVBand="0" w:oddHBand="0" w:evenHBand="0" w:firstRowFirstColumn="0" w:firstRowLastColumn="0" w:lastRowFirstColumn="0" w:lastRowLastColumn="0"/>
            </w:pPr>
            <w:r>
              <w:t xml:space="preserve">Through a process of internal review and consultation, DFAT and Australian Volunteers Program staff will scrutinise how the Program Management Group is currently functioning and measures that can be taken to strengthen its functions. This will include updating the Program Management </w:t>
            </w:r>
            <w:r>
              <w:lastRenderedPageBreak/>
              <w:t>Group’s terms of reference.</w:t>
            </w:r>
          </w:p>
        </w:tc>
        <w:tc>
          <w:tcPr>
            <w:tcW w:w="697" w:type="pct"/>
          </w:tcPr>
          <w:p w14:paraId="1F3A3B3A" w14:textId="5F0A64B5" w:rsidR="009972D4" w:rsidRDefault="009972D4" w:rsidP="009972D4">
            <w:pPr>
              <w:jc w:val="center"/>
              <w:cnfStyle w:val="000000000000" w:firstRow="0" w:lastRow="0" w:firstColumn="0" w:lastColumn="0" w:oddVBand="0" w:evenVBand="0" w:oddHBand="0" w:evenHBand="0" w:firstRowFirstColumn="0" w:firstRowLastColumn="0" w:lastRowFirstColumn="0" w:lastRowLastColumn="0"/>
            </w:pPr>
            <w:r>
              <w:lastRenderedPageBreak/>
              <w:t>Completed by 30 November 2021.</w:t>
            </w:r>
          </w:p>
        </w:tc>
        <w:tc>
          <w:tcPr>
            <w:tcW w:w="1160" w:type="pct"/>
          </w:tcPr>
          <w:p w14:paraId="138B7DB1" w14:textId="77777777" w:rsidR="00755DA0" w:rsidRDefault="009972D4" w:rsidP="009972D4">
            <w:pPr>
              <w:ind w:right="35"/>
              <w:cnfStyle w:val="000000000000" w:firstRow="0" w:lastRow="0" w:firstColumn="0" w:lastColumn="0" w:oddVBand="0" w:evenVBand="0" w:oddHBand="0" w:evenHBand="0" w:firstRowFirstColumn="0" w:firstRowLastColumn="0" w:lastRowFirstColumn="0" w:lastRowLastColumn="0"/>
            </w:pPr>
            <w:r w:rsidRPr="00D03A4A">
              <w:t>Complete.</w:t>
            </w:r>
            <w:r w:rsidR="00AC5C5C">
              <w:t xml:space="preserve"> </w:t>
            </w:r>
          </w:p>
          <w:p w14:paraId="6B7CAFCC" w14:textId="3C07D537" w:rsidR="009972D4" w:rsidRPr="00D03A4A" w:rsidRDefault="00AC5C5C" w:rsidP="009972D4">
            <w:pPr>
              <w:ind w:right="35"/>
              <w:cnfStyle w:val="000000000000" w:firstRow="0" w:lastRow="0" w:firstColumn="0" w:lastColumn="0" w:oddVBand="0" w:evenVBand="0" w:oddHBand="0" w:evenHBand="0" w:firstRowFirstColumn="0" w:firstRowLastColumn="0" w:lastRowFirstColumn="0" w:lastRowLastColumn="0"/>
            </w:pPr>
            <w:r>
              <w:t xml:space="preserve">An </w:t>
            </w:r>
            <w:r w:rsidR="009972D4">
              <w:t>updated terms of reference w</w:t>
            </w:r>
            <w:r>
              <w:t xml:space="preserve">as </w:t>
            </w:r>
            <w:r w:rsidR="009972D4" w:rsidRPr="00D03A4A">
              <w:t xml:space="preserve">approved </w:t>
            </w:r>
            <w:r w:rsidR="009972D4">
              <w:t xml:space="preserve">by the Program Management Group in </w:t>
            </w:r>
            <w:r w:rsidR="009972D4" w:rsidRPr="00D03A4A">
              <w:t xml:space="preserve">February 2022. </w:t>
            </w:r>
          </w:p>
          <w:p w14:paraId="040770F9" w14:textId="77777777" w:rsidR="009972D4" w:rsidRDefault="009972D4" w:rsidP="009972D4">
            <w:pPr>
              <w:ind w:right="35"/>
              <w:cnfStyle w:val="000000000000" w:firstRow="0" w:lastRow="0" w:firstColumn="0" w:lastColumn="0" w:oddVBand="0" w:evenVBand="0" w:oddHBand="0" w:evenHBand="0" w:firstRowFirstColumn="0" w:firstRowLastColumn="0" w:lastRowFirstColumn="0" w:lastRowLastColumn="0"/>
            </w:pPr>
          </w:p>
        </w:tc>
      </w:tr>
      <w:tr w:rsidR="009972D4" w14:paraId="7DEB0149" w14:textId="0E2C3889" w:rsidTr="009972D4">
        <w:trPr>
          <w:gridAfter w:val="1"/>
          <w:cnfStyle w:val="000000100000" w:firstRow="0" w:lastRow="0" w:firstColumn="0" w:lastColumn="0" w:oddVBand="0" w:evenVBand="0" w:oddHBand="1" w:evenHBand="0" w:firstRowFirstColumn="0" w:firstRowLastColumn="0" w:lastRowFirstColumn="0" w:lastRowLastColumn="0"/>
          <w:wAfter w:w="5" w:type="pct"/>
        </w:trPr>
        <w:tc>
          <w:tcPr>
            <w:cnfStyle w:val="001000000000" w:firstRow="0" w:lastRow="0" w:firstColumn="1" w:lastColumn="0" w:oddVBand="0" w:evenVBand="0" w:oddHBand="0" w:evenHBand="0" w:firstRowFirstColumn="0" w:firstRowLastColumn="0" w:lastRowFirstColumn="0" w:lastRowLastColumn="0"/>
            <w:tcW w:w="897" w:type="pct"/>
          </w:tcPr>
          <w:p w14:paraId="273725D3" w14:textId="7E003181" w:rsidR="009972D4" w:rsidRDefault="009972D4" w:rsidP="009972D4">
            <w:r>
              <w:t xml:space="preserve">7. </w:t>
            </w:r>
            <w:r w:rsidRPr="006F374E">
              <w:t>That DFAT and senior program staff work together to update the program</w:t>
            </w:r>
            <w:r>
              <w:t>’</w:t>
            </w:r>
            <w:r w:rsidRPr="006F374E">
              <w:t>s approach to risk management to include all main categories of risk.</w:t>
            </w:r>
          </w:p>
        </w:tc>
        <w:tc>
          <w:tcPr>
            <w:tcW w:w="448" w:type="pct"/>
          </w:tcPr>
          <w:p w14:paraId="09B2DA36" w14:textId="08C9AE88" w:rsidR="009972D4" w:rsidRDefault="009972D4" w:rsidP="009972D4">
            <w:pPr>
              <w:jc w:val="center"/>
              <w:cnfStyle w:val="000000100000" w:firstRow="0" w:lastRow="0" w:firstColumn="0" w:lastColumn="0" w:oddVBand="0" w:evenVBand="0" w:oddHBand="1" w:evenHBand="0" w:firstRowFirstColumn="0" w:firstRowLastColumn="0" w:lastRowFirstColumn="0" w:lastRowLastColumn="0"/>
            </w:pPr>
            <w:r>
              <w:t>Agree.</w:t>
            </w:r>
          </w:p>
        </w:tc>
        <w:tc>
          <w:tcPr>
            <w:tcW w:w="901" w:type="pct"/>
            <w:gridSpan w:val="2"/>
          </w:tcPr>
          <w:p w14:paraId="2D69F2D4" w14:textId="277DC5C1" w:rsidR="009972D4" w:rsidRDefault="009972D4" w:rsidP="009972D4">
            <w:pPr>
              <w:cnfStyle w:val="000000100000" w:firstRow="0" w:lastRow="0" w:firstColumn="0" w:lastColumn="0" w:oddVBand="0" w:evenVBand="0" w:oddHBand="1" w:evenHBand="0" w:firstRowFirstColumn="0" w:firstRowLastColumn="0" w:lastRowFirstColumn="0" w:lastRowLastColumn="0"/>
            </w:pPr>
            <w:r>
              <w:t>DFAT welcomes the opportunity to ensure all relevant risks in the program are adequately captured within the program’s risk approach and aligned with DFAT’s aid risk management framework, noting that risk review, monitoring and mitigation is an ongoing process.</w:t>
            </w:r>
          </w:p>
        </w:tc>
        <w:tc>
          <w:tcPr>
            <w:tcW w:w="892" w:type="pct"/>
            <w:gridSpan w:val="2"/>
          </w:tcPr>
          <w:p w14:paraId="326FD3E2" w14:textId="77777777" w:rsidR="009972D4" w:rsidRDefault="009972D4" w:rsidP="009972D4">
            <w:pPr>
              <w:cnfStyle w:val="000000100000" w:firstRow="0" w:lastRow="0" w:firstColumn="0" w:lastColumn="0" w:oddVBand="0" w:evenVBand="0" w:oddHBand="1" w:evenHBand="0" w:firstRowFirstColumn="0" w:firstRowLastColumn="0" w:lastRowFirstColumn="0" w:lastRowLastColumn="0"/>
            </w:pPr>
            <w:r>
              <w:t xml:space="preserve">The program’s Risk Management Committee (which includes representation from DFAT) will review the program’s risk management documentation to ensure all relevant categories of risk are captured within the program’s risk approach.  </w:t>
            </w:r>
          </w:p>
          <w:p w14:paraId="5495851B" w14:textId="03E99117" w:rsidR="009972D4" w:rsidRDefault="009972D4" w:rsidP="009972D4">
            <w:pPr>
              <w:cnfStyle w:val="000000100000" w:firstRow="0" w:lastRow="0" w:firstColumn="0" w:lastColumn="0" w:oddVBand="0" w:evenVBand="0" w:oddHBand="1" w:evenHBand="0" w:firstRowFirstColumn="0" w:firstRowLastColumn="0" w:lastRowFirstColumn="0" w:lastRowLastColumn="0"/>
            </w:pPr>
          </w:p>
        </w:tc>
        <w:tc>
          <w:tcPr>
            <w:tcW w:w="697" w:type="pct"/>
          </w:tcPr>
          <w:p w14:paraId="072051B3" w14:textId="21111BDE" w:rsidR="009972D4" w:rsidRDefault="002E2557" w:rsidP="009972D4">
            <w:pPr>
              <w:jc w:val="center"/>
              <w:cnfStyle w:val="000000100000" w:firstRow="0" w:lastRow="0" w:firstColumn="0" w:lastColumn="0" w:oddVBand="0" w:evenVBand="0" w:oddHBand="1" w:evenHBand="0" w:firstRowFirstColumn="0" w:firstRowLastColumn="0" w:lastRowFirstColumn="0" w:lastRowLastColumn="0"/>
            </w:pPr>
            <w:r>
              <w:t xml:space="preserve"> Complete by 30 November 2022</w:t>
            </w:r>
            <w:r w:rsidR="009972D4">
              <w:t>.</w:t>
            </w:r>
          </w:p>
        </w:tc>
        <w:tc>
          <w:tcPr>
            <w:tcW w:w="1160" w:type="pct"/>
          </w:tcPr>
          <w:p w14:paraId="5339A242" w14:textId="18A4CCA3" w:rsidR="009972D4" w:rsidRDefault="00592EAB" w:rsidP="009972D4">
            <w:pPr>
              <w:cnfStyle w:val="000000100000" w:firstRow="0" w:lastRow="0" w:firstColumn="0" w:lastColumn="0" w:oddVBand="0" w:evenVBand="0" w:oddHBand="1" w:evenHBand="0" w:firstRowFirstColumn="0" w:firstRowLastColumn="0" w:lastRowFirstColumn="0" w:lastRowLastColumn="0"/>
            </w:pPr>
            <w:r>
              <w:t>Complete</w:t>
            </w:r>
            <w:r w:rsidR="005508F3">
              <w:t xml:space="preserve">. </w:t>
            </w:r>
          </w:p>
          <w:p w14:paraId="51819139" w14:textId="1DA2AFC6" w:rsidR="009972D4" w:rsidRDefault="009972D4" w:rsidP="00592EAB">
            <w:pPr>
              <w:cnfStyle w:val="000000100000" w:firstRow="0" w:lastRow="0" w:firstColumn="0" w:lastColumn="0" w:oddVBand="0" w:evenVBand="0" w:oddHBand="1" w:evenHBand="0" w:firstRowFirstColumn="0" w:firstRowLastColumn="0" w:lastRowFirstColumn="0" w:lastRowLastColumn="0"/>
            </w:pPr>
            <w:r>
              <w:t>A Risk Assurance Framework was developed and approved at the Program Management Group</w:t>
            </w:r>
            <w:r w:rsidR="00AC5C5C">
              <w:t xml:space="preserve"> </w:t>
            </w:r>
            <w:r>
              <w:t>in February 2022</w:t>
            </w:r>
            <w:r w:rsidR="00706AA2">
              <w:t xml:space="preserve"> and subsequent revision of the Global Risk Plan and Register </w:t>
            </w:r>
            <w:r w:rsidR="00912A41">
              <w:t>in 2022 to capture all main categories of risk.</w:t>
            </w:r>
            <w:r>
              <w:t xml:space="preserve"> </w:t>
            </w:r>
          </w:p>
        </w:tc>
      </w:tr>
      <w:tr w:rsidR="009972D4" w14:paraId="4FBA3DE0" w14:textId="209EDE82" w:rsidTr="009972D4">
        <w:trPr>
          <w:gridAfter w:val="1"/>
          <w:wAfter w:w="5" w:type="pct"/>
        </w:trPr>
        <w:tc>
          <w:tcPr>
            <w:cnfStyle w:val="001000000000" w:firstRow="0" w:lastRow="0" w:firstColumn="1" w:lastColumn="0" w:oddVBand="0" w:evenVBand="0" w:oddHBand="0" w:evenHBand="0" w:firstRowFirstColumn="0" w:firstRowLastColumn="0" w:lastRowFirstColumn="0" w:lastRowLastColumn="0"/>
            <w:tcW w:w="897" w:type="pct"/>
          </w:tcPr>
          <w:p w14:paraId="7C0D2194" w14:textId="77777777" w:rsidR="009972D4" w:rsidRDefault="009972D4" w:rsidP="009972D4">
            <w:r>
              <w:t xml:space="preserve">8. </w:t>
            </w:r>
            <w:r w:rsidRPr="006F374E">
              <w:t>In refreshing the program logic and E</w:t>
            </w:r>
            <w:r>
              <w:t xml:space="preserve">nd </w:t>
            </w:r>
            <w:r w:rsidRPr="006F374E">
              <w:t>o</w:t>
            </w:r>
            <w:r>
              <w:t xml:space="preserve">f </w:t>
            </w:r>
            <w:r w:rsidRPr="006F374E">
              <w:t>P</w:t>
            </w:r>
            <w:r>
              <w:t xml:space="preserve">rogram </w:t>
            </w:r>
            <w:r w:rsidRPr="006F374E">
              <w:t>O</w:t>
            </w:r>
            <w:r>
              <w:t>utcome</w:t>
            </w:r>
            <w:r w:rsidRPr="006F374E">
              <w:t>s, thought should also be given to how best to incorporate alternative modalities within the program logic, and how success or failure of such modalities is to be determined.</w:t>
            </w:r>
          </w:p>
          <w:p w14:paraId="7B80564B" w14:textId="0720453E" w:rsidR="009972D4" w:rsidRDefault="009972D4" w:rsidP="009972D4"/>
        </w:tc>
        <w:tc>
          <w:tcPr>
            <w:tcW w:w="448" w:type="pct"/>
          </w:tcPr>
          <w:p w14:paraId="057B6486" w14:textId="3B75E11C" w:rsidR="009972D4" w:rsidRDefault="009972D4" w:rsidP="009972D4">
            <w:pPr>
              <w:jc w:val="center"/>
              <w:cnfStyle w:val="000000000000" w:firstRow="0" w:lastRow="0" w:firstColumn="0" w:lastColumn="0" w:oddVBand="0" w:evenVBand="0" w:oddHBand="0" w:evenHBand="0" w:firstRowFirstColumn="0" w:firstRowLastColumn="0" w:lastRowFirstColumn="0" w:lastRowLastColumn="0"/>
            </w:pPr>
            <w:r>
              <w:t>Agree.</w:t>
            </w:r>
          </w:p>
        </w:tc>
        <w:tc>
          <w:tcPr>
            <w:tcW w:w="880" w:type="pct"/>
          </w:tcPr>
          <w:p w14:paraId="69CC2418" w14:textId="18F68EB7" w:rsidR="009972D4" w:rsidRDefault="009972D4" w:rsidP="009972D4">
            <w:pPr>
              <w:cnfStyle w:val="000000000000" w:firstRow="0" w:lastRow="0" w:firstColumn="0" w:lastColumn="0" w:oddVBand="0" w:evenVBand="0" w:oddHBand="0" w:evenHBand="0" w:firstRowFirstColumn="0" w:firstRowLastColumn="0" w:lastRowFirstColumn="0" w:lastRowLastColumn="0"/>
            </w:pPr>
            <w:r>
              <w:t xml:space="preserve">DFAT agrees that the onset of COVID-19 and the significant </w:t>
            </w:r>
            <w:proofErr w:type="gramStart"/>
            <w:r>
              <w:t>restrictions</w:t>
            </w:r>
            <w:proofErr w:type="gramEnd"/>
            <w:r>
              <w:t xml:space="preserve"> on international travel presents an opportunity for the Program to explore additional ways it can achieve its End of Program Outcomes. This includes ways the Program can encourage and promote volunteering at local levels.</w:t>
            </w:r>
          </w:p>
        </w:tc>
        <w:tc>
          <w:tcPr>
            <w:tcW w:w="913" w:type="pct"/>
            <w:gridSpan w:val="3"/>
          </w:tcPr>
          <w:p w14:paraId="5791AE7E" w14:textId="2F617914" w:rsidR="009972D4" w:rsidRDefault="009972D4" w:rsidP="009972D4">
            <w:pPr>
              <w:cnfStyle w:val="000000000000" w:firstRow="0" w:lastRow="0" w:firstColumn="0" w:lastColumn="0" w:oddVBand="0" w:evenVBand="0" w:oddHBand="0" w:evenHBand="0" w:firstRowFirstColumn="0" w:firstRowLastColumn="0" w:lastRowFirstColumn="0" w:lastRowLastColumn="0"/>
            </w:pPr>
            <w:r>
              <w:t>This will be considered as part of the program logic refresh process completed by DFAT and Australian Volunteers Program staff.</w:t>
            </w:r>
          </w:p>
        </w:tc>
        <w:tc>
          <w:tcPr>
            <w:tcW w:w="697" w:type="pct"/>
          </w:tcPr>
          <w:p w14:paraId="0AE008B2" w14:textId="511F74EC" w:rsidR="009972D4" w:rsidRDefault="009972D4" w:rsidP="009972D4">
            <w:pPr>
              <w:jc w:val="center"/>
              <w:cnfStyle w:val="000000000000" w:firstRow="0" w:lastRow="0" w:firstColumn="0" w:lastColumn="0" w:oddVBand="0" w:evenVBand="0" w:oddHBand="0" w:evenHBand="0" w:firstRowFirstColumn="0" w:firstRowLastColumn="0" w:lastRowFirstColumn="0" w:lastRowLastColumn="0"/>
            </w:pPr>
            <w:r>
              <w:t>Completed by 30 November 2021.</w:t>
            </w:r>
          </w:p>
        </w:tc>
        <w:tc>
          <w:tcPr>
            <w:tcW w:w="1160" w:type="pct"/>
          </w:tcPr>
          <w:p w14:paraId="5BC40993" w14:textId="2BC62F6C" w:rsidR="009972D4" w:rsidRDefault="009972D4" w:rsidP="009972D4">
            <w:pPr>
              <w:cnfStyle w:val="000000000000" w:firstRow="0" w:lastRow="0" w:firstColumn="0" w:lastColumn="0" w:oddVBand="0" w:evenVBand="0" w:oddHBand="0" w:evenHBand="0" w:firstRowFirstColumn="0" w:firstRowLastColumn="0" w:lastRowFirstColumn="0" w:lastRowLastColumn="0"/>
            </w:pPr>
            <w:r>
              <w:t>Complete.</w:t>
            </w:r>
          </w:p>
          <w:p w14:paraId="63D5F688" w14:textId="4E176444" w:rsidR="009972D4" w:rsidRDefault="009972D4" w:rsidP="009972D4">
            <w:pPr>
              <w:cnfStyle w:val="000000000000" w:firstRow="0" w:lastRow="0" w:firstColumn="0" w:lastColumn="0" w:oddVBand="0" w:evenVBand="0" w:oddHBand="0" w:evenHBand="0" w:firstRowFirstColumn="0" w:firstRowLastColumn="0" w:lastRowFirstColumn="0" w:lastRowLastColumn="0"/>
            </w:pPr>
            <w:r w:rsidRPr="008F0CC0">
              <w:t>Changes have been made throughout the program logic to reposition the program in an evolving context and to allow for alternative volunteering modalities</w:t>
            </w:r>
            <w:r w:rsidR="006D0D79">
              <w:t xml:space="preserve">, including </w:t>
            </w:r>
            <w:r w:rsidRPr="008F0CC0">
              <w:t xml:space="preserve">remote </w:t>
            </w:r>
            <w:r w:rsidR="006D0D79">
              <w:t xml:space="preserve">and hybrid </w:t>
            </w:r>
            <w:r w:rsidRPr="008F0CC0">
              <w:t>volunteering</w:t>
            </w:r>
            <w:r w:rsidR="006D0D79">
              <w:t xml:space="preserve"> </w:t>
            </w:r>
            <w:r>
              <w:t xml:space="preserve">and </w:t>
            </w:r>
            <w:r w:rsidRPr="008F0CC0">
              <w:t>the program’s shift to</w:t>
            </w:r>
            <w:r>
              <w:t xml:space="preserve"> include</w:t>
            </w:r>
            <w:r w:rsidRPr="008F0CC0">
              <w:t xml:space="preserve"> working with volunteers (directly or through national peak bodies) at the national level</w:t>
            </w:r>
            <w:r>
              <w:t xml:space="preserve"> in partner countries</w:t>
            </w:r>
            <w:r w:rsidRPr="008F0CC0">
              <w:t xml:space="preserve">. </w:t>
            </w:r>
            <w:r>
              <w:t>C</w:t>
            </w:r>
            <w:r w:rsidRPr="008F0CC0">
              <w:t xml:space="preserve">hanges </w:t>
            </w:r>
            <w:r w:rsidR="00A13AAB">
              <w:t xml:space="preserve">also </w:t>
            </w:r>
            <w:r w:rsidRPr="008F0CC0">
              <w:t xml:space="preserve">allow </w:t>
            </w:r>
            <w:r w:rsidR="00A13AAB">
              <w:t xml:space="preserve">for </w:t>
            </w:r>
            <w:r w:rsidRPr="008F0CC0">
              <w:t xml:space="preserve">more flexibility for the program to innovate and adapt. The program’s </w:t>
            </w:r>
            <w:r>
              <w:t>Monitoring, Evaluation and Learning</w:t>
            </w:r>
            <w:r w:rsidRPr="008F0CC0">
              <w:t xml:space="preserve"> Framework was updated in July 2022 to reflect changes in </w:t>
            </w:r>
            <w:r w:rsidRPr="008F0CC0">
              <w:lastRenderedPageBreak/>
              <w:t>the program logic</w:t>
            </w:r>
            <w:r w:rsidR="007C6368">
              <w:t>, including</w:t>
            </w:r>
            <w:r w:rsidRPr="008F0CC0">
              <w:t xml:space="preserve"> indicators relating to a new intermediate </w:t>
            </w:r>
            <w:r>
              <w:t xml:space="preserve">innovation </w:t>
            </w:r>
            <w:r w:rsidRPr="008F0CC0">
              <w:t>outcome</w:t>
            </w:r>
            <w:r>
              <w:t xml:space="preserve">; details on </w:t>
            </w:r>
            <w:r w:rsidRPr="008F0CC0">
              <w:t>how data will be disaggregated between different volunteering modalities, and</w:t>
            </w:r>
            <w:r>
              <w:t>,</w:t>
            </w:r>
            <w:r w:rsidRPr="008F0CC0">
              <w:t xml:space="preserve"> how program components </w:t>
            </w:r>
            <w:r w:rsidR="007C6368">
              <w:t xml:space="preserve">like </w:t>
            </w:r>
            <w:r w:rsidRPr="008F0CC0">
              <w:t xml:space="preserve">Impact Grants will be assessed. </w:t>
            </w:r>
          </w:p>
          <w:p w14:paraId="09CAE6FD" w14:textId="7E176DA3" w:rsidR="009972D4" w:rsidRDefault="009972D4" w:rsidP="009972D4">
            <w:pPr>
              <w:cnfStyle w:val="000000000000" w:firstRow="0" w:lastRow="0" w:firstColumn="0" w:lastColumn="0" w:oddVBand="0" w:evenVBand="0" w:oddHBand="0" w:evenHBand="0" w:firstRowFirstColumn="0" w:firstRowLastColumn="0" w:lastRowFirstColumn="0" w:lastRowLastColumn="0"/>
            </w:pPr>
          </w:p>
        </w:tc>
      </w:tr>
      <w:tr w:rsidR="009972D4" w14:paraId="3F3918C0" w14:textId="62687497" w:rsidTr="00997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pct"/>
          </w:tcPr>
          <w:p w14:paraId="655EE8E8" w14:textId="77777777" w:rsidR="009972D4" w:rsidRDefault="009972D4" w:rsidP="009972D4">
            <w:r>
              <w:lastRenderedPageBreak/>
              <w:t xml:space="preserve">9. </w:t>
            </w:r>
            <w:r w:rsidRPr="006F374E">
              <w:t>That the contribution of the Innovation Fund to achievement of program goals is clarified and given more visibility in the program logic and the fund continues to be used as a vehicle to help the program stay strategic in approach and remain relevant as wider social issues shape the aid sector. In doing so there needs to be commitment not only to piloting alternative volunteering modalities but to mainstreaming them within the program.</w:t>
            </w:r>
          </w:p>
          <w:p w14:paraId="43CC9EF6" w14:textId="1ECE249A" w:rsidR="009972D4" w:rsidRPr="001E0D06" w:rsidRDefault="009972D4" w:rsidP="009972D4">
            <w:pPr>
              <w:rPr>
                <w:rFonts w:eastAsia="MS PGothic" w:cs="Arial"/>
                <w:highlight w:val="yellow"/>
              </w:rPr>
            </w:pPr>
          </w:p>
        </w:tc>
        <w:tc>
          <w:tcPr>
            <w:tcW w:w="448" w:type="pct"/>
          </w:tcPr>
          <w:p w14:paraId="1BFB230E" w14:textId="5FE77222" w:rsidR="009972D4" w:rsidRDefault="009972D4" w:rsidP="009972D4">
            <w:pPr>
              <w:jc w:val="center"/>
              <w:cnfStyle w:val="000000100000" w:firstRow="0" w:lastRow="0" w:firstColumn="0" w:lastColumn="0" w:oddVBand="0" w:evenVBand="0" w:oddHBand="1" w:evenHBand="0" w:firstRowFirstColumn="0" w:firstRowLastColumn="0" w:lastRowFirstColumn="0" w:lastRowLastColumn="0"/>
            </w:pPr>
            <w:r>
              <w:t>Agree.</w:t>
            </w:r>
          </w:p>
        </w:tc>
        <w:tc>
          <w:tcPr>
            <w:tcW w:w="880" w:type="pct"/>
          </w:tcPr>
          <w:p w14:paraId="0C7C81D8" w14:textId="027A47E3" w:rsidR="009972D4" w:rsidRDefault="009972D4" w:rsidP="009972D4">
            <w:pPr>
              <w:cnfStyle w:val="000000100000" w:firstRow="0" w:lastRow="0" w:firstColumn="0" w:lastColumn="0" w:oddVBand="0" w:evenVBand="0" w:oddHBand="1" w:evenHBand="0" w:firstRowFirstColumn="0" w:firstRowLastColumn="0" w:lastRowFirstColumn="0" w:lastRowLastColumn="0"/>
            </w:pPr>
            <w:r>
              <w:t xml:space="preserve">DFAT agrees that the Innovation Fund’s unique and rigorous model of piloting and testing new approaches and modalities should be given more prominence within the program logic and become formally embedded as part of program implementation going forward. </w:t>
            </w:r>
          </w:p>
        </w:tc>
        <w:tc>
          <w:tcPr>
            <w:tcW w:w="913" w:type="pct"/>
            <w:gridSpan w:val="3"/>
          </w:tcPr>
          <w:p w14:paraId="1F8DDFF6" w14:textId="36C55FF9" w:rsidR="009972D4" w:rsidRDefault="009972D4" w:rsidP="009972D4">
            <w:pPr>
              <w:cnfStyle w:val="000000100000" w:firstRow="0" w:lastRow="0" w:firstColumn="0" w:lastColumn="0" w:oddVBand="0" w:evenVBand="0" w:oddHBand="1" w:evenHBand="0" w:firstRowFirstColumn="0" w:firstRowLastColumn="0" w:lastRowFirstColumn="0" w:lastRowLastColumn="0"/>
            </w:pPr>
            <w:r>
              <w:t xml:space="preserve">This will be considered as part of the program logic refresh process completed by DFAT and Australian Volunteers Program staff. </w:t>
            </w:r>
          </w:p>
        </w:tc>
        <w:tc>
          <w:tcPr>
            <w:tcW w:w="697" w:type="pct"/>
          </w:tcPr>
          <w:p w14:paraId="20D5A574" w14:textId="19B9ACFE" w:rsidR="009972D4" w:rsidRDefault="009972D4" w:rsidP="009972D4">
            <w:pPr>
              <w:jc w:val="center"/>
              <w:cnfStyle w:val="000000100000" w:firstRow="0" w:lastRow="0" w:firstColumn="0" w:lastColumn="0" w:oddVBand="0" w:evenVBand="0" w:oddHBand="1" w:evenHBand="0" w:firstRowFirstColumn="0" w:firstRowLastColumn="0" w:lastRowFirstColumn="0" w:lastRowLastColumn="0"/>
            </w:pPr>
            <w:r>
              <w:t>Completed by 30 November 2021.</w:t>
            </w:r>
          </w:p>
        </w:tc>
        <w:tc>
          <w:tcPr>
            <w:tcW w:w="1165" w:type="pct"/>
            <w:gridSpan w:val="2"/>
          </w:tcPr>
          <w:p w14:paraId="26216AA4" w14:textId="35DB799D" w:rsidR="009972D4" w:rsidRPr="00224383" w:rsidRDefault="009972D4" w:rsidP="009972D4">
            <w:pPr>
              <w:cnfStyle w:val="000000100000" w:firstRow="0" w:lastRow="0" w:firstColumn="0" w:lastColumn="0" w:oddVBand="0" w:evenVBand="0" w:oddHBand="1" w:evenHBand="0" w:firstRowFirstColumn="0" w:firstRowLastColumn="0" w:lastRowFirstColumn="0" w:lastRowLastColumn="0"/>
            </w:pPr>
            <w:r w:rsidRPr="00224383">
              <w:t>Complete.</w:t>
            </w:r>
            <w:r w:rsidR="00A674C9">
              <w:t xml:space="preserve"> </w:t>
            </w:r>
            <w:r w:rsidRPr="00224383">
              <w:t xml:space="preserve">Explicit mention of the program’s innovation work </w:t>
            </w:r>
            <w:r w:rsidR="00A674C9">
              <w:t xml:space="preserve">was </w:t>
            </w:r>
            <w:r w:rsidRPr="00224383">
              <w:t>added to the program logic at the intermediate outcome level</w:t>
            </w:r>
            <w:r w:rsidR="00A674C9">
              <w:t>, and to</w:t>
            </w:r>
            <w:r w:rsidRPr="00224383">
              <w:t xml:space="preserve"> the second of the outcome areas (under the E</w:t>
            </w:r>
            <w:r>
              <w:t xml:space="preserve">nd of Program Outcome </w:t>
            </w:r>
            <w:r w:rsidRPr="00224383">
              <w:t>‘Key stakeholders in Australia and partner countries appreciate the value of volunteering’)</w:t>
            </w:r>
            <w:r>
              <w:t>.</w:t>
            </w:r>
            <w:r w:rsidRPr="00224383">
              <w:t xml:space="preserve"> </w:t>
            </w:r>
            <w:r>
              <w:t>A</w:t>
            </w:r>
            <w:r w:rsidRPr="00224383">
              <w:t xml:space="preserve">s </w:t>
            </w:r>
            <w:r>
              <w:t xml:space="preserve">noted </w:t>
            </w:r>
            <w:r w:rsidRPr="00224383">
              <w:t xml:space="preserve">in the narrative, </w:t>
            </w:r>
            <w:r>
              <w:t xml:space="preserve">innovation </w:t>
            </w:r>
            <w:r w:rsidRPr="00224383">
              <w:t>cuts across the program logic</w:t>
            </w:r>
            <w:r>
              <w:t xml:space="preserve"> and feeds into other </w:t>
            </w:r>
            <w:r w:rsidRPr="00224383">
              <w:t xml:space="preserve">outcome areas. </w:t>
            </w:r>
          </w:p>
          <w:p w14:paraId="5C4DA7AF" w14:textId="77777777" w:rsidR="009972D4" w:rsidRDefault="009972D4" w:rsidP="009972D4">
            <w:pPr>
              <w:ind w:left="-112"/>
              <w:cnfStyle w:val="000000100000" w:firstRow="0" w:lastRow="0" w:firstColumn="0" w:lastColumn="0" w:oddVBand="0" w:evenVBand="0" w:oddHBand="1" w:evenHBand="0" w:firstRowFirstColumn="0" w:firstRowLastColumn="0" w:lastRowFirstColumn="0" w:lastRowLastColumn="0"/>
            </w:pPr>
          </w:p>
        </w:tc>
      </w:tr>
    </w:tbl>
    <w:p w14:paraId="58CE2E98" w14:textId="778AC8CC" w:rsidR="003E1305" w:rsidRDefault="001D09CF">
      <w:pPr>
        <w:spacing w:after="0"/>
        <w:ind w:left="260"/>
        <w:jc w:val="both"/>
      </w:pPr>
      <w:r>
        <w:br w:type="textWrapping" w:clear="all"/>
      </w:r>
    </w:p>
    <w:sectPr w:rsidR="003E1305">
      <w:headerReference w:type="even" r:id="rId9"/>
      <w:headerReference w:type="default" r:id="rId10"/>
      <w:footerReference w:type="even" r:id="rId11"/>
      <w:footerReference w:type="default" r:id="rId12"/>
      <w:headerReference w:type="first" r:id="rId13"/>
      <w:footerReference w:type="first" r:id="rId14"/>
      <w:pgSz w:w="16838" w:h="11904" w:orient="landscape"/>
      <w:pgMar w:top="1440" w:right="1440" w:bottom="1440" w:left="1440" w:header="1133"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6F7F" w14:textId="77777777" w:rsidR="00F26C8F" w:rsidRDefault="00F26C8F">
      <w:pPr>
        <w:spacing w:after="0" w:line="240" w:lineRule="auto"/>
      </w:pPr>
      <w:r>
        <w:separator/>
      </w:r>
    </w:p>
  </w:endnote>
  <w:endnote w:type="continuationSeparator" w:id="0">
    <w:p w14:paraId="330ABEC5" w14:textId="77777777" w:rsidR="00F26C8F" w:rsidRDefault="00F2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4158" w14:textId="28504F8D" w:rsidR="003E1305" w:rsidRPr="00D92293" w:rsidRDefault="00E6573E" w:rsidP="00D92293">
    <w:pPr>
      <w:tabs>
        <w:tab w:val="center" w:pos="2324"/>
        <w:tab w:val="center" w:pos="6838"/>
        <w:tab w:val="center" w:pos="11282"/>
      </w:tabs>
      <w:spacing w:after="0"/>
      <w:jc w:val="center"/>
      <w:rPr>
        <w:sz w:val="16"/>
        <w:szCs w:val="16"/>
      </w:rPr>
    </w:pPr>
    <w:r w:rsidRPr="00D92293">
      <w:rPr>
        <w:color w:val="000000"/>
        <w:sz w:val="16"/>
        <w:szCs w:val="16"/>
      </w:rPr>
      <w:fldChar w:fldCharType="begin"/>
    </w:r>
    <w:r w:rsidRPr="00D92293">
      <w:rPr>
        <w:sz w:val="16"/>
        <w:szCs w:val="16"/>
      </w:rPr>
      <w:instrText xml:space="preserve"> PAGE   \* MERGEFORMAT </w:instrText>
    </w:r>
    <w:r w:rsidRPr="00D92293">
      <w:rPr>
        <w:color w:val="000000"/>
        <w:sz w:val="16"/>
        <w:szCs w:val="16"/>
      </w:rPr>
      <w:fldChar w:fldCharType="separate"/>
    </w:r>
    <w:r w:rsidR="00E96060" w:rsidRPr="00E96060">
      <w:rPr>
        <w:noProof/>
        <w:color w:val="495965"/>
        <w:sz w:val="16"/>
        <w:szCs w:val="16"/>
      </w:rPr>
      <w:t>6</w:t>
    </w:r>
    <w:r w:rsidRPr="00D92293">
      <w:rPr>
        <w:color w:val="495965"/>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A861" w14:textId="4DFA72FB" w:rsidR="003E1305" w:rsidRPr="00D92293" w:rsidRDefault="00E6573E" w:rsidP="00D92293">
    <w:pPr>
      <w:tabs>
        <w:tab w:val="center" w:pos="2324"/>
        <w:tab w:val="center" w:pos="6838"/>
        <w:tab w:val="left" w:pos="11160"/>
        <w:tab w:val="center" w:pos="11282"/>
      </w:tabs>
      <w:spacing w:after="0"/>
      <w:jc w:val="center"/>
      <w:rPr>
        <w:sz w:val="20"/>
        <w:szCs w:val="20"/>
      </w:rPr>
    </w:pPr>
    <w:r w:rsidRPr="00D92293">
      <w:rPr>
        <w:color w:val="000000"/>
        <w:sz w:val="20"/>
        <w:szCs w:val="20"/>
      </w:rPr>
      <w:fldChar w:fldCharType="begin"/>
    </w:r>
    <w:r w:rsidRPr="00D92293">
      <w:rPr>
        <w:sz w:val="20"/>
        <w:szCs w:val="20"/>
      </w:rPr>
      <w:instrText xml:space="preserve"> PAGE   \* MERGEFORMAT </w:instrText>
    </w:r>
    <w:r w:rsidRPr="00D92293">
      <w:rPr>
        <w:color w:val="000000"/>
        <w:sz w:val="20"/>
        <w:szCs w:val="20"/>
      </w:rPr>
      <w:fldChar w:fldCharType="separate"/>
    </w:r>
    <w:r w:rsidR="00E96060" w:rsidRPr="00E96060">
      <w:rPr>
        <w:noProof/>
        <w:color w:val="495965"/>
        <w:sz w:val="20"/>
        <w:szCs w:val="20"/>
      </w:rPr>
      <w:t>5</w:t>
    </w:r>
    <w:r w:rsidRPr="00D92293">
      <w:rPr>
        <w:color w:val="495965"/>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C224" w14:textId="77777777" w:rsidR="003E1305" w:rsidRDefault="00E6573E">
    <w:pPr>
      <w:tabs>
        <w:tab w:val="center" w:pos="2324"/>
        <w:tab w:val="center" w:pos="6838"/>
        <w:tab w:val="center" w:pos="11282"/>
      </w:tabs>
      <w:spacing w:after="0"/>
    </w:pPr>
    <w:r>
      <w:tab/>
    </w:r>
    <w:r>
      <w:rPr>
        <w:sz w:val="28"/>
      </w:rPr>
      <w:t xml:space="preserve"> </w:t>
    </w:r>
    <w:r>
      <w:rPr>
        <w:sz w:val="28"/>
      </w:rPr>
      <w:tab/>
      <w:t xml:space="preserve"> </w:t>
    </w:r>
    <w:r>
      <w:rPr>
        <w:sz w:val="28"/>
      </w:rPr>
      <w:tab/>
    </w:r>
    <w:r>
      <w:rPr>
        <w:color w:val="000000"/>
        <w:sz w:val="22"/>
      </w:rPr>
      <w:fldChar w:fldCharType="begin"/>
    </w:r>
    <w:r>
      <w:instrText xml:space="preserve"> PAGE   \* MERGEFORMAT </w:instrText>
    </w:r>
    <w:r>
      <w:rPr>
        <w:color w:val="000000"/>
        <w:sz w:val="22"/>
      </w:rPr>
      <w:fldChar w:fldCharType="separate"/>
    </w:r>
    <w:r>
      <w:rPr>
        <w:color w:val="495965"/>
        <w:sz w:val="28"/>
      </w:rPr>
      <w:t>2</w:t>
    </w:r>
    <w:r>
      <w:rPr>
        <w:color w:val="495965"/>
        <w:sz w:val="28"/>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F9C0" w14:textId="77777777" w:rsidR="00F26C8F" w:rsidRDefault="00F26C8F">
      <w:pPr>
        <w:spacing w:after="0" w:line="240" w:lineRule="auto"/>
      </w:pPr>
      <w:r>
        <w:separator/>
      </w:r>
    </w:p>
  </w:footnote>
  <w:footnote w:type="continuationSeparator" w:id="0">
    <w:p w14:paraId="6A607251" w14:textId="77777777" w:rsidR="00F26C8F" w:rsidRDefault="00F26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03D8" w14:textId="77777777" w:rsidR="003E1305" w:rsidRDefault="00E6573E">
    <w:r>
      <w:rPr>
        <w:noProof/>
      </w:rPr>
      <mc:AlternateContent>
        <mc:Choice Requires="wpg">
          <w:drawing>
            <wp:inline distT="0" distB="0" distL="0" distR="0" wp14:anchorId="5DC3BF8A" wp14:editId="4B4A4135">
              <wp:extent cx="1" cy="1"/>
              <wp:effectExtent l="0" t="0" r="0" b="0"/>
              <wp:docPr id="19073" name="Group 19073" descr="The following table summarises DFAT's response, explanation, action plan and timeframe to each of the Evaluation recommendations,"/>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inline>
          </w:drawing>
        </mc:Choice>
        <mc:Fallback>
          <w:pict>
            <v:group w14:anchorId="3378AAD1" id="Group 19073" o:spid="_x0000_s1026" alt="The following table summarises DFAT's response, explanation, action plan and timeframe to each of the Evaluation recommendations," style="width:0;height:0;mso-position-horizontal-relative:char;mso-position-vertical-relative:lin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29C4" w14:textId="77777777" w:rsidR="003E1305" w:rsidRDefault="003E1305">
    <w:pPr>
      <w:spacing w:after="0"/>
      <w:ind w:left="-1440" w:right="15398"/>
    </w:pPr>
  </w:p>
  <w:p w14:paraId="05C32038" w14:textId="77777777" w:rsidR="003E1305" w:rsidRDefault="00E6573E">
    <w:r>
      <w:rPr>
        <w:noProof/>
      </w:rPr>
      <mc:AlternateContent>
        <mc:Choice Requires="wpg">
          <w:drawing>
            <wp:anchor distT="0" distB="0" distL="114300" distR="114300" simplePos="0" relativeHeight="251658240" behindDoc="1" locked="0" layoutInCell="1" allowOverlap="1" wp14:anchorId="181A9639" wp14:editId="7AB47D4B">
              <wp:simplePos x="0" y="0"/>
              <wp:positionH relativeFrom="page">
                <wp:posOffset>0</wp:posOffset>
              </wp:positionH>
              <wp:positionV relativeFrom="page">
                <wp:posOffset>0</wp:posOffset>
              </wp:positionV>
              <wp:extent cx="1" cy="1"/>
              <wp:effectExtent l="0" t="0" r="0" b="0"/>
              <wp:wrapNone/>
              <wp:docPr id="18998" name="Group 189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4511D1A" id="Group 18998" o:spid="_x0000_s1026" alt="&quot;&quot;"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94" w:tblpY="1155"/>
      <w:tblOverlap w:val="never"/>
      <w:tblW w:w="14884" w:type="dxa"/>
      <w:tblInd w:w="0" w:type="dxa"/>
      <w:tblCellMar>
        <w:top w:w="82" w:type="dxa"/>
        <w:left w:w="106" w:type="dxa"/>
        <w:right w:w="115" w:type="dxa"/>
      </w:tblCellMar>
      <w:tblLook w:val="04A0" w:firstRow="1" w:lastRow="0" w:firstColumn="1" w:lastColumn="0" w:noHBand="0" w:noVBand="1"/>
    </w:tblPr>
    <w:tblGrid>
      <w:gridCol w:w="14884"/>
    </w:tblGrid>
    <w:tr w:rsidR="003E1305" w14:paraId="527DA014" w14:textId="77777777">
      <w:trPr>
        <w:trHeight w:val="487"/>
      </w:trPr>
      <w:tc>
        <w:tcPr>
          <w:tcW w:w="14884" w:type="dxa"/>
          <w:tcBorders>
            <w:top w:val="single" w:sz="23" w:space="0" w:color="D3875F"/>
            <w:left w:val="nil"/>
            <w:bottom w:val="single" w:sz="23" w:space="0" w:color="F6E6DE"/>
            <w:right w:val="nil"/>
          </w:tcBorders>
          <w:shd w:val="clear" w:color="auto" w:fill="D3875F"/>
        </w:tcPr>
        <w:p w14:paraId="155AABCD" w14:textId="77777777" w:rsidR="003E1305" w:rsidRDefault="00E6573E">
          <w:pPr>
            <w:tabs>
              <w:tab w:val="center" w:pos="838"/>
              <w:tab w:val="center" w:pos="3276"/>
              <w:tab w:val="center" w:pos="5549"/>
              <w:tab w:val="center" w:pos="10022"/>
              <w:tab w:val="center" w:pos="13113"/>
            </w:tabs>
          </w:pPr>
          <w:r>
            <w:tab/>
          </w:r>
          <w:r w:rsidRPr="00F66DF2">
            <w:rPr>
              <w:b/>
              <w:color w:val="FF0000"/>
            </w:rPr>
            <w:t xml:space="preserve"> Recommendation </w:t>
          </w:r>
          <w:r w:rsidRPr="00F66DF2">
            <w:rPr>
              <w:b/>
              <w:color w:val="FF0000"/>
            </w:rPr>
            <w:tab/>
            <w:t xml:space="preserve">Response </w:t>
          </w:r>
          <w:r w:rsidRPr="00F66DF2">
            <w:rPr>
              <w:b/>
              <w:color w:val="FF0000"/>
            </w:rPr>
            <w:tab/>
            <w:t xml:space="preserve">Explanation </w:t>
          </w:r>
          <w:r w:rsidRPr="00F66DF2">
            <w:rPr>
              <w:b/>
              <w:color w:val="FF0000"/>
            </w:rPr>
            <w:tab/>
            <w:t xml:space="preserve">Action Plan </w:t>
          </w:r>
          <w:r w:rsidRPr="00F66DF2">
            <w:rPr>
              <w:b/>
              <w:color w:val="FF0000"/>
            </w:rPr>
            <w:tab/>
            <w:t xml:space="preserve">Timeframe </w:t>
          </w:r>
        </w:p>
      </w:tc>
    </w:tr>
  </w:tbl>
  <w:p w14:paraId="3872F97B" w14:textId="77777777" w:rsidR="003E1305" w:rsidRDefault="003E1305">
    <w:pPr>
      <w:spacing w:after="0"/>
      <w:ind w:left="-1440" w:right="15398"/>
    </w:pPr>
  </w:p>
  <w:p w14:paraId="2DD9B1D6" w14:textId="77777777" w:rsidR="003E1305" w:rsidRDefault="00E6573E">
    <w:r>
      <w:rPr>
        <w:noProof/>
      </w:rPr>
      <mc:AlternateContent>
        <mc:Choice Requires="wpg">
          <w:drawing>
            <wp:anchor distT="0" distB="0" distL="114300" distR="114300" simplePos="0" relativeHeight="251669504" behindDoc="1" locked="0" layoutInCell="1" allowOverlap="1" wp14:anchorId="0FC59273" wp14:editId="7937ADCA">
              <wp:simplePos x="0" y="0"/>
              <wp:positionH relativeFrom="page">
                <wp:posOffset>0</wp:posOffset>
              </wp:positionH>
              <wp:positionV relativeFrom="page">
                <wp:posOffset>0</wp:posOffset>
              </wp:positionV>
              <wp:extent cx="1" cy="1"/>
              <wp:effectExtent l="0" t="0" r="0" b="0"/>
              <wp:wrapNone/>
              <wp:docPr id="18923" name="Group 189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BB84171" id="Group 18923" o:spid="_x0000_s1026" alt="&quot;&quot;" style="position:absolute;margin-left:0;margin-top:0;width:0;height:0;z-index:-25164697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3B75"/>
    <w:multiLevelType w:val="hybridMultilevel"/>
    <w:tmpl w:val="543A9A2A"/>
    <w:lvl w:ilvl="0" w:tplc="CFA443A6">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8EC0D886">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172C3196">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AB4048A0">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A0C08EF8">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6804BEC8">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9AC27B76">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DB92FB5E">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CD9A198E">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abstractNum w:abstractNumId="1" w15:restartNumberingAfterBreak="0">
    <w:nsid w:val="5C6C528C"/>
    <w:multiLevelType w:val="hybridMultilevel"/>
    <w:tmpl w:val="2376C5CA"/>
    <w:lvl w:ilvl="0" w:tplc="8F1CA1F4">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B748D616">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C27EF25E">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A7C8166C">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736EBDE2">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149CE2BC">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E5BCDC94">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C2BA0CCE">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A7CA7BC8">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abstractNum w:abstractNumId="2" w15:restartNumberingAfterBreak="0">
    <w:nsid w:val="643521D2"/>
    <w:multiLevelType w:val="hybridMultilevel"/>
    <w:tmpl w:val="6374C644"/>
    <w:lvl w:ilvl="0" w:tplc="9B3AB06C">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AAF27A54">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62140D40">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9008F550">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9D7E7050">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49582FA4">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21ECA392">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C6924F52">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4DD8AEA0">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abstractNum w:abstractNumId="3" w15:restartNumberingAfterBreak="0">
    <w:nsid w:val="6EF630EE"/>
    <w:multiLevelType w:val="hybridMultilevel"/>
    <w:tmpl w:val="A62EB64C"/>
    <w:lvl w:ilvl="0" w:tplc="21D405DC">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2DC420FA">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A0C4F944">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41A0FE3E">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5F26A74A">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3352583A">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03842504">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57769DD0">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E0A6EBE6">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num w:numId="1" w16cid:durableId="984696997">
    <w:abstractNumId w:val="1"/>
  </w:num>
  <w:num w:numId="2" w16cid:durableId="1948728630">
    <w:abstractNumId w:val="0"/>
  </w:num>
  <w:num w:numId="3" w16cid:durableId="1625186857">
    <w:abstractNumId w:val="2"/>
  </w:num>
  <w:num w:numId="4" w16cid:durableId="1199274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05"/>
    <w:rsid w:val="00006892"/>
    <w:rsid w:val="00010550"/>
    <w:rsid w:val="00014A3B"/>
    <w:rsid w:val="00021636"/>
    <w:rsid w:val="00021665"/>
    <w:rsid w:val="0005024C"/>
    <w:rsid w:val="0006483F"/>
    <w:rsid w:val="00073ECA"/>
    <w:rsid w:val="00074DF0"/>
    <w:rsid w:val="00083C9A"/>
    <w:rsid w:val="0008501C"/>
    <w:rsid w:val="00090096"/>
    <w:rsid w:val="000946A5"/>
    <w:rsid w:val="00096904"/>
    <w:rsid w:val="000A412E"/>
    <w:rsid w:val="000A4BDB"/>
    <w:rsid w:val="000B25A1"/>
    <w:rsid w:val="000C23F4"/>
    <w:rsid w:val="000D3D84"/>
    <w:rsid w:val="000E5A9A"/>
    <w:rsid w:val="000F4C4B"/>
    <w:rsid w:val="001041AC"/>
    <w:rsid w:val="00106257"/>
    <w:rsid w:val="00121CE3"/>
    <w:rsid w:val="0012422A"/>
    <w:rsid w:val="00132F91"/>
    <w:rsid w:val="001354F8"/>
    <w:rsid w:val="00164295"/>
    <w:rsid w:val="00165737"/>
    <w:rsid w:val="0017503F"/>
    <w:rsid w:val="0018191F"/>
    <w:rsid w:val="00185E99"/>
    <w:rsid w:val="001927F3"/>
    <w:rsid w:val="001966B8"/>
    <w:rsid w:val="001A1427"/>
    <w:rsid w:val="001A2E22"/>
    <w:rsid w:val="001A7736"/>
    <w:rsid w:val="001D09CF"/>
    <w:rsid w:val="001D6922"/>
    <w:rsid w:val="001E06D2"/>
    <w:rsid w:val="001E081B"/>
    <w:rsid w:val="001E0D06"/>
    <w:rsid w:val="001E6632"/>
    <w:rsid w:val="001F5737"/>
    <w:rsid w:val="001F79A4"/>
    <w:rsid w:val="001F7CF6"/>
    <w:rsid w:val="002027ED"/>
    <w:rsid w:val="0021582A"/>
    <w:rsid w:val="00224383"/>
    <w:rsid w:val="00235BB6"/>
    <w:rsid w:val="002408DC"/>
    <w:rsid w:val="00242313"/>
    <w:rsid w:val="00246305"/>
    <w:rsid w:val="00251DCD"/>
    <w:rsid w:val="002551A0"/>
    <w:rsid w:val="002801C1"/>
    <w:rsid w:val="0028721D"/>
    <w:rsid w:val="002A1965"/>
    <w:rsid w:val="002A6C42"/>
    <w:rsid w:val="002B5E3B"/>
    <w:rsid w:val="002C3C3C"/>
    <w:rsid w:val="002D5E5F"/>
    <w:rsid w:val="002D7933"/>
    <w:rsid w:val="002E2557"/>
    <w:rsid w:val="002E435F"/>
    <w:rsid w:val="002F1870"/>
    <w:rsid w:val="003024D6"/>
    <w:rsid w:val="003047B4"/>
    <w:rsid w:val="00307C99"/>
    <w:rsid w:val="00312F7B"/>
    <w:rsid w:val="00317756"/>
    <w:rsid w:val="003305D5"/>
    <w:rsid w:val="003342C5"/>
    <w:rsid w:val="003379C4"/>
    <w:rsid w:val="003702DA"/>
    <w:rsid w:val="00384D88"/>
    <w:rsid w:val="00395E73"/>
    <w:rsid w:val="003A4C63"/>
    <w:rsid w:val="003E1305"/>
    <w:rsid w:val="003E34C3"/>
    <w:rsid w:val="003F3797"/>
    <w:rsid w:val="003F4150"/>
    <w:rsid w:val="00403FB2"/>
    <w:rsid w:val="004113F2"/>
    <w:rsid w:val="004148D5"/>
    <w:rsid w:val="00415D0D"/>
    <w:rsid w:val="00423DE9"/>
    <w:rsid w:val="0043562F"/>
    <w:rsid w:val="0044157A"/>
    <w:rsid w:val="004441EC"/>
    <w:rsid w:val="00461B30"/>
    <w:rsid w:val="004638BD"/>
    <w:rsid w:val="00465DD6"/>
    <w:rsid w:val="00474E47"/>
    <w:rsid w:val="00486135"/>
    <w:rsid w:val="004900E8"/>
    <w:rsid w:val="004936FE"/>
    <w:rsid w:val="004A43A2"/>
    <w:rsid w:val="004B0FE9"/>
    <w:rsid w:val="004B5ACD"/>
    <w:rsid w:val="004C1E3D"/>
    <w:rsid w:val="004D2469"/>
    <w:rsid w:val="004E76DF"/>
    <w:rsid w:val="004F131F"/>
    <w:rsid w:val="0050507C"/>
    <w:rsid w:val="00522A84"/>
    <w:rsid w:val="00523AC3"/>
    <w:rsid w:val="00530A09"/>
    <w:rsid w:val="00531B7D"/>
    <w:rsid w:val="0053248C"/>
    <w:rsid w:val="00550785"/>
    <w:rsid w:val="005508F3"/>
    <w:rsid w:val="00564CD1"/>
    <w:rsid w:val="005653C6"/>
    <w:rsid w:val="0056618F"/>
    <w:rsid w:val="00592EAB"/>
    <w:rsid w:val="005A07C0"/>
    <w:rsid w:val="005A4361"/>
    <w:rsid w:val="005B7956"/>
    <w:rsid w:val="005D6729"/>
    <w:rsid w:val="005E7573"/>
    <w:rsid w:val="00600838"/>
    <w:rsid w:val="00604068"/>
    <w:rsid w:val="00606B57"/>
    <w:rsid w:val="00622768"/>
    <w:rsid w:val="006237A1"/>
    <w:rsid w:val="006274FA"/>
    <w:rsid w:val="00630BC8"/>
    <w:rsid w:val="0063282E"/>
    <w:rsid w:val="006336D8"/>
    <w:rsid w:val="0065031F"/>
    <w:rsid w:val="00657632"/>
    <w:rsid w:val="00661DAA"/>
    <w:rsid w:val="00666F1A"/>
    <w:rsid w:val="00674555"/>
    <w:rsid w:val="00675D14"/>
    <w:rsid w:val="0068538E"/>
    <w:rsid w:val="006903DA"/>
    <w:rsid w:val="006A12C8"/>
    <w:rsid w:val="006A23DD"/>
    <w:rsid w:val="006A26C4"/>
    <w:rsid w:val="006A3BB0"/>
    <w:rsid w:val="006B2C76"/>
    <w:rsid w:val="006C146B"/>
    <w:rsid w:val="006D0D79"/>
    <w:rsid w:val="006D0F2C"/>
    <w:rsid w:val="006D561C"/>
    <w:rsid w:val="006F063A"/>
    <w:rsid w:val="006F3C26"/>
    <w:rsid w:val="006F65F6"/>
    <w:rsid w:val="007051A5"/>
    <w:rsid w:val="00706AA2"/>
    <w:rsid w:val="00710112"/>
    <w:rsid w:val="00710B4F"/>
    <w:rsid w:val="00720A19"/>
    <w:rsid w:val="007212AE"/>
    <w:rsid w:val="007341E4"/>
    <w:rsid w:val="00737989"/>
    <w:rsid w:val="00741163"/>
    <w:rsid w:val="007547E1"/>
    <w:rsid w:val="00755DA0"/>
    <w:rsid w:val="007636EC"/>
    <w:rsid w:val="00764C8A"/>
    <w:rsid w:val="007740AE"/>
    <w:rsid w:val="00774EC3"/>
    <w:rsid w:val="00775726"/>
    <w:rsid w:val="007808CC"/>
    <w:rsid w:val="00787178"/>
    <w:rsid w:val="00795F68"/>
    <w:rsid w:val="007B1BB1"/>
    <w:rsid w:val="007C6368"/>
    <w:rsid w:val="007E0EAD"/>
    <w:rsid w:val="007E4862"/>
    <w:rsid w:val="008049C0"/>
    <w:rsid w:val="00810F69"/>
    <w:rsid w:val="00820E16"/>
    <w:rsid w:val="0082606A"/>
    <w:rsid w:val="00827544"/>
    <w:rsid w:val="00832B54"/>
    <w:rsid w:val="00834576"/>
    <w:rsid w:val="00837C11"/>
    <w:rsid w:val="008400FA"/>
    <w:rsid w:val="00875C84"/>
    <w:rsid w:val="0088287C"/>
    <w:rsid w:val="00890AD4"/>
    <w:rsid w:val="00891E2C"/>
    <w:rsid w:val="008A0CAF"/>
    <w:rsid w:val="008A1133"/>
    <w:rsid w:val="008A53AE"/>
    <w:rsid w:val="008B5C9D"/>
    <w:rsid w:val="008C0044"/>
    <w:rsid w:val="008D54E3"/>
    <w:rsid w:val="008F0CC0"/>
    <w:rsid w:val="008F5F0A"/>
    <w:rsid w:val="009007AB"/>
    <w:rsid w:val="0090318B"/>
    <w:rsid w:val="00912A41"/>
    <w:rsid w:val="009163E9"/>
    <w:rsid w:val="009206A7"/>
    <w:rsid w:val="00957463"/>
    <w:rsid w:val="009817C4"/>
    <w:rsid w:val="00981840"/>
    <w:rsid w:val="0099528B"/>
    <w:rsid w:val="009955D7"/>
    <w:rsid w:val="009972D4"/>
    <w:rsid w:val="009A50B9"/>
    <w:rsid w:val="009B06D0"/>
    <w:rsid w:val="009C1C29"/>
    <w:rsid w:val="009E2302"/>
    <w:rsid w:val="00A05453"/>
    <w:rsid w:val="00A0610A"/>
    <w:rsid w:val="00A062B3"/>
    <w:rsid w:val="00A13AAB"/>
    <w:rsid w:val="00A2325D"/>
    <w:rsid w:val="00A25E18"/>
    <w:rsid w:val="00A32757"/>
    <w:rsid w:val="00A34A34"/>
    <w:rsid w:val="00A370EC"/>
    <w:rsid w:val="00A41E90"/>
    <w:rsid w:val="00A45D92"/>
    <w:rsid w:val="00A53AD7"/>
    <w:rsid w:val="00A6615D"/>
    <w:rsid w:val="00A674C9"/>
    <w:rsid w:val="00A769D0"/>
    <w:rsid w:val="00A81412"/>
    <w:rsid w:val="00A901BF"/>
    <w:rsid w:val="00A95242"/>
    <w:rsid w:val="00A9746F"/>
    <w:rsid w:val="00AB3901"/>
    <w:rsid w:val="00AB6D45"/>
    <w:rsid w:val="00AC22A7"/>
    <w:rsid w:val="00AC5C5C"/>
    <w:rsid w:val="00AF743A"/>
    <w:rsid w:val="00B03BE7"/>
    <w:rsid w:val="00B27F37"/>
    <w:rsid w:val="00B3001B"/>
    <w:rsid w:val="00B37C19"/>
    <w:rsid w:val="00B45F2E"/>
    <w:rsid w:val="00B55B4F"/>
    <w:rsid w:val="00B55CB7"/>
    <w:rsid w:val="00B63EF4"/>
    <w:rsid w:val="00B63FFD"/>
    <w:rsid w:val="00B806CE"/>
    <w:rsid w:val="00B83499"/>
    <w:rsid w:val="00B914AC"/>
    <w:rsid w:val="00B952DC"/>
    <w:rsid w:val="00B9582C"/>
    <w:rsid w:val="00BA6081"/>
    <w:rsid w:val="00BB4378"/>
    <w:rsid w:val="00BB79B7"/>
    <w:rsid w:val="00BC1EFB"/>
    <w:rsid w:val="00BC589B"/>
    <w:rsid w:val="00BD0A84"/>
    <w:rsid w:val="00BF0460"/>
    <w:rsid w:val="00BF6BF1"/>
    <w:rsid w:val="00BF6DFE"/>
    <w:rsid w:val="00C0158E"/>
    <w:rsid w:val="00C035B4"/>
    <w:rsid w:val="00C0420F"/>
    <w:rsid w:val="00C05A6D"/>
    <w:rsid w:val="00C0642A"/>
    <w:rsid w:val="00C3021E"/>
    <w:rsid w:val="00C35396"/>
    <w:rsid w:val="00C35540"/>
    <w:rsid w:val="00C4222F"/>
    <w:rsid w:val="00C51D67"/>
    <w:rsid w:val="00C61E7C"/>
    <w:rsid w:val="00C647FA"/>
    <w:rsid w:val="00C7660D"/>
    <w:rsid w:val="00C76732"/>
    <w:rsid w:val="00C90B8E"/>
    <w:rsid w:val="00C92F85"/>
    <w:rsid w:val="00C93CF5"/>
    <w:rsid w:val="00CA6FA9"/>
    <w:rsid w:val="00CC40E9"/>
    <w:rsid w:val="00CC566A"/>
    <w:rsid w:val="00CD46BA"/>
    <w:rsid w:val="00CE2421"/>
    <w:rsid w:val="00CE3DD1"/>
    <w:rsid w:val="00CF5CA8"/>
    <w:rsid w:val="00D03A4A"/>
    <w:rsid w:val="00D05AC3"/>
    <w:rsid w:val="00D0739B"/>
    <w:rsid w:val="00D23AB8"/>
    <w:rsid w:val="00D24AF2"/>
    <w:rsid w:val="00D42E37"/>
    <w:rsid w:val="00D474D9"/>
    <w:rsid w:val="00D77365"/>
    <w:rsid w:val="00D811DE"/>
    <w:rsid w:val="00D82FCF"/>
    <w:rsid w:val="00D92293"/>
    <w:rsid w:val="00D97FDF"/>
    <w:rsid w:val="00DA5C67"/>
    <w:rsid w:val="00DC0E14"/>
    <w:rsid w:val="00DE4D5B"/>
    <w:rsid w:val="00DF071D"/>
    <w:rsid w:val="00DF66B9"/>
    <w:rsid w:val="00DF692E"/>
    <w:rsid w:val="00E132E3"/>
    <w:rsid w:val="00E146D8"/>
    <w:rsid w:val="00E34521"/>
    <w:rsid w:val="00E40201"/>
    <w:rsid w:val="00E52C8E"/>
    <w:rsid w:val="00E52D36"/>
    <w:rsid w:val="00E6573E"/>
    <w:rsid w:val="00E724CB"/>
    <w:rsid w:val="00E74AB5"/>
    <w:rsid w:val="00E831DA"/>
    <w:rsid w:val="00E85D84"/>
    <w:rsid w:val="00E96060"/>
    <w:rsid w:val="00EB44C3"/>
    <w:rsid w:val="00EC2A97"/>
    <w:rsid w:val="00ED6132"/>
    <w:rsid w:val="00EE761A"/>
    <w:rsid w:val="00F02693"/>
    <w:rsid w:val="00F26C8F"/>
    <w:rsid w:val="00F33FD4"/>
    <w:rsid w:val="00F44A9C"/>
    <w:rsid w:val="00F52265"/>
    <w:rsid w:val="00F57C98"/>
    <w:rsid w:val="00F65F2E"/>
    <w:rsid w:val="00F66DF2"/>
    <w:rsid w:val="00F77113"/>
    <w:rsid w:val="00F902EC"/>
    <w:rsid w:val="00FA452B"/>
    <w:rsid w:val="00FB0787"/>
    <w:rsid w:val="00FB131F"/>
    <w:rsid w:val="00FC1828"/>
    <w:rsid w:val="00FC3356"/>
    <w:rsid w:val="00FC3BEB"/>
    <w:rsid w:val="00FC46B0"/>
    <w:rsid w:val="00FD122E"/>
    <w:rsid w:val="00FD39B1"/>
    <w:rsid w:val="00FD554F"/>
    <w:rsid w:val="00FD5BFB"/>
    <w:rsid w:val="00FE0874"/>
    <w:rsid w:val="00FE6047"/>
    <w:rsid w:val="00FF01B5"/>
    <w:rsid w:val="00FF573A"/>
    <w:rsid w:val="00FF6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4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242"/>
  </w:style>
  <w:style w:type="paragraph" w:styleId="Heading1">
    <w:name w:val="heading 1"/>
    <w:basedOn w:val="Normal"/>
    <w:next w:val="Normal"/>
    <w:link w:val="Heading1Char"/>
    <w:uiPriority w:val="9"/>
    <w:qFormat/>
    <w:rsid w:val="00A9524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Heading1"/>
    <w:next w:val="Normal"/>
    <w:link w:val="Heading2Char"/>
    <w:uiPriority w:val="9"/>
    <w:unhideWhenUsed/>
    <w:qFormat/>
    <w:rsid w:val="001E6632"/>
    <w:pPr>
      <w:ind w:left="-5"/>
      <w:outlineLvl w:val="1"/>
    </w:pPr>
  </w:style>
  <w:style w:type="paragraph" w:styleId="Heading3">
    <w:name w:val="heading 3"/>
    <w:basedOn w:val="Normal"/>
    <w:next w:val="Normal"/>
    <w:link w:val="Heading3Char"/>
    <w:uiPriority w:val="9"/>
    <w:semiHidden/>
    <w:unhideWhenUsed/>
    <w:qFormat/>
    <w:rsid w:val="00A9524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9524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9524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9524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9524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9524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9524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242"/>
    <w:rPr>
      <w:rFonts w:asciiTheme="majorHAnsi" w:eastAsiaTheme="majorEastAsia" w:hAnsiTheme="majorHAnsi" w:cstheme="majorBidi"/>
      <w:color w:val="2F5496" w:themeColor="accent1" w:themeShade="BF"/>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51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1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CD"/>
    <w:rPr>
      <w:rFonts w:ascii="Calibri" w:eastAsia="Calibri" w:hAnsi="Calibri" w:cs="Calibri"/>
      <w:color w:val="000000"/>
    </w:rPr>
  </w:style>
  <w:style w:type="paragraph" w:styleId="ListParagraph">
    <w:name w:val="List Paragraph"/>
    <w:basedOn w:val="Normal"/>
    <w:uiPriority w:val="34"/>
    <w:qFormat/>
    <w:rsid w:val="001E0D06"/>
    <w:pPr>
      <w:ind w:left="720"/>
      <w:contextualSpacing/>
    </w:pPr>
  </w:style>
  <w:style w:type="paragraph" w:styleId="BodyText">
    <w:name w:val="Body Text"/>
    <w:link w:val="BodyTextChar"/>
    <w:rsid w:val="001E0D06"/>
    <w:pPr>
      <w:spacing w:before="120" w:line="252" w:lineRule="auto"/>
    </w:pPr>
    <w:rPr>
      <w:rFonts w:ascii="Arial" w:eastAsia="Arial" w:hAnsi="Arial" w:cs="Times New Roman"/>
      <w:noProof/>
      <w:sz w:val="20"/>
      <w:szCs w:val="20"/>
      <w:lang w:eastAsia="en-US"/>
    </w:rPr>
  </w:style>
  <w:style w:type="character" w:customStyle="1" w:styleId="BodyTextChar">
    <w:name w:val="Body Text Char"/>
    <w:basedOn w:val="DefaultParagraphFont"/>
    <w:link w:val="BodyText"/>
    <w:rsid w:val="001E0D06"/>
    <w:rPr>
      <w:rFonts w:ascii="Arial" w:eastAsia="Arial" w:hAnsi="Arial" w:cs="Times New Roman"/>
      <w:noProof/>
      <w:sz w:val="20"/>
      <w:szCs w:val="20"/>
      <w:lang w:eastAsia="en-US"/>
    </w:rPr>
  </w:style>
  <w:style w:type="character" w:styleId="CommentReference">
    <w:name w:val="annotation reference"/>
    <w:basedOn w:val="DefaultParagraphFont"/>
    <w:uiPriority w:val="99"/>
    <w:semiHidden/>
    <w:unhideWhenUsed/>
    <w:rsid w:val="00106257"/>
    <w:rPr>
      <w:sz w:val="16"/>
      <w:szCs w:val="16"/>
    </w:rPr>
  </w:style>
  <w:style w:type="paragraph" w:styleId="CommentText">
    <w:name w:val="annotation text"/>
    <w:basedOn w:val="Normal"/>
    <w:link w:val="CommentTextChar"/>
    <w:uiPriority w:val="99"/>
    <w:unhideWhenUsed/>
    <w:rsid w:val="00106257"/>
    <w:pPr>
      <w:spacing w:line="240" w:lineRule="auto"/>
    </w:pPr>
    <w:rPr>
      <w:sz w:val="20"/>
      <w:szCs w:val="20"/>
    </w:rPr>
  </w:style>
  <w:style w:type="character" w:customStyle="1" w:styleId="CommentTextChar">
    <w:name w:val="Comment Text Char"/>
    <w:basedOn w:val="DefaultParagraphFont"/>
    <w:link w:val="CommentText"/>
    <w:uiPriority w:val="99"/>
    <w:rsid w:val="0010625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06257"/>
    <w:rPr>
      <w:b/>
      <w:bCs/>
    </w:rPr>
  </w:style>
  <w:style w:type="character" w:customStyle="1" w:styleId="CommentSubjectChar">
    <w:name w:val="Comment Subject Char"/>
    <w:basedOn w:val="CommentTextChar"/>
    <w:link w:val="CommentSubject"/>
    <w:uiPriority w:val="99"/>
    <w:semiHidden/>
    <w:rsid w:val="0010625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06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257"/>
    <w:rPr>
      <w:rFonts w:ascii="Segoe UI" w:eastAsia="Calibri" w:hAnsi="Segoe UI" w:cs="Segoe UI"/>
      <w:color w:val="000000"/>
      <w:sz w:val="18"/>
      <w:szCs w:val="18"/>
    </w:rPr>
  </w:style>
  <w:style w:type="table" w:styleId="TableGridLight">
    <w:name w:val="Grid Table Light"/>
    <w:basedOn w:val="TableNormal"/>
    <w:uiPriority w:val="40"/>
    <w:rsid w:val="00C90B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90B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0B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90B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0B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C90B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90B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C90B8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C90B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90B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1">
    <w:name w:val="Grid Table 3 Accent 1"/>
    <w:basedOn w:val="TableNormal"/>
    <w:uiPriority w:val="48"/>
    <w:rsid w:val="00C90B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6">
    <w:name w:val="Grid Table 2 Accent 6"/>
    <w:basedOn w:val="TableNormal"/>
    <w:uiPriority w:val="47"/>
    <w:rsid w:val="00C90B8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1">
    <w:name w:val="Grid Table 6 Colorful Accent 1"/>
    <w:basedOn w:val="TableNormal"/>
    <w:uiPriority w:val="51"/>
    <w:rsid w:val="00C90B8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6">
    <w:name w:val="Grid Table 5 Dark Accent 6"/>
    <w:basedOn w:val="TableNormal"/>
    <w:uiPriority w:val="50"/>
    <w:rsid w:val="008400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Accent1">
    <w:name w:val="List Table 3 Accent 1"/>
    <w:basedOn w:val="TableNormal"/>
    <w:uiPriority w:val="48"/>
    <w:rsid w:val="008400F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
    <w:name w:val="List Table 3"/>
    <w:basedOn w:val="TableNormal"/>
    <w:uiPriority w:val="48"/>
    <w:rsid w:val="008400F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5">
    <w:name w:val="List Table 3 Accent 5"/>
    <w:basedOn w:val="TableNormal"/>
    <w:uiPriority w:val="48"/>
    <w:rsid w:val="008400F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2">
    <w:name w:val="Grid Table 2"/>
    <w:basedOn w:val="TableNormal"/>
    <w:uiPriority w:val="47"/>
    <w:rsid w:val="008400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8400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400F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8400F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8400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8400F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1">
    <w:name w:val="List Table 6 Colorful Accent 1"/>
    <w:basedOn w:val="TableNormal"/>
    <w:uiPriority w:val="51"/>
    <w:rsid w:val="008400F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1E6632"/>
    <w:rPr>
      <w:rFonts w:asciiTheme="majorHAnsi" w:eastAsiaTheme="majorEastAsia" w:hAnsiTheme="majorHAnsi" w:cstheme="majorBidi"/>
      <w:color w:val="2F5496" w:themeColor="accent1" w:themeShade="BF"/>
      <w:sz w:val="36"/>
      <w:szCs w:val="36"/>
    </w:rPr>
  </w:style>
  <w:style w:type="character" w:customStyle="1" w:styleId="Heading3Char">
    <w:name w:val="Heading 3 Char"/>
    <w:basedOn w:val="DefaultParagraphFont"/>
    <w:link w:val="Heading3"/>
    <w:uiPriority w:val="9"/>
    <w:semiHidden/>
    <w:rsid w:val="00A9524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9524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9524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9524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9524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9524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9524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9524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A9524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A9524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A9524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9524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95242"/>
    <w:rPr>
      <w:b/>
      <w:bCs/>
    </w:rPr>
  </w:style>
  <w:style w:type="character" w:styleId="Emphasis">
    <w:name w:val="Emphasis"/>
    <w:basedOn w:val="DefaultParagraphFont"/>
    <w:uiPriority w:val="20"/>
    <w:qFormat/>
    <w:rsid w:val="00A95242"/>
    <w:rPr>
      <w:i/>
      <w:iCs/>
    </w:rPr>
  </w:style>
  <w:style w:type="paragraph" w:styleId="NoSpacing">
    <w:name w:val="No Spacing"/>
    <w:uiPriority w:val="1"/>
    <w:qFormat/>
    <w:rsid w:val="00A95242"/>
    <w:pPr>
      <w:spacing w:after="0" w:line="240" w:lineRule="auto"/>
    </w:pPr>
  </w:style>
  <w:style w:type="paragraph" w:styleId="Quote">
    <w:name w:val="Quote"/>
    <w:basedOn w:val="Normal"/>
    <w:next w:val="Normal"/>
    <w:link w:val="QuoteChar"/>
    <w:uiPriority w:val="29"/>
    <w:qFormat/>
    <w:rsid w:val="00A9524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95242"/>
    <w:rPr>
      <w:i/>
      <w:iCs/>
    </w:rPr>
  </w:style>
  <w:style w:type="paragraph" w:styleId="IntenseQuote">
    <w:name w:val="Intense Quote"/>
    <w:basedOn w:val="Normal"/>
    <w:next w:val="Normal"/>
    <w:link w:val="IntenseQuoteChar"/>
    <w:uiPriority w:val="30"/>
    <w:qFormat/>
    <w:rsid w:val="00A9524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9524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95242"/>
    <w:rPr>
      <w:i/>
      <w:iCs/>
      <w:color w:val="595959" w:themeColor="text1" w:themeTint="A6"/>
    </w:rPr>
  </w:style>
  <w:style w:type="character" w:styleId="IntenseEmphasis">
    <w:name w:val="Intense Emphasis"/>
    <w:basedOn w:val="DefaultParagraphFont"/>
    <w:uiPriority w:val="21"/>
    <w:qFormat/>
    <w:rsid w:val="00A95242"/>
    <w:rPr>
      <w:b/>
      <w:bCs/>
      <w:i/>
      <w:iCs/>
    </w:rPr>
  </w:style>
  <w:style w:type="character" w:styleId="SubtleReference">
    <w:name w:val="Subtle Reference"/>
    <w:basedOn w:val="DefaultParagraphFont"/>
    <w:uiPriority w:val="31"/>
    <w:qFormat/>
    <w:rsid w:val="00A95242"/>
    <w:rPr>
      <w:smallCaps/>
      <w:color w:val="404040" w:themeColor="text1" w:themeTint="BF"/>
    </w:rPr>
  </w:style>
  <w:style w:type="character" w:styleId="IntenseReference">
    <w:name w:val="Intense Reference"/>
    <w:basedOn w:val="DefaultParagraphFont"/>
    <w:uiPriority w:val="32"/>
    <w:qFormat/>
    <w:rsid w:val="00A95242"/>
    <w:rPr>
      <w:b/>
      <w:bCs/>
      <w:smallCaps/>
      <w:u w:val="single"/>
    </w:rPr>
  </w:style>
  <w:style w:type="character" w:styleId="BookTitle">
    <w:name w:val="Book Title"/>
    <w:basedOn w:val="DefaultParagraphFont"/>
    <w:uiPriority w:val="33"/>
    <w:qFormat/>
    <w:rsid w:val="00A95242"/>
    <w:rPr>
      <w:b/>
      <w:bCs/>
      <w:smallCaps/>
    </w:rPr>
  </w:style>
  <w:style w:type="paragraph" w:styleId="TOCHeading">
    <w:name w:val="TOC Heading"/>
    <w:basedOn w:val="Heading1"/>
    <w:next w:val="Normal"/>
    <w:uiPriority w:val="39"/>
    <w:semiHidden/>
    <w:unhideWhenUsed/>
    <w:qFormat/>
    <w:rsid w:val="00A95242"/>
    <w:pPr>
      <w:outlineLvl w:val="9"/>
    </w:pPr>
  </w:style>
  <w:style w:type="character" w:styleId="Hyperlink">
    <w:name w:val="Hyperlink"/>
    <w:basedOn w:val="DefaultParagraphFont"/>
    <w:uiPriority w:val="99"/>
    <w:unhideWhenUsed/>
    <w:rsid w:val="00564CD1"/>
    <w:rPr>
      <w:color w:val="0563C1" w:themeColor="hyperlink"/>
      <w:u w:val="single"/>
    </w:rPr>
  </w:style>
  <w:style w:type="paragraph" w:styleId="Revision">
    <w:name w:val="Revision"/>
    <w:hidden/>
    <w:uiPriority w:val="99"/>
    <w:semiHidden/>
    <w:rsid w:val="00981840"/>
    <w:pPr>
      <w:spacing w:after="0" w:line="240" w:lineRule="auto"/>
    </w:pPr>
  </w:style>
  <w:style w:type="character" w:styleId="UnresolvedMention">
    <w:name w:val="Unresolved Mention"/>
    <w:basedOn w:val="DefaultParagraphFont"/>
    <w:uiPriority w:val="99"/>
    <w:semiHidden/>
    <w:unhideWhenUsed/>
    <w:rsid w:val="009972D4"/>
    <w:rPr>
      <w:color w:val="605E5C"/>
      <w:shd w:val="clear" w:color="auto" w:fill="E1DFDD"/>
    </w:rPr>
  </w:style>
  <w:style w:type="character" w:styleId="FollowedHyperlink">
    <w:name w:val="FollowedHyperlink"/>
    <w:basedOn w:val="DefaultParagraphFont"/>
    <w:uiPriority w:val="99"/>
    <w:semiHidden/>
    <w:unhideWhenUsed/>
    <w:rsid w:val="002D79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fat.gov.au/publications/people-people/independent-evaluation-australian-volunteers-progr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90A5C-3093-4B42-8C9D-1B17A74A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1697</Words>
  <Characters>9658</Characters>
  <Application>Microsoft Office Word</Application>
  <DocSecurity>0</DocSecurity>
  <Lines>508</Lines>
  <Paragraphs>89</Paragraphs>
  <ScaleCrop>false</ScaleCrop>
  <HeadingPairs>
    <vt:vector size="2" baseType="variant">
      <vt:variant>
        <vt:lpstr>Title</vt:lpstr>
      </vt:variant>
      <vt:variant>
        <vt:i4>1</vt:i4>
      </vt:variant>
    </vt:vector>
  </HeadingPairs>
  <TitlesOfParts>
    <vt:vector size="1" baseType="lpstr">
      <vt:lpstr>Independent evaluation of the Australian Volunteers program management response – December 2022</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Evaluation Of The Australian Volunteers Program Management Response</dc:title>
  <dc:subject/>
  <dc:creator/>
  <cp:keywords>[SEC=UNOFFICIAL]</cp:keywords>
  <cp:lastModifiedBy/>
  <cp:revision>1</cp:revision>
  <dcterms:created xsi:type="dcterms:W3CDTF">2024-07-11T06:45:00Z</dcterms:created>
  <dcterms:modified xsi:type="dcterms:W3CDTF">2024-07-11T06:45:00Z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48286C02D9FD4DD69B0709567ADCE2AF</vt:lpwstr>
  </property>
  <property fmtid="{D5CDD505-2E9C-101B-9397-08002B2CF9AE}" pid="9" name="PM_ProtectiveMarkingValue_Footer">
    <vt:lpwstr>UNOFFICIAL</vt:lpwstr>
  </property>
  <property fmtid="{D5CDD505-2E9C-101B-9397-08002B2CF9AE}" pid="10" name="PM_Originator_Hash_SHA1">
    <vt:lpwstr>D9F6E5C82DFAF7AB6E3D596D48DD43C72EDFDAB4</vt:lpwstr>
  </property>
  <property fmtid="{D5CDD505-2E9C-101B-9397-08002B2CF9AE}" pid="11" name="PM_OriginationTimeStamp">
    <vt:lpwstr>2022-12-22T22:38:45Z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B6CA1929A02BFF13BE97CF02FA354C4D</vt:lpwstr>
  </property>
  <property fmtid="{D5CDD505-2E9C-101B-9397-08002B2CF9AE}" pid="20" name="PM_Hash_Salt">
    <vt:lpwstr>31DA7C3C62A8CA3B2D4B8A668E22C889</vt:lpwstr>
  </property>
  <property fmtid="{D5CDD505-2E9C-101B-9397-08002B2CF9AE}" pid="21" name="PM_Hash_SHA1">
    <vt:lpwstr>098A4670016E3DACC5CC4D25559E20815DE4F7D3</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Display">
    <vt:lpwstr>UNOFFICIAL</vt:lpwstr>
  </property>
  <property fmtid="{D5CDD505-2E9C-101B-9397-08002B2CF9AE}" pid="25" name="PMUuid">
    <vt:lpwstr>v=2022.2;d=gov.au;g=65417EFE-F3B9-5E66-BD91-1E689FEC2EA6</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v=2022.1;a=SHA256;h=3BCB4EDF78649535A49D85716515621C3F03C33D112B53E700AF23130AE30F0D</vt:lpwstr>
  </property>
</Properties>
</file>