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8214" w14:textId="0CE7D0F6" w:rsidR="007517BD" w:rsidRPr="00E05FC0" w:rsidRDefault="00E05FC0" w:rsidP="00E05FC0">
      <w:pPr>
        <w:jc w:val="center"/>
        <w:rPr>
          <w:b/>
          <w:bCs/>
          <w:sz w:val="28"/>
          <w:szCs w:val="28"/>
        </w:rPr>
      </w:pPr>
      <w:r w:rsidRPr="00E05FC0">
        <w:rPr>
          <w:b/>
          <w:bCs/>
          <w:sz w:val="28"/>
          <w:szCs w:val="28"/>
        </w:rPr>
        <w:t>Independent Review of the South Fly Resilience Plan</w:t>
      </w:r>
    </w:p>
    <w:p w14:paraId="344829C3" w14:textId="4707EDFF" w:rsidR="00E05FC0" w:rsidRDefault="004C5F62" w:rsidP="00E05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DFAT </w:t>
      </w:r>
      <w:r w:rsidR="00E05FC0" w:rsidRPr="00E05FC0">
        <w:rPr>
          <w:b/>
          <w:bCs/>
          <w:sz w:val="28"/>
          <w:szCs w:val="28"/>
        </w:rPr>
        <w:t>Management Response</w:t>
      </w:r>
      <w:r w:rsidR="00E05FC0">
        <w:rPr>
          <w:b/>
          <w:bCs/>
          <w:sz w:val="28"/>
          <w:szCs w:val="28"/>
        </w:rPr>
        <w:t xml:space="preserve"> </w:t>
      </w:r>
    </w:p>
    <w:p w14:paraId="36307B08" w14:textId="4EE37F9C" w:rsidR="00E05FC0" w:rsidRDefault="00E05FC0" w:rsidP="00E05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2022</w:t>
      </w:r>
    </w:p>
    <w:p w14:paraId="08A35546" w14:textId="7D0B0A7C" w:rsidR="00E05FC0" w:rsidRDefault="00E05FC0" w:rsidP="00E05FC0">
      <w:pPr>
        <w:jc w:val="center"/>
        <w:rPr>
          <w:b/>
          <w:bCs/>
          <w:sz w:val="28"/>
          <w:szCs w:val="28"/>
        </w:rPr>
      </w:pPr>
    </w:p>
    <w:p w14:paraId="5D0B3BD1" w14:textId="3A82660B" w:rsidR="00860D66" w:rsidRPr="00860D66" w:rsidRDefault="00860D66" w:rsidP="00E05F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Background</w:t>
      </w:r>
    </w:p>
    <w:p w14:paraId="44373868" w14:textId="5285F255" w:rsidR="002E525B" w:rsidRDefault="00AE3B1F" w:rsidP="001F3C91">
      <w:pPr>
        <w:rPr>
          <w:sz w:val="24"/>
          <w:szCs w:val="24"/>
        </w:rPr>
      </w:pPr>
      <w:r>
        <w:rPr>
          <w:sz w:val="24"/>
          <w:szCs w:val="24"/>
        </w:rPr>
        <w:t xml:space="preserve">Australia’s </w:t>
      </w:r>
      <w:r w:rsidR="001E2C05">
        <w:rPr>
          <w:sz w:val="24"/>
          <w:szCs w:val="24"/>
        </w:rPr>
        <w:t xml:space="preserve">Department of Foreign Affairs and Trade </w:t>
      </w:r>
      <w:r w:rsidR="00272BA7">
        <w:rPr>
          <w:sz w:val="24"/>
          <w:szCs w:val="24"/>
        </w:rPr>
        <w:t>(DFAT)</w:t>
      </w:r>
      <w:r w:rsidR="00CE7B57">
        <w:rPr>
          <w:sz w:val="24"/>
          <w:szCs w:val="24"/>
        </w:rPr>
        <w:t xml:space="preserve"> </w:t>
      </w:r>
      <w:r w:rsidR="001E2C05">
        <w:rPr>
          <w:sz w:val="24"/>
          <w:szCs w:val="24"/>
        </w:rPr>
        <w:t xml:space="preserve">commissioned </w:t>
      </w:r>
      <w:r w:rsidR="000D3625">
        <w:rPr>
          <w:sz w:val="24"/>
          <w:szCs w:val="24"/>
        </w:rPr>
        <w:t>t</w:t>
      </w:r>
      <w:r w:rsidR="00333B71">
        <w:rPr>
          <w:sz w:val="24"/>
          <w:szCs w:val="24"/>
        </w:rPr>
        <w:t>he Quality and Technical Assurance Group</w:t>
      </w:r>
      <w:r w:rsidR="001E2C05">
        <w:rPr>
          <w:sz w:val="24"/>
          <w:szCs w:val="24"/>
        </w:rPr>
        <w:t xml:space="preserve"> (QTAG)</w:t>
      </w:r>
      <w:r w:rsidR="00D342F9">
        <w:rPr>
          <w:sz w:val="24"/>
          <w:szCs w:val="24"/>
        </w:rPr>
        <w:t>, implemented by Oxford Policy Management,</w:t>
      </w:r>
      <w:r w:rsidR="001E2C05">
        <w:rPr>
          <w:sz w:val="24"/>
          <w:szCs w:val="24"/>
        </w:rPr>
        <w:t xml:space="preserve"> </w:t>
      </w:r>
      <w:r w:rsidR="000D3625">
        <w:rPr>
          <w:sz w:val="24"/>
          <w:szCs w:val="24"/>
        </w:rPr>
        <w:t xml:space="preserve">to undertake an </w:t>
      </w:r>
      <w:r w:rsidR="00C31922">
        <w:rPr>
          <w:sz w:val="24"/>
          <w:szCs w:val="24"/>
        </w:rPr>
        <w:t>i</w:t>
      </w:r>
      <w:r w:rsidR="000D3625">
        <w:rPr>
          <w:sz w:val="24"/>
          <w:szCs w:val="24"/>
        </w:rPr>
        <w:t>ndependent</w:t>
      </w:r>
      <w:r w:rsidR="00DA4BB2">
        <w:rPr>
          <w:sz w:val="24"/>
          <w:szCs w:val="24"/>
        </w:rPr>
        <w:t xml:space="preserve"> </w:t>
      </w:r>
      <w:r w:rsidR="00C31922">
        <w:rPr>
          <w:sz w:val="24"/>
          <w:szCs w:val="24"/>
        </w:rPr>
        <w:t>r</w:t>
      </w:r>
      <w:r w:rsidR="00DA4BB2">
        <w:rPr>
          <w:sz w:val="24"/>
          <w:szCs w:val="24"/>
        </w:rPr>
        <w:t xml:space="preserve">eview </w:t>
      </w:r>
      <w:r w:rsidR="006D77ED">
        <w:rPr>
          <w:sz w:val="24"/>
          <w:szCs w:val="24"/>
        </w:rPr>
        <w:t>of the South Fly Resilience Plan</w:t>
      </w:r>
      <w:r w:rsidR="00A4170C">
        <w:rPr>
          <w:sz w:val="24"/>
          <w:szCs w:val="24"/>
        </w:rPr>
        <w:t xml:space="preserve"> (SFRP)</w:t>
      </w:r>
      <w:r w:rsidR="00470837">
        <w:rPr>
          <w:sz w:val="24"/>
          <w:szCs w:val="24"/>
        </w:rPr>
        <w:t xml:space="preserve"> from April-</w:t>
      </w:r>
      <w:r w:rsidR="005A617A">
        <w:rPr>
          <w:sz w:val="24"/>
          <w:szCs w:val="24"/>
        </w:rPr>
        <w:t>May</w:t>
      </w:r>
      <w:r w:rsidR="00470837">
        <w:rPr>
          <w:sz w:val="24"/>
          <w:szCs w:val="24"/>
        </w:rPr>
        <w:t xml:space="preserve"> 2022</w:t>
      </w:r>
      <w:r w:rsidR="00CE7B57">
        <w:rPr>
          <w:sz w:val="24"/>
          <w:szCs w:val="24"/>
        </w:rPr>
        <w:t xml:space="preserve">. </w:t>
      </w:r>
    </w:p>
    <w:p w14:paraId="649C2237" w14:textId="4AF8F054" w:rsidR="002E525B" w:rsidRDefault="00CE7B57" w:rsidP="001F3C91">
      <w:pPr>
        <w:rPr>
          <w:sz w:val="24"/>
          <w:szCs w:val="24"/>
        </w:rPr>
      </w:pPr>
      <w:r>
        <w:rPr>
          <w:sz w:val="24"/>
          <w:szCs w:val="24"/>
        </w:rPr>
        <w:t>The SFRP is</w:t>
      </w:r>
      <w:r w:rsidR="00AD6786">
        <w:rPr>
          <w:sz w:val="24"/>
          <w:szCs w:val="24"/>
        </w:rPr>
        <w:t xml:space="preserve"> an Australian-funded development program in Western Province</w:t>
      </w:r>
      <w:r w:rsidR="002B28AC">
        <w:rPr>
          <w:sz w:val="24"/>
          <w:szCs w:val="24"/>
        </w:rPr>
        <w:t>,</w:t>
      </w:r>
      <w:r w:rsidR="00AD6786">
        <w:rPr>
          <w:sz w:val="24"/>
          <w:szCs w:val="24"/>
        </w:rPr>
        <w:t xml:space="preserve"> Papua New Guinea</w:t>
      </w:r>
      <w:r w:rsidR="00272BA7">
        <w:rPr>
          <w:sz w:val="24"/>
          <w:szCs w:val="24"/>
        </w:rPr>
        <w:t xml:space="preserve"> (PNG)</w:t>
      </w:r>
      <w:r w:rsidR="00CE51CF">
        <w:rPr>
          <w:sz w:val="24"/>
          <w:szCs w:val="24"/>
        </w:rPr>
        <w:t xml:space="preserve">, which </w:t>
      </w:r>
      <w:r w:rsidR="002E525B">
        <w:rPr>
          <w:sz w:val="24"/>
          <w:szCs w:val="24"/>
        </w:rPr>
        <w:t xml:space="preserve">commenced </w:t>
      </w:r>
      <w:r w:rsidR="00294F5B">
        <w:rPr>
          <w:sz w:val="24"/>
          <w:szCs w:val="24"/>
        </w:rPr>
        <w:t>in</w:t>
      </w:r>
      <w:r w:rsidR="002E525B">
        <w:rPr>
          <w:sz w:val="24"/>
          <w:szCs w:val="24"/>
        </w:rPr>
        <w:t xml:space="preserve"> early </w:t>
      </w:r>
      <w:r w:rsidR="00344192">
        <w:rPr>
          <w:sz w:val="24"/>
          <w:szCs w:val="24"/>
        </w:rPr>
        <w:t>2021</w:t>
      </w:r>
      <w:r w:rsidR="002E525B">
        <w:rPr>
          <w:sz w:val="24"/>
          <w:szCs w:val="24"/>
        </w:rPr>
        <w:t xml:space="preserve">. </w:t>
      </w:r>
      <w:r w:rsidR="00786391">
        <w:rPr>
          <w:sz w:val="24"/>
          <w:szCs w:val="24"/>
        </w:rPr>
        <w:t xml:space="preserve">SFRP will transition to the </w:t>
      </w:r>
      <w:r w:rsidR="002E525B">
        <w:rPr>
          <w:sz w:val="24"/>
          <w:szCs w:val="24"/>
        </w:rPr>
        <w:t xml:space="preserve">new </w:t>
      </w:r>
      <w:r w:rsidR="00DA54F5">
        <w:rPr>
          <w:sz w:val="24"/>
          <w:szCs w:val="24"/>
        </w:rPr>
        <w:t xml:space="preserve">Western Province Partnership (WPP) </w:t>
      </w:r>
      <w:r w:rsidR="002E525B">
        <w:rPr>
          <w:sz w:val="24"/>
          <w:szCs w:val="24"/>
        </w:rPr>
        <w:t>from early 2023</w:t>
      </w:r>
      <w:r w:rsidR="00786391">
        <w:rPr>
          <w:sz w:val="24"/>
          <w:szCs w:val="24"/>
        </w:rPr>
        <w:t xml:space="preserve">, implemented through </w:t>
      </w:r>
      <w:r w:rsidR="002E525B">
        <w:rPr>
          <w:sz w:val="24"/>
          <w:szCs w:val="24"/>
        </w:rPr>
        <w:t xml:space="preserve">the Australia-PNG Subnational Program (APSP). </w:t>
      </w:r>
    </w:p>
    <w:p w14:paraId="328ED47A" w14:textId="580BEF42" w:rsidR="00B83E65" w:rsidRDefault="00C31922" w:rsidP="001F3C9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E3EB9">
        <w:rPr>
          <w:sz w:val="24"/>
          <w:szCs w:val="24"/>
        </w:rPr>
        <w:t>he SF</w:t>
      </w:r>
      <w:r w:rsidR="00CE51CF">
        <w:rPr>
          <w:sz w:val="24"/>
          <w:szCs w:val="24"/>
        </w:rPr>
        <w:t>R</w:t>
      </w:r>
      <w:r w:rsidR="00DE3EB9">
        <w:rPr>
          <w:sz w:val="24"/>
          <w:szCs w:val="24"/>
        </w:rPr>
        <w:t xml:space="preserve">P was </w:t>
      </w:r>
      <w:r w:rsidR="00084D95">
        <w:rPr>
          <w:sz w:val="24"/>
          <w:szCs w:val="24"/>
        </w:rPr>
        <w:t xml:space="preserve">rapidly </w:t>
      </w:r>
      <w:r w:rsidR="00C26D79">
        <w:rPr>
          <w:sz w:val="24"/>
          <w:szCs w:val="24"/>
        </w:rPr>
        <w:t>designed</w:t>
      </w:r>
      <w:r w:rsidR="00084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end of 2020 </w:t>
      </w:r>
      <w:r w:rsidR="00E10A5D">
        <w:rPr>
          <w:sz w:val="24"/>
          <w:szCs w:val="24"/>
        </w:rPr>
        <w:t xml:space="preserve">to strengthen food and water security in South Fly District </w:t>
      </w:r>
      <w:r w:rsidR="00786391">
        <w:rPr>
          <w:sz w:val="24"/>
          <w:szCs w:val="24"/>
        </w:rPr>
        <w:t>at the peak of</w:t>
      </w:r>
      <w:r w:rsidR="00E10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E10A5D">
        <w:rPr>
          <w:sz w:val="24"/>
          <w:szCs w:val="24"/>
        </w:rPr>
        <w:t>Covid-19</w:t>
      </w:r>
      <w:r>
        <w:rPr>
          <w:sz w:val="24"/>
          <w:szCs w:val="24"/>
        </w:rPr>
        <w:t xml:space="preserve"> pandemic</w:t>
      </w:r>
      <w:r w:rsidR="00E10A5D">
        <w:rPr>
          <w:sz w:val="24"/>
          <w:szCs w:val="24"/>
        </w:rPr>
        <w:t xml:space="preserve">. </w:t>
      </w:r>
      <w:r w:rsidR="008E1065">
        <w:rPr>
          <w:sz w:val="24"/>
          <w:szCs w:val="24"/>
        </w:rPr>
        <w:t xml:space="preserve">Its </w:t>
      </w:r>
      <w:r w:rsidR="00F859F5">
        <w:rPr>
          <w:sz w:val="24"/>
          <w:szCs w:val="24"/>
        </w:rPr>
        <w:t xml:space="preserve">objectives </w:t>
      </w:r>
      <w:r w:rsidR="00786391">
        <w:rPr>
          <w:sz w:val="24"/>
          <w:szCs w:val="24"/>
        </w:rPr>
        <w:t>are</w:t>
      </w:r>
      <w:r w:rsidR="00F859F5">
        <w:rPr>
          <w:sz w:val="24"/>
          <w:szCs w:val="24"/>
        </w:rPr>
        <w:t>:</w:t>
      </w:r>
    </w:p>
    <w:p w14:paraId="1050494E" w14:textId="536E03C6" w:rsidR="003A3ABD" w:rsidRPr="00F859F5" w:rsidRDefault="00A84975" w:rsidP="00F859F5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3A3ABD" w:rsidRPr="00F859F5">
        <w:rPr>
          <w:rFonts w:asciiTheme="minorHAnsi" w:hAnsiTheme="minorHAnsi"/>
          <w:sz w:val="24"/>
          <w:szCs w:val="24"/>
        </w:rPr>
        <w:t>trengthened resilience to water-related disasters in the South Fly District</w:t>
      </w:r>
      <w:r>
        <w:rPr>
          <w:rFonts w:asciiTheme="minorHAnsi" w:hAnsiTheme="minorHAnsi"/>
          <w:sz w:val="24"/>
          <w:szCs w:val="24"/>
        </w:rPr>
        <w:t>,</w:t>
      </w:r>
    </w:p>
    <w:p w14:paraId="11EFB1DD" w14:textId="29FFBFCE" w:rsidR="003C631E" w:rsidRPr="003C631E" w:rsidRDefault="00A84975" w:rsidP="00F1373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3A3ABD" w:rsidRPr="003C631E">
        <w:rPr>
          <w:rFonts w:asciiTheme="minorHAnsi" w:hAnsiTheme="minorHAnsi"/>
          <w:sz w:val="24"/>
          <w:szCs w:val="24"/>
        </w:rPr>
        <w:t>argeted communities in South Fly have sustainable livelihoods and improved income</w:t>
      </w:r>
      <w:r w:rsidR="003C631E" w:rsidRPr="003C631E">
        <w:rPr>
          <w:rFonts w:asciiTheme="minorHAnsi" w:hAnsiTheme="minorHAnsi"/>
          <w:sz w:val="24"/>
          <w:szCs w:val="24"/>
        </w:rPr>
        <w:t>, and</w:t>
      </w:r>
    </w:p>
    <w:p w14:paraId="21AD1834" w14:textId="4B28ACA4" w:rsidR="00931681" w:rsidRPr="003C631E" w:rsidRDefault="00A84975" w:rsidP="0010338D">
      <w:pPr>
        <w:pStyle w:val="ListParagraph"/>
        <w:numPr>
          <w:ilvl w:val="0"/>
          <w:numId w:val="10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eastAsia="Times New Roman" w:cs="Times New Roman"/>
          <w:iCs/>
          <w:color w:val="000000" w:themeColor="text1"/>
        </w:rPr>
        <w:t>a</w:t>
      </w:r>
      <w:r w:rsidR="00892AC7" w:rsidRPr="003C631E">
        <w:rPr>
          <w:rFonts w:eastAsia="Times New Roman" w:cs="Times New Roman"/>
          <w:iCs/>
          <w:color w:val="000000" w:themeColor="text1"/>
        </w:rPr>
        <w:t xml:space="preserve"> </w:t>
      </w:r>
      <w:r w:rsidR="00892AC7" w:rsidRPr="003C631E">
        <w:rPr>
          <w:rFonts w:asciiTheme="minorHAnsi" w:hAnsiTheme="minorHAnsi"/>
          <w:sz w:val="24"/>
          <w:szCs w:val="24"/>
        </w:rPr>
        <w:t xml:space="preserve">third </w:t>
      </w:r>
      <w:r w:rsidR="003C631E" w:rsidRPr="003C631E">
        <w:rPr>
          <w:rFonts w:asciiTheme="minorHAnsi" w:hAnsiTheme="minorHAnsi"/>
          <w:sz w:val="24"/>
          <w:szCs w:val="24"/>
        </w:rPr>
        <w:t>objective</w:t>
      </w:r>
      <w:r w:rsidR="00EC4DCF" w:rsidRPr="003C631E">
        <w:rPr>
          <w:rFonts w:asciiTheme="minorHAnsi" w:hAnsiTheme="minorHAnsi"/>
          <w:sz w:val="24"/>
          <w:szCs w:val="24"/>
        </w:rPr>
        <w:t>, i</w:t>
      </w:r>
      <w:r w:rsidR="00892AC7" w:rsidRPr="003C631E">
        <w:rPr>
          <w:rFonts w:asciiTheme="minorHAnsi" w:hAnsiTheme="minorHAnsi"/>
          <w:sz w:val="24"/>
          <w:szCs w:val="24"/>
        </w:rPr>
        <w:t xml:space="preserve">mproved access to essential services for emergency patients, </w:t>
      </w:r>
      <w:proofErr w:type="gramStart"/>
      <w:r w:rsidR="00892AC7" w:rsidRPr="003C631E">
        <w:rPr>
          <w:rFonts w:asciiTheme="minorHAnsi" w:hAnsiTheme="minorHAnsi"/>
          <w:sz w:val="24"/>
          <w:szCs w:val="24"/>
        </w:rPr>
        <w:t>mothers</w:t>
      </w:r>
      <w:proofErr w:type="gramEnd"/>
      <w:r w:rsidR="00892AC7" w:rsidRPr="003C631E">
        <w:rPr>
          <w:rFonts w:asciiTheme="minorHAnsi" w:hAnsiTheme="minorHAnsi"/>
          <w:sz w:val="24"/>
          <w:szCs w:val="24"/>
        </w:rPr>
        <w:t xml:space="preserve"> and babies</w:t>
      </w:r>
      <w:r w:rsidR="00294F5B">
        <w:rPr>
          <w:rFonts w:asciiTheme="minorHAnsi" w:hAnsiTheme="minorHAnsi"/>
          <w:sz w:val="24"/>
          <w:szCs w:val="24"/>
        </w:rPr>
        <w:t>;</w:t>
      </w:r>
      <w:r w:rsidR="00892AC7" w:rsidRPr="003C631E">
        <w:rPr>
          <w:rFonts w:asciiTheme="minorHAnsi" w:hAnsiTheme="minorHAnsi"/>
          <w:sz w:val="24"/>
          <w:szCs w:val="24"/>
        </w:rPr>
        <w:t xml:space="preserve"> </w:t>
      </w:r>
      <w:r w:rsidR="00294F5B">
        <w:rPr>
          <w:rFonts w:asciiTheme="minorHAnsi" w:hAnsiTheme="minorHAnsi"/>
          <w:sz w:val="24"/>
          <w:szCs w:val="24"/>
        </w:rPr>
        <w:t xml:space="preserve">this activity </w:t>
      </w:r>
      <w:r w:rsidR="00892AC7" w:rsidRPr="003C631E">
        <w:rPr>
          <w:rFonts w:asciiTheme="minorHAnsi" w:hAnsiTheme="minorHAnsi"/>
          <w:sz w:val="24"/>
          <w:szCs w:val="24"/>
        </w:rPr>
        <w:t>was put</w:t>
      </w:r>
      <w:r w:rsidR="00EA069F">
        <w:rPr>
          <w:rFonts w:asciiTheme="minorHAnsi" w:hAnsiTheme="minorHAnsi"/>
          <w:sz w:val="24"/>
          <w:szCs w:val="24"/>
        </w:rPr>
        <w:t xml:space="preserve"> on hold</w:t>
      </w:r>
      <w:r w:rsidR="00892AC7" w:rsidRPr="003C631E">
        <w:rPr>
          <w:rFonts w:asciiTheme="minorHAnsi" w:hAnsiTheme="minorHAnsi"/>
          <w:sz w:val="24"/>
          <w:szCs w:val="24"/>
        </w:rPr>
        <w:t xml:space="preserve"> </w:t>
      </w:r>
      <w:r w:rsidR="00EA069F">
        <w:rPr>
          <w:rFonts w:asciiTheme="minorHAnsi" w:hAnsiTheme="minorHAnsi"/>
          <w:sz w:val="24"/>
          <w:szCs w:val="24"/>
        </w:rPr>
        <w:t>to avoid</w:t>
      </w:r>
      <w:r w:rsidR="0010338D">
        <w:rPr>
          <w:rFonts w:asciiTheme="minorHAnsi" w:hAnsiTheme="minorHAnsi"/>
          <w:sz w:val="24"/>
          <w:szCs w:val="24"/>
        </w:rPr>
        <w:t xml:space="preserve"> creating additional pressure on the Western Provincial </w:t>
      </w:r>
      <w:r>
        <w:rPr>
          <w:rFonts w:asciiTheme="minorHAnsi" w:hAnsiTheme="minorHAnsi"/>
          <w:sz w:val="24"/>
          <w:szCs w:val="24"/>
        </w:rPr>
        <w:t>H</w:t>
      </w:r>
      <w:r w:rsidR="0010338D">
        <w:rPr>
          <w:rFonts w:asciiTheme="minorHAnsi" w:hAnsiTheme="minorHAnsi"/>
          <w:sz w:val="24"/>
          <w:szCs w:val="24"/>
        </w:rPr>
        <w:t xml:space="preserve">ealth </w:t>
      </w:r>
      <w:r>
        <w:rPr>
          <w:rFonts w:asciiTheme="minorHAnsi" w:hAnsiTheme="minorHAnsi"/>
          <w:sz w:val="24"/>
          <w:szCs w:val="24"/>
        </w:rPr>
        <w:t xml:space="preserve">Authority </w:t>
      </w:r>
      <w:r w:rsidR="0010338D">
        <w:rPr>
          <w:rFonts w:asciiTheme="minorHAnsi" w:hAnsiTheme="minorHAnsi"/>
          <w:sz w:val="24"/>
          <w:szCs w:val="24"/>
        </w:rPr>
        <w:t>during Covid-19</w:t>
      </w:r>
      <w:r w:rsidR="00892AC7" w:rsidRPr="003C631E">
        <w:rPr>
          <w:rFonts w:asciiTheme="minorHAnsi" w:hAnsiTheme="minorHAnsi"/>
          <w:sz w:val="24"/>
          <w:szCs w:val="24"/>
        </w:rPr>
        <w:t>.</w:t>
      </w:r>
    </w:p>
    <w:p w14:paraId="26F5E4D8" w14:textId="671E7964" w:rsidR="00786391" w:rsidRPr="00786391" w:rsidRDefault="00786391" w:rsidP="00786391">
      <w:pPr>
        <w:rPr>
          <w:sz w:val="24"/>
          <w:szCs w:val="24"/>
        </w:rPr>
      </w:pPr>
      <w:r w:rsidRPr="00786391">
        <w:rPr>
          <w:sz w:val="24"/>
          <w:szCs w:val="24"/>
        </w:rPr>
        <w:t xml:space="preserve">This review sought to meet DFAT’s commitment to transparency and performance improvement, and to inform the design of the WPP. Program activities under the WPP </w:t>
      </w:r>
      <w:r w:rsidR="000E4305">
        <w:rPr>
          <w:sz w:val="24"/>
          <w:szCs w:val="24"/>
        </w:rPr>
        <w:t xml:space="preserve">will be </w:t>
      </w:r>
      <w:r w:rsidR="00294F5B">
        <w:rPr>
          <w:sz w:val="24"/>
          <w:szCs w:val="24"/>
        </w:rPr>
        <w:t>guided</w:t>
      </w:r>
      <w:r w:rsidRPr="00786391">
        <w:rPr>
          <w:sz w:val="24"/>
          <w:szCs w:val="24"/>
        </w:rPr>
        <w:t xml:space="preserve"> by</w:t>
      </w:r>
      <w:r>
        <w:rPr>
          <w:sz w:val="24"/>
          <w:szCs w:val="24"/>
        </w:rPr>
        <w:t>,</w:t>
      </w:r>
      <w:r w:rsidRPr="00786391">
        <w:rPr>
          <w:sz w:val="24"/>
          <w:szCs w:val="24"/>
        </w:rPr>
        <w:t xml:space="preserve"> and support implementation of the proposed Western Province Strategy.</w:t>
      </w:r>
    </w:p>
    <w:p w14:paraId="28F6AF1B" w14:textId="4C42A0C5" w:rsidR="006D77ED" w:rsidRDefault="002B28AC" w:rsidP="00E05FC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31922">
        <w:rPr>
          <w:sz w:val="24"/>
          <w:szCs w:val="24"/>
        </w:rPr>
        <w:t>r</w:t>
      </w:r>
      <w:r>
        <w:rPr>
          <w:sz w:val="24"/>
          <w:szCs w:val="24"/>
        </w:rPr>
        <w:t xml:space="preserve">eview </w:t>
      </w:r>
      <w:r w:rsidR="00C31922">
        <w:rPr>
          <w:sz w:val="24"/>
          <w:szCs w:val="24"/>
        </w:rPr>
        <w:t>t</w:t>
      </w:r>
      <w:r>
        <w:rPr>
          <w:sz w:val="24"/>
          <w:szCs w:val="24"/>
        </w:rPr>
        <w:t>eam was asked t</w:t>
      </w:r>
      <w:r w:rsidR="008C604F">
        <w:rPr>
          <w:sz w:val="24"/>
          <w:szCs w:val="24"/>
        </w:rPr>
        <w:t xml:space="preserve">o </w:t>
      </w:r>
      <w:r w:rsidR="00A4170C">
        <w:rPr>
          <w:sz w:val="24"/>
          <w:szCs w:val="24"/>
        </w:rPr>
        <w:t xml:space="preserve">assess the SFRP </w:t>
      </w:r>
      <w:r w:rsidR="00C50CEF">
        <w:rPr>
          <w:sz w:val="24"/>
          <w:szCs w:val="24"/>
        </w:rPr>
        <w:t xml:space="preserve">against questions on efficiency, effectiveness, coherence, </w:t>
      </w:r>
      <w:proofErr w:type="gramStart"/>
      <w:r w:rsidR="00C50CEF">
        <w:rPr>
          <w:sz w:val="24"/>
          <w:szCs w:val="24"/>
        </w:rPr>
        <w:t>sustainability</w:t>
      </w:r>
      <w:proofErr w:type="gramEnd"/>
      <w:r w:rsidR="00C50CEF">
        <w:rPr>
          <w:sz w:val="24"/>
          <w:szCs w:val="24"/>
        </w:rPr>
        <w:t xml:space="preserve"> and gender equality</w:t>
      </w:r>
      <w:r w:rsidR="00000A56">
        <w:rPr>
          <w:sz w:val="24"/>
          <w:szCs w:val="24"/>
        </w:rPr>
        <w:t xml:space="preserve"> (</w:t>
      </w:r>
      <w:r w:rsidR="00EF0CA9">
        <w:rPr>
          <w:sz w:val="24"/>
          <w:szCs w:val="24"/>
        </w:rPr>
        <w:t xml:space="preserve">the </w:t>
      </w:r>
      <w:r w:rsidR="002E525B">
        <w:rPr>
          <w:sz w:val="24"/>
          <w:szCs w:val="24"/>
        </w:rPr>
        <w:t>r</w:t>
      </w:r>
      <w:r w:rsidR="00EF0CA9">
        <w:rPr>
          <w:sz w:val="24"/>
          <w:szCs w:val="24"/>
        </w:rPr>
        <w:t>eview’s terms of reference are annexed to the report)</w:t>
      </w:r>
      <w:r w:rsidR="00C50CEF">
        <w:rPr>
          <w:sz w:val="24"/>
          <w:szCs w:val="24"/>
        </w:rPr>
        <w:t xml:space="preserve">. </w:t>
      </w:r>
      <w:r w:rsidR="00AE3B1F">
        <w:rPr>
          <w:sz w:val="24"/>
          <w:szCs w:val="24"/>
        </w:rPr>
        <w:t xml:space="preserve">  </w:t>
      </w:r>
    </w:p>
    <w:p w14:paraId="726D6193" w14:textId="505B49E9" w:rsidR="00BE0BDD" w:rsidRDefault="00BE0BDD" w:rsidP="00E05FC0">
      <w:pPr>
        <w:rPr>
          <w:sz w:val="24"/>
          <w:szCs w:val="24"/>
        </w:rPr>
        <w:sectPr w:rsidR="00BE0BDD" w:rsidSect="000243F3">
          <w:headerReference w:type="default" r:id="rId8"/>
          <w:footerReference w:type="even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4"/>
          <w:szCs w:val="24"/>
        </w:rPr>
        <w:t>DFAT p</w:t>
      </w:r>
      <w:r w:rsidR="00427515">
        <w:rPr>
          <w:sz w:val="24"/>
          <w:szCs w:val="24"/>
        </w:rPr>
        <w:t xml:space="preserve">repared this management response </w:t>
      </w:r>
      <w:r w:rsidR="00632251">
        <w:rPr>
          <w:sz w:val="24"/>
          <w:szCs w:val="24"/>
        </w:rPr>
        <w:t xml:space="preserve">against the seven recommendations </w:t>
      </w:r>
      <w:r w:rsidR="00CE51CF">
        <w:rPr>
          <w:sz w:val="24"/>
          <w:szCs w:val="24"/>
        </w:rPr>
        <w:t xml:space="preserve">outlined in the review report </w:t>
      </w:r>
      <w:r w:rsidR="00427515">
        <w:rPr>
          <w:sz w:val="24"/>
          <w:szCs w:val="24"/>
        </w:rPr>
        <w:t xml:space="preserve">in consultation with </w:t>
      </w:r>
      <w:r w:rsidR="00C26D79">
        <w:rPr>
          <w:sz w:val="24"/>
          <w:szCs w:val="24"/>
        </w:rPr>
        <w:t>APSP</w:t>
      </w:r>
      <w:r w:rsidR="00427515">
        <w:rPr>
          <w:sz w:val="24"/>
          <w:szCs w:val="24"/>
        </w:rPr>
        <w:t xml:space="preserve"> </w:t>
      </w:r>
      <w:r w:rsidR="00C26D79">
        <w:rPr>
          <w:sz w:val="24"/>
          <w:szCs w:val="24"/>
        </w:rPr>
        <w:t>m</w:t>
      </w:r>
      <w:r w:rsidR="00427515">
        <w:rPr>
          <w:sz w:val="24"/>
          <w:szCs w:val="24"/>
        </w:rPr>
        <w:t xml:space="preserve">anaging </w:t>
      </w:r>
      <w:r w:rsidR="00C26D79">
        <w:rPr>
          <w:sz w:val="24"/>
          <w:szCs w:val="24"/>
        </w:rPr>
        <w:t>c</w:t>
      </w:r>
      <w:r w:rsidR="00427515">
        <w:rPr>
          <w:sz w:val="24"/>
          <w:szCs w:val="24"/>
        </w:rPr>
        <w:t xml:space="preserve">ontractor, </w:t>
      </w:r>
      <w:proofErr w:type="spellStart"/>
      <w:r w:rsidR="00427515">
        <w:rPr>
          <w:sz w:val="24"/>
          <w:szCs w:val="24"/>
        </w:rPr>
        <w:t>Abt</w:t>
      </w:r>
      <w:proofErr w:type="spellEnd"/>
      <w:r w:rsidR="00427515">
        <w:rPr>
          <w:sz w:val="24"/>
          <w:szCs w:val="24"/>
        </w:rPr>
        <w:t xml:space="preserve"> Associates, and implementing partners World Vision, </w:t>
      </w:r>
      <w:r w:rsidR="003C631E">
        <w:rPr>
          <w:sz w:val="24"/>
          <w:szCs w:val="24"/>
        </w:rPr>
        <w:t xml:space="preserve">the Reef and Rainforest Research Centre </w:t>
      </w:r>
      <w:r w:rsidR="002E525B">
        <w:rPr>
          <w:sz w:val="24"/>
          <w:szCs w:val="24"/>
        </w:rPr>
        <w:t xml:space="preserve">(RRRC) </w:t>
      </w:r>
      <w:r w:rsidR="003C631E">
        <w:rPr>
          <w:sz w:val="24"/>
          <w:szCs w:val="24"/>
        </w:rPr>
        <w:t xml:space="preserve">and </w:t>
      </w:r>
      <w:proofErr w:type="spellStart"/>
      <w:r w:rsidR="003C631E">
        <w:rPr>
          <w:sz w:val="24"/>
          <w:szCs w:val="24"/>
        </w:rPr>
        <w:t>InLoc</w:t>
      </w:r>
      <w:proofErr w:type="spellEnd"/>
      <w:r w:rsidR="003C631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E6526">
        <w:rPr>
          <w:sz w:val="24"/>
          <w:szCs w:val="24"/>
        </w:rPr>
        <w:t xml:space="preserve">    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73"/>
        <w:gridCol w:w="2175"/>
        <w:gridCol w:w="1204"/>
        <w:gridCol w:w="5646"/>
        <w:gridCol w:w="4395"/>
        <w:gridCol w:w="1275"/>
      </w:tblGrid>
      <w:tr w:rsidR="003E73D8" w:rsidRPr="0072574D" w14:paraId="0F358C4D" w14:textId="77777777" w:rsidTr="00E27985">
        <w:trPr>
          <w:cantSplit/>
          <w:trHeight w:val="1134"/>
          <w:tblHeader/>
        </w:trPr>
        <w:tc>
          <w:tcPr>
            <w:tcW w:w="473" w:type="dxa"/>
            <w:shd w:val="clear" w:color="auto" w:fill="E7E6E6" w:themeFill="background2"/>
            <w:textDirection w:val="tbRl"/>
            <w:vAlign w:val="center"/>
          </w:tcPr>
          <w:p w14:paraId="70F6B388" w14:textId="20F2C89A" w:rsidR="0097214A" w:rsidRPr="0072574D" w:rsidRDefault="0097214A" w:rsidP="000243F3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2574D">
              <w:rPr>
                <w:b/>
                <w:bCs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2175" w:type="dxa"/>
            <w:shd w:val="clear" w:color="auto" w:fill="E7E6E6" w:themeFill="background2"/>
            <w:vAlign w:val="center"/>
          </w:tcPr>
          <w:p w14:paraId="43525BCC" w14:textId="7813C8AC" w:rsidR="0097214A" w:rsidRPr="0072574D" w:rsidRDefault="0097214A" w:rsidP="00B43E72">
            <w:pPr>
              <w:jc w:val="center"/>
              <w:rPr>
                <w:b/>
                <w:bCs/>
                <w:sz w:val="20"/>
                <w:szCs w:val="20"/>
              </w:rPr>
            </w:pPr>
            <w:r w:rsidRPr="0072574D">
              <w:rPr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987075" w14:textId="0E132060" w:rsidR="0097214A" w:rsidRPr="0072574D" w:rsidRDefault="006B631F" w:rsidP="00B43E72">
            <w:pPr>
              <w:jc w:val="center"/>
              <w:rPr>
                <w:b/>
                <w:bCs/>
                <w:sz w:val="20"/>
                <w:szCs w:val="20"/>
              </w:rPr>
            </w:pPr>
            <w:r w:rsidRPr="0072574D">
              <w:rPr>
                <w:b/>
                <w:bCs/>
                <w:sz w:val="20"/>
                <w:szCs w:val="20"/>
              </w:rPr>
              <w:t xml:space="preserve">Response (Agree, Partly </w:t>
            </w:r>
            <w:r w:rsidR="00E16956">
              <w:rPr>
                <w:b/>
                <w:bCs/>
                <w:sz w:val="20"/>
                <w:szCs w:val="20"/>
              </w:rPr>
              <w:t>A</w:t>
            </w:r>
            <w:r w:rsidRPr="0072574D">
              <w:rPr>
                <w:b/>
                <w:bCs/>
                <w:sz w:val="20"/>
                <w:szCs w:val="20"/>
              </w:rPr>
              <w:t>gree, Disagree)</w:t>
            </w:r>
          </w:p>
        </w:tc>
        <w:tc>
          <w:tcPr>
            <w:tcW w:w="5646" w:type="dxa"/>
            <w:shd w:val="clear" w:color="auto" w:fill="E7E6E6" w:themeFill="background2"/>
            <w:vAlign w:val="center"/>
          </w:tcPr>
          <w:p w14:paraId="781F200D" w14:textId="2A0665B2" w:rsidR="0097214A" w:rsidRPr="0072574D" w:rsidRDefault="006B631F" w:rsidP="00B43E72">
            <w:pPr>
              <w:jc w:val="center"/>
              <w:rPr>
                <w:b/>
                <w:bCs/>
                <w:sz w:val="20"/>
                <w:szCs w:val="20"/>
              </w:rPr>
            </w:pPr>
            <w:r w:rsidRPr="0072574D">
              <w:rPr>
                <w:b/>
                <w:bCs/>
                <w:sz w:val="20"/>
                <w:szCs w:val="20"/>
              </w:rPr>
              <w:t>Explanation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5D1D93F9" w14:textId="52C33CAF" w:rsidR="0097214A" w:rsidRPr="0072574D" w:rsidRDefault="006B631F" w:rsidP="00B43E72">
            <w:pPr>
              <w:jc w:val="center"/>
              <w:rPr>
                <w:b/>
                <w:bCs/>
                <w:sz w:val="20"/>
                <w:szCs w:val="20"/>
              </w:rPr>
            </w:pPr>
            <w:r w:rsidRPr="0072574D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2C29E08" w14:textId="3205C4EE" w:rsidR="0097214A" w:rsidRPr="0072574D" w:rsidRDefault="0072574D" w:rsidP="00B43E72">
            <w:pPr>
              <w:jc w:val="center"/>
              <w:rPr>
                <w:b/>
                <w:bCs/>
                <w:sz w:val="20"/>
                <w:szCs w:val="20"/>
              </w:rPr>
            </w:pPr>
            <w:r w:rsidRPr="0072574D">
              <w:rPr>
                <w:b/>
                <w:bCs/>
                <w:sz w:val="20"/>
                <w:szCs w:val="20"/>
              </w:rPr>
              <w:t>Timeframe</w:t>
            </w:r>
          </w:p>
        </w:tc>
      </w:tr>
      <w:tr w:rsidR="003E73D8" w:rsidRPr="006B20C1" w14:paraId="0D692F0F" w14:textId="77777777" w:rsidTr="00E27985">
        <w:tc>
          <w:tcPr>
            <w:tcW w:w="473" w:type="dxa"/>
          </w:tcPr>
          <w:p w14:paraId="14540EF6" w14:textId="3DC362E7" w:rsidR="0097214A" w:rsidRPr="00E53BB2" w:rsidRDefault="0072574D" w:rsidP="00E05FC0">
            <w:pPr>
              <w:rPr>
                <w:b/>
                <w:bCs/>
                <w:sz w:val="24"/>
                <w:szCs w:val="24"/>
              </w:rPr>
            </w:pPr>
            <w:r w:rsidRPr="00E53B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14:paraId="7CBE27C5" w14:textId="1228BBF5" w:rsidR="00D708E0" w:rsidRPr="006B20C1" w:rsidRDefault="00D708E0" w:rsidP="00D708E0">
            <w:pPr>
              <w:rPr>
                <w:sz w:val="20"/>
                <w:szCs w:val="20"/>
              </w:rPr>
            </w:pPr>
            <w:bookmarkStart w:id="0" w:name="_Hlk107561887"/>
            <w:r w:rsidRPr="006B20C1">
              <w:rPr>
                <w:sz w:val="20"/>
                <w:szCs w:val="20"/>
              </w:rPr>
              <w:t xml:space="preserve">Implementing partners </w:t>
            </w:r>
            <w:bookmarkStart w:id="1" w:name="_Hlk106190574"/>
            <w:r w:rsidRPr="006B20C1">
              <w:rPr>
                <w:sz w:val="20"/>
                <w:szCs w:val="20"/>
              </w:rPr>
              <w:t>and DFAT should consider how best to improve engagement with, and report</w:t>
            </w:r>
            <w:r w:rsidR="00F31161">
              <w:rPr>
                <w:sz w:val="20"/>
                <w:szCs w:val="20"/>
              </w:rPr>
              <w:t>ing</w:t>
            </w:r>
            <w:r w:rsidRPr="006B20C1">
              <w:rPr>
                <w:sz w:val="20"/>
                <w:szCs w:val="20"/>
              </w:rPr>
              <w:t xml:space="preserve"> to, District authorities and communities</w:t>
            </w:r>
            <w:bookmarkEnd w:id="1"/>
            <w:r w:rsidRPr="006B20C1">
              <w:rPr>
                <w:sz w:val="20"/>
                <w:szCs w:val="20"/>
              </w:rPr>
              <w:t xml:space="preserve">, while furthering the practice of adaptive management for gains in efficiency and effectiveness. </w:t>
            </w:r>
            <w:bookmarkEnd w:id="0"/>
          </w:p>
          <w:p w14:paraId="77CEB48D" w14:textId="77777777" w:rsidR="0097214A" w:rsidRPr="006B20C1" w:rsidRDefault="0097214A" w:rsidP="00E05FC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C000"/>
          </w:tcPr>
          <w:p w14:paraId="4FF18679" w14:textId="34F30AAB" w:rsidR="0097214A" w:rsidRPr="006B20C1" w:rsidRDefault="00294F5B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 Agree</w:t>
            </w:r>
          </w:p>
        </w:tc>
        <w:tc>
          <w:tcPr>
            <w:tcW w:w="5646" w:type="dxa"/>
          </w:tcPr>
          <w:p w14:paraId="4C887B51" w14:textId="00B9219B" w:rsidR="001927AC" w:rsidRDefault="00C26D79" w:rsidP="00F10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agrees </w:t>
            </w:r>
            <w:r w:rsidR="001927AC">
              <w:rPr>
                <w:sz w:val="20"/>
                <w:szCs w:val="20"/>
              </w:rPr>
              <w:t xml:space="preserve">there is a need to improve program efficiency and effectiveness. Program </w:t>
            </w:r>
            <w:r w:rsidR="00D61B3A">
              <w:rPr>
                <w:sz w:val="20"/>
                <w:szCs w:val="20"/>
              </w:rPr>
              <w:t xml:space="preserve">activities </w:t>
            </w:r>
            <w:r w:rsidR="00CE51CF">
              <w:rPr>
                <w:sz w:val="20"/>
                <w:szCs w:val="20"/>
              </w:rPr>
              <w:t>must</w:t>
            </w:r>
            <w:r w:rsidR="00A111EC">
              <w:rPr>
                <w:sz w:val="20"/>
                <w:szCs w:val="20"/>
              </w:rPr>
              <w:t xml:space="preserve"> be implemented</w:t>
            </w:r>
            <w:r w:rsidR="00070461">
              <w:rPr>
                <w:sz w:val="20"/>
                <w:szCs w:val="20"/>
              </w:rPr>
              <w:t xml:space="preserve"> </w:t>
            </w:r>
            <w:r w:rsidR="00CE51CF">
              <w:rPr>
                <w:sz w:val="20"/>
                <w:szCs w:val="20"/>
              </w:rPr>
              <w:t xml:space="preserve">in partnership </w:t>
            </w:r>
            <w:r w:rsidR="00070461">
              <w:rPr>
                <w:sz w:val="20"/>
                <w:szCs w:val="20"/>
              </w:rPr>
              <w:t xml:space="preserve">with the Provincial and District administrations, </w:t>
            </w:r>
            <w:r w:rsidR="000B1C7E">
              <w:rPr>
                <w:sz w:val="20"/>
                <w:szCs w:val="20"/>
              </w:rPr>
              <w:t>L</w:t>
            </w:r>
            <w:r w:rsidR="009C529C">
              <w:rPr>
                <w:sz w:val="20"/>
                <w:szCs w:val="20"/>
              </w:rPr>
              <w:t xml:space="preserve">ocal </w:t>
            </w:r>
            <w:r w:rsidR="000B1C7E">
              <w:rPr>
                <w:sz w:val="20"/>
                <w:szCs w:val="20"/>
              </w:rPr>
              <w:t>L</w:t>
            </w:r>
            <w:r w:rsidR="009C529C">
              <w:rPr>
                <w:sz w:val="20"/>
                <w:szCs w:val="20"/>
              </w:rPr>
              <w:t xml:space="preserve">evel </w:t>
            </w:r>
            <w:r w:rsidR="000B1C7E">
              <w:rPr>
                <w:sz w:val="20"/>
                <w:szCs w:val="20"/>
              </w:rPr>
              <w:t>G</w:t>
            </w:r>
            <w:r w:rsidR="009C529C">
              <w:rPr>
                <w:sz w:val="20"/>
                <w:szCs w:val="20"/>
              </w:rPr>
              <w:t>overnments</w:t>
            </w:r>
            <w:r w:rsidR="001753C8">
              <w:rPr>
                <w:sz w:val="20"/>
                <w:szCs w:val="20"/>
              </w:rPr>
              <w:t xml:space="preserve"> (LLG)</w:t>
            </w:r>
            <w:r w:rsidR="000B1C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</w:t>
            </w:r>
            <w:r w:rsidR="009C529C">
              <w:rPr>
                <w:sz w:val="20"/>
                <w:szCs w:val="20"/>
              </w:rPr>
              <w:t xml:space="preserve">ard </w:t>
            </w:r>
            <w:r w:rsidR="006B065E">
              <w:rPr>
                <w:sz w:val="20"/>
                <w:szCs w:val="20"/>
              </w:rPr>
              <w:t xml:space="preserve">Development Committees </w:t>
            </w:r>
            <w:r w:rsidR="00070461">
              <w:rPr>
                <w:sz w:val="20"/>
                <w:szCs w:val="20"/>
              </w:rPr>
              <w:t xml:space="preserve">and communities. </w:t>
            </w:r>
            <w:r w:rsidR="003D0C6B">
              <w:rPr>
                <w:sz w:val="20"/>
                <w:szCs w:val="20"/>
              </w:rPr>
              <w:t xml:space="preserve"> </w:t>
            </w:r>
          </w:p>
          <w:p w14:paraId="4771D86B" w14:textId="77777777" w:rsidR="001927AC" w:rsidRDefault="001927AC" w:rsidP="00F10E7C">
            <w:pPr>
              <w:rPr>
                <w:sz w:val="20"/>
                <w:szCs w:val="20"/>
              </w:rPr>
            </w:pPr>
          </w:p>
          <w:p w14:paraId="27565613" w14:textId="77777777" w:rsidR="004E28FC" w:rsidRDefault="00DF4071" w:rsidP="00F10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</w:t>
            </w:r>
            <w:r w:rsidR="00C47EDA">
              <w:rPr>
                <w:sz w:val="20"/>
                <w:szCs w:val="20"/>
              </w:rPr>
              <w:t xml:space="preserve"> </w:t>
            </w:r>
            <w:r w:rsidR="004129C2">
              <w:rPr>
                <w:sz w:val="20"/>
                <w:szCs w:val="20"/>
              </w:rPr>
              <w:t xml:space="preserve">lessons </w:t>
            </w:r>
            <w:r w:rsidR="00A111EC">
              <w:rPr>
                <w:sz w:val="20"/>
                <w:szCs w:val="20"/>
              </w:rPr>
              <w:t xml:space="preserve">can be drawn </w:t>
            </w:r>
            <w:r w:rsidR="00C47EDA">
              <w:rPr>
                <w:sz w:val="20"/>
                <w:szCs w:val="20"/>
              </w:rPr>
              <w:t xml:space="preserve">from the </w:t>
            </w:r>
            <w:r w:rsidR="00C26D79">
              <w:rPr>
                <w:sz w:val="20"/>
                <w:szCs w:val="20"/>
              </w:rPr>
              <w:t xml:space="preserve">rapid development and design of the </w:t>
            </w:r>
            <w:r w:rsidR="00C47EDA">
              <w:rPr>
                <w:sz w:val="20"/>
                <w:szCs w:val="20"/>
              </w:rPr>
              <w:t>SFRP</w:t>
            </w:r>
            <w:r w:rsidR="00824AF4">
              <w:rPr>
                <w:sz w:val="20"/>
                <w:szCs w:val="20"/>
              </w:rPr>
              <w:t xml:space="preserve">, which was </w:t>
            </w:r>
            <w:r w:rsidR="001927AC">
              <w:rPr>
                <w:sz w:val="20"/>
                <w:szCs w:val="20"/>
              </w:rPr>
              <w:t>designed</w:t>
            </w:r>
            <w:r w:rsidR="00CE51CF">
              <w:rPr>
                <w:sz w:val="20"/>
                <w:szCs w:val="20"/>
              </w:rPr>
              <w:t xml:space="preserve"> </w:t>
            </w:r>
            <w:r w:rsidR="00824AF4">
              <w:rPr>
                <w:sz w:val="20"/>
                <w:szCs w:val="20"/>
              </w:rPr>
              <w:t>at the peak of</w:t>
            </w:r>
            <w:r w:rsidR="00CE4C25">
              <w:rPr>
                <w:sz w:val="20"/>
                <w:szCs w:val="20"/>
              </w:rPr>
              <w:t xml:space="preserve"> the global COVID pandemic</w:t>
            </w:r>
            <w:r w:rsidR="00CE51CF">
              <w:rPr>
                <w:sz w:val="20"/>
                <w:szCs w:val="20"/>
              </w:rPr>
              <w:t xml:space="preserve"> in 2020</w:t>
            </w:r>
            <w:r w:rsidR="00CE4C25">
              <w:rPr>
                <w:sz w:val="20"/>
                <w:szCs w:val="20"/>
              </w:rPr>
              <w:t xml:space="preserve">. </w:t>
            </w:r>
          </w:p>
          <w:p w14:paraId="61E56959" w14:textId="77777777" w:rsidR="004E28FC" w:rsidRDefault="004E28FC" w:rsidP="00F10E7C">
            <w:pPr>
              <w:rPr>
                <w:sz w:val="20"/>
                <w:szCs w:val="20"/>
              </w:rPr>
            </w:pPr>
          </w:p>
          <w:p w14:paraId="1B8FE34D" w14:textId="03F5A47E" w:rsidR="009C529C" w:rsidRDefault="004E28FC" w:rsidP="00F10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</w:t>
            </w:r>
            <w:r w:rsidR="00BD30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since this time the </w:t>
            </w:r>
            <w:r w:rsidR="00D276E4">
              <w:rPr>
                <w:sz w:val="20"/>
                <w:szCs w:val="20"/>
              </w:rPr>
              <w:t xml:space="preserve">level </w:t>
            </w:r>
            <w:r w:rsidR="009C529C">
              <w:rPr>
                <w:sz w:val="20"/>
                <w:szCs w:val="20"/>
              </w:rPr>
              <w:t xml:space="preserve">of </w:t>
            </w:r>
            <w:r w:rsidR="00D276E4">
              <w:rPr>
                <w:sz w:val="20"/>
                <w:szCs w:val="20"/>
              </w:rPr>
              <w:t xml:space="preserve">engagement </w:t>
            </w:r>
            <w:r w:rsidR="00824AF4">
              <w:rPr>
                <w:sz w:val="20"/>
                <w:szCs w:val="20"/>
              </w:rPr>
              <w:t>and reporting</w:t>
            </w:r>
            <w:r w:rsidR="001753C8">
              <w:rPr>
                <w:sz w:val="20"/>
                <w:szCs w:val="20"/>
              </w:rPr>
              <w:t xml:space="preserve"> </w:t>
            </w:r>
            <w:r w:rsidR="001927AC">
              <w:rPr>
                <w:sz w:val="20"/>
                <w:szCs w:val="20"/>
              </w:rPr>
              <w:t>of the</w:t>
            </w:r>
            <w:r w:rsidR="001753C8">
              <w:rPr>
                <w:sz w:val="20"/>
                <w:szCs w:val="20"/>
              </w:rPr>
              <w:t xml:space="preserve"> SFR</w:t>
            </w:r>
            <w:r w:rsidR="00A005C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r w:rsidR="005A408E">
              <w:rPr>
                <w:sz w:val="20"/>
                <w:szCs w:val="20"/>
              </w:rPr>
              <w:t xml:space="preserve">has </w:t>
            </w:r>
            <w:r w:rsidR="00D276E4">
              <w:rPr>
                <w:sz w:val="20"/>
                <w:szCs w:val="20"/>
              </w:rPr>
              <w:t>improve</w:t>
            </w:r>
            <w:r w:rsidR="005A408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 xml:space="preserve">through program </w:t>
            </w:r>
            <w:r w:rsidR="001927AC">
              <w:rPr>
                <w:sz w:val="20"/>
                <w:szCs w:val="20"/>
              </w:rPr>
              <w:t>implementation</w:t>
            </w:r>
            <w:r w:rsidR="003D0C6B">
              <w:rPr>
                <w:sz w:val="20"/>
                <w:szCs w:val="20"/>
              </w:rPr>
              <w:t xml:space="preserve">.  </w:t>
            </w:r>
            <w:r w:rsidR="00123569">
              <w:rPr>
                <w:sz w:val="20"/>
                <w:szCs w:val="20"/>
              </w:rPr>
              <w:t xml:space="preserve">The </w:t>
            </w:r>
            <w:r w:rsidR="00A111EC">
              <w:rPr>
                <w:sz w:val="20"/>
                <w:szCs w:val="20"/>
              </w:rPr>
              <w:t xml:space="preserve">Australian funded </w:t>
            </w:r>
            <w:r w:rsidR="00123569">
              <w:rPr>
                <w:sz w:val="20"/>
                <w:szCs w:val="20"/>
              </w:rPr>
              <w:t xml:space="preserve">Subnational Advisor </w:t>
            </w:r>
            <w:r w:rsidR="001927AC">
              <w:rPr>
                <w:sz w:val="20"/>
                <w:szCs w:val="20"/>
              </w:rPr>
              <w:t>(</w:t>
            </w:r>
            <w:r w:rsidR="00123569">
              <w:rPr>
                <w:sz w:val="20"/>
                <w:szCs w:val="20"/>
              </w:rPr>
              <w:t>and team</w:t>
            </w:r>
            <w:r w:rsidR="001927AC">
              <w:rPr>
                <w:sz w:val="20"/>
                <w:szCs w:val="20"/>
              </w:rPr>
              <w:t>)</w:t>
            </w:r>
            <w:r w:rsidR="00123569">
              <w:rPr>
                <w:sz w:val="20"/>
                <w:szCs w:val="20"/>
              </w:rPr>
              <w:t xml:space="preserve"> </w:t>
            </w:r>
            <w:r w:rsidR="001753C8">
              <w:rPr>
                <w:sz w:val="20"/>
                <w:szCs w:val="20"/>
              </w:rPr>
              <w:t xml:space="preserve">based in Daru </w:t>
            </w:r>
            <w:r w:rsidR="001927AC">
              <w:rPr>
                <w:sz w:val="20"/>
                <w:szCs w:val="20"/>
              </w:rPr>
              <w:t>have</w:t>
            </w:r>
            <w:r w:rsidR="00123569">
              <w:rPr>
                <w:sz w:val="20"/>
                <w:szCs w:val="20"/>
              </w:rPr>
              <w:t xml:space="preserve"> buil</w:t>
            </w:r>
            <w:r w:rsidR="001927AC">
              <w:rPr>
                <w:sz w:val="20"/>
                <w:szCs w:val="20"/>
              </w:rPr>
              <w:t>t</w:t>
            </w:r>
            <w:r w:rsidR="00123569">
              <w:rPr>
                <w:sz w:val="20"/>
                <w:szCs w:val="20"/>
              </w:rPr>
              <w:t xml:space="preserve"> strong relationships and communication channels with the District Administration, Provincial Administrator and LLG Presidents and Managers</w:t>
            </w:r>
            <w:r w:rsidR="00A005C7">
              <w:rPr>
                <w:sz w:val="20"/>
                <w:szCs w:val="20"/>
              </w:rPr>
              <w:t xml:space="preserve">, which </w:t>
            </w:r>
            <w:r w:rsidR="001927AC">
              <w:rPr>
                <w:sz w:val="20"/>
                <w:szCs w:val="20"/>
              </w:rPr>
              <w:t>has improved program effectiveness</w:t>
            </w:r>
            <w:r w:rsidR="00294F5B">
              <w:rPr>
                <w:sz w:val="20"/>
                <w:szCs w:val="20"/>
              </w:rPr>
              <w:t xml:space="preserve"> and transparency</w:t>
            </w:r>
            <w:r w:rsidR="001927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The SFRP Steering Committee convenes every six months to report on program progress and </w:t>
            </w:r>
            <w:r w:rsidR="00BD30D5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co-chaired by the Australian High Commission Minister-Counsellor and District Administrator.</w:t>
            </w:r>
          </w:p>
          <w:p w14:paraId="1551727E" w14:textId="77777777" w:rsidR="009C529C" w:rsidRDefault="009C529C" w:rsidP="00F10E7C">
            <w:pPr>
              <w:rPr>
                <w:sz w:val="20"/>
                <w:szCs w:val="20"/>
              </w:rPr>
            </w:pPr>
          </w:p>
          <w:p w14:paraId="7FC0B688" w14:textId="6AED08A0" w:rsidR="00115CC5" w:rsidRPr="00F10E7C" w:rsidRDefault="00D61B3A" w:rsidP="00D16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Since May 2022, </w:t>
            </w:r>
            <w:r w:rsidR="00A111EC">
              <w:rPr>
                <w:sz w:val="20"/>
                <w:szCs w:val="20"/>
              </w:rPr>
              <w:t xml:space="preserve">DFAT </w:t>
            </w:r>
            <w:r>
              <w:rPr>
                <w:sz w:val="20"/>
                <w:szCs w:val="20"/>
              </w:rPr>
              <w:t>has</w:t>
            </w:r>
            <w:r w:rsidR="001753C8">
              <w:rPr>
                <w:sz w:val="20"/>
                <w:szCs w:val="20"/>
              </w:rPr>
              <w:t xml:space="preserve"> </w:t>
            </w:r>
            <w:r w:rsidR="001927AC">
              <w:rPr>
                <w:sz w:val="20"/>
                <w:szCs w:val="20"/>
              </w:rPr>
              <w:t xml:space="preserve">also </w:t>
            </w:r>
            <w:r>
              <w:rPr>
                <w:sz w:val="20"/>
                <w:szCs w:val="20"/>
              </w:rPr>
              <w:t>share</w:t>
            </w:r>
            <w:r w:rsidR="00C26D7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r w:rsidR="00DF4071">
              <w:rPr>
                <w:sz w:val="20"/>
                <w:szCs w:val="20"/>
              </w:rPr>
              <w:t xml:space="preserve">the </w:t>
            </w:r>
            <w:r w:rsidR="00824AF4">
              <w:rPr>
                <w:sz w:val="20"/>
                <w:szCs w:val="20"/>
              </w:rPr>
              <w:t xml:space="preserve">monthly </w:t>
            </w:r>
            <w:r w:rsidR="00DF4071">
              <w:rPr>
                <w:sz w:val="20"/>
                <w:szCs w:val="20"/>
              </w:rPr>
              <w:t xml:space="preserve">SFRP </w:t>
            </w:r>
            <w:r w:rsidR="00824AF4">
              <w:rPr>
                <w:sz w:val="20"/>
                <w:szCs w:val="20"/>
              </w:rPr>
              <w:t>progress</w:t>
            </w:r>
            <w:r w:rsidR="00DF4071">
              <w:rPr>
                <w:sz w:val="20"/>
                <w:szCs w:val="20"/>
              </w:rPr>
              <w:t xml:space="preserve"> reports </w:t>
            </w:r>
            <w:r>
              <w:rPr>
                <w:sz w:val="20"/>
                <w:szCs w:val="20"/>
              </w:rPr>
              <w:t xml:space="preserve">with the Provincial and District </w:t>
            </w:r>
            <w:r w:rsidR="00294F5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dministrations</w:t>
            </w:r>
            <w:r w:rsidR="00123569">
              <w:rPr>
                <w:sz w:val="20"/>
                <w:szCs w:val="20"/>
              </w:rPr>
              <w:t xml:space="preserve">. </w:t>
            </w:r>
            <w:r w:rsidR="001927AC">
              <w:rPr>
                <w:sz w:val="20"/>
                <w:szCs w:val="20"/>
              </w:rPr>
              <w:t>Further, t</w:t>
            </w:r>
            <w:r w:rsidR="009C529C">
              <w:rPr>
                <w:sz w:val="20"/>
                <w:szCs w:val="20"/>
              </w:rPr>
              <w:t>o better inform report</w:t>
            </w:r>
            <w:r w:rsidR="00A005C7">
              <w:rPr>
                <w:sz w:val="20"/>
                <w:szCs w:val="20"/>
              </w:rPr>
              <w:t>ing</w:t>
            </w:r>
            <w:r w:rsidR="009C529C">
              <w:rPr>
                <w:sz w:val="20"/>
                <w:szCs w:val="20"/>
              </w:rPr>
              <w:t xml:space="preserve">, </w:t>
            </w:r>
            <w:r w:rsidR="00123569">
              <w:rPr>
                <w:sz w:val="20"/>
                <w:szCs w:val="20"/>
              </w:rPr>
              <w:t xml:space="preserve">data collection </w:t>
            </w:r>
            <w:r w:rsidR="001927AC">
              <w:rPr>
                <w:sz w:val="20"/>
                <w:szCs w:val="20"/>
              </w:rPr>
              <w:t xml:space="preserve">and methodology </w:t>
            </w:r>
            <w:r w:rsidR="005A408E">
              <w:rPr>
                <w:sz w:val="20"/>
                <w:szCs w:val="20"/>
              </w:rPr>
              <w:t>was</w:t>
            </w:r>
            <w:r w:rsidR="001927AC">
              <w:rPr>
                <w:sz w:val="20"/>
                <w:szCs w:val="20"/>
              </w:rPr>
              <w:t xml:space="preserve"> </w:t>
            </w:r>
            <w:r w:rsidR="00123569">
              <w:rPr>
                <w:sz w:val="20"/>
                <w:szCs w:val="20"/>
              </w:rPr>
              <w:t>adjusted in close consultation with the District and Provincial Disaster Office</w:t>
            </w:r>
            <w:r w:rsidR="00294F5B">
              <w:rPr>
                <w:sz w:val="20"/>
                <w:szCs w:val="20"/>
              </w:rPr>
              <w:t>s</w:t>
            </w:r>
            <w:r w:rsidR="00123569">
              <w:rPr>
                <w:sz w:val="20"/>
                <w:szCs w:val="20"/>
              </w:rPr>
              <w:t>.</w:t>
            </w:r>
            <w:r w:rsidR="008D31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5403786D" w14:textId="2270DF68" w:rsidR="00D169F0" w:rsidRDefault="00D169F0" w:rsidP="00D16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Whilst not creating </w:t>
            </w:r>
            <w:r w:rsidR="003D0C6B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administrative burden, t</w:t>
            </w:r>
            <w:r w:rsidR="00D61B3A">
              <w:rPr>
                <w:sz w:val="20"/>
                <w:szCs w:val="20"/>
              </w:rPr>
              <w:t xml:space="preserve">he </w:t>
            </w:r>
            <w:r w:rsidR="001753C8">
              <w:rPr>
                <w:sz w:val="20"/>
                <w:szCs w:val="20"/>
              </w:rPr>
              <w:t>new</w:t>
            </w:r>
            <w:r w:rsidR="00D61B3A">
              <w:rPr>
                <w:sz w:val="20"/>
                <w:szCs w:val="20"/>
              </w:rPr>
              <w:t xml:space="preserve"> </w:t>
            </w:r>
            <w:r w:rsidR="00906CC1">
              <w:rPr>
                <w:sz w:val="20"/>
                <w:szCs w:val="20"/>
              </w:rPr>
              <w:t>W</w:t>
            </w:r>
            <w:r w:rsidR="009C529C">
              <w:rPr>
                <w:sz w:val="20"/>
                <w:szCs w:val="20"/>
              </w:rPr>
              <w:t>estern Province Partnership (W</w:t>
            </w:r>
            <w:r w:rsidR="00906CC1">
              <w:rPr>
                <w:sz w:val="20"/>
                <w:szCs w:val="20"/>
              </w:rPr>
              <w:t>PP</w:t>
            </w:r>
            <w:r w:rsidR="009C529C">
              <w:rPr>
                <w:sz w:val="20"/>
                <w:szCs w:val="20"/>
              </w:rPr>
              <w:t>)</w:t>
            </w:r>
            <w:r w:rsidR="00906CC1">
              <w:rPr>
                <w:sz w:val="20"/>
                <w:szCs w:val="20"/>
              </w:rPr>
              <w:t xml:space="preserve"> </w:t>
            </w:r>
            <w:r w:rsidR="00853A2B">
              <w:rPr>
                <w:sz w:val="20"/>
                <w:szCs w:val="20"/>
              </w:rPr>
              <w:t xml:space="preserve">design </w:t>
            </w:r>
            <w:r>
              <w:rPr>
                <w:sz w:val="20"/>
                <w:szCs w:val="20"/>
              </w:rPr>
              <w:t xml:space="preserve">will </w:t>
            </w:r>
            <w:r w:rsidR="00A600C6">
              <w:rPr>
                <w:sz w:val="20"/>
                <w:szCs w:val="20"/>
              </w:rPr>
              <w:t xml:space="preserve">develop an </w:t>
            </w:r>
            <w:r>
              <w:rPr>
                <w:sz w:val="20"/>
                <w:szCs w:val="20"/>
              </w:rPr>
              <w:t xml:space="preserve">effective communication </w:t>
            </w:r>
            <w:r w:rsidR="00906CC1">
              <w:rPr>
                <w:sz w:val="20"/>
                <w:szCs w:val="20"/>
              </w:rPr>
              <w:t xml:space="preserve">mechanism and </w:t>
            </w:r>
            <w:r>
              <w:rPr>
                <w:sz w:val="20"/>
                <w:szCs w:val="20"/>
              </w:rPr>
              <w:t xml:space="preserve">reporting </w:t>
            </w:r>
            <w:r w:rsidR="003D0C6B">
              <w:rPr>
                <w:sz w:val="20"/>
                <w:szCs w:val="20"/>
              </w:rPr>
              <w:t xml:space="preserve">approach </w:t>
            </w:r>
            <w:r w:rsidR="00906CC1">
              <w:rPr>
                <w:sz w:val="20"/>
                <w:szCs w:val="20"/>
              </w:rPr>
              <w:t>to strengthen engagement with government</w:t>
            </w:r>
            <w:r w:rsidR="00853A2B">
              <w:rPr>
                <w:sz w:val="20"/>
                <w:szCs w:val="20"/>
              </w:rPr>
              <w:t xml:space="preserve"> partners</w:t>
            </w:r>
            <w:r w:rsidR="00906CC1">
              <w:rPr>
                <w:sz w:val="20"/>
                <w:szCs w:val="20"/>
              </w:rPr>
              <w:t xml:space="preserve"> and </w:t>
            </w:r>
            <w:r w:rsidR="005A408E">
              <w:rPr>
                <w:sz w:val="20"/>
                <w:szCs w:val="20"/>
              </w:rPr>
              <w:t xml:space="preserve">local </w:t>
            </w:r>
            <w:r w:rsidR="00906CC1">
              <w:rPr>
                <w:sz w:val="20"/>
                <w:szCs w:val="20"/>
              </w:rPr>
              <w:t>communities</w:t>
            </w:r>
            <w:r>
              <w:rPr>
                <w:sz w:val="20"/>
                <w:szCs w:val="20"/>
              </w:rPr>
              <w:t xml:space="preserve">. </w:t>
            </w:r>
            <w:r w:rsidR="006B065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ominees from the Provincial </w:t>
            </w:r>
            <w:r w:rsidR="006B065E">
              <w:rPr>
                <w:sz w:val="20"/>
                <w:szCs w:val="20"/>
              </w:rPr>
              <w:t xml:space="preserve">and District </w:t>
            </w:r>
            <w:r w:rsidR="00294F5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dministration</w:t>
            </w:r>
            <w:r w:rsidR="00294F5B">
              <w:rPr>
                <w:sz w:val="20"/>
                <w:szCs w:val="20"/>
              </w:rPr>
              <w:t>s</w:t>
            </w:r>
            <w:r w:rsidR="004E28FC">
              <w:rPr>
                <w:sz w:val="20"/>
                <w:szCs w:val="20"/>
              </w:rPr>
              <w:t xml:space="preserve"> will be </w:t>
            </w:r>
            <w:r w:rsidR="003D0C6B">
              <w:rPr>
                <w:sz w:val="20"/>
                <w:szCs w:val="20"/>
              </w:rPr>
              <w:t xml:space="preserve">sought </w:t>
            </w:r>
            <w:r>
              <w:rPr>
                <w:sz w:val="20"/>
                <w:szCs w:val="20"/>
              </w:rPr>
              <w:t xml:space="preserve">to </w:t>
            </w:r>
            <w:r w:rsidR="004E28FC">
              <w:rPr>
                <w:sz w:val="20"/>
                <w:szCs w:val="20"/>
              </w:rPr>
              <w:t xml:space="preserve">also </w:t>
            </w:r>
            <w:r>
              <w:rPr>
                <w:sz w:val="20"/>
                <w:szCs w:val="20"/>
              </w:rPr>
              <w:t xml:space="preserve">participate in the </w:t>
            </w:r>
            <w:r w:rsidR="00BD30D5">
              <w:rPr>
                <w:sz w:val="20"/>
                <w:szCs w:val="20"/>
              </w:rPr>
              <w:t xml:space="preserve">WPP </w:t>
            </w:r>
            <w:r>
              <w:rPr>
                <w:sz w:val="20"/>
                <w:szCs w:val="20"/>
              </w:rPr>
              <w:t>design</w:t>
            </w:r>
            <w:r w:rsidR="003D0C6B">
              <w:rPr>
                <w:sz w:val="20"/>
                <w:szCs w:val="20"/>
              </w:rPr>
              <w:t xml:space="preserve"> process</w:t>
            </w:r>
            <w:r>
              <w:rPr>
                <w:sz w:val="20"/>
                <w:szCs w:val="20"/>
              </w:rPr>
              <w:t>.</w:t>
            </w:r>
            <w:r w:rsidR="005A408E">
              <w:rPr>
                <w:sz w:val="20"/>
                <w:szCs w:val="20"/>
              </w:rPr>
              <w:t xml:space="preserve"> </w:t>
            </w:r>
            <w:r w:rsidR="00853A2B">
              <w:rPr>
                <w:sz w:val="20"/>
                <w:szCs w:val="20"/>
              </w:rPr>
              <w:t xml:space="preserve">The </w:t>
            </w:r>
            <w:r w:rsidR="001753C8">
              <w:rPr>
                <w:sz w:val="20"/>
                <w:szCs w:val="20"/>
              </w:rPr>
              <w:t>design</w:t>
            </w:r>
            <w:r w:rsidR="00824AF4">
              <w:rPr>
                <w:sz w:val="20"/>
                <w:szCs w:val="20"/>
              </w:rPr>
              <w:t xml:space="preserve"> will consider </w:t>
            </w:r>
            <w:r w:rsidR="004E28FC">
              <w:rPr>
                <w:sz w:val="20"/>
                <w:szCs w:val="20"/>
              </w:rPr>
              <w:t xml:space="preserve">additional </w:t>
            </w:r>
            <w:r w:rsidR="009C529C">
              <w:rPr>
                <w:sz w:val="20"/>
                <w:szCs w:val="20"/>
              </w:rPr>
              <w:t>improv</w:t>
            </w:r>
            <w:r w:rsidR="001753C8">
              <w:rPr>
                <w:sz w:val="20"/>
                <w:szCs w:val="20"/>
              </w:rPr>
              <w:t>ements to</w:t>
            </w:r>
            <w:r w:rsidR="009C529C">
              <w:rPr>
                <w:sz w:val="20"/>
                <w:szCs w:val="20"/>
              </w:rPr>
              <w:t xml:space="preserve"> </w:t>
            </w:r>
            <w:r w:rsidR="00824AF4">
              <w:rPr>
                <w:sz w:val="20"/>
                <w:szCs w:val="20"/>
              </w:rPr>
              <w:t xml:space="preserve">program governance mechanisms </w:t>
            </w:r>
            <w:r w:rsidR="009C529C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how to emb</w:t>
            </w:r>
            <w:r w:rsidR="009C529C">
              <w:rPr>
                <w:sz w:val="20"/>
                <w:szCs w:val="20"/>
              </w:rPr>
              <w:t xml:space="preserve">ed a </w:t>
            </w:r>
            <w:r>
              <w:rPr>
                <w:sz w:val="20"/>
                <w:szCs w:val="20"/>
              </w:rPr>
              <w:t>flexi</w:t>
            </w:r>
            <w:r w:rsidR="009C529C">
              <w:rPr>
                <w:sz w:val="20"/>
                <w:szCs w:val="20"/>
              </w:rPr>
              <w:t>ble</w:t>
            </w:r>
            <w:r>
              <w:rPr>
                <w:sz w:val="20"/>
                <w:szCs w:val="20"/>
              </w:rPr>
              <w:t xml:space="preserve"> and adaptive management approach. </w:t>
            </w:r>
          </w:p>
          <w:p w14:paraId="1F2772CC" w14:textId="242FC710" w:rsidR="00EC7494" w:rsidRPr="006B20C1" w:rsidRDefault="00EC7494" w:rsidP="00E05FC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6BCB75" w14:textId="67261B70" w:rsidR="00906CC1" w:rsidRPr="006B20C1" w:rsidRDefault="00906CC1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July-</w:t>
            </w:r>
            <w:r w:rsidR="009C529C">
              <w:rPr>
                <w:sz w:val="20"/>
                <w:szCs w:val="20"/>
              </w:rPr>
              <w:t xml:space="preserve">December </w:t>
            </w:r>
            <w:r>
              <w:rPr>
                <w:sz w:val="20"/>
                <w:szCs w:val="20"/>
              </w:rPr>
              <w:t>2022</w:t>
            </w:r>
          </w:p>
        </w:tc>
      </w:tr>
      <w:tr w:rsidR="003E73D8" w:rsidRPr="006B20C1" w14:paraId="510EAE8D" w14:textId="77777777" w:rsidTr="00E27985">
        <w:tc>
          <w:tcPr>
            <w:tcW w:w="473" w:type="dxa"/>
          </w:tcPr>
          <w:p w14:paraId="173F06FA" w14:textId="0BB60C37" w:rsidR="0097214A" w:rsidRPr="00E53BB2" w:rsidRDefault="0072574D" w:rsidP="00E05FC0">
            <w:pPr>
              <w:rPr>
                <w:b/>
                <w:bCs/>
                <w:sz w:val="24"/>
                <w:szCs w:val="24"/>
              </w:rPr>
            </w:pPr>
            <w:r w:rsidRPr="00E53BB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14:paraId="114A1393" w14:textId="6CD802AC" w:rsidR="005E0951" w:rsidRPr="006B20C1" w:rsidRDefault="005E0951" w:rsidP="006B20C1">
            <w:pPr>
              <w:rPr>
                <w:sz w:val="20"/>
                <w:szCs w:val="20"/>
              </w:rPr>
            </w:pPr>
            <w:r w:rsidRPr="006B20C1">
              <w:rPr>
                <w:sz w:val="20"/>
                <w:szCs w:val="20"/>
              </w:rPr>
              <w:t xml:space="preserve">Should the ambitions of the plan remain, an increase in resourcing is justified. This should be directed, largely, to </w:t>
            </w:r>
            <w:proofErr w:type="spellStart"/>
            <w:r w:rsidRPr="006B20C1">
              <w:rPr>
                <w:sz w:val="20"/>
                <w:szCs w:val="20"/>
              </w:rPr>
              <w:t>i</w:t>
            </w:r>
            <w:proofErr w:type="spellEnd"/>
            <w:r w:rsidRPr="006B20C1">
              <w:rPr>
                <w:sz w:val="20"/>
                <w:szCs w:val="20"/>
              </w:rPr>
              <w:t xml:space="preserve">) </w:t>
            </w:r>
            <w:r w:rsidRPr="006B20C1">
              <w:rPr>
                <w:sz w:val="20"/>
                <w:szCs w:val="20"/>
              </w:rPr>
              <w:lastRenderedPageBreak/>
              <w:t xml:space="preserve">the implementation of activities in food, </w:t>
            </w:r>
            <w:proofErr w:type="gramStart"/>
            <w:r w:rsidRPr="006B20C1">
              <w:rPr>
                <w:sz w:val="20"/>
                <w:szCs w:val="20"/>
              </w:rPr>
              <w:t>livelihoods</w:t>
            </w:r>
            <w:proofErr w:type="gramEnd"/>
            <w:r w:rsidRPr="006B20C1">
              <w:rPr>
                <w:sz w:val="20"/>
                <w:szCs w:val="20"/>
              </w:rPr>
              <w:t xml:space="preserve"> and governance, ii) the Australia Papua New Guinea sub–National Program’s administration and engagement function in Daru iii) a bolstered monitoring and quality assurance function and iv) activities to contribute to or progress gender equality.</w:t>
            </w:r>
          </w:p>
          <w:p w14:paraId="67FB64F5" w14:textId="77777777" w:rsidR="0097214A" w:rsidRPr="006B20C1" w:rsidRDefault="0097214A" w:rsidP="00E05FC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70AD47" w:themeFill="accent6"/>
          </w:tcPr>
          <w:p w14:paraId="325CF76D" w14:textId="25E77D4E" w:rsidR="0097214A" w:rsidRPr="006B20C1" w:rsidRDefault="00E0452C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Agree</w:t>
            </w:r>
            <w:r w:rsidR="00F519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6" w:type="dxa"/>
          </w:tcPr>
          <w:p w14:paraId="52CB578C" w14:textId="02193B5F" w:rsidR="00123F81" w:rsidRDefault="00F51936" w:rsidP="00E7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EF683A">
              <w:rPr>
                <w:sz w:val="20"/>
                <w:szCs w:val="20"/>
              </w:rPr>
              <w:t>SFRP</w:t>
            </w:r>
            <w:r w:rsidR="006249C1">
              <w:rPr>
                <w:sz w:val="20"/>
                <w:szCs w:val="20"/>
              </w:rPr>
              <w:t xml:space="preserve"> </w:t>
            </w:r>
            <w:r w:rsidR="00C5719B">
              <w:rPr>
                <w:sz w:val="20"/>
                <w:szCs w:val="20"/>
              </w:rPr>
              <w:t xml:space="preserve">was ambitious and </w:t>
            </w:r>
            <w:r w:rsidR="00EF683A">
              <w:rPr>
                <w:sz w:val="20"/>
                <w:szCs w:val="20"/>
              </w:rPr>
              <w:t xml:space="preserve">delivered a rapid scale up </w:t>
            </w:r>
            <w:r w:rsidR="00E70C01">
              <w:rPr>
                <w:sz w:val="20"/>
                <w:szCs w:val="20"/>
              </w:rPr>
              <w:t>of food and water security</w:t>
            </w:r>
            <w:r w:rsidR="00EF683A">
              <w:rPr>
                <w:sz w:val="20"/>
                <w:szCs w:val="20"/>
              </w:rPr>
              <w:t xml:space="preserve"> activities </w:t>
            </w:r>
            <w:r w:rsidR="005A408E">
              <w:rPr>
                <w:sz w:val="20"/>
                <w:szCs w:val="20"/>
              </w:rPr>
              <w:t>in the</w:t>
            </w:r>
            <w:r w:rsidR="00C5719B">
              <w:rPr>
                <w:sz w:val="20"/>
                <w:szCs w:val="20"/>
              </w:rPr>
              <w:t xml:space="preserve"> </w:t>
            </w:r>
            <w:r w:rsidR="00EF683A">
              <w:rPr>
                <w:sz w:val="20"/>
                <w:szCs w:val="20"/>
              </w:rPr>
              <w:t>South Fly District</w:t>
            </w:r>
            <w:r w:rsidR="004A0C0F">
              <w:rPr>
                <w:sz w:val="20"/>
                <w:szCs w:val="20"/>
              </w:rPr>
              <w:t xml:space="preserve"> and the </w:t>
            </w:r>
            <w:r w:rsidR="00E70C01">
              <w:rPr>
                <w:sz w:val="20"/>
                <w:szCs w:val="20"/>
              </w:rPr>
              <w:t>s</w:t>
            </w:r>
            <w:r w:rsidR="00EF683A">
              <w:rPr>
                <w:sz w:val="20"/>
                <w:szCs w:val="20"/>
              </w:rPr>
              <w:t xml:space="preserve">cale up </w:t>
            </w:r>
            <w:r w:rsidR="006E2109">
              <w:rPr>
                <w:sz w:val="20"/>
                <w:szCs w:val="20"/>
              </w:rPr>
              <w:t xml:space="preserve">of activities </w:t>
            </w:r>
            <w:r w:rsidR="00EF683A">
              <w:rPr>
                <w:sz w:val="20"/>
                <w:szCs w:val="20"/>
              </w:rPr>
              <w:t xml:space="preserve">will continue </w:t>
            </w:r>
            <w:r w:rsidR="00E70C01">
              <w:rPr>
                <w:sz w:val="20"/>
                <w:szCs w:val="20"/>
              </w:rPr>
              <w:t xml:space="preserve">through </w:t>
            </w:r>
            <w:r w:rsidR="00EF683A">
              <w:rPr>
                <w:sz w:val="20"/>
                <w:szCs w:val="20"/>
              </w:rPr>
              <w:t>2023</w:t>
            </w:r>
            <w:r w:rsidR="00D87212">
              <w:rPr>
                <w:sz w:val="20"/>
                <w:szCs w:val="20"/>
              </w:rPr>
              <w:t>.</w:t>
            </w:r>
            <w:r w:rsidR="00E70C01">
              <w:rPr>
                <w:sz w:val="20"/>
                <w:szCs w:val="20"/>
              </w:rPr>
              <w:t xml:space="preserve"> </w:t>
            </w:r>
          </w:p>
          <w:p w14:paraId="37693A9F" w14:textId="042A93CD" w:rsidR="005334BC" w:rsidRDefault="00DD0E27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A408E">
              <w:rPr>
                <w:sz w:val="20"/>
                <w:szCs w:val="20"/>
              </w:rPr>
              <w:t xml:space="preserve">he </w:t>
            </w:r>
            <w:r w:rsidR="00D556F4">
              <w:rPr>
                <w:sz w:val="20"/>
                <w:szCs w:val="20"/>
              </w:rPr>
              <w:t xml:space="preserve">new </w:t>
            </w:r>
            <w:r w:rsidR="00F721B3">
              <w:rPr>
                <w:sz w:val="20"/>
                <w:szCs w:val="20"/>
              </w:rPr>
              <w:t xml:space="preserve">WPP </w:t>
            </w:r>
            <w:r w:rsidR="00F721B3" w:rsidRPr="006249C1">
              <w:rPr>
                <w:sz w:val="20"/>
                <w:szCs w:val="20"/>
              </w:rPr>
              <w:t>forecasts a</w:t>
            </w:r>
            <w:r w:rsidR="005A408E">
              <w:rPr>
                <w:sz w:val="20"/>
                <w:szCs w:val="20"/>
              </w:rPr>
              <w:t>n annual</w:t>
            </w:r>
            <w:r w:rsidR="00F721B3" w:rsidRPr="006249C1">
              <w:rPr>
                <w:sz w:val="20"/>
                <w:szCs w:val="20"/>
              </w:rPr>
              <w:t xml:space="preserve"> budget of </w:t>
            </w:r>
            <w:r w:rsidR="00F721B3">
              <w:rPr>
                <w:sz w:val="20"/>
                <w:szCs w:val="20"/>
              </w:rPr>
              <w:t>AUD</w:t>
            </w:r>
            <w:r w:rsidR="00F721B3" w:rsidRPr="006249C1">
              <w:rPr>
                <w:sz w:val="20"/>
                <w:szCs w:val="20"/>
              </w:rPr>
              <w:t>15</w:t>
            </w:r>
            <w:r w:rsidR="00AE41F5">
              <w:rPr>
                <w:sz w:val="20"/>
                <w:szCs w:val="20"/>
              </w:rPr>
              <w:t> </w:t>
            </w:r>
            <w:r w:rsidR="00F721B3" w:rsidRPr="006249C1">
              <w:rPr>
                <w:sz w:val="20"/>
                <w:szCs w:val="20"/>
              </w:rPr>
              <w:t xml:space="preserve">million </w:t>
            </w:r>
            <w:r w:rsidR="00F721B3">
              <w:rPr>
                <w:sz w:val="20"/>
                <w:szCs w:val="20"/>
              </w:rPr>
              <w:t>(up from AUD</w:t>
            </w:r>
            <w:r w:rsidR="00AE41F5">
              <w:rPr>
                <w:sz w:val="20"/>
                <w:szCs w:val="20"/>
              </w:rPr>
              <w:t> </w:t>
            </w:r>
            <w:r w:rsidR="00F721B3">
              <w:rPr>
                <w:sz w:val="20"/>
                <w:szCs w:val="20"/>
              </w:rPr>
              <w:t xml:space="preserve">10million) </w:t>
            </w:r>
            <w:r w:rsidR="00F721B3" w:rsidRPr="006249C1">
              <w:rPr>
                <w:sz w:val="20"/>
                <w:szCs w:val="20"/>
              </w:rPr>
              <w:t>over the next 3.5 years</w:t>
            </w:r>
            <w:r w:rsidR="005A408E">
              <w:rPr>
                <w:sz w:val="20"/>
                <w:szCs w:val="20"/>
              </w:rPr>
              <w:t xml:space="preserve"> (</w:t>
            </w:r>
            <w:r w:rsidR="00F721B3" w:rsidRPr="006249C1">
              <w:rPr>
                <w:sz w:val="20"/>
                <w:szCs w:val="20"/>
              </w:rPr>
              <w:t xml:space="preserve">with a possible </w:t>
            </w:r>
            <w:r w:rsidR="00F721B3" w:rsidRPr="006249C1">
              <w:rPr>
                <w:sz w:val="20"/>
                <w:szCs w:val="20"/>
              </w:rPr>
              <w:lastRenderedPageBreak/>
              <w:t>extension of 4</w:t>
            </w:r>
            <w:r w:rsidR="00AE41F5">
              <w:rPr>
                <w:sz w:val="20"/>
                <w:szCs w:val="20"/>
              </w:rPr>
              <w:t> </w:t>
            </w:r>
            <w:r w:rsidR="00F721B3" w:rsidRPr="006249C1">
              <w:rPr>
                <w:sz w:val="20"/>
                <w:szCs w:val="20"/>
              </w:rPr>
              <w:t>years</w:t>
            </w:r>
            <w:r w:rsidR="005A408E">
              <w:rPr>
                <w:sz w:val="20"/>
                <w:szCs w:val="20"/>
              </w:rPr>
              <w:t>)</w:t>
            </w:r>
            <w:r w:rsidR="00F721B3" w:rsidRPr="006249C1">
              <w:rPr>
                <w:sz w:val="20"/>
                <w:szCs w:val="20"/>
              </w:rPr>
              <w:t>.</w:t>
            </w:r>
            <w:r w:rsidR="00F721B3">
              <w:rPr>
                <w:sz w:val="20"/>
                <w:szCs w:val="20"/>
              </w:rPr>
              <w:t xml:space="preserve"> </w:t>
            </w:r>
            <w:r w:rsidR="005334BC">
              <w:rPr>
                <w:sz w:val="20"/>
                <w:szCs w:val="20"/>
              </w:rPr>
              <w:t xml:space="preserve">In addition, </w:t>
            </w:r>
            <w:r w:rsidR="008D2E6C" w:rsidRPr="006249C1">
              <w:rPr>
                <w:sz w:val="20"/>
                <w:szCs w:val="20"/>
              </w:rPr>
              <w:t>sector programs will continue to prioritise W</w:t>
            </w:r>
            <w:r w:rsidR="008D2E6C">
              <w:rPr>
                <w:sz w:val="20"/>
                <w:szCs w:val="20"/>
              </w:rPr>
              <w:t>estern</w:t>
            </w:r>
            <w:r>
              <w:rPr>
                <w:sz w:val="20"/>
                <w:szCs w:val="20"/>
              </w:rPr>
              <w:t xml:space="preserve"> Province</w:t>
            </w:r>
            <w:r w:rsidR="00294F5B">
              <w:rPr>
                <w:sz w:val="20"/>
                <w:szCs w:val="20"/>
              </w:rPr>
              <w:t>,</w:t>
            </w:r>
            <w:r w:rsidR="008D2E6C" w:rsidRPr="006249C1">
              <w:rPr>
                <w:sz w:val="20"/>
                <w:szCs w:val="20"/>
              </w:rPr>
              <w:t xml:space="preserve"> </w:t>
            </w:r>
            <w:r w:rsidR="005334BC">
              <w:rPr>
                <w:sz w:val="20"/>
                <w:szCs w:val="20"/>
              </w:rPr>
              <w:t>informed by</w:t>
            </w:r>
            <w:r w:rsidR="008D2E6C" w:rsidRPr="006249C1">
              <w:rPr>
                <w:sz w:val="20"/>
                <w:szCs w:val="20"/>
              </w:rPr>
              <w:t xml:space="preserve"> the </w:t>
            </w:r>
            <w:r w:rsidR="00BD30D5">
              <w:rPr>
                <w:sz w:val="20"/>
                <w:szCs w:val="20"/>
              </w:rPr>
              <w:t xml:space="preserve">proposed </w:t>
            </w:r>
            <w:r w:rsidR="005334BC">
              <w:rPr>
                <w:sz w:val="20"/>
                <w:szCs w:val="20"/>
              </w:rPr>
              <w:t xml:space="preserve">Western Province </w:t>
            </w:r>
            <w:r w:rsidR="008D2E6C" w:rsidRPr="006249C1">
              <w:rPr>
                <w:sz w:val="20"/>
                <w:szCs w:val="20"/>
              </w:rPr>
              <w:t>Strategy</w:t>
            </w:r>
            <w:r w:rsidR="0080667B">
              <w:rPr>
                <w:sz w:val="20"/>
                <w:szCs w:val="20"/>
              </w:rPr>
              <w:t>. This</w:t>
            </w:r>
            <w:r w:rsidR="008D2E6C" w:rsidRPr="006249C1">
              <w:rPr>
                <w:sz w:val="20"/>
                <w:szCs w:val="20"/>
              </w:rPr>
              <w:t xml:space="preserve"> </w:t>
            </w:r>
            <w:r w:rsidR="0080667B">
              <w:rPr>
                <w:sz w:val="20"/>
                <w:szCs w:val="20"/>
              </w:rPr>
              <w:t xml:space="preserve">includes </w:t>
            </w:r>
            <w:r w:rsidR="005334BC">
              <w:rPr>
                <w:sz w:val="20"/>
                <w:szCs w:val="20"/>
              </w:rPr>
              <w:t>health security (</w:t>
            </w:r>
            <w:r w:rsidR="008D2E6C" w:rsidRPr="006249C1">
              <w:rPr>
                <w:sz w:val="20"/>
                <w:szCs w:val="20"/>
              </w:rPr>
              <w:t>PATH</w:t>
            </w:r>
            <w:r w:rsidR="005334BC">
              <w:rPr>
                <w:sz w:val="20"/>
                <w:szCs w:val="20"/>
              </w:rPr>
              <w:t>)</w:t>
            </w:r>
            <w:r w:rsidR="008D2E6C" w:rsidRPr="006249C1">
              <w:rPr>
                <w:sz w:val="20"/>
                <w:szCs w:val="20"/>
              </w:rPr>
              <w:t xml:space="preserve">, </w:t>
            </w:r>
            <w:r w:rsidR="005334BC">
              <w:rPr>
                <w:sz w:val="20"/>
                <w:szCs w:val="20"/>
              </w:rPr>
              <w:t>infrastructure (</w:t>
            </w:r>
            <w:r w:rsidR="008D2E6C" w:rsidRPr="006249C1">
              <w:rPr>
                <w:sz w:val="20"/>
                <w:szCs w:val="20"/>
              </w:rPr>
              <w:t>ESIP</w:t>
            </w:r>
            <w:r w:rsidR="005334BC">
              <w:rPr>
                <w:sz w:val="20"/>
                <w:szCs w:val="20"/>
              </w:rPr>
              <w:t>)</w:t>
            </w:r>
            <w:r w:rsidR="008D2E6C" w:rsidRPr="006249C1">
              <w:rPr>
                <w:sz w:val="20"/>
                <w:szCs w:val="20"/>
              </w:rPr>
              <w:t xml:space="preserve">, </w:t>
            </w:r>
            <w:r w:rsidR="005334BC">
              <w:rPr>
                <w:sz w:val="20"/>
                <w:szCs w:val="20"/>
              </w:rPr>
              <w:t xml:space="preserve">economic </w:t>
            </w:r>
            <w:r w:rsidR="00294F5B">
              <w:rPr>
                <w:sz w:val="20"/>
                <w:szCs w:val="20"/>
              </w:rPr>
              <w:t>development</w:t>
            </w:r>
            <w:r w:rsidR="005334BC">
              <w:rPr>
                <w:sz w:val="20"/>
                <w:szCs w:val="20"/>
              </w:rPr>
              <w:t xml:space="preserve"> (</w:t>
            </w:r>
            <w:r w:rsidR="008D2E6C" w:rsidRPr="006249C1">
              <w:rPr>
                <w:sz w:val="20"/>
                <w:szCs w:val="20"/>
              </w:rPr>
              <w:t>APEP</w:t>
            </w:r>
            <w:r w:rsidR="005334BC">
              <w:rPr>
                <w:sz w:val="20"/>
                <w:szCs w:val="20"/>
              </w:rPr>
              <w:t>)</w:t>
            </w:r>
            <w:r w:rsidR="008D2E6C" w:rsidRPr="006249C1">
              <w:rPr>
                <w:sz w:val="20"/>
                <w:szCs w:val="20"/>
              </w:rPr>
              <w:t xml:space="preserve">, </w:t>
            </w:r>
            <w:r w:rsidR="005334BC">
              <w:rPr>
                <w:sz w:val="20"/>
                <w:szCs w:val="20"/>
              </w:rPr>
              <w:t>law and justice (</w:t>
            </w:r>
            <w:r w:rsidR="008D2E6C" w:rsidRPr="006249C1">
              <w:rPr>
                <w:sz w:val="20"/>
                <w:szCs w:val="20"/>
              </w:rPr>
              <w:t>JSS4D</w:t>
            </w:r>
            <w:r w:rsidR="005334BC">
              <w:rPr>
                <w:sz w:val="20"/>
                <w:szCs w:val="20"/>
              </w:rPr>
              <w:t>)</w:t>
            </w:r>
            <w:r w:rsidR="008D2E6C" w:rsidRPr="006249C1">
              <w:rPr>
                <w:sz w:val="20"/>
                <w:szCs w:val="20"/>
              </w:rPr>
              <w:t xml:space="preserve"> and</w:t>
            </w:r>
            <w:r w:rsidR="005334BC">
              <w:rPr>
                <w:sz w:val="20"/>
                <w:szCs w:val="20"/>
              </w:rPr>
              <w:t xml:space="preserve"> our whole of government </w:t>
            </w:r>
            <w:proofErr w:type="gramStart"/>
            <w:r w:rsidR="005334BC">
              <w:rPr>
                <w:sz w:val="20"/>
                <w:szCs w:val="20"/>
              </w:rPr>
              <w:t xml:space="preserve">partners </w:t>
            </w:r>
            <w:r w:rsidR="008D2E6C">
              <w:rPr>
                <w:sz w:val="20"/>
                <w:szCs w:val="20"/>
              </w:rPr>
              <w:t>.</w:t>
            </w:r>
            <w:proofErr w:type="gramEnd"/>
            <w:r w:rsidR="008D2E6C">
              <w:rPr>
                <w:sz w:val="20"/>
                <w:szCs w:val="20"/>
              </w:rPr>
              <w:t xml:space="preserve"> </w:t>
            </w:r>
          </w:p>
          <w:p w14:paraId="17B1454E" w14:textId="06BC7591" w:rsidR="00DD0E27" w:rsidRDefault="00DD0E27" w:rsidP="00E05FC0">
            <w:pPr>
              <w:rPr>
                <w:sz w:val="20"/>
                <w:szCs w:val="20"/>
              </w:rPr>
            </w:pPr>
          </w:p>
          <w:p w14:paraId="68ADBED3" w14:textId="4EC1C671" w:rsidR="00EF683A" w:rsidRDefault="004C0BB3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Appropriate resourcing and support </w:t>
            </w:r>
            <w:r w:rsidR="00C64513">
              <w:rPr>
                <w:sz w:val="20"/>
                <w:szCs w:val="20"/>
              </w:rPr>
              <w:t>through the managing contractor (</w:t>
            </w:r>
            <w:proofErr w:type="spellStart"/>
            <w:r w:rsidR="00C64513">
              <w:rPr>
                <w:sz w:val="20"/>
                <w:szCs w:val="20"/>
              </w:rPr>
              <w:t>Abt</w:t>
            </w:r>
            <w:proofErr w:type="spellEnd"/>
            <w:r w:rsidR="009E6001">
              <w:rPr>
                <w:sz w:val="20"/>
                <w:szCs w:val="20"/>
              </w:rPr>
              <w:t xml:space="preserve"> Associates</w:t>
            </w:r>
            <w:r w:rsidR="00C64513">
              <w:rPr>
                <w:sz w:val="20"/>
                <w:szCs w:val="20"/>
              </w:rPr>
              <w:t xml:space="preserve">) </w:t>
            </w:r>
            <w:r w:rsidR="00294F5B">
              <w:rPr>
                <w:sz w:val="20"/>
                <w:szCs w:val="20"/>
              </w:rPr>
              <w:t>is</w:t>
            </w:r>
            <w:r w:rsidR="00C645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being </w:t>
            </w:r>
            <w:r w:rsidR="00921179">
              <w:rPr>
                <w:sz w:val="20"/>
                <w:szCs w:val="20"/>
              </w:rPr>
              <w:t xml:space="preserve">considered and </w:t>
            </w:r>
            <w:r w:rsidR="00694E01">
              <w:rPr>
                <w:sz w:val="20"/>
                <w:szCs w:val="20"/>
              </w:rPr>
              <w:t xml:space="preserve">addressed. This includes the recruitment of a </w:t>
            </w:r>
            <w:r w:rsidR="00DD0E27">
              <w:rPr>
                <w:sz w:val="20"/>
                <w:szCs w:val="20"/>
              </w:rPr>
              <w:t xml:space="preserve">Monitoring Evaluation, Reporting and Learning (MERL) Adviser and </w:t>
            </w:r>
            <w:r w:rsidR="0030468E">
              <w:rPr>
                <w:sz w:val="20"/>
                <w:szCs w:val="20"/>
              </w:rPr>
              <w:t xml:space="preserve">a MERL </w:t>
            </w:r>
            <w:r w:rsidR="00DD0E27">
              <w:rPr>
                <w:sz w:val="20"/>
                <w:szCs w:val="20"/>
              </w:rPr>
              <w:t xml:space="preserve">Manager to support reporting. </w:t>
            </w:r>
            <w:r w:rsidR="00F51936">
              <w:rPr>
                <w:sz w:val="20"/>
                <w:szCs w:val="20"/>
              </w:rPr>
              <w:t>DFAT</w:t>
            </w:r>
            <w:r w:rsidR="00DC6E54">
              <w:rPr>
                <w:sz w:val="20"/>
                <w:szCs w:val="20"/>
              </w:rPr>
              <w:t xml:space="preserve"> </w:t>
            </w:r>
            <w:r w:rsidR="005A408E">
              <w:rPr>
                <w:sz w:val="20"/>
                <w:szCs w:val="20"/>
              </w:rPr>
              <w:t xml:space="preserve">acknowledges </w:t>
            </w:r>
            <w:r w:rsidR="00726237">
              <w:rPr>
                <w:sz w:val="20"/>
                <w:szCs w:val="20"/>
              </w:rPr>
              <w:t>the need for</w:t>
            </w:r>
            <w:r w:rsidR="00F51936">
              <w:rPr>
                <w:sz w:val="20"/>
                <w:szCs w:val="20"/>
              </w:rPr>
              <w:t xml:space="preserve"> </w:t>
            </w:r>
            <w:r w:rsidR="005334BC">
              <w:rPr>
                <w:sz w:val="20"/>
                <w:szCs w:val="20"/>
              </w:rPr>
              <w:t xml:space="preserve">adequate </w:t>
            </w:r>
            <w:r w:rsidR="00F51936">
              <w:rPr>
                <w:sz w:val="20"/>
                <w:szCs w:val="20"/>
              </w:rPr>
              <w:t xml:space="preserve">office </w:t>
            </w:r>
            <w:r w:rsidR="005334BC">
              <w:rPr>
                <w:sz w:val="20"/>
                <w:szCs w:val="20"/>
              </w:rPr>
              <w:t xml:space="preserve">and staff </w:t>
            </w:r>
            <w:r w:rsidR="00F51936">
              <w:rPr>
                <w:sz w:val="20"/>
                <w:szCs w:val="20"/>
              </w:rPr>
              <w:t xml:space="preserve">facilities in Daru to support </w:t>
            </w:r>
            <w:r w:rsidR="00EB6FA5">
              <w:rPr>
                <w:sz w:val="20"/>
                <w:szCs w:val="20"/>
              </w:rPr>
              <w:t xml:space="preserve">program </w:t>
            </w:r>
            <w:r w:rsidR="00DC6E54">
              <w:rPr>
                <w:sz w:val="20"/>
                <w:szCs w:val="20"/>
              </w:rPr>
              <w:t xml:space="preserve">implementation and </w:t>
            </w:r>
            <w:r w:rsidR="000779B2">
              <w:rPr>
                <w:sz w:val="20"/>
                <w:szCs w:val="20"/>
              </w:rPr>
              <w:t xml:space="preserve">other </w:t>
            </w:r>
            <w:r w:rsidR="00F51936">
              <w:rPr>
                <w:sz w:val="20"/>
                <w:szCs w:val="20"/>
              </w:rPr>
              <w:t xml:space="preserve">Australian funded </w:t>
            </w:r>
            <w:r w:rsidR="00C5719B">
              <w:rPr>
                <w:sz w:val="20"/>
                <w:szCs w:val="20"/>
              </w:rPr>
              <w:t>investments</w:t>
            </w:r>
            <w:r w:rsidR="00F51936">
              <w:rPr>
                <w:sz w:val="20"/>
                <w:szCs w:val="20"/>
              </w:rPr>
              <w:t xml:space="preserve"> operating in </w:t>
            </w:r>
            <w:r w:rsidR="005F68F3">
              <w:rPr>
                <w:sz w:val="20"/>
                <w:szCs w:val="20"/>
              </w:rPr>
              <w:t>the region</w:t>
            </w:r>
            <w:r w:rsidR="00F51936">
              <w:rPr>
                <w:sz w:val="20"/>
                <w:szCs w:val="20"/>
              </w:rPr>
              <w:t>.</w:t>
            </w:r>
            <w:r w:rsidR="00EF683A">
              <w:rPr>
                <w:sz w:val="20"/>
                <w:szCs w:val="20"/>
              </w:rPr>
              <w:t xml:space="preserve"> </w:t>
            </w:r>
            <w:r w:rsidR="00C67900">
              <w:rPr>
                <w:sz w:val="20"/>
                <w:szCs w:val="20"/>
              </w:rPr>
              <w:t xml:space="preserve">A dedicated office space and appropriate staff housing will support ongoing Australian program operations and will improve </w:t>
            </w:r>
            <w:r w:rsidR="003A29CB">
              <w:rPr>
                <w:sz w:val="20"/>
                <w:szCs w:val="20"/>
              </w:rPr>
              <w:t xml:space="preserve">resourcing </w:t>
            </w:r>
            <w:r w:rsidR="00C67900">
              <w:rPr>
                <w:sz w:val="20"/>
                <w:szCs w:val="20"/>
              </w:rPr>
              <w:t>into the future.</w:t>
            </w:r>
          </w:p>
          <w:p w14:paraId="338CE412" w14:textId="438F0541" w:rsidR="00A9016A" w:rsidRPr="006B20C1" w:rsidRDefault="00A9016A" w:rsidP="006E210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F0165B3" w14:textId="62212C2C" w:rsidR="00DC6E54" w:rsidRDefault="006E2109" w:rsidP="00AD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Strengthening </w:t>
            </w:r>
            <w:r w:rsidR="00F721B3">
              <w:rPr>
                <w:sz w:val="20"/>
                <w:szCs w:val="20"/>
              </w:rPr>
              <w:t>local governance, economic development</w:t>
            </w:r>
            <w:r w:rsidR="004100A1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food and water security will remain </w:t>
            </w:r>
            <w:r w:rsidR="000514B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ocus</w:t>
            </w:r>
            <w:r w:rsidR="00726237">
              <w:rPr>
                <w:sz w:val="20"/>
                <w:szCs w:val="20"/>
              </w:rPr>
              <w:t xml:space="preserve"> </w:t>
            </w:r>
            <w:r w:rsidR="000514B9">
              <w:rPr>
                <w:sz w:val="20"/>
                <w:szCs w:val="20"/>
              </w:rPr>
              <w:t xml:space="preserve">areas </w:t>
            </w:r>
            <w:r w:rsidR="00726237">
              <w:rPr>
                <w:sz w:val="20"/>
                <w:szCs w:val="20"/>
              </w:rPr>
              <w:t xml:space="preserve">under </w:t>
            </w:r>
            <w:r w:rsidR="000514B9">
              <w:rPr>
                <w:sz w:val="20"/>
                <w:szCs w:val="20"/>
              </w:rPr>
              <w:t xml:space="preserve">the </w:t>
            </w:r>
            <w:r w:rsidR="00726237">
              <w:rPr>
                <w:sz w:val="20"/>
                <w:szCs w:val="20"/>
              </w:rPr>
              <w:t>WPP.</w:t>
            </w:r>
            <w:r w:rsidR="008458E3">
              <w:rPr>
                <w:sz w:val="20"/>
                <w:szCs w:val="20"/>
              </w:rPr>
              <w:t xml:space="preserve"> </w:t>
            </w:r>
            <w:r w:rsidR="00DC6E54">
              <w:rPr>
                <w:sz w:val="20"/>
                <w:szCs w:val="20"/>
              </w:rPr>
              <w:t xml:space="preserve">The design will help to inform resourcing in close consultation </w:t>
            </w:r>
            <w:r w:rsidR="00DC6E54">
              <w:rPr>
                <w:sz w:val="20"/>
                <w:szCs w:val="20"/>
              </w:rPr>
              <w:lastRenderedPageBreak/>
              <w:t>with the Western Provincial Administration and key stakeholders.</w:t>
            </w:r>
          </w:p>
          <w:p w14:paraId="24E0354F" w14:textId="77777777" w:rsidR="00DC6E54" w:rsidRDefault="00DC6E54" w:rsidP="00AD0741">
            <w:pPr>
              <w:rPr>
                <w:sz w:val="20"/>
                <w:szCs w:val="20"/>
              </w:rPr>
            </w:pPr>
          </w:p>
          <w:p w14:paraId="132DC664" w14:textId="7ACD54D8" w:rsidR="008458E3" w:rsidRDefault="00C5719B" w:rsidP="00AD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AC36FA">
              <w:rPr>
                <w:sz w:val="20"/>
                <w:szCs w:val="20"/>
              </w:rPr>
              <w:t xml:space="preserve">WPP </w:t>
            </w:r>
            <w:r w:rsidR="00396C56">
              <w:rPr>
                <w:sz w:val="20"/>
                <w:szCs w:val="20"/>
              </w:rPr>
              <w:t xml:space="preserve">design </w:t>
            </w:r>
            <w:r>
              <w:rPr>
                <w:sz w:val="20"/>
                <w:szCs w:val="20"/>
              </w:rPr>
              <w:t xml:space="preserve">will </w:t>
            </w:r>
            <w:r w:rsidR="00396C56">
              <w:rPr>
                <w:sz w:val="20"/>
                <w:szCs w:val="20"/>
              </w:rPr>
              <w:t xml:space="preserve">incorporate </w:t>
            </w:r>
            <w:r w:rsidR="008458E3">
              <w:rPr>
                <w:sz w:val="20"/>
                <w:szCs w:val="20"/>
              </w:rPr>
              <w:t xml:space="preserve">support </w:t>
            </w:r>
            <w:r w:rsidR="00396C56">
              <w:rPr>
                <w:sz w:val="20"/>
                <w:szCs w:val="20"/>
              </w:rPr>
              <w:t xml:space="preserve">to </w:t>
            </w:r>
            <w:r w:rsidR="008458E3">
              <w:rPr>
                <w:sz w:val="20"/>
                <w:szCs w:val="20"/>
              </w:rPr>
              <w:t>women in leadership, women’s economic empowerment and responding to gender</w:t>
            </w:r>
            <w:r w:rsidR="00F721B3">
              <w:rPr>
                <w:sz w:val="20"/>
                <w:szCs w:val="20"/>
              </w:rPr>
              <w:t>-</w:t>
            </w:r>
            <w:r w:rsidR="008458E3">
              <w:rPr>
                <w:sz w:val="20"/>
                <w:szCs w:val="20"/>
              </w:rPr>
              <w:t xml:space="preserve">based violence. </w:t>
            </w:r>
            <w:r w:rsidR="00726237">
              <w:rPr>
                <w:sz w:val="20"/>
                <w:szCs w:val="20"/>
              </w:rPr>
              <w:t>S</w:t>
            </w:r>
            <w:r w:rsidR="00250077" w:rsidRPr="006249C1">
              <w:rPr>
                <w:sz w:val="20"/>
                <w:szCs w:val="20"/>
              </w:rPr>
              <w:t xml:space="preserve">ector programs </w:t>
            </w:r>
            <w:r w:rsidR="006E2109">
              <w:rPr>
                <w:sz w:val="20"/>
                <w:szCs w:val="20"/>
              </w:rPr>
              <w:t xml:space="preserve">(such as economics, </w:t>
            </w:r>
            <w:proofErr w:type="gramStart"/>
            <w:r w:rsidR="006E2109">
              <w:rPr>
                <w:sz w:val="20"/>
                <w:szCs w:val="20"/>
              </w:rPr>
              <w:t>health</w:t>
            </w:r>
            <w:proofErr w:type="gramEnd"/>
            <w:r w:rsidR="006E2109">
              <w:rPr>
                <w:sz w:val="20"/>
                <w:szCs w:val="20"/>
              </w:rPr>
              <w:t xml:space="preserve"> and infrastructure) </w:t>
            </w:r>
            <w:r w:rsidR="00250077" w:rsidRPr="006249C1">
              <w:rPr>
                <w:sz w:val="20"/>
                <w:szCs w:val="20"/>
              </w:rPr>
              <w:t>will continue</w:t>
            </w:r>
            <w:r w:rsidR="008B51D1">
              <w:rPr>
                <w:sz w:val="20"/>
                <w:szCs w:val="20"/>
              </w:rPr>
              <w:t>,</w:t>
            </w:r>
            <w:r w:rsidR="00AC36FA">
              <w:rPr>
                <w:sz w:val="20"/>
                <w:szCs w:val="20"/>
              </w:rPr>
              <w:t xml:space="preserve"> but will </w:t>
            </w:r>
            <w:r w:rsidR="00250077">
              <w:rPr>
                <w:sz w:val="20"/>
                <w:szCs w:val="20"/>
              </w:rPr>
              <w:t>informe</w:t>
            </w:r>
            <w:r w:rsidR="0080667B">
              <w:rPr>
                <w:sz w:val="20"/>
                <w:szCs w:val="20"/>
              </w:rPr>
              <w:t>d</w:t>
            </w:r>
            <w:r w:rsidR="00250077">
              <w:rPr>
                <w:sz w:val="20"/>
                <w:szCs w:val="20"/>
              </w:rPr>
              <w:t xml:space="preserve"> by the </w:t>
            </w:r>
            <w:r w:rsidR="00DC6E54">
              <w:rPr>
                <w:sz w:val="20"/>
                <w:szCs w:val="20"/>
              </w:rPr>
              <w:t>proposed</w:t>
            </w:r>
            <w:r>
              <w:rPr>
                <w:sz w:val="20"/>
                <w:szCs w:val="20"/>
              </w:rPr>
              <w:t xml:space="preserve"> </w:t>
            </w:r>
            <w:r w:rsidR="00250077">
              <w:rPr>
                <w:sz w:val="20"/>
                <w:szCs w:val="20"/>
              </w:rPr>
              <w:t xml:space="preserve">Western Province </w:t>
            </w:r>
            <w:r w:rsidR="00250077" w:rsidRPr="006249C1">
              <w:rPr>
                <w:sz w:val="20"/>
                <w:szCs w:val="20"/>
              </w:rPr>
              <w:t>Strategy.</w:t>
            </w:r>
            <w:r w:rsidR="00250077">
              <w:rPr>
                <w:sz w:val="20"/>
                <w:szCs w:val="20"/>
              </w:rPr>
              <w:t xml:space="preserve"> </w:t>
            </w:r>
          </w:p>
          <w:p w14:paraId="0960CA42" w14:textId="77777777" w:rsidR="008458E3" w:rsidRDefault="008458E3" w:rsidP="00AD0741">
            <w:pPr>
              <w:rPr>
                <w:sz w:val="20"/>
                <w:szCs w:val="20"/>
              </w:rPr>
            </w:pPr>
          </w:p>
          <w:p w14:paraId="3F16475A" w14:textId="29B20FA3" w:rsidR="006E2109" w:rsidRPr="00AD0741" w:rsidRDefault="008458E3" w:rsidP="0084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Given the </w:t>
            </w:r>
            <w:r w:rsidR="000514B9">
              <w:rPr>
                <w:sz w:val="20"/>
                <w:szCs w:val="20"/>
              </w:rPr>
              <w:t xml:space="preserve">scarcity </w:t>
            </w:r>
            <w:r>
              <w:rPr>
                <w:sz w:val="20"/>
                <w:szCs w:val="20"/>
              </w:rPr>
              <w:t xml:space="preserve">of accommodation </w:t>
            </w:r>
            <w:r w:rsidR="000514B9">
              <w:rPr>
                <w:sz w:val="20"/>
                <w:szCs w:val="20"/>
              </w:rPr>
              <w:t xml:space="preserve">and office space </w:t>
            </w:r>
            <w:r>
              <w:rPr>
                <w:sz w:val="20"/>
                <w:szCs w:val="20"/>
              </w:rPr>
              <w:t xml:space="preserve">in Daru and the </w:t>
            </w:r>
            <w:r w:rsidR="00250077">
              <w:rPr>
                <w:sz w:val="20"/>
                <w:szCs w:val="20"/>
              </w:rPr>
              <w:t>level of Australian assistance</w:t>
            </w:r>
            <w:r w:rsidR="00726237">
              <w:rPr>
                <w:sz w:val="20"/>
                <w:szCs w:val="20"/>
              </w:rPr>
              <w:t xml:space="preserve"> forecast</w:t>
            </w:r>
            <w:r w:rsidR="00C5719B">
              <w:rPr>
                <w:sz w:val="20"/>
                <w:szCs w:val="20"/>
              </w:rPr>
              <w:t xml:space="preserve"> over the next several years</w:t>
            </w:r>
            <w:r w:rsidR="00E70C01">
              <w:rPr>
                <w:sz w:val="20"/>
                <w:szCs w:val="20"/>
              </w:rPr>
              <w:t>,</w:t>
            </w:r>
            <w:r w:rsidR="00250077">
              <w:rPr>
                <w:sz w:val="20"/>
                <w:szCs w:val="20"/>
              </w:rPr>
              <w:t xml:space="preserve"> </w:t>
            </w:r>
            <w:r w:rsidR="00985299">
              <w:rPr>
                <w:sz w:val="20"/>
                <w:szCs w:val="20"/>
              </w:rPr>
              <w:t xml:space="preserve">options </w:t>
            </w:r>
            <w:r w:rsidR="00250077">
              <w:rPr>
                <w:sz w:val="20"/>
                <w:szCs w:val="20"/>
              </w:rPr>
              <w:t>will</w:t>
            </w:r>
            <w:r w:rsidR="00985299">
              <w:rPr>
                <w:sz w:val="20"/>
                <w:szCs w:val="20"/>
              </w:rPr>
              <w:t xml:space="preserve"> be explored </w:t>
            </w:r>
            <w:r w:rsidR="00396C56">
              <w:rPr>
                <w:sz w:val="20"/>
                <w:szCs w:val="20"/>
              </w:rPr>
              <w:t xml:space="preserve">to </w:t>
            </w:r>
            <w:r w:rsidR="00671F76">
              <w:rPr>
                <w:sz w:val="20"/>
                <w:szCs w:val="20"/>
              </w:rPr>
              <w:t>support</w:t>
            </w:r>
            <w:r w:rsidR="006B065E">
              <w:rPr>
                <w:sz w:val="20"/>
                <w:szCs w:val="20"/>
              </w:rPr>
              <w:t xml:space="preserve"> </w:t>
            </w:r>
            <w:r w:rsidR="00396C56">
              <w:rPr>
                <w:sz w:val="20"/>
                <w:szCs w:val="20"/>
              </w:rPr>
              <w:t>appropriate</w:t>
            </w:r>
            <w:r w:rsidR="004D0252">
              <w:rPr>
                <w:sz w:val="20"/>
                <w:szCs w:val="20"/>
              </w:rPr>
              <w:t xml:space="preserve"> </w:t>
            </w:r>
            <w:r w:rsidR="00396C56">
              <w:rPr>
                <w:sz w:val="20"/>
                <w:szCs w:val="20"/>
              </w:rPr>
              <w:t xml:space="preserve">facilities in Daru through </w:t>
            </w:r>
            <w:r w:rsidR="00E70C01">
              <w:rPr>
                <w:sz w:val="20"/>
                <w:szCs w:val="20"/>
              </w:rPr>
              <w:t>APSP</w:t>
            </w:r>
            <w:r w:rsidR="00396C56">
              <w:rPr>
                <w:sz w:val="20"/>
                <w:szCs w:val="20"/>
              </w:rPr>
              <w:t>.</w:t>
            </w:r>
            <w:r w:rsidR="00C571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4BC261B" w14:textId="034DA012" w:rsidR="00AD0741" w:rsidRPr="006B20C1" w:rsidRDefault="00AD0741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Second half 2022</w:t>
            </w:r>
            <w:r w:rsidR="00E70C01">
              <w:rPr>
                <w:sz w:val="20"/>
                <w:szCs w:val="20"/>
              </w:rPr>
              <w:t xml:space="preserve"> through to 202</w:t>
            </w:r>
            <w:r w:rsidR="008458E3">
              <w:rPr>
                <w:sz w:val="20"/>
                <w:szCs w:val="20"/>
              </w:rPr>
              <w:t>3</w:t>
            </w:r>
          </w:p>
        </w:tc>
      </w:tr>
      <w:tr w:rsidR="003E73D8" w:rsidRPr="006B20C1" w14:paraId="026B3542" w14:textId="77777777" w:rsidTr="00E27985">
        <w:tc>
          <w:tcPr>
            <w:tcW w:w="473" w:type="dxa"/>
          </w:tcPr>
          <w:p w14:paraId="3B4B41C5" w14:textId="61FF5AB7" w:rsidR="0097214A" w:rsidRPr="00E53BB2" w:rsidRDefault="0072574D" w:rsidP="00E05FC0">
            <w:pPr>
              <w:rPr>
                <w:b/>
                <w:bCs/>
                <w:sz w:val="24"/>
                <w:szCs w:val="24"/>
              </w:rPr>
            </w:pPr>
            <w:r w:rsidRPr="00E53BB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6B0FCDAD" w14:textId="77777777" w:rsidR="005E0951" w:rsidRPr="006B20C1" w:rsidRDefault="005E0951" w:rsidP="006B20C1">
            <w:pPr>
              <w:rPr>
                <w:sz w:val="20"/>
                <w:szCs w:val="20"/>
              </w:rPr>
            </w:pPr>
            <w:r w:rsidRPr="006B20C1">
              <w:rPr>
                <w:sz w:val="20"/>
                <w:szCs w:val="20"/>
              </w:rPr>
              <w:t xml:space="preserve">The Rangers should be more actively engaged in agricultural extension services and water, </w:t>
            </w:r>
            <w:proofErr w:type="gramStart"/>
            <w:r w:rsidRPr="006B20C1">
              <w:rPr>
                <w:sz w:val="20"/>
                <w:szCs w:val="20"/>
              </w:rPr>
              <w:t>sanitation</w:t>
            </w:r>
            <w:proofErr w:type="gramEnd"/>
            <w:r w:rsidRPr="006B20C1">
              <w:rPr>
                <w:sz w:val="20"/>
                <w:szCs w:val="20"/>
              </w:rPr>
              <w:t xml:space="preserve"> and hygiene infrastructure delivery, in the short term. Value will also be found in INLOC (implementer of the Ranger program) recruiting Papua New Guinean male and female advisers.    </w:t>
            </w:r>
          </w:p>
          <w:p w14:paraId="512707A5" w14:textId="77777777" w:rsidR="0097214A" w:rsidRPr="006B20C1" w:rsidRDefault="0097214A" w:rsidP="00E05FC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C000" w:themeFill="accent4"/>
          </w:tcPr>
          <w:p w14:paraId="615D200D" w14:textId="2A393E6A" w:rsidR="0097214A" w:rsidRPr="006B20C1" w:rsidRDefault="00E0452C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 Agree</w:t>
            </w:r>
          </w:p>
        </w:tc>
        <w:tc>
          <w:tcPr>
            <w:tcW w:w="5646" w:type="dxa"/>
          </w:tcPr>
          <w:p w14:paraId="2158D705" w14:textId="369ADA2D" w:rsidR="00B935AA" w:rsidRDefault="00A51C1B" w:rsidP="00B93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Community Rangers are a unique strength of the SFRP. </w:t>
            </w:r>
            <w:r w:rsidR="00A2068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areful consideration will need to be given to</w:t>
            </w:r>
            <w:r w:rsidR="00396C56">
              <w:rPr>
                <w:sz w:val="20"/>
                <w:szCs w:val="20"/>
              </w:rPr>
              <w:t xml:space="preserve"> ensure </w:t>
            </w:r>
            <w:r>
              <w:rPr>
                <w:sz w:val="20"/>
                <w:szCs w:val="20"/>
              </w:rPr>
              <w:t xml:space="preserve">their role </w:t>
            </w:r>
            <w:r w:rsidR="00396C56">
              <w:rPr>
                <w:sz w:val="20"/>
                <w:szCs w:val="20"/>
              </w:rPr>
              <w:t>complements</w:t>
            </w:r>
            <w:r>
              <w:rPr>
                <w:sz w:val="20"/>
                <w:szCs w:val="20"/>
              </w:rPr>
              <w:t xml:space="preserve"> the district administration and community activities (such as agriculture and WASH). </w:t>
            </w:r>
            <w:r w:rsidR="00396C56">
              <w:rPr>
                <w:sz w:val="20"/>
                <w:szCs w:val="20"/>
              </w:rPr>
              <w:t>DFAT has commissioned an</w:t>
            </w:r>
            <w:r w:rsidR="00B935AA">
              <w:rPr>
                <w:sz w:val="20"/>
                <w:szCs w:val="20"/>
              </w:rPr>
              <w:t xml:space="preserve"> options </w:t>
            </w:r>
            <w:r w:rsidR="00396C56">
              <w:rPr>
                <w:sz w:val="20"/>
                <w:szCs w:val="20"/>
              </w:rPr>
              <w:t xml:space="preserve">paper </w:t>
            </w:r>
            <w:r w:rsidR="00B935AA">
              <w:rPr>
                <w:sz w:val="20"/>
                <w:szCs w:val="20"/>
              </w:rPr>
              <w:t xml:space="preserve">to maximise the effectiveness of the program and to utilise </w:t>
            </w:r>
            <w:r w:rsidR="0014708E">
              <w:rPr>
                <w:sz w:val="20"/>
                <w:szCs w:val="20"/>
              </w:rPr>
              <w:t xml:space="preserve">Rangers </w:t>
            </w:r>
            <w:r w:rsidR="00B935AA">
              <w:rPr>
                <w:sz w:val="20"/>
                <w:szCs w:val="20"/>
              </w:rPr>
              <w:t xml:space="preserve">more strategically. This could include options to build their capabilities, </w:t>
            </w:r>
            <w:r w:rsidR="006C41D7">
              <w:rPr>
                <w:sz w:val="20"/>
                <w:szCs w:val="20"/>
              </w:rPr>
              <w:t>broaden community engagement</w:t>
            </w:r>
            <w:r w:rsidR="00B935AA">
              <w:rPr>
                <w:sz w:val="20"/>
                <w:szCs w:val="20"/>
              </w:rPr>
              <w:t xml:space="preserve">, and </w:t>
            </w:r>
            <w:r w:rsidR="00396C56">
              <w:rPr>
                <w:sz w:val="20"/>
                <w:szCs w:val="20"/>
              </w:rPr>
              <w:t>strengthen linkages with</w:t>
            </w:r>
            <w:r w:rsidR="00B935AA">
              <w:rPr>
                <w:sz w:val="20"/>
                <w:szCs w:val="20"/>
              </w:rPr>
              <w:t xml:space="preserve"> PNG institutions.</w:t>
            </w:r>
          </w:p>
          <w:p w14:paraId="0C7F5974" w14:textId="77777777" w:rsidR="00AB4BA2" w:rsidRDefault="00AB4BA2" w:rsidP="00E97BCF">
            <w:pPr>
              <w:pStyle w:val="CommentText"/>
            </w:pPr>
          </w:p>
          <w:p w14:paraId="487E74DB" w14:textId="7FB804C8" w:rsidR="00E16186" w:rsidRDefault="00E2643C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agrees that the </w:t>
            </w:r>
            <w:r w:rsidR="00E16186">
              <w:rPr>
                <w:sz w:val="20"/>
                <w:szCs w:val="20"/>
              </w:rPr>
              <w:t xml:space="preserve">Ranger program </w:t>
            </w:r>
            <w:r w:rsidR="00A97F22">
              <w:rPr>
                <w:sz w:val="20"/>
                <w:szCs w:val="20"/>
              </w:rPr>
              <w:t>(</w:t>
            </w:r>
            <w:r w:rsidR="00396C56">
              <w:rPr>
                <w:sz w:val="20"/>
                <w:szCs w:val="20"/>
              </w:rPr>
              <w:t xml:space="preserve">currently </w:t>
            </w:r>
            <w:r w:rsidR="00A97F22">
              <w:rPr>
                <w:sz w:val="20"/>
                <w:szCs w:val="20"/>
              </w:rPr>
              <w:t xml:space="preserve">implemented by </w:t>
            </w:r>
            <w:proofErr w:type="spellStart"/>
            <w:r w:rsidR="00A97F22">
              <w:rPr>
                <w:sz w:val="20"/>
                <w:szCs w:val="20"/>
              </w:rPr>
              <w:t>Inloc</w:t>
            </w:r>
            <w:proofErr w:type="spellEnd"/>
            <w:r w:rsidR="00A97F22">
              <w:rPr>
                <w:sz w:val="20"/>
                <w:szCs w:val="20"/>
              </w:rPr>
              <w:t xml:space="preserve">) </w:t>
            </w:r>
            <w:r w:rsidR="00E16186">
              <w:rPr>
                <w:sz w:val="20"/>
                <w:szCs w:val="20"/>
              </w:rPr>
              <w:t>would benefit from a more diverse cohort of advisors</w:t>
            </w:r>
            <w:r w:rsidR="00A57EA2">
              <w:rPr>
                <w:sz w:val="20"/>
                <w:szCs w:val="20"/>
              </w:rPr>
              <w:t>, g</w:t>
            </w:r>
            <w:r w:rsidR="00E16186">
              <w:rPr>
                <w:sz w:val="20"/>
                <w:szCs w:val="20"/>
              </w:rPr>
              <w:t xml:space="preserve">iven the identified need to improve culturally appropriate community engagement and gender equality. </w:t>
            </w:r>
          </w:p>
          <w:p w14:paraId="4CA38E21" w14:textId="20048712" w:rsidR="00E02BB4" w:rsidRPr="006B20C1" w:rsidRDefault="00E02BB4" w:rsidP="00E05FC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990680C" w14:textId="230D5760" w:rsidR="0097214A" w:rsidRPr="006B20C1" w:rsidRDefault="0010147E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Through the WPP design process, the </w:t>
            </w:r>
            <w:r w:rsidR="00E33F03">
              <w:rPr>
                <w:sz w:val="20"/>
                <w:szCs w:val="20"/>
              </w:rPr>
              <w:t xml:space="preserve">APSP </w:t>
            </w:r>
            <w:r>
              <w:rPr>
                <w:sz w:val="20"/>
                <w:szCs w:val="20"/>
              </w:rPr>
              <w:t xml:space="preserve">will </w:t>
            </w:r>
            <w:r w:rsidR="00E33F03">
              <w:rPr>
                <w:sz w:val="20"/>
                <w:szCs w:val="20"/>
              </w:rPr>
              <w:t>develop</w:t>
            </w:r>
            <w:r>
              <w:rPr>
                <w:sz w:val="20"/>
                <w:szCs w:val="20"/>
              </w:rPr>
              <w:t xml:space="preserve"> a</w:t>
            </w:r>
            <w:r w:rsidR="00E33F03">
              <w:rPr>
                <w:sz w:val="20"/>
                <w:szCs w:val="20"/>
              </w:rPr>
              <w:t xml:space="preserve"> Ranger options paper</w:t>
            </w:r>
            <w:r>
              <w:rPr>
                <w:sz w:val="20"/>
                <w:szCs w:val="20"/>
              </w:rPr>
              <w:t xml:space="preserve"> to </w:t>
            </w:r>
            <w:r w:rsidR="00831829">
              <w:rPr>
                <w:sz w:val="20"/>
                <w:szCs w:val="20"/>
              </w:rPr>
              <w:t xml:space="preserve">explore </w:t>
            </w:r>
            <w:r>
              <w:rPr>
                <w:sz w:val="20"/>
                <w:szCs w:val="20"/>
              </w:rPr>
              <w:t xml:space="preserve">this </w:t>
            </w:r>
            <w:r w:rsidR="00494229">
              <w:rPr>
                <w:sz w:val="20"/>
                <w:szCs w:val="20"/>
              </w:rPr>
              <w:t>recommendation</w:t>
            </w:r>
            <w:r>
              <w:rPr>
                <w:sz w:val="20"/>
                <w:szCs w:val="20"/>
              </w:rPr>
              <w:t>.</w:t>
            </w:r>
            <w:r w:rsidR="00563559">
              <w:rPr>
                <w:sz w:val="20"/>
                <w:szCs w:val="20"/>
              </w:rPr>
              <w:t xml:space="preserve"> </w:t>
            </w:r>
            <w:r w:rsidR="00396C56">
              <w:rPr>
                <w:sz w:val="20"/>
                <w:szCs w:val="20"/>
              </w:rPr>
              <w:t>I</w:t>
            </w:r>
            <w:r w:rsidR="00563559">
              <w:rPr>
                <w:sz w:val="20"/>
                <w:szCs w:val="20"/>
              </w:rPr>
              <w:t>t is vital that the Ranger program complements rather than substitute</w:t>
            </w:r>
            <w:r w:rsidR="00396C56">
              <w:rPr>
                <w:sz w:val="20"/>
                <w:szCs w:val="20"/>
              </w:rPr>
              <w:t>s</w:t>
            </w:r>
            <w:r w:rsidR="00563559">
              <w:rPr>
                <w:sz w:val="20"/>
                <w:szCs w:val="20"/>
              </w:rPr>
              <w:t xml:space="preserve"> for government service delivery.</w:t>
            </w:r>
          </w:p>
        </w:tc>
        <w:tc>
          <w:tcPr>
            <w:tcW w:w="1275" w:type="dxa"/>
          </w:tcPr>
          <w:p w14:paraId="73F468F3" w14:textId="46D7E9AB" w:rsidR="0097214A" w:rsidRPr="006B20C1" w:rsidRDefault="00E33F03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half </w:t>
            </w:r>
            <w:r w:rsidR="00D66AE1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2022</w:t>
            </w:r>
          </w:p>
        </w:tc>
      </w:tr>
      <w:tr w:rsidR="003E73D8" w:rsidRPr="006B20C1" w14:paraId="4C3BF4D3" w14:textId="77777777" w:rsidTr="00E27985">
        <w:tc>
          <w:tcPr>
            <w:tcW w:w="473" w:type="dxa"/>
          </w:tcPr>
          <w:p w14:paraId="65E6C592" w14:textId="1C481C4A" w:rsidR="0097214A" w:rsidRPr="00E53BB2" w:rsidRDefault="0072574D" w:rsidP="00E05FC0">
            <w:pPr>
              <w:rPr>
                <w:b/>
                <w:bCs/>
                <w:sz w:val="24"/>
                <w:szCs w:val="24"/>
              </w:rPr>
            </w:pPr>
            <w:r w:rsidRPr="00E53BB2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75" w:type="dxa"/>
          </w:tcPr>
          <w:p w14:paraId="2F11779E" w14:textId="77777777" w:rsidR="00D66AE1" w:rsidRDefault="005E0951" w:rsidP="006B20C1">
            <w:pPr>
              <w:rPr>
                <w:sz w:val="20"/>
                <w:szCs w:val="20"/>
              </w:rPr>
            </w:pPr>
            <w:r w:rsidRPr="006B20C1">
              <w:rPr>
                <w:sz w:val="20"/>
                <w:szCs w:val="20"/>
              </w:rPr>
              <w:t xml:space="preserve">Continue to strengthen existing coordination mechanisms. Meanwhile, facilitate, with District authorities, the establishment of a partner coordination platform, meeting at least biannually, comprising, among others, of the Sustainable Development Program, Ok </w:t>
            </w:r>
            <w:proofErr w:type="spellStart"/>
            <w:r w:rsidRPr="006B20C1">
              <w:rPr>
                <w:sz w:val="20"/>
                <w:szCs w:val="20"/>
              </w:rPr>
              <w:t>Tedi</w:t>
            </w:r>
            <w:proofErr w:type="spellEnd"/>
            <w:r w:rsidRPr="006B20C1">
              <w:rPr>
                <w:sz w:val="20"/>
                <w:szCs w:val="20"/>
              </w:rPr>
              <w:t xml:space="preserve"> Development Foundation, faith groups and </w:t>
            </w:r>
          </w:p>
          <w:p w14:paraId="61364C67" w14:textId="7A8CBDD4" w:rsidR="0097214A" w:rsidRPr="006B20C1" w:rsidRDefault="005E0951" w:rsidP="00E05FC0">
            <w:pPr>
              <w:rPr>
                <w:sz w:val="20"/>
                <w:szCs w:val="20"/>
              </w:rPr>
            </w:pPr>
            <w:r w:rsidRPr="006B20C1">
              <w:rPr>
                <w:sz w:val="20"/>
                <w:szCs w:val="20"/>
              </w:rPr>
              <w:t>implementers of Australian funded development initiatives.</w:t>
            </w:r>
          </w:p>
        </w:tc>
        <w:tc>
          <w:tcPr>
            <w:tcW w:w="1204" w:type="dxa"/>
            <w:shd w:val="clear" w:color="auto" w:fill="70AD47" w:themeFill="accent6"/>
          </w:tcPr>
          <w:p w14:paraId="7B1DFE81" w14:textId="2F333805" w:rsidR="0097214A" w:rsidRPr="006B20C1" w:rsidRDefault="00250A0A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46" w:type="dxa"/>
          </w:tcPr>
          <w:p w14:paraId="0864DB03" w14:textId="7F939F01" w:rsidR="001157C1" w:rsidRDefault="001157C1" w:rsidP="00E05FC0">
            <w:pPr>
              <w:rPr>
                <w:sz w:val="20"/>
                <w:szCs w:val="20"/>
              </w:rPr>
            </w:pPr>
            <w:r w:rsidRPr="001157C1">
              <w:rPr>
                <w:sz w:val="20"/>
                <w:szCs w:val="20"/>
              </w:rPr>
              <w:t xml:space="preserve">DFAT agrees </w:t>
            </w:r>
            <w:r w:rsidR="005537C9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</w:t>
            </w:r>
            <w:r w:rsidR="00CC03B6">
              <w:rPr>
                <w:sz w:val="20"/>
                <w:szCs w:val="20"/>
              </w:rPr>
              <w:t xml:space="preserve">strengthening </w:t>
            </w:r>
            <w:r w:rsidR="005537C9">
              <w:rPr>
                <w:sz w:val="20"/>
                <w:szCs w:val="20"/>
              </w:rPr>
              <w:t xml:space="preserve">coordination </w:t>
            </w:r>
            <w:r w:rsidRPr="001157C1">
              <w:rPr>
                <w:sz w:val="20"/>
                <w:szCs w:val="20"/>
              </w:rPr>
              <w:t xml:space="preserve">mechanisms and is conscious of not duplicating existing government coordination mechanisms. </w:t>
            </w:r>
            <w:r w:rsidR="005537C9">
              <w:rPr>
                <w:sz w:val="20"/>
                <w:szCs w:val="20"/>
              </w:rPr>
              <w:t xml:space="preserve">The program should </w:t>
            </w:r>
            <w:r w:rsidRPr="001157C1">
              <w:rPr>
                <w:sz w:val="20"/>
                <w:szCs w:val="20"/>
              </w:rPr>
              <w:t xml:space="preserve">support the Department of Provincial and Local Government </w:t>
            </w:r>
            <w:r w:rsidR="0016734C" w:rsidRPr="001157C1">
              <w:rPr>
                <w:sz w:val="20"/>
                <w:szCs w:val="20"/>
              </w:rPr>
              <w:t>Affairs</w:t>
            </w:r>
            <w:r w:rsidR="005537C9">
              <w:rPr>
                <w:sz w:val="20"/>
                <w:szCs w:val="20"/>
              </w:rPr>
              <w:t>’</w:t>
            </w:r>
            <w:r w:rsidRPr="001157C1">
              <w:rPr>
                <w:sz w:val="20"/>
                <w:szCs w:val="20"/>
              </w:rPr>
              <w:t xml:space="preserve"> (DPLGA) mandated Provincial Coordination &amp; Monitoring Committee (PCMC) rather than setting up parallel structures.</w:t>
            </w:r>
          </w:p>
          <w:p w14:paraId="578B6965" w14:textId="77777777" w:rsidR="001157C1" w:rsidRDefault="001157C1" w:rsidP="00E05FC0">
            <w:pPr>
              <w:rPr>
                <w:sz w:val="20"/>
                <w:szCs w:val="20"/>
              </w:rPr>
            </w:pPr>
          </w:p>
          <w:p w14:paraId="58C62C21" w14:textId="2B8A6968" w:rsidR="00E16186" w:rsidRDefault="00CC03B6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Further, </w:t>
            </w:r>
            <w:r w:rsidR="00E16186">
              <w:rPr>
                <w:sz w:val="20"/>
                <w:szCs w:val="20"/>
              </w:rPr>
              <w:t xml:space="preserve">DFAT strongly agrees that development partners should be working closely with the </w:t>
            </w:r>
            <w:r w:rsidR="00A97F22">
              <w:rPr>
                <w:sz w:val="20"/>
                <w:szCs w:val="20"/>
              </w:rPr>
              <w:t xml:space="preserve">provincial and district </w:t>
            </w:r>
            <w:r w:rsidR="00E16186">
              <w:rPr>
                <w:sz w:val="20"/>
                <w:szCs w:val="20"/>
              </w:rPr>
              <w:t>administration</w:t>
            </w:r>
            <w:r w:rsidR="005537C9">
              <w:rPr>
                <w:sz w:val="20"/>
                <w:szCs w:val="20"/>
              </w:rPr>
              <w:t>s</w:t>
            </w:r>
            <w:r w:rsidR="00E16186">
              <w:rPr>
                <w:sz w:val="20"/>
                <w:szCs w:val="20"/>
              </w:rPr>
              <w:t xml:space="preserve"> and </w:t>
            </w:r>
            <w:r w:rsidR="00A97F22">
              <w:rPr>
                <w:sz w:val="20"/>
                <w:szCs w:val="20"/>
              </w:rPr>
              <w:t xml:space="preserve">with </w:t>
            </w:r>
            <w:r w:rsidR="00E16186">
              <w:rPr>
                <w:sz w:val="20"/>
                <w:szCs w:val="20"/>
              </w:rPr>
              <w:t xml:space="preserve">each other. There has been some progress </w:t>
            </w:r>
            <w:r w:rsidR="00E2643C">
              <w:rPr>
                <w:sz w:val="20"/>
                <w:szCs w:val="20"/>
              </w:rPr>
              <w:t>with the</w:t>
            </w:r>
            <w:r w:rsidR="00E16186">
              <w:rPr>
                <w:sz w:val="20"/>
                <w:szCs w:val="20"/>
              </w:rPr>
              <w:t xml:space="preserve"> O</w:t>
            </w:r>
            <w:r w:rsidR="0010147E">
              <w:rPr>
                <w:sz w:val="20"/>
                <w:szCs w:val="20"/>
              </w:rPr>
              <w:t xml:space="preserve">k </w:t>
            </w:r>
            <w:proofErr w:type="spellStart"/>
            <w:r w:rsidR="0010147E">
              <w:rPr>
                <w:sz w:val="20"/>
                <w:szCs w:val="20"/>
              </w:rPr>
              <w:t>Tedi</w:t>
            </w:r>
            <w:proofErr w:type="spellEnd"/>
            <w:r w:rsidR="0010147E">
              <w:rPr>
                <w:sz w:val="20"/>
                <w:szCs w:val="20"/>
              </w:rPr>
              <w:t xml:space="preserve"> Development Foundation (OTDF)</w:t>
            </w:r>
            <w:r w:rsidR="00A97F22">
              <w:rPr>
                <w:sz w:val="20"/>
                <w:szCs w:val="20"/>
              </w:rPr>
              <w:t xml:space="preserve">, </w:t>
            </w:r>
            <w:r w:rsidR="005537C9">
              <w:rPr>
                <w:sz w:val="20"/>
                <w:szCs w:val="20"/>
              </w:rPr>
              <w:t>which has</w:t>
            </w:r>
            <w:r w:rsidR="0010147E">
              <w:rPr>
                <w:sz w:val="20"/>
                <w:szCs w:val="20"/>
              </w:rPr>
              <w:t xml:space="preserve"> </w:t>
            </w:r>
            <w:r w:rsidR="00E2643C">
              <w:rPr>
                <w:sz w:val="20"/>
                <w:szCs w:val="20"/>
              </w:rPr>
              <w:t>support</w:t>
            </w:r>
            <w:r w:rsidR="00A97F22">
              <w:rPr>
                <w:sz w:val="20"/>
                <w:szCs w:val="20"/>
              </w:rPr>
              <w:t>ed</w:t>
            </w:r>
            <w:r w:rsidR="00E2643C">
              <w:rPr>
                <w:sz w:val="20"/>
                <w:szCs w:val="20"/>
              </w:rPr>
              <w:t xml:space="preserve"> the </w:t>
            </w:r>
            <w:r w:rsidR="00E16186">
              <w:rPr>
                <w:sz w:val="20"/>
                <w:szCs w:val="20"/>
              </w:rPr>
              <w:t xml:space="preserve">SFRP/District-hosted food security planning sessions and District WASH Committee meetings. Early discussions on potential collaboration with OTDF </w:t>
            </w:r>
            <w:r w:rsidR="00D66AE1">
              <w:rPr>
                <w:sz w:val="20"/>
                <w:szCs w:val="20"/>
              </w:rPr>
              <w:t xml:space="preserve">around WASH, agriculture and food security </w:t>
            </w:r>
            <w:r w:rsidR="00A97F22">
              <w:rPr>
                <w:sz w:val="20"/>
                <w:szCs w:val="20"/>
              </w:rPr>
              <w:t>have been</w:t>
            </w:r>
            <w:r w:rsidR="00E16186">
              <w:rPr>
                <w:sz w:val="20"/>
                <w:szCs w:val="20"/>
              </w:rPr>
              <w:t xml:space="preserve"> promising. </w:t>
            </w:r>
          </w:p>
          <w:p w14:paraId="48B99B11" w14:textId="1F400D00" w:rsidR="00951A3F" w:rsidRPr="006B20C1" w:rsidRDefault="00951A3F" w:rsidP="00C448EB">
            <w:pPr>
              <w:pStyle w:val="CommentText"/>
            </w:pPr>
          </w:p>
        </w:tc>
        <w:tc>
          <w:tcPr>
            <w:tcW w:w="4395" w:type="dxa"/>
          </w:tcPr>
          <w:p w14:paraId="7280B6D9" w14:textId="7944C214" w:rsidR="00A70025" w:rsidRDefault="0067282D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</w:t>
            </w:r>
            <w:r w:rsidR="000707F2">
              <w:rPr>
                <w:sz w:val="20"/>
                <w:szCs w:val="20"/>
              </w:rPr>
              <w:t xml:space="preserve">will </w:t>
            </w:r>
            <w:r w:rsidR="000D5CFB">
              <w:rPr>
                <w:sz w:val="20"/>
                <w:szCs w:val="20"/>
              </w:rPr>
              <w:t xml:space="preserve">pursue </w:t>
            </w:r>
            <w:r>
              <w:rPr>
                <w:sz w:val="20"/>
                <w:szCs w:val="20"/>
              </w:rPr>
              <w:t xml:space="preserve">representation </w:t>
            </w:r>
            <w:r w:rsidR="000707F2">
              <w:rPr>
                <w:sz w:val="20"/>
                <w:szCs w:val="20"/>
              </w:rPr>
              <w:t xml:space="preserve">opportunities </w:t>
            </w:r>
            <w:r w:rsidR="00BD30D5">
              <w:rPr>
                <w:sz w:val="20"/>
                <w:szCs w:val="20"/>
              </w:rPr>
              <w:t xml:space="preserve">to discuss progress of the SFRP and transition to the WPP </w:t>
            </w:r>
            <w:r>
              <w:rPr>
                <w:sz w:val="20"/>
                <w:szCs w:val="20"/>
              </w:rPr>
              <w:t xml:space="preserve">at </w:t>
            </w:r>
            <w:r w:rsidR="00A97F2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PCMC with </w:t>
            </w:r>
            <w:r w:rsidR="00A97F2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Provincial Administration</w:t>
            </w:r>
            <w:r w:rsidR="00BD30D5">
              <w:rPr>
                <w:sz w:val="20"/>
                <w:szCs w:val="20"/>
              </w:rPr>
              <w:t>.</w:t>
            </w:r>
          </w:p>
          <w:p w14:paraId="7080C785" w14:textId="399A0B5E" w:rsidR="00A70025" w:rsidRDefault="00A70025" w:rsidP="00E05FC0">
            <w:pPr>
              <w:rPr>
                <w:sz w:val="20"/>
                <w:szCs w:val="20"/>
              </w:rPr>
            </w:pPr>
          </w:p>
          <w:p w14:paraId="65B2E5EB" w14:textId="6052E9E5" w:rsidR="00A70025" w:rsidRDefault="00E80100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DFAT will use the design process</w:t>
            </w:r>
            <w:r w:rsidR="00F90332">
              <w:rPr>
                <w:sz w:val="20"/>
                <w:szCs w:val="20"/>
              </w:rPr>
              <w:t xml:space="preserve"> to engage with </w:t>
            </w:r>
            <w:r w:rsidR="00A70025">
              <w:rPr>
                <w:sz w:val="20"/>
                <w:szCs w:val="20"/>
              </w:rPr>
              <w:t xml:space="preserve">OTDF and other </w:t>
            </w:r>
            <w:r w:rsidR="0080465A">
              <w:rPr>
                <w:sz w:val="20"/>
                <w:szCs w:val="20"/>
              </w:rPr>
              <w:t>donors</w:t>
            </w:r>
            <w:r w:rsidR="00A70025">
              <w:rPr>
                <w:sz w:val="20"/>
                <w:szCs w:val="20"/>
              </w:rPr>
              <w:t xml:space="preserve"> </w:t>
            </w:r>
            <w:r w:rsidR="0067282D">
              <w:rPr>
                <w:sz w:val="20"/>
                <w:szCs w:val="20"/>
              </w:rPr>
              <w:t>(including PNG Sustainable Development</w:t>
            </w:r>
            <w:r w:rsidR="005537C9">
              <w:rPr>
                <w:sz w:val="20"/>
                <w:szCs w:val="20"/>
              </w:rPr>
              <w:t xml:space="preserve"> Program</w:t>
            </w:r>
            <w:r w:rsidR="0067282D">
              <w:rPr>
                <w:sz w:val="20"/>
                <w:szCs w:val="20"/>
              </w:rPr>
              <w:t>)</w:t>
            </w:r>
            <w:r w:rsidR="00F90332">
              <w:rPr>
                <w:sz w:val="20"/>
                <w:szCs w:val="20"/>
              </w:rPr>
              <w:t xml:space="preserve"> on potential partnership opportunities.</w:t>
            </w:r>
          </w:p>
          <w:p w14:paraId="7FD8C60B" w14:textId="3A3293E6" w:rsidR="00A70025" w:rsidRDefault="00A70025" w:rsidP="00E05FC0">
            <w:pPr>
              <w:rPr>
                <w:sz w:val="20"/>
                <w:szCs w:val="20"/>
              </w:rPr>
            </w:pPr>
          </w:p>
          <w:p w14:paraId="137EACED" w14:textId="1FA6DDC8" w:rsidR="00A30AAF" w:rsidRPr="006B20C1" w:rsidRDefault="0080465A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Australian funded</w:t>
            </w:r>
            <w:r w:rsidR="0067282D">
              <w:rPr>
                <w:sz w:val="20"/>
                <w:szCs w:val="20"/>
              </w:rPr>
              <w:t xml:space="preserve"> Church Partnership</w:t>
            </w:r>
            <w:r w:rsidR="005537C9">
              <w:rPr>
                <w:sz w:val="20"/>
                <w:szCs w:val="20"/>
              </w:rPr>
              <w:t>s</w:t>
            </w:r>
            <w:r w:rsidR="0067282D">
              <w:rPr>
                <w:sz w:val="20"/>
                <w:szCs w:val="20"/>
              </w:rPr>
              <w:t xml:space="preserve"> Program </w:t>
            </w:r>
            <w:r>
              <w:rPr>
                <w:sz w:val="20"/>
                <w:szCs w:val="20"/>
              </w:rPr>
              <w:t>(implemented through the Building Community Engagement Program) will</w:t>
            </w:r>
            <w:r w:rsidR="0067282D">
              <w:rPr>
                <w:sz w:val="20"/>
                <w:szCs w:val="20"/>
              </w:rPr>
              <w:t xml:space="preserve"> map church activities </w:t>
            </w:r>
            <w:r>
              <w:rPr>
                <w:sz w:val="20"/>
                <w:szCs w:val="20"/>
              </w:rPr>
              <w:t xml:space="preserve">and locations </w:t>
            </w:r>
            <w:r w:rsidR="0067282D">
              <w:rPr>
                <w:sz w:val="20"/>
                <w:szCs w:val="20"/>
              </w:rPr>
              <w:t>in Western</w:t>
            </w:r>
            <w:r>
              <w:rPr>
                <w:sz w:val="20"/>
                <w:szCs w:val="20"/>
              </w:rPr>
              <w:t xml:space="preserve"> Province</w:t>
            </w:r>
            <w:r w:rsidR="006728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This will help inform the </w:t>
            </w:r>
            <w:r w:rsidR="0067282D">
              <w:rPr>
                <w:sz w:val="20"/>
                <w:szCs w:val="20"/>
              </w:rPr>
              <w:t xml:space="preserve">WPP design </w:t>
            </w:r>
            <w:r>
              <w:rPr>
                <w:sz w:val="20"/>
                <w:szCs w:val="20"/>
              </w:rPr>
              <w:t xml:space="preserve">to </w:t>
            </w:r>
            <w:r w:rsidR="0067282D">
              <w:rPr>
                <w:sz w:val="20"/>
                <w:szCs w:val="20"/>
              </w:rPr>
              <w:t xml:space="preserve">identify </w:t>
            </w:r>
            <w:r w:rsidR="005537C9">
              <w:rPr>
                <w:sz w:val="20"/>
                <w:szCs w:val="20"/>
              </w:rPr>
              <w:t xml:space="preserve">collaboration </w:t>
            </w:r>
            <w:r w:rsidR="0067282D">
              <w:rPr>
                <w:sz w:val="20"/>
                <w:szCs w:val="20"/>
              </w:rPr>
              <w:t xml:space="preserve">opportunities </w:t>
            </w:r>
            <w:r>
              <w:rPr>
                <w:sz w:val="20"/>
                <w:szCs w:val="20"/>
              </w:rPr>
              <w:t xml:space="preserve">with </w:t>
            </w:r>
            <w:r w:rsidR="0069276E">
              <w:rPr>
                <w:sz w:val="20"/>
                <w:szCs w:val="20"/>
              </w:rPr>
              <w:t>church</w:t>
            </w:r>
            <w:r>
              <w:rPr>
                <w:sz w:val="20"/>
                <w:szCs w:val="20"/>
              </w:rPr>
              <w:t xml:space="preserve"> </w:t>
            </w:r>
            <w:r w:rsidR="00A97F22">
              <w:rPr>
                <w:sz w:val="20"/>
                <w:szCs w:val="20"/>
              </w:rPr>
              <w:t>partners</w:t>
            </w:r>
            <w:r w:rsidR="006728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7DBCBA17" w14:textId="4B21A5FD" w:rsidR="0097214A" w:rsidRPr="006B20C1" w:rsidRDefault="00D66AE1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half of 2022</w:t>
            </w:r>
          </w:p>
        </w:tc>
      </w:tr>
      <w:tr w:rsidR="003E73D8" w:rsidRPr="006B20C1" w14:paraId="36FD9471" w14:textId="77777777" w:rsidTr="00E27985">
        <w:tc>
          <w:tcPr>
            <w:tcW w:w="473" w:type="dxa"/>
          </w:tcPr>
          <w:p w14:paraId="332C0EDB" w14:textId="3FD28403" w:rsidR="0097214A" w:rsidRPr="00E53BB2" w:rsidRDefault="0072574D" w:rsidP="00E05FC0">
            <w:pPr>
              <w:rPr>
                <w:b/>
                <w:bCs/>
                <w:sz w:val="24"/>
                <w:szCs w:val="24"/>
              </w:rPr>
            </w:pPr>
            <w:r w:rsidRPr="00E53BB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267F5E13" w14:textId="77777777" w:rsidR="006B20C1" w:rsidRPr="006B20C1" w:rsidRDefault="006B20C1" w:rsidP="006B20C1">
            <w:pPr>
              <w:rPr>
                <w:sz w:val="20"/>
                <w:szCs w:val="20"/>
              </w:rPr>
            </w:pPr>
            <w:r w:rsidRPr="006B20C1">
              <w:rPr>
                <w:sz w:val="20"/>
                <w:szCs w:val="20"/>
              </w:rPr>
              <w:t>Identify pathways to sustainability for identified outputs, that leverages and improves the position and capabilities of different levels of Government, the private sector and civil society.</w:t>
            </w:r>
          </w:p>
          <w:p w14:paraId="3C42B6FC" w14:textId="77777777" w:rsidR="0097214A" w:rsidRPr="006B20C1" w:rsidRDefault="0097214A" w:rsidP="00E05FC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70AD47" w:themeFill="accent6"/>
          </w:tcPr>
          <w:p w14:paraId="6672A9B3" w14:textId="7C9FA259" w:rsidR="0097214A" w:rsidRPr="006B20C1" w:rsidRDefault="00250A0A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46" w:type="dxa"/>
          </w:tcPr>
          <w:p w14:paraId="75F73C61" w14:textId="7DECAE2D" w:rsidR="00D70988" w:rsidRDefault="00A70025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DFAT agrees that more can be done to achiev</w:t>
            </w:r>
            <w:r w:rsidR="00D7098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sustainable</w:t>
            </w:r>
            <w:r w:rsidR="00D70988">
              <w:rPr>
                <w:sz w:val="20"/>
                <w:szCs w:val="20"/>
              </w:rPr>
              <w:t xml:space="preserve"> programming</w:t>
            </w:r>
            <w:r>
              <w:rPr>
                <w:sz w:val="20"/>
                <w:szCs w:val="20"/>
              </w:rPr>
              <w:t xml:space="preserve">. </w:t>
            </w:r>
            <w:r w:rsidR="0069276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</w:t>
            </w:r>
            <w:r w:rsidR="0069276E">
              <w:rPr>
                <w:sz w:val="20"/>
                <w:szCs w:val="20"/>
              </w:rPr>
              <w:t xml:space="preserve">proposed </w:t>
            </w:r>
            <w:r>
              <w:rPr>
                <w:sz w:val="20"/>
                <w:szCs w:val="20"/>
              </w:rPr>
              <w:t xml:space="preserve">Western Province Strategy will </w:t>
            </w:r>
            <w:r w:rsidR="00D70988">
              <w:rPr>
                <w:sz w:val="20"/>
                <w:szCs w:val="20"/>
              </w:rPr>
              <w:t xml:space="preserve">support </w:t>
            </w:r>
            <w:proofErr w:type="spellStart"/>
            <w:r w:rsidR="0069276E">
              <w:rPr>
                <w:sz w:val="20"/>
                <w:szCs w:val="20"/>
              </w:rPr>
              <w:t>this</w:t>
            </w:r>
            <w:r w:rsidR="008267D1">
              <w:rPr>
                <w:sz w:val="20"/>
                <w:szCs w:val="20"/>
              </w:rPr>
              <w:t>by</w:t>
            </w:r>
            <w:proofErr w:type="spellEnd"/>
            <w:r w:rsidR="008267D1">
              <w:rPr>
                <w:sz w:val="20"/>
                <w:szCs w:val="20"/>
              </w:rPr>
              <w:t xml:space="preserve"> provid</w:t>
            </w:r>
            <w:r w:rsidR="00BB16DE">
              <w:rPr>
                <w:sz w:val="20"/>
                <w:szCs w:val="20"/>
              </w:rPr>
              <w:t>ing</w:t>
            </w:r>
            <w:r w:rsidR="0069276E">
              <w:rPr>
                <w:sz w:val="20"/>
                <w:szCs w:val="20"/>
              </w:rPr>
              <w:t xml:space="preserve"> a foundation </w:t>
            </w:r>
            <w:r w:rsidR="00BD30D5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underpin</w:t>
            </w:r>
            <w:r w:rsidR="00D70988">
              <w:rPr>
                <w:sz w:val="20"/>
                <w:szCs w:val="20"/>
              </w:rPr>
              <w:t xml:space="preserve"> predictability and</w:t>
            </w:r>
            <w:r>
              <w:rPr>
                <w:sz w:val="20"/>
                <w:szCs w:val="20"/>
              </w:rPr>
              <w:t xml:space="preserve"> </w:t>
            </w:r>
            <w:r w:rsidR="00D70988">
              <w:rPr>
                <w:sz w:val="20"/>
                <w:szCs w:val="20"/>
              </w:rPr>
              <w:t>sustainability</w:t>
            </w:r>
            <w:r>
              <w:rPr>
                <w:sz w:val="20"/>
                <w:szCs w:val="20"/>
              </w:rPr>
              <w:t xml:space="preserve">. </w:t>
            </w:r>
            <w:r w:rsidR="00D70988">
              <w:rPr>
                <w:sz w:val="20"/>
                <w:szCs w:val="20"/>
              </w:rPr>
              <w:t xml:space="preserve">DFAT has commenced support for an Organisational Capacity Assessment to assist the </w:t>
            </w:r>
            <w:r w:rsidR="0069276E">
              <w:rPr>
                <w:sz w:val="20"/>
                <w:szCs w:val="20"/>
              </w:rPr>
              <w:t xml:space="preserve">Western </w:t>
            </w:r>
            <w:r w:rsidR="00D70988">
              <w:rPr>
                <w:sz w:val="20"/>
                <w:szCs w:val="20"/>
              </w:rPr>
              <w:t xml:space="preserve">Provincial Administration with its planning. World Vision is </w:t>
            </w:r>
            <w:r w:rsidR="0069276E">
              <w:rPr>
                <w:sz w:val="20"/>
                <w:szCs w:val="20"/>
              </w:rPr>
              <w:t xml:space="preserve">also </w:t>
            </w:r>
            <w:r w:rsidR="00D70988">
              <w:rPr>
                <w:sz w:val="20"/>
                <w:szCs w:val="20"/>
              </w:rPr>
              <w:t xml:space="preserve">building social accountability </w:t>
            </w:r>
            <w:r w:rsidR="0069276E">
              <w:rPr>
                <w:sz w:val="20"/>
                <w:szCs w:val="20"/>
              </w:rPr>
              <w:t>of</w:t>
            </w:r>
            <w:r w:rsidR="00D70988">
              <w:rPr>
                <w:sz w:val="20"/>
                <w:szCs w:val="20"/>
              </w:rPr>
              <w:t xml:space="preserve"> WASH investments, and the Community Ranger Program (managed through RRRC) is working across multiple stakeholders to develop a District owned and led food security plan. </w:t>
            </w:r>
          </w:p>
          <w:p w14:paraId="57E53528" w14:textId="52F81C99" w:rsidR="00EA2519" w:rsidRPr="006B20C1" w:rsidRDefault="00EA2519" w:rsidP="00D70988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8D3F9F5" w14:textId="67ED2EAC" w:rsidR="003E73D8" w:rsidRDefault="00D70988" w:rsidP="003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DFAT will continue to work with the </w:t>
            </w:r>
            <w:r w:rsidR="003E73D8">
              <w:rPr>
                <w:sz w:val="20"/>
                <w:szCs w:val="20"/>
              </w:rPr>
              <w:t>Government of PNG to agree and f</w:t>
            </w:r>
            <w:r w:rsidR="00121BAC">
              <w:rPr>
                <w:sz w:val="20"/>
                <w:szCs w:val="20"/>
              </w:rPr>
              <w:t xml:space="preserve">inalise the </w:t>
            </w:r>
            <w:r w:rsidR="003E73D8">
              <w:rPr>
                <w:sz w:val="20"/>
                <w:szCs w:val="20"/>
              </w:rPr>
              <w:t xml:space="preserve">proposed </w:t>
            </w:r>
            <w:r w:rsidR="00121BAC">
              <w:rPr>
                <w:sz w:val="20"/>
                <w:szCs w:val="20"/>
              </w:rPr>
              <w:t>Western Province Strategy</w:t>
            </w:r>
            <w:r w:rsidR="003E73D8">
              <w:rPr>
                <w:sz w:val="20"/>
                <w:szCs w:val="20"/>
              </w:rPr>
              <w:t>. To support implementation of the Strategy the new WPP</w:t>
            </w:r>
            <w:r w:rsidR="000A1C08">
              <w:rPr>
                <w:sz w:val="20"/>
                <w:szCs w:val="20"/>
              </w:rPr>
              <w:t xml:space="preserve"> design </w:t>
            </w:r>
            <w:r w:rsidR="003E73D8">
              <w:rPr>
                <w:sz w:val="20"/>
                <w:szCs w:val="20"/>
              </w:rPr>
              <w:t>will seek to define and articulate sustainability pathways. The design will include a stronger focus on sustainability</w:t>
            </w:r>
            <w:r w:rsidR="00A97F22">
              <w:rPr>
                <w:sz w:val="20"/>
                <w:szCs w:val="20"/>
              </w:rPr>
              <w:t xml:space="preserve"> that </w:t>
            </w:r>
            <w:r w:rsidR="0069276E">
              <w:rPr>
                <w:sz w:val="20"/>
                <w:szCs w:val="20"/>
              </w:rPr>
              <w:t>will</w:t>
            </w:r>
            <w:r w:rsidR="003E73D8">
              <w:rPr>
                <w:sz w:val="20"/>
                <w:szCs w:val="20"/>
              </w:rPr>
              <w:t xml:space="preserve"> include but not </w:t>
            </w:r>
            <w:r w:rsidR="00A97F22">
              <w:rPr>
                <w:sz w:val="20"/>
                <w:szCs w:val="20"/>
              </w:rPr>
              <w:t xml:space="preserve">be </w:t>
            </w:r>
            <w:r w:rsidR="003E73D8">
              <w:rPr>
                <w:sz w:val="20"/>
                <w:szCs w:val="20"/>
              </w:rPr>
              <w:t>limited to:</w:t>
            </w:r>
          </w:p>
          <w:p w14:paraId="57291DAB" w14:textId="55A3AECD" w:rsidR="003E73D8" w:rsidRDefault="003E73D8" w:rsidP="00A97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21BAC">
              <w:rPr>
                <w:rFonts w:asciiTheme="minorHAnsi" w:hAnsiTheme="minorHAnsi"/>
                <w:sz w:val="20"/>
                <w:szCs w:val="20"/>
              </w:rPr>
              <w:lastRenderedPageBreak/>
              <w:t>provincial capacity building</w:t>
            </w:r>
            <w:r w:rsidR="002E6CD2">
              <w:rPr>
                <w:rFonts w:asciiTheme="minorHAnsi" w:hAnsiTheme="minorHAnsi"/>
                <w:sz w:val="20"/>
                <w:szCs w:val="20"/>
              </w:rPr>
              <w:t xml:space="preserve"> identified through Organisational Capacity Assessment of Provincial Administration</w:t>
            </w:r>
          </w:p>
          <w:p w14:paraId="5F641803" w14:textId="605E5177" w:rsidR="003E73D8" w:rsidRDefault="003E73D8" w:rsidP="00A97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strengths-based community development (building on what’s there)</w:t>
            </w:r>
            <w:r w:rsidR="0069276E">
              <w:rPr>
                <w:rFonts w:asciiTheme="minorHAnsi" w:hAnsiTheme="minorHAnsi"/>
                <w:sz w:val="20"/>
                <w:szCs w:val="20"/>
              </w:rPr>
              <w:t>, and</w:t>
            </w:r>
          </w:p>
          <w:p w14:paraId="0F352669" w14:textId="166401A4" w:rsidR="00121BAC" w:rsidRPr="0069276E" w:rsidRDefault="003E73D8" w:rsidP="00A97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integration of community governance support</w:t>
            </w:r>
            <w:r w:rsidR="006927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50F4CAF" w14:textId="2C2DE6CB" w:rsidR="0097214A" w:rsidRPr="006B20C1" w:rsidRDefault="00121BAC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Second half of 2022</w:t>
            </w:r>
            <w:r w:rsidR="003E73D8">
              <w:rPr>
                <w:sz w:val="20"/>
                <w:szCs w:val="20"/>
              </w:rPr>
              <w:t xml:space="preserve"> and 2023</w:t>
            </w:r>
          </w:p>
        </w:tc>
      </w:tr>
      <w:tr w:rsidR="003E73D8" w:rsidRPr="006B20C1" w14:paraId="4A489315" w14:textId="77777777" w:rsidTr="00E27985">
        <w:tc>
          <w:tcPr>
            <w:tcW w:w="473" w:type="dxa"/>
          </w:tcPr>
          <w:p w14:paraId="393475BD" w14:textId="0A1F328C" w:rsidR="0097214A" w:rsidRPr="00E53BB2" w:rsidRDefault="0072574D" w:rsidP="00E05FC0">
            <w:pPr>
              <w:rPr>
                <w:b/>
                <w:bCs/>
                <w:sz w:val="24"/>
                <w:szCs w:val="24"/>
              </w:rPr>
            </w:pPr>
            <w:r w:rsidRPr="00E53BB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1EE10C80" w14:textId="77777777" w:rsidR="006B20C1" w:rsidRPr="006B20C1" w:rsidRDefault="006B20C1" w:rsidP="006B20C1">
            <w:pPr>
              <w:rPr>
                <w:sz w:val="20"/>
                <w:szCs w:val="20"/>
              </w:rPr>
            </w:pPr>
            <w:r w:rsidRPr="006B20C1">
              <w:rPr>
                <w:sz w:val="20"/>
                <w:szCs w:val="20"/>
              </w:rPr>
              <w:t>Increase emphasis on facilitating gender equality</w:t>
            </w:r>
            <w:r w:rsidRPr="006B20C1">
              <w:rPr>
                <w:b/>
                <w:bCs/>
                <w:sz w:val="20"/>
                <w:szCs w:val="20"/>
              </w:rPr>
              <w:t xml:space="preserve"> </w:t>
            </w:r>
            <w:r w:rsidRPr="006B20C1">
              <w:rPr>
                <w:sz w:val="20"/>
                <w:szCs w:val="20"/>
              </w:rPr>
              <w:t xml:space="preserve">through enhancing </w:t>
            </w:r>
            <w:proofErr w:type="spellStart"/>
            <w:r w:rsidRPr="006B20C1">
              <w:rPr>
                <w:sz w:val="20"/>
                <w:szCs w:val="20"/>
              </w:rPr>
              <w:t>i</w:t>
            </w:r>
            <w:proofErr w:type="spellEnd"/>
            <w:r w:rsidRPr="006B20C1">
              <w:rPr>
                <w:sz w:val="20"/>
                <w:szCs w:val="20"/>
              </w:rPr>
              <w:t>) women’s access to training opportunities and decision-making forums, ii) increasing consultation with women’s groups to determine acceptable economic enhancement activities and iii) strengthen women’s access to family sexual violence services and referral pathways.</w:t>
            </w:r>
          </w:p>
          <w:p w14:paraId="77CDCDF7" w14:textId="77777777" w:rsidR="0097214A" w:rsidRDefault="0097214A" w:rsidP="00E05FC0">
            <w:pPr>
              <w:rPr>
                <w:sz w:val="20"/>
                <w:szCs w:val="20"/>
              </w:rPr>
            </w:pPr>
          </w:p>
          <w:p w14:paraId="2C95A077" w14:textId="5A833D26" w:rsidR="00E53BB2" w:rsidRPr="006B20C1" w:rsidRDefault="00E53BB2" w:rsidP="00E05FC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70AD47" w:themeFill="accent6"/>
          </w:tcPr>
          <w:p w14:paraId="0339AFAE" w14:textId="0491CEED" w:rsidR="0097214A" w:rsidRPr="006B20C1" w:rsidRDefault="00250A0A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5646" w:type="dxa"/>
          </w:tcPr>
          <w:p w14:paraId="57154D66" w14:textId="4A730FE2" w:rsidR="00514BCF" w:rsidRPr="0069276E" w:rsidRDefault="00121BAC" w:rsidP="0069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inequality </w:t>
            </w:r>
            <w:r w:rsidR="0069276E">
              <w:rPr>
                <w:sz w:val="20"/>
                <w:szCs w:val="20"/>
              </w:rPr>
              <w:t xml:space="preserve">impacts </w:t>
            </w:r>
            <w:r w:rsidR="003E73D8">
              <w:rPr>
                <w:sz w:val="20"/>
                <w:szCs w:val="20"/>
              </w:rPr>
              <w:t xml:space="preserve">effective and sustainable economic and social </w:t>
            </w:r>
            <w:r>
              <w:rPr>
                <w:sz w:val="20"/>
                <w:szCs w:val="20"/>
              </w:rPr>
              <w:t xml:space="preserve">development in PNG. </w:t>
            </w:r>
            <w:r w:rsidR="00514BCF">
              <w:rPr>
                <w:sz w:val="20"/>
                <w:szCs w:val="20"/>
              </w:rPr>
              <w:t xml:space="preserve">While efforts </w:t>
            </w:r>
            <w:r w:rsidR="00C94BE7">
              <w:rPr>
                <w:sz w:val="20"/>
                <w:szCs w:val="20"/>
              </w:rPr>
              <w:t xml:space="preserve">have been </w:t>
            </w:r>
            <w:r w:rsidR="00514BCF">
              <w:rPr>
                <w:sz w:val="20"/>
                <w:szCs w:val="20"/>
              </w:rPr>
              <w:t xml:space="preserve">made by implementing partners, DFAT agrees that </w:t>
            </w:r>
            <w:r w:rsidR="001A54BF">
              <w:rPr>
                <w:sz w:val="20"/>
                <w:szCs w:val="20"/>
              </w:rPr>
              <w:t xml:space="preserve">greater </w:t>
            </w:r>
            <w:r w:rsidR="00C94BE7">
              <w:rPr>
                <w:sz w:val="20"/>
                <w:szCs w:val="20"/>
              </w:rPr>
              <w:t xml:space="preserve">gender </w:t>
            </w:r>
            <w:r w:rsidR="001A54BF">
              <w:rPr>
                <w:sz w:val="20"/>
                <w:szCs w:val="20"/>
              </w:rPr>
              <w:t xml:space="preserve">expertise could be </w:t>
            </w:r>
            <w:r w:rsidR="0069276E">
              <w:rPr>
                <w:sz w:val="20"/>
                <w:szCs w:val="20"/>
              </w:rPr>
              <w:t xml:space="preserve">better </w:t>
            </w:r>
            <w:r w:rsidR="001A54BF">
              <w:rPr>
                <w:sz w:val="20"/>
                <w:szCs w:val="20"/>
              </w:rPr>
              <w:t>applied</w:t>
            </w:r>
            <w:r w:rsidR="003E73D8">
              <w:rPr>
                <w:sz w:val="20"/>
                <w:szCs w:val="20"/>
              </w:rPr>
              <w:t xml:space="preserve"> to program activities</w:t>
            </w:r>
            <w:r w:rsidR="001A54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</w:tcPr>
          <w:p w14:paraId="6B57D383" w14:textId="3B3528B1" w:rsidR="003E73D8" w:rsidRDefault="003E73D8" w:rsidP="003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will address </w:t>
            </w:r>
            <w:r w:rsidR="0069276E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>recommendation through the WPP</w:t>
            </w:r>
            <w:r w:rsidR="0069276E">
              <w:rPr>
                <w:sz w:val="20"/>
                <w:szCs w:val="20"/>
              </w:rPr>
              <w:t xml:space="preserve"> design process</w:t>
            </w:r>
            <w:r>
              <w:rPr>
                <w:sz w:val="20"/>
                <w:szCs w:val="20"/>
              </w:rPr>
              <w:t xml:space="preserve">. </w:t>
            </w:r>
            <w:r w:rsidR="00C448EB">
              <w:rPr>
                <w:sz w:val="20"/>
                <w:szCs w:val="20"/>
              </w:rPr>
              <w:t xml:space="preserve">Focus will be </w:t>
            </w:r>
            <w:r>
              <w:rPr>
                <w:sz w:val="20"/>
                <w:szCs w:val="20"/>
              </w:rPr>
              <w:t xml:space="preserve">on </w:t>
            </w:r>
            <w:r w:rsidR="00C448EB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main entry points to support the three pillars of gender equality:</w:t>
            </w:r>
          </w:p>
          <w:p w14:paraId="235A2760" w14:textId="0166F51B" w:rsidR="003E73D8" w:rsidRPr="008C51AA" w:rsidRDefault="003E73D8" w:rsidP="005B57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</w:pPr>
            <w:r w:rsidRPr="008C51AA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support women in leadership through access to training, </w:t>
            </w:r>
            <w:r w:rsid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strengthening </w:t>
            </w:r>
            <w:r w:rsidRPr="008C51AA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ward governance and local election support</w:t>
            </w:r>
            <w:r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.</w:t>
            </w:r>
            <w:r w:rsidRPr="008C51AA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</w:t>
            </w:r>
          </w:p>
          <w:p w14:paraId="0FD87245" w14:textId="4AC72E3F" w:rsidR="00C448EB" w:rsidRDefault="003E73D8" w:rsidP="005B57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</w:pPr>
            <w:r w:rsidRPr="008C51AA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revisiting consultations on economic development </w:t>
            </w:r>
            <w:r w:rsid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so it</w:t>
            </w:r>
            <w:r w:rsidR="008114DE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</w:t>
            </w:r>
            <w:r w:rsidR="006000FA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prioritises</w:t>
            </w:r>
            <w:r w:rsidRPr="008C51AA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opportunities for women</w:t>
            </w:r>
            <w:r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.</w:t>
            </w:r>
          </w:p>
          <w:p w14:paraId="67471BD2" w14:textId="2D717B0A" w:rsidR="005B5734" w:rsidRPr="005B5734" w:rsidRDefault="003E73D8" w:rsidP="005B57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</w:pPr>
            <w:r w:rsidRP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identifying how </w:t>
            </w:r>
            <w:r w:rsid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program activities</w:t>
            </w:r>
            <w:r w:rsidRP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can support </w:t>
            </w:r>
            <w:r w:rsid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DFAT’s law and justice</w:t>
            </w:r>
            <w:r w:rsidRP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program efforts on </w:t>
            </w:r>
            <w:r w:rsidR="006A4D18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addressing </w:t>
            </w:r>
            <w:proofErr w:type="gramStart"/>
            <w:r w:rsidRP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gender based</w:t>
            </w:r>
            <w:proofErr w:type="gramEnd"/>
            <w:r w:rsidRP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violence</w:t>
            </w:r>
            <w:r w:rsidR="000166B8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,</w:t>
            </w:r>
            <w:r w:rsidR="00B70E63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</w:t>
            </w:r>
            <w:r w:rsid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particular</w:t>
            </w:r>
            <w:r w:rsidR="000166B8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ly</w:t>
            </w:r>
            <w:r w:rsid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 xml:space="preserve"> </w:t>
            </w:r>
            <w:r w:rsidR="005B5734" w:rsidRP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strengthening women’s access to family sexual violence services and referral pathway</w:t>
            </w:r>
            <w:r w:rsidR="00245976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s</w:t>
            </w:r>
            <w:r w:rsidR="005B5734" w:rsidRPr="005B5734">
              <w:rPr>
                <w:rFonts w:asciiTheme="minorHAnsi" w:hAnsiTheme="minorHAnsi" w:cstheme="minorBidi"/>
                <w:sz w:val="20"/>
                <w:szCs w:val="20"/>
                <w:lang w:val="en-AU" w:eastAsia="en-US"/>
              </w:rPr>
              <w:t>.</w:t>
            </w:r>
            <w:r w:rsidR="005B5734" w:rsidRPr="005B573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14:paraId="2E0328FF" w14:textId="3D47DB85" w:rsidR="0097214A" w:rsidRPr="006B20C1" w:rsidRDefault="008C51AA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half of 2022</w:t>
            </w:r>
            <w:r w:rsidR="00C448EB">
              <w:rPr>
                <w:sz w:val="20"/>
                <w:szCs w:val="20"/>
              </w:rPr>
              <w:t xml:space="preserve"> and through 2023</w:t>
            </w:r>
          </w:p>
        </w:tc>
      </w:tr>
      <w:tr w:rsidR="003E73D8" w:rsidRPr="006B20C1" w14:paraId="71D01CD7" w14:textId="77777777" w:rsidTr="00E27985">
        <w:tc>
          <w:tcPr>
            <w:tcW w:w="473" w:type="dxa"/>
          </w:tcPr>
          <w:p w14:paraId="5D3F5B4D" w14:textId="4D19F689" w:rsidR="0097214A" w:rsidRPr="00E53BB2" w:rsidRDefault="00B43E72" w:rsidP="00E05FC0">
            <w:pPr>
              <w:rPr>
                <w:b/>
                <w:bCs/>
                <w:sz w:val="24"/>
                <w:szCs w:val="24"/>
              </w:rPr>
            </w:pPr>
            <w:r w:rsidRPr="00E53BB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095F2051" w14:textId="77777777" w:rsidR="006B20C1" w:rsidRPr="006B20C1" w:rsidRDefault="006B20C1" w:rsidP="006B20C1">
            <w:pPr>
              <w:rPr>
                <w:sz w:val="20"/>
                <w:szCs w:val="20"/>
              </w:rPr>
            </w:pPr>
            <w:r w:rsidRPr="006B20C1">
              <w:rPr>
                <w:rFonts w:eastAsia="Arial" w:cs="Arial"/>
                <w:sz w:val="20"/>
                <w:szCs w:val="20"/>
              </w:rPr>
              <w:t xml:space="preserve">Resource a gender equality and social inclusion function </w:t>
            </w:r>
            <w:r w:rsidRPr="006B20C1">
              <w:rPr>
                <w:rFonts w:eastAsia="Arial" w:cs="Arial"/>
                <w:sz w:val="20"/>
                <w:szCs w:val="20"/>
              </w:rPr>
              <w:lastRenderedPageBreak/>
              <w:t xml:space="preserve">within the </w:t>
            </w:r>
            <w:proofErr w:type="gramStart"/>
            <w:r w:rsidRPr="006B20C1">
              <w:rPr>
                <w:rFonts w:eastAsia="Arial" w:cs="Arial"/>
                <w:sz w:val="20"/>
                <w:szCs w:val="20"/>
              </w:rPr>
              <w:t>SFRP, and</w:t>
            </w:r>
            <w:proofErr w:type="gramEnd"/>
            <w:r w:rsidRPr="006B20C1">
              <w:rPr>
                <w:rFonts w:eastAsia="Arial" w:cs="Arial"/>
                <w:sz w:val="20"/>
                <w:szCs w:val="20"/>
              </w:rPr>
              <w:t xml:space="preserve"> conduct a gender analysis and a disability analysis to inform current and future programming in Western Province.</w:t>
            </w:r>
          </w:p>
          <w:p w14:paraId="629E8E89" w14:textId="77777777" w:rsidR="0097214A" w:rsidRPr="006B20C1" w:rsidRDefault="0097214A" w:rsidP="00E05FC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70AD47" w:themeFill="accent6"/>
          </w:tcPr>
          <w:p w14:paraId="77CEF761" w14:textId="07624429" w:rsidR="0097214A" w:rsidRPr="006B20C1" w:rsidRDefault="00250A0A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Agree</w:t>
            </w:r>
          </w:p>
        </w:tc>
        <w:tc>
          <w:tcPr>
            <w:tcW w:w="5646" w:type="dxa"/>
          </w:tcPr>
          <w:p w14:paraId="3DFA7F6C" w14:textId="71AAD2F9" w:rsidR="00EA2519" w:rsidRPr="00A70025" w:rsidRDefault="00EA2519" w:rsidP="00EA2519">
            <w:pPr>
              <w:rPr>
                <w:sz w:val="20"/>
                <w:szCs w:val="20"/>
              </w:rPr>
            </w:pPr>
            <w:r w:rsidRPr="00A70025">
              <w:rPr>
                <w:sz w:val="20"/>
                <w:szCs w:val="20"/>
              </w:rPr>
              <w:t>In July</w:t>
            </w:r>
            <w:r w:rsidR="008A59A2">
              <w:rPr>
                <w:sz w:val="20"/>
                <w:szCs w:val="20"/>
              </w:rPr>
              <w:t>,</w:t>
            </w:r>
            <w:r w:rsidRPr="00A70025">
              <w:rPr>
                <w:sz w:val="20"/>
                <w:szCs w:val="20"/>
              </w:rPr>
              <w:t xml:space="preserve"> the APSP submitted a GEDSI </w:t>
            </w:r>
            <w:r w:rsidR="005B5734">
              <w:rPr>
                <w:sz w:val="20"/>
                <w:szCs w:val="20"/>
              </w:rPr>
              <w:t>s</w:t>
            </w:r>
            <w:r w:rsidRPr="00A70025">
              <w:rPr>
                <w:sz w:val="20"/>
                <w:szCs w:val="20"/>
              </w:rPr>
              <w:t>tocktake</w:t>
            </w:r>
            <w:r w:rsidR="005B5734">
              <w:rPr>
                <w:sz w:val="20"/>
                <w:szCs w:val="20"/>
              </w:rPr>
              <w:t>,</w:t>
            </w:r>
            <w:r w:rsidRPr="00A70025">
              <w:rPr>
                <w:sz w:val="20"/>
                <w:szCs w:val="20"/>
              </w:rPr>
              <w:t xml:space="preserve"> which provides a review of SFRP programming, strategies, research, technical </w:t>
            </w:r>
            <w:proofErr w:type="gramStart"/>
            <w:r w:rsidRPr="00A70025">
              <w:rPr>
                <w:sz w:val="20"/>
                <w:szCs w:val="20"/>
              </w:rPr>
              <w:t>assistance</w:t>
            </w:r>
            <w:proofErr w:type="gramEnd"/>
            <w:r w:rsidRPr="00A70025">
              <w:rPr>
                <w:sz w:val="20"/>
                <w:szCs w:val="20"/>
              </w:rPr>
              <w:t xml:space="preserve"> and grants</w:t>
            </w:r>
            <w:r w:rsidR="005B5734">
              <w:rPr>
                <w:sz w:val="20"/>
                <w:szCs w:val="20"/>
              </w:rPr>
              <w:t xml:space="preserve">. </w:t>
            </w:r>
            <w:r w:rsidRPr="00A70025">
              <w:rPr>
                <w:sz w:val="20"/>
                <w:szCs w:val="20"/>
              </w:rPr>
              <w:t xml:space="preserve">The </w:t>
            </w:r>
            <w:r w:rsidR="005B5734">
              <w:rPr>
                <w:sz w:val="20"/>
                <w:szCs w:val="20"/>
              </w:rPr>
              <w:t>s</w:t>
            </w:r>
            <w:r w:rsidRPr="00A70025">
              <w:rPr>
                <w:sz w:val="20"/>
                <w:szCs w:val="20"/>
              </w:rPr>
              <w:t xml:space="preserve">tocktake provides practical </w:t>
            </w:r>
            <w:r w:rsidRPr="00A70025">
              <w:rPr>
                <w:sz w:val="20"/>
                <w:szCs w:val="20"/>
              </w:rPr>
              <w:lastRenderedPageBreak/>
              <w:t xml:space="preserve">recommendations for the </w:t>
            </w:r>
            <w:r w:rsidR="005B5734">
              <w:rPr>
                <w:sz w:val="20"/>
                <w:szCs w:val="20"/>
              </w:rPr>
              <w:t xml:space="preserve">WPP </w:t>
            </w:r>
            <w:r w:rsidRPr="00A70025">
              <w:rPr>
                <w:sz w:val="20"/>
                <w:szCs w:val="20"/>
              </w:rPr>
              <w:t xml:space="preserve">design to strengthen GEDSI mainstreaming and </w:t>
            </w:r>
            <w:r w:rsidR="005B5734">
              <w:rPr>
                <w:sz w:val="20"/>
                <w:szCs w:val="20"/>
              </w:rPr>
              <w:t xml:space="preserve">to </w:t>
            </w:r>
            <w:r w:rsidRPr="00A70025">
              <w:rPr>
                <w:sz w:val="20"/>
                <w:szCs w:val="20"/>
              </w:rPr>
              <w:t xml:space="preserve">identify opportunities for targeted activities to meet the APSP marker as a GEDSI significant investment. </w:t>
            </w:r>
          </w:p>
          <w:p w14:paraId="59F54DBB" w14:textId="77777777" w:rsidR="0097214A" w:rsidRPr="006B20C1" w:rsidRDefault="0097214A" w:rsidP="00C448E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2B3E4C3" w14:textId="092E9A36" w:rsidR="005178E6" w:rsidRPr="006B20C1" w:rsidRDefault="00C448EB" w:rsidP="00C4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DFAT</w:t>
            </w:r>
            <w:r w:rsidRPr="00A70025">
              <w:rPr>
                <w:sz w:val="20"/>
                <w:szCs w:val="20"/>
              </w:rPr>
              <w:t xml:space="preserve"> </w:t>
            </w:r>
            <w:r w:rsidR="005B5734">
              <w:rPr>
                <w:sz w:val="20"/>
                <w:szCs w:val="20"/>
              </w:rPr>
              <w:t xml:space="preserve">will support </w:t>
            </w:r>
            <w:r w:rsidRPr="00A70025">
              <w:rPr>
                <w:sz w:val="20"/>
                <w:szCs w:val="20"/>
              </w:rPr>
              <w:t xml:space="preserve">a comprehensive place-based </w:t>
            </w:r>
            <w:r>
              <w:rPr>
                <w:sz w:val="20"/>
                <w:szCs w:val="20"/>
              </w:rPr>
              <w:t xml:space="preserve">gender and disability prevalence </w:t>
            </w:r>
            <w:r w:rsidRPr="00A70025">
              <w:rPr>
                <w:sz w:val="20"/>
                <w:szCs w:val="20"/>
              </w:rPr>
              <w:t xml:space="preserve">situation analysis </w:t>
            </w:r>
            <w:r w:rsidRPr="00A70025">
              <w:rPr>
                <w:sz w:val="20"/>
                <w:szCs w:val="20"/>
              </w:rPr>
              <w:lastRenderedPageBreak/>
              <w:t xml:space="preserve">and stakeholder mapping as part of </w:t>
            </w:r>
            <w:r>
              <w:rPr>
                <w:sz w:val="20"/>
                <w:szCs w:val="20"/>
              </w:rPr>
              <w:t>the</w:t>
            </w:r>
            <w:r w:rsidRPr="00A70025">
              <w:rPr>
                <w:sz w:val="20"/>
                <w:szCs w:val="20"/>
              </w:rPr>
              <w:t xml:space="preserve"> WPP design</w:t>
            </w:r>
            <w:r>
              <w:rPr>
                <w:sz w:val="20"/>
                <w:szCs w:val="20"/>
              </w:rPr>
              <w:t xml:space="preserve"> process</w:t>
            </w:r>
            <w:r w:rsidR="005B57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A5BE0E9" w14:textId="55518447" w:rsidR="0097214A" w:rsidRPr="006B20C1" w:rsidRDefault="008C51AA" w:rsidP="00E0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Second half of 2022</w:t>
            </w:r>
          </w:p>
        </w:tc>
      </w:tr>
    </w:tbl>
    <w:p w14:paraId="02B68B2C" w14:textId="153AF69E" w:rsidR="00792020" w:rsidRPr="004C5F62" w:rsidRDefault="00792020" w:rsidP="00E05FC0">
      <w:pPr>
        <w:rPr>
          <w:sz w:val="24"/>
          <w:szCs w:val="24"/>
        </w:rPr>
      </w:pPr>
    </w:p>
    <w:sectPr w:rsidR="00792020" w:rsidRPr="004C5F62" w:rsidSect="004B62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F951" w14:textId="77777777" w:rsidR="00437B61" w:rsidRDefault="00437B61" w:rsidP="00E05FC0">
      <w:pPr>
        <w:spacing w:after="0" w:line="240" w:lineRule="auto"/>
      </w:pPr>
      <w:r>
        <w:separator/>
      </w:r>
    </w:p>
  </w:endnote>
  <w:endnote w:type="continuationSeparator" w:id="0">
    <w:p w14:paraId="2EC7A01B" w14:textId="77777777" w:rsidR="00437B61" w:rsidRDefault="00437B61" w:rsidP="00E05FC0">
      <w:pPr>
        <w:spacing w:after="0" w:line="240" w:lineRule="auto"/>
      </w:pPr>
      <w:r>
        <w:continuationSeparator/>
      </w:r>
    </w:p>
  </w:endnote>
  <w:endnote w:type="continuationNotice" w:id="1">
    <w:p w14:paraId="6DE445D2" w14:textId="77777777" w:rsidR="00437B61" w:rsidRDefault="00437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22675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93B0DA" w14:textId="7F935C67" w:rsidR="00786391" w:rsidRDefault="00786391" w:rsidP="00D773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FA68D0" w14:textId="77777777" w:rsidR="00786391" w:rsidRDefault="00786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9690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13987" w14:textId="65819A6F" w:rsidR="00786391" w:rsidRDefault="00786391" w:rsidP="00D773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6A1695" w14:textId="77777777" w:rsidR="00786391" w:rsidRDefault="0078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E539" w14:textId="77777777" w:rsidR="00437B61" w:rsidRDefault="00437B61" w:rsidP="00E05FC0">
      <w:pPr>
        <w:spacing w:after="0" w:line="240" w:lineRule="auto"/>
      </w:pPr>
      <w:r>
        <w:separator/>
      </w:r>
    </w:p>
  </w:footnote>
  <w:footnote w:type="continuationSeparator" w:id="0">
    <w:p w14:paraId="08A63430" w14:textId="77777777" w:rsidR="00437B61" w:rsidRDefault="00437B61" w:rsidP="00E05FC0">
      <w:pPr>
        <w:spacing w:after="0" w:line="240" w:lineRule="auto"/>
      </w:pPr>
      <w:r>
        <w:continuationSeparator/>
      </w:r>
    </w:p>
  </w:footnote>
  <w:footnote w:type="continuationNotice" w:id="1">
    <w:p w14:paraId="32DF0B41" w14:textId="77777777" w:rsidR="00437B61" w:rsidRDefault="00437B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4943" w14:textId="64FB2CDF" w:rsidR="00E05FC0" w:rsidRPr="00664274" w:rsidRDefault="00E05FC0" w:rsidP="00E05FC0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FEA"/>
    <w:multiLevelType w:val="hybridMultilevel"/>
    <w:tmpl w:val="A3A8F464"/>
    <w:lvl w:ilvl="0" w:tplc="2D6A83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15D"/>
    <w:multiLevelType w:val="hybridMultilevel"/>
    <w:tmpl w:val="A2D2E778"/>
    <w:lvl w:ilvl="0" w:tplc="3D5EC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9E4"/>
    <w:multiLevelType w:val="hybridMultilevel"/>
    <w:tmpl w:val="29981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779F"/>
    <w:multiLevelType w:val="hybridMultilevel"/>
    <w:tmpl w:val="A33E1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438A"/>
    <w:multiLevelType w:val="hybridMultilevel"/>
    <w:tmpl w:val="7698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7DD1"/>
    <w:multiLevelType w:val="hybridMultilevel"/>
    <w:tmpl w:val="7698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76D"/>
    <w:multiLevelType w:val="hybridMultilevel"/>
    <w:tmpl w:val="ECF88726"/>
    <w:lvl w:ilvl="0" w:tplc="A6CA15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77717"/>
    <w:multiLevelType w:val="hybridMultilevel"/>
    <w:tmpl w:val="7698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86872"/>
    <w:multiLevelType w:val="hybridMultilevel"/>
    <w:tmpl w:val="7698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D3FC0"/>
    <w:multiLevelType w:val="hybridMultilevel"/>
    <w:tmpl w:val="7698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021ED"/>
    <w:multiLevelType w:val="hybridMultilevel"/>
    <w:tmpl w:val="7698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C0"/>
    <w:rsid w:val="00000A56"/>
    <w:rsid w:val="00011B2B"/>
    <w:rsid w:val="000166B8"/>
    <w:rsid w:val="000243F3"/>
    <w:rsid w:val="000514B9"/>
    <w:rsid w:val="0005751E"/>
    <w:rsid w:val="00070461"/>
    <w:rsid w:val="000707F2"/>
    <w:rsid w:val="0007548E"/>
    <w:rsid w:val="000779B2"/>
    <w:rsid w:val="00084D95"/>
    <w:rsid w:val="000A1C08"/>
    <w:rsid w:val="000A3CCD"/>
    <w:rsid w:val="000B09F1"/>
    <w:rsid w:val="000B0C03"/>
    <w:rsid w:val="000B1C7E"/>
    <w:rsid w:val="000C4D92"/>
    <w:rsid w:val="000D3625"/>
    <w:rsid w:val="000D5CFB"/>
    <w:rsid w:val="000E4305"/>
    <w:rsid w:val="00100A8A"/>
    <w:rsid w:val="0010147E"/>
    <w:rsid w:val="0010338D"/>
    <w:rsid w:val="001157C1"/>
    <w:rsid w:val="00115CC5"/>
    <w:rsid w:val="00117970"/>
    <w:rsid w:val="00121BAC"/>
    <w:rsid w:val="00123569"/>
    <w:rsid w:val="00123F81"/>
    <w:rsid w:val="00141D21"/>
    <w:rsid w:val="0014708E"/>
    <w:rsid w:val="00150538"/>
    <w:rsid w:val="0016734C"/>
    <w:rsid w:val="00167D3E"/>
    <w:rsid w:val="001753C8"/>
    <w:rsid w:val="001927AC"/>
    <w:rsid w:val="001963A7"/>
    <w:rsid w:val="001A54BF"/>
    <w:rsid w:val="001A70C2"/>
    <w:rsid w:val="001A7D0A"/>
    <w:rsid w:val="001B56B3"/>
    <w:rsid w:val="001C660E"/>
    <w:rsid w:val="001D5935"/>
    <w:rsid w:val="001D6149"/>
    <w:rsid w:val="001E2C05"/>
    <w:rsid w:val="001F3C91"/>
    <w:rsid w:val="00230566"/>
    <w:rsid w:val="00231C6D"/>
    <w:rsid w:val="00245976"/>
    <w:rsid w:val="00250077"/>
    <w:rsid w:val="00250A0A"/>
    <w:rsid w:val="00271D8B"/>
    <w:rsid w:val="00272BA7"/>
    <w:rsid w:val="00294F5B"/>
    <w:rsid w:val="002A615C"/>
    <w:rsid w:val="002B1769"/>
    <w:rsid w:val="002B2350"/>
    <w:rsid w:val="002B28AC"/>
    <w:rsid w:val="002C1A13"/>
    <w:rsid w:val="002C683B"/>
    <w:rsid w:val="002D6BC3"/>
    <w:rsid w:val="002E525B"/>
    <w:rsid w:val="002E6CD2"/>
    <w:rsid w:val="002F4541"/>
    <w:rsid w:val="0030468E"/>
    <w:rsid w:val="00333B71"/>
    <w:rsid w:val="00344192"/>
    <w:rsid w:val="00396C56"/>
    <w:rsid w:val="003A0C6E"/>
    <w:rsid w:val="003A0D02"/>
    <w:rsid w:val="003A29CB"/>
    <w:rsid w:val="003A3ABD"/>
    <w:rsid w:val="003C16D3"/>
    <w:rsid w:val="003C631E"/>
    <w:rsid w:val="003D0C6B"/>
    <w:rsid w:val="003D53A0"/>
    <w:rsid w:val="003E2D53"/>
    <w:rsid w:val="003E73D8"/>
    <w:rsid w:val="003F398A"/>
    <w:rsid w:val="004100A1"/>
    <w:rsid w:val="004129C2"/>
    <w:rsid w:val="00424C81"/>
    <w:rsid w:val="00427515"/>
    <w:rsid w:val="00437B61"/>
    <w:rsid w:val="00470837"/>
    <w:rsid w:val="00494229"/>
    <w:rsid w:val="0049538E"/>
    <w:rsid w:val="004A0C0F"/>
    <w:rsid w:val="004A755B"/>
    <w:rsid w:val="004B1A06"/>
    <w:rsid w:val="004B62BF"/>
    <w:rsid w:val="004C0BB3"/>
    <w:rsid w:val="004C5F62"/>
    <w:rsid w:val="004D0252"/>
    <w:rsid w:val="004D27B5"/>
    <w:rsid w:val="004D7599"/>
    <w:rsid w:val="004E28FC"/>
    <w:rsid w:val="004E6526"/>
    <w:rsid w:val="004F223D"/>
    <w:rsid w:val="00514BCF"/>
    <w:rsid w:val="005178E6"/>
    <w:rsid w:val="005334BC"/>
    <w:rsid w:val="00535737"/>
    <w:rsid w:val="005537C9"/>
    <w:rsid w:val="00563559"/>
    <w:rsid w:val="00585134"/>
    <w:rsid w:val="005A09D1"/>
    <w:rsid w:val="005A408E"/>
    <w:rsid w:val="005A617A"/>
    <w:rsid w:val="005A7127"/>
    <w:rsid w:val="005A745B"/>
    <w:rsid w:val="005B5734"/>
    <w:rsid w:val="005C1276"/>
    <w:rsid w:val="005C63C2"/>
    <w:rsid w:val="005D0493"/>
    <w:rsid w:val="005D1751"/>
    <w:rsid w:val="005D41DB"/>
    <w:rsid w:val="005E0951"/>
    <w:rsid w:val="005F13F8"/>
    <w:rsid w:val="005F299E"/>
    <w:rsid w:val="005F68F3"/>
    <w:rsid w:val="006000FA"/>
    <w:rsid w:val="0061040C"/>
    <w:rsid w:val="006249C1"/>
    <w:rsid w:val="00632251"/>
    <w:rsid w:val="006423AB"/>
    <w:rsid w:val="00653790"/>
    <w:rsid w:val="00654A90"/>
    <w:rsid w:val="00663366"/>
    <w:rsid w:val="00664274"/>
    <w:rsid w:val="00671F76"/>
    <w:rsid w:val="0067282D"/>
    <w:rsid w:val="00684F2A"/>
    <w:rsid w:val="0069276E"/>
    <w:rsid w:val="00694E01"/>
    <w:rsid w:val="006A4D18"/>
    <w:rsid w:val="006A5357"/>
    <w:rsid w:val="006B065E"/>
    <w:rsid w:val="006B20C1"/>
    <w:rsid w:val="006B631F"/>
    <w:rsid w:val="006C17E2"/>
    <w:rsid w:val="006C41D7"/>
    <w:rsid w:val="006D77ED"/>
    <w:rsid w:val="006E2109"/>
    <w:rsid w:val="007076DC"/>
    <w:rsid w:val="007204A8"/>
    <w:rsid w:val="0072574D"/>
    <w:rsid w:val="00726237"/>
    <w:rsid w:val="00742617"/>
    <w:rsid w:val="007517BD"/>
    <w:rsid w:val="0075189F"/>
    <w:rsid w:val="00762C95"/>
    <w:rsid w:val="00765048"/>
    <w:rsid w:val="00767A1E"/>
    <w:rsid w:val="00786391"/>
    <w:rsid w:val="00792020"/>
    <w:rsid w:val="007B5497"/>
    <w:rsid w:val="00800482"/>
    <w:rsid w:val="00801569"/>
    <w:rsid w:val="0080465A"/>
    <w:rsid w:val="0080667B"/>
    <w:rsid w:val="00807555"/>
    <w:rsid w:val="008114DE"/>
    <w:rsid w:val="008130D1"/>
    <w:rsid w:val="00813120"/>
    <w:rsid w:val="00824AF4"/>
    <w:rsid w:val="008267D1"/>
    <w:rsid w:val="00831829"/>
    <w:rsid w:val="008458E3"/>
    <w:rsid w:val="00853A2B"/>
    <w:rsid w:val="00860D66"/>
    <w:rsid w:val="00880C7A"/>
    <w:rsid w:val="00890D54"/>
    <w:rsid w:val="00892AC7"/>
    <w:rsid w:val="008A59A2"/>
    <w:rsid w:val="008B51D1"/>
    <w:rsid w:val="008B64FD"/>
    <w:rsid w:val="008C51AA"/>
    <w:rsid w:val="008C604F"/>
    <w:rsid w:val="008D2E6C"/>
    <w:rsid w:val="008D316B"/>
    <w:rsid w:val="008D4647"/>
    <w:rsid w:val="008D5EDA"/>
    <w:rsid w:val="008E015A"/>
    <w:rsid w:val="008E1065"/>
    <w:rsid w:val="00904068"/>
    <w:rsid w:val="00906CC1"/>
    <w:rsid w:val="009153D5"/>
    <w:rsid w:val="00921179"/>
    <w:rsid w:val="00930B01"/>
    <w:rsid w:val="00931681"/>
    <w:rsid w:val="00932DE8"/>
    <w:rsid w:val="00932F97"/>
    <w:rsid w:val="00936978"/>
    <w:rsid w:val="00951A3F"/>
    <w:rsid w:val="00963BAC"/>
    <w:rsid w:val="00965214"/>
    <w:rsid w:val="0097214A"/>
    <w:rsid w:val="00974EFF"/>
    <w:rsid w:val="00983520"/>
    <w:rsid w:val="00985299"/>
    <w:rsid w:val="00987E43"/>
    <w:rsid w:val="009C529C"/>
    <w:rsid w:val="009D4374"/>
    <w:rsid w:val="009E6001"/>
    <w:rsid w:val="009F36B1"/>
    <w:rsid w:val="00A005C7"/>
    <w:rsid w:val="00A111EC"/>
    <w:rsid w:val="00A11200"/>
    <w:rsid w:val="00A20684"/>
    <w:rsid w:val="00A219DE"/>
    <w:rsid w:val="00A30AAF"/>
    <w:rsid w:val="00A34ECD"/>
    <w:rsid w:val="00A36E81"/>
    <w:rsid w:val="00A4170C"/>
    <w:rsid w:val="00A51C1B"/>
    <w:rsid w:val="00A57EA2"/>
    <w:rsid w:val="00A600C6"/>
    <w:rsid w:val="00A65D7E"/>
    <w:rsid w:val="00A70025"/>
    <w:rsid w:val="00A72ABB"/>
    <w:rsid w:val="00A774B1"/>
    <w:rsid w:val="00A84975"/>
    <w:rsid w:val="00A9016A"/>
    <w:rsid w:val="00A97F22"/>
    <w:rsid w:val="00AA1193"/>
    <w:rsid w:val="00AB4BA2"/>
    <w:rsid w:val="00AC36FA"/>
    <w:rsid w:val="00AD0741"/>
    <w:rsid w:val="00AD6786"/>
    <w:rsid w:val="00AE3B1F"/>
    <w:rsid w:val="00AE41F5"/>
    <w:rsid w:val="00B1628F"/>
    <w:rsid w:val="00B278BE"/>
    <w:rsid w:val="00B43E72"/>
    <w:rsid w:val="00B44DB2"/>
    <w:rsid w:val="00B60FB8"/>
    <w:rsid w:val="00B70E63"/>
    <w:rsid w:val="00B7484A"/>
    <w:rsid w:val="00B83E65"/>
    <w:rsid w:val="00B873C2"/>
    <w:rsid w:val="00B935AA"/>
    <w:rsid w:val="00BA7439"/>
    <w:rsid w:val="00BB16DE"/>
    <w:rsid w:val="00BB57AB"/>
    <w:rsid w:val="00BD30D5"/>
    <w:rsid w:val="00BE0BDD"/>
    <w:rsid w:val="00BE4EF7"/>
    <w:rsid w:val="00C26AE1"/>
    <w:rsid w:val="00C26D79"/>
    <w:rsid w:val="00C31922"/>
    <w:rsid w:val="00C4140B"/>
    <w:rsid w:val="00C448EB"/>
    <w:rsid w:val="00C47EDA"/>
    <w:rsid w:val="00C50CEF"/>
    <w:rsid w:val="00C5719B"/>
    <w:rsid w:val="00C64513"/>
    <w:rsid w:val="00C67900"/>
    <w:rsid w:val="00C94BE7"/>
    <w:rsid w:val="00CC03B6"/>
    <w:rsid w:val="00CC1057"/>
    <w:rsid w:val="00CC5509"/>
    <w:rsid w:val="00CD5FB6"/>
    <w:rsid w:val="00CE27BB"/>
    <w:rsid w:val="00CE4C25"/>
    <w:rsid w:val="00CE51CF"/>
    <w:rsid w:val="00CE7B57"/>
    <w:rsid w:val="00D03CEC"/>
    <w:rsid w:val="00D169F0"/>
    <w:rsid w:val="00D276E4"/>
    <w:rsid w:val="00D342F9"/>
    <w:rsid w:val="00D41517"/>
    <w:rsid w:val="00D477C5"/>
    <w:rsid w:val="00D556F4"/>
    <w:rsid w:val="00D61B3A"/>
    <w:rsid w:val="00D66AE1"/>
    <w:rsid w:val="00D708E0"/>
    <w:rsid w:val="00D70988"/>
    <w:rsid w:val="00D7584C"/>
    <w:rsid w:val="00D87212"/>
    <w:rsid w:val="00DA4BB2"/>
    <w:rsid w:val="00DA54F5"/>
    <w:rsid w:val="00DB1126"/>
    <w:rsid w:val="00DB4B23"/>
    <w:rsid w:val="00DB6D2B"/>
    <w:rsid w:val="00DC6E54"/>
    <w:rsid w:val="00DD0E27"/>
    <w:rsid w:val="00DE068B"/>
    <w:rsid w:val="00DE3EB9"/>
    <w:rsid w:val="00DF12F8"/>
    <w:rsid w:val="00DF4071"/>
    <w:rsid w:val="00E02BB4"/>
    <w:rsid w:val="00E0452C"/>
    <w:rsid w:val="00E05FC0"/>
    <w:rsid w:val="00E06146"/>
    <w:rsid w:val="00E07E18"/>
    <w:rsid w:val="00E10A5D"/>
    <w:rsid w:val="00E13D6C"/>
    <w:rsid w:val="00E16186"/>
    <w:rsid w:val="00E16956"/>
    <w:rsid w:val="00E23B52"/>
    <w:rsid w:val="00E2643C"/>
    <w:rsid w:val="00E26824"/>
    <w:rsid w:val="00E27985"/>
    <w:rsid w:val="00E33F03"/>
    <w:rsid w:val="00E42FCE"/>
    <w:rsid w:val="00E50E35"/>
    <w:rsid w:val="00E53380"/>
    <w:rsid w:val="00E53BB2"/>
    <w:rsid w:val="00E63589"/>
    <w:rsid w:val="00E64392"/>
    <w:rsid w:val="00E6737E"/>
    <w:rsid w:val="00E70C01"/>
    <w:rsid w:val="00E70ECB"/>
    <w:rsid w:val="00E7131F"/>
    <w:rsid w:val="00E80100"/>
    <w:rsid w:val="00E97BCF"/>
    <w:rsid w:val="00EA069F"/>
    <w:rsid w:val="00EA2519"/>
    <w:rsid w:val="00EA2EF5"/>
    <w:rsid w:val="00EA3008"/>
    <w:rsid w:val="00EB21F1"/>
    <w:rsid w:val="00EB6FA5"/>
    <w:rsid w:val="00EC4DCF"/>
    <w:rsid w:val="00EC7494"/>
    <w:rsid w:val="00ED0F7A"/>
    <w:rsid w:val="00EE7074"/>
    <w:rsid w:val="00EF0CA9"/>
    <w:rsid w:val="00EF683A"/>
    <w:rsid w:val="00F10E7C"/>
    <w:rsid w:val="00F11C6D"/>
    <w:rsid w:val="00F136B1"/>
    <w:rsid w:val="00F1393A"/>
    <w:rsid w:val="00F30379"/>
    <w:rsid w:val="00F31161"/>
    <w:rsid w:val="00F51936"/>
    <w:rsid w:val="00F721B3"/>
    <w:rsid w:val="00F753FC"/>
    <w:rsid w:val="00F76E3B"/>
    <w:rsid w:val="00F8411F"/>
    <w:rsid w:val="00F859F5"/>
    <w:rsid w:val="00F90332"/>
    <w:rsid w:val="00FD5C22"/>
    <w:rsid w:val="00FE36B9"/>
    <w:rsid w:val="00FF057F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1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C0"/>
  </w:style>
  <w:style w:type="paragraph" w:styleId="Footer">
    <w:name w:val="footer"/>
    <w:basedOn w:val="Normal"/>
    <w:link w:val="FooterChar"/>
    <w:uiPriority w:val="99"/>
    <w:unhideWhenUsed/>
    <w:rsid w:val="00E0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C0"/>
  </w:style>
  <w:style w:type="table" w:styleId="TableGrid">
    <w:name w:val="Table Grid"/>
    <w:basedOn w:val="TableNormal"/>
    <w:uiPriority w:val="39"/>
    <w:rsid w:val="0097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graph Char,Bullets level 1 Char,123 List Paragraph Char,List Paragraph1 Char,List Paragraph11 Char,List Paragraph2 Char,Bulit List -  Paragraph Char,Main numbered paragraph Char,Numbered List Paragraph Char,L Char"/>
    <w:basedOn w:val="DefaultParagraphFont"/>
    <w:link w:val="ListParagraph"/>
    <w:uiPriority w:val="34"/>
    <w:qFormat/>
    <w:locked/>
    <w:rsid w:val="00D708E0"/>
    <w:rPr>
      <w:rFonts w:ascii="Arial" w:hAnsi="Arial" w:cstheme="minorHAnsi"/>
      <w:lang w:val="en-GB" w:eastAsia="en-GB"/>
    </w:rPr>
  </w:style>
  <w:style w:type="paragraph" w:styleId="ListParagraph">
    <w:name w:val="List Paragraph"/>
    <w:aliases w:val="Numbered Paragraph,Bullets level 1,123 List Paragraph,List Paragraph1,List Paragraph11,List Paragraph2,Bulit List -  Paragraph,Main numbered paragraph,Numbered List Paragraph,L,CV text,F5 List Paragraph,Dot pt,Medium Grid 1 - Accent 21"/>
    <w:basedOn w:val="Normal"/>
    <w:link w:val="ListParagraphChar"/>
    <w:uiPriority w:val="34"/>
    <w:qFormat/>
    <w:rsid w:val="00D708E0"/>
    <w:pPr>
      <w:spacing w:before="120" w:after="120" w:line="276" w:lineRule="auto"/>
      <w:ind w:left="720"/>
      <w:jc w:val="both"/>
    </w:pPr>
    <w:rPr>
      <w:rFonts w:ascii="Arial" w:hAnsi="Arial" w:cstheme="minorHAnsi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EA2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519"/>
    <w:rPr>
      <w:sz w:val="20"/>
      <w:szCs w:val="20"/>
    </w:rPr>
  </w:style>
  <w:style w:type="paragraph" w:styleId="Revision">
    <w:name w:val="Revision"/>
    <w:hidden/>
    <w:uiPriority w:val="99"/>
    <w:semiHidden/>
    <w:rsid w:val="00C3192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86391"/>
  </w:style>
  <w:style w:type="character" w:styleId="CommentReference">
    <w:name w:val="annotation reference"/>
    <w:basedOn w:val="DefaultParagraphFont"/>
    <w:uiPriority w:val="99"/>
    <w:semiHidden/>
    <w:unhideWhenUsed/>
    <w:rsid w:val="006A4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C2E9E2-005B-DB47-ABD0-E3C8FF49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10942</Characters>
  <Application>Microsoft Office Word</Application>
  <DocSecurity>0</DocSecurity>
  <Lines>377</Lines>
  <Paragraphs>79</Paragraphs>
  <ScaleCrop>false</ScaleCrop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Review of the South Fly Resilience Plan - Management Response</dc:title>
  <dc:subject/>
  <dc:creator/>
  <cp:keywords/>
  <dc:description/>
  <cp:lastModifiedBy/>
  <cp:revision>1</cp:revision>
  <dcterms:created xsi:type="dcterms:W3CDTF">2022-08-10T01:20:00Z</dcterms:created>
  <dcterms:modified xsi:type="dcterms:W3CDTF">2022-08-10T01:21:00Z</dcterms:modified>
  <cp:category/>
</cp:coreProperties>
</file>