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0A313" w14:textId="123F545D" w:rsidR="00E10EAF" w:rsidRDefault="00E10EAF" w:rsidP="009B6F4E">
      <w:pPr>
        <w:pStyle w:val="Title"/>
      </w:pPr>
    </w:p>
    <w:p w14:paraId="229441DD" w14:textId="77777777" w:rsidR="00681820" w:rsidRPr="00681820" w:rsidRDefault="00681820" w:rsidP="007500D7"/>
    <w:p w14:paraId="29DCC88D" w14:textId="273548E8" w:rsidR="00505928" w:rsidRDefault="006B5B57" w:rsidP="00505928">
      <w:pPr>
        <w:pStyle w:val="Title"/>
      </w:pPr>
      <w:r>
        <w:t>Independent review</w:t>
      </w:r>
    </w:p>
    <w:p w14:paraId="160688FD" w14:textId="6CA176A3" w:rsidR="00505928" w:rsidRPr="00505928" w:rsidRDefault="006B5B57" w:rsidP="00505928">
      <w:pPr>
        <w:rPr>
          <w:rFonts w:ascii="Poppins" w:hAnsi="Poppins" w:cs="Poppins"/>
          <w:b/>
          <w:bCs/>
          <w:color w:val="0B1F51"/>
          <w:sz w:val="40"/>
          <w:szCs w:val="40"/>
        </w:rPr>
      </w:pPr>
      <w:r>
        <w:rPr>
          <w:rFonts w:ascii="Poppins" w:hAnsi="Poppins" w:cs="Poppins"/>
          <w:b/>
          <w:bCs/>
          <w:color w:val="0B1F51"/>
          <w:sz w:val="40"/>
          <w:szCs w:val="40"/>
        </w:rPr>
        <w:t>South Fly Resilience Plan</w:t>
      </w:r>
    </w:p>
    <w:p w14:paraId="13C21B7E" w14:textId="77777777" w:rsidR="00505928" w:rsidRDefault="003C3C70" w:rsidP="009B6F4E">
      <w:pPr>
        <w:pStyle w:val="Subtitle"/>
        <w:rPr>
          <w:color w:val="0B1F51"/>
        </w:rPr>
      </w:pPr>
      <w:r>
        <w:rPr>
          <w:noProof/>
          <w:color w:val="0B1F51"/>
        </w:rPr>
        <w:pict w14:anchorId="6119BB56">
          <v:rect id="_x0000_i1025" alt="" style="width:451pt;height:6pt;mso-width-percent:0;mso-height-percent:0;mso-width-percent:0;mso-height-percent:0" o:hralign="center" o:hrstd="t" o:hrnoshade="t" o:hr="t" fillcolor="#45a7e1 [3204]" stroked="f"/>
        </w:pict>
      </w:r>
    </w:p>
    <w:p w14:paraId="18A5727D" w14:textId="47959192" w:rsidR="0073416D" w:rsidRDefault="002E015D" w:rsidP="009B6F4E">
      <w:pPr>
        <w:pStyle w:val="Subtitle"/>
        <w:rPr>
          <w:color w:val="0B1F51"/>
        </w:rPr>
      </w:pPr>
      <w:r>
        <w:rPr>
          <w:color w:val="0B1F51"/>
        </w:rPr>
        <w:t xml:space="preserve">Report - </w:t>
      </w:r>
      <w:r w:rsidR="006E7FA0">
        <w:rPr>
          <w:color w:val="0B1F51"/>
        </w:rPr>
        <w:t xml:space="preserve">June </w:t>
      </w:r>
      <w:r w:rsidR="006B5B57">
        <w:rPr>
          <w:color w:val="0B1F51"/>
        </w:rPr>
        <w:t>2022</w:t>
      </w:r>
    </w:p>
    <w:p w14:paraId="1E25E45A" w14:textId="77777777" w:rsidR="00030F6B" w:rsidRDefault="00030F6B" w:rsidP="00030F6B"/>
    <w:p w14:paraId="2EB61A5A" w14:textId="77777777" w:rsidR="00030F6B" w:rsidRDefault="00030F6B" w:rsidP="00030F6B">
      <w:r>
        <w:t xml:space="preserve">Submitted by: </w:t>
      </w:r>
    </w:p>
    <w:p w14:paraId="1B1DB761" w14:textId="48D4E950" w:rsidR="00030F6B" w:rsidRDefault="31A9DF3B" w:rsidP="006B5B57">
      <w:pPr>
        <w:ind w:left="720"/>
      </w:pPr>
      <w:r>
        <w:t>Roselyne Kenneth &amp; James Lloyd</w:t>
      </w:r>
    </w:p>
    <w:p w14:paraId="5E10BF0E" w14:textId="77777777" w:rsidR="00030F6B" w:rsidRDefault="00030F6B" w:rsidP="00030F6B">
      <w:r>
        <w:t xml:space="preserve">Submitted to: </w:t>
      </w:r>
    </w:p>
    <w:p w14:paraId="437E6C7A" w14:textId="484AC9B6" w:rsidR="00030F6B" w:rsidRDefault="00F2623B" w:rsidP="00030F6B">
      <w:pPr>
        <w:ind w:firstLine="720"/>
      </w:pPr>
      <w:r>
        <w:t>James Marshall – Australian High Commission, P</w:t>
      </w:r>
      <w:r w:rsidR="00F42389">
        <w:t>apua New Guinea</w:t>
      </w:r>
      <w:r>
        <w:t xml:space="preserve"> </w:t>
      </w:r>
    </w:p>
    <w:p w14:paraId="64146FD7" w14:textId="77777777" w:rsidR="00030F6B" w:rsidRPr="00030F6B" w:rsidRDefault="00030F6B" w:rsidP="00030F6B"/>
    <w:p w14:paraId="7F137E0B" w14:textId="77777777" w:rsidR="00E10EAF" w:rsidRDefault="00E10EAF" w:rsidP="009B6F4E"/>
    <w:p w14:paraId="29D75E43" w14:textId="77777777" w:rsidR="00030F6B" w:rsidRDefault="00030F6B" w:rsidP="009B6F4E">
      <w:pPr>
        <w:sectPr w:rsidR="00030F6B" w:rsidSect="00C316E4">
          <w:headerReference w:type="default" r:id="rId8"/>
          <w:footerReference w:type="even" r:id="rId9"/>
          <w:footerReference w:type="default" r:id="rId10"/>
          <w:headerReference w:type="first" r:id="rId11"/>
          <w:footerReference w:type="first" r:id="rId12"/>
          <w:pgSz w:w="11900" w:h="16840" w:code="9"/>
          <w:pgMar w:top="1440" w:right="1440" w:bottom="1440" w:left="1440" w:header="709" w:footer="709" w:gutter="0"/>
          <w:cols w:space="708"/>
          <w:titlePg/>
          <w:docGrid w:linePitch="360"/>
        </w:sectPr>
      </w:pPr>
      <w:r>
        <w:rPr>
          <w:noProof/>
        </w:rPr>
        <w:drawing>
          <wp:anchor distT="0" distB="0" distL="114300" distR="114300" simplePos="0" relativeHeight="251658240" behindDoc="0" locked="0" layoutInCell="1" allowOverlap="1" wp14:anchorId="112A8821" wp14:editId="3D652C8D">
            <wp:simplePos x="0" y="0"/>
            <wp:positionH relativeFrom="margin">
              <wp:posOffset>3152775</wp:posOffset>
            </wp:positionH>
            <wp:positionV relativeFrom="margin">
              <wp:posOffset>7486015</wp:posOffset>
            </wp:positionV>
            <wp:extent cx="2576830" cy="805815"/>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6830" cy="805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480A54" w14:textId="77777777" w:rsidR="009B6F4E" w:rsidRPr="009B6F4E" w:rsidRDefault="009B6F4E" w:rsidP="009B6F4E">
      <w:pPr>
        <w:pStyle w:val="Heading1"/>
      </w:pPr>
      <w:bookmarkStart w:id="0" w:name="_Toc35360740"/>
      <w:bookmarkStart w:id="1" w:name="_Toc88559762"/>
      <w:bookmarkStart w:id="2" w:name="_Toc88562270"/>
      <w:bookmarkStart w:id="3" w:name="_Toc108259978"/>
      <w:r w:rsidRPr="009B6F4E">
        <w:lastRenderedPageBreak/>
        <w:t>About the QTAG</w:t>
      </w:r>
      <w:bookmarkEnd w:id="0"/>
      <w:bookmarkEnd w:id="1"/>
      <w:bookmarkEnd w:id="2"/>
      <w:bookmarkEnd w:id="3"/>
    </w:p>
    <w:p w14:paraId="54C11820" w14:textId="77777777" w:rsidR="009B6F4E" w:rsidRPr="009B6F4E" w:rsidRDefault="009B6F4E" w:rsidP="009B6F4E">
      <w:pPr>
        <w:pStyle w:val="BodyText"/>
      </w:pPr>
      <w:r w:rsidRPr="009B6F4E">
        <w:t>The Quality and Technical Assurance Group (QTAG) provides strategic, advisory, review, and quality assurance capability and services to support the delivery of Australia’s aid program in Papua New Guinea. It is designed to assure both governments that the agreed development objectives are being addressed efficiently and effectively and that development outcomes are emerging.</w:t>
      </w:r>
    </w:p>
    <w:p w14:paraId="0EC754C7" w14:textId="77777777" w:rsidR="009B6F4E" w:rsidRPr="009B6F4E" w:rsidRDefault="009B6F4E" w:rsidP="009B6F4E">
      <w:pPr>
        <w:pStyle w:val="BodyText"/>
      </w:pPr>
      <w:r w:rsidRPr="009B6F4E">
        <w:t>The goal of the QTAG is to improve the quality and performance of the Australian Government Department of Foreign Affairs and Trade (DFAT) and Government of Papua New Guinea (GoPNG) programs that support stability and inclusive growth in Papua New Guinea.</w:t>
      </w:r>
    </w:p>
    <w:p w14:paraId="100BFEE8" w14:textId="77777777" w:rsidR="009B6F4E" w:rsidRPr="009B6F4E" w:rsidRDefault="009B6F4E" w:rsidP="009B6F4E">
      <w:pPr>
        <w:pStyle w:val="BodyText"/>
      </w:pPr>
      <w:r w:rsidRPr="009B6F4E">
        <w:t>The objective of the QTAG is to enable DFAT and the GoPNG to make more informed decisions and exercise greater accountability for the performance and quality of agreed strategies and selected projects.</w:t>
      </w:r>
    </w:p>
    <w:p w14:paraId="373ECEFE" w14:textId="77777777" w:rsidR="009B6F4E" w:rsidRPr="009B6F4E" w:rsidRDefault="009B6F4E" w:rsidP="009B6F4E">
      <w:pPr>
        <w:pStyle w:val="BodyText"/>
      </w:pPr>
      <w:r w:rsidRPr="009B6F4E">
        <w:t xml:space="preserve">The QTAG is implemented by Oxford Policy Management (OPM) Australia. </w:t>
      </w:r>
    </w:p>
    <w:p w14:paraId="7F97AF66" w14:textId="77777777" w:rsidR="00322E1B" w:rsidRDefault="00322E1B">
      <w:pPr>
        <w:spacing w:after="0" w:line="240" w:lineRule="auto"/>
        <w:jc w:val="left"/>
      </w:pPr>
      <w:r>
        <w:br w:type="page"/>
      </w:r>
    </w:p>
    <w:p w14:paraId="7930E70B" w14:textId="77777777" w:rsidR="00EC72B2" w:rsidRDefault="00EC72B2" w:rsidP="00322E1B">
      <w:pPr>
        <w:pStyle w:val="Heading1"/>
        <w:sectPr w:rsidR="00EC72B2" w:rsidSect="00C316E4">
          <w:headerReference w:type="first" r:id="rId14"/>
          <w:footerReference w:type="first" r:id="rId15"/>
          <w:pgSz w:w="11900" w:h="16840" w:code="9"/>
          <w:pgMar w:top="1440" w:right="1440" w:bottom="1440" w:left="1440" w:header="709" w:footer="709" w:gutter="0"/>
          <w:pgNumType w:fmt="lowerRoman"/>
          <w:cols w:space="708"/>
          <w:titlePg/>
          <w:docGrid w:linePitch="360"/>
        </w:sectPr>
      </w:pPr>
    </w:p>
    <w:p w14:paraId="641C8F19" w14:textId="77777777" w:rsidR="00EC72B2" w:rsidRDefault="00EC72B2" w:rsidP="00EC72B2">
      <w:pPr>
        <w:pStyle w:val="Heading1"/>
      </w:pPr>
      <w:bookmarkStart w:id="4" w:name="_Toc88562271"/>
      <w:bookmarkStart w:id="5" w:name="_Toc108259979"/>
      <w:r>
        <w:lastRenderedPageBreak/>
        <w:t>Executive Summary</w:t>
      </w:r>
      <w:bookmarkEnd w:id="4"/>
      <w:bookmarkEnd w:id="5"/>
      <w:r>
        <w:t xml:space="preserve"> </w:t>
      </w:r>
    </w:p>
    <w:p w14:paraId="52DC2A27" w14:textId="02C0F434" w:rsidR="000C2B0B" w:rsidRDefault="000C2B0B" w:rsidP="006C3C02">
      <w:pPr>
        <w:pStyle w:val="OPMBodytext"/>
        <w:spacing w:line="276" w:lineRule="auto"/>
        <w:jc w:val="both"/>
        <w:rPr>
          <w:sz w:val="22"/>
          <w:szCs w:val="22"/>
        </w:rPr>
      </w:pPr>
      <w:r>
        <w:rPr>
          <w:sz w:val="22"/>
          <w:szCs w:val="22"/>
        </w:rPr>
        <w:t>This document sets out the findings of the independent review of the South Fly Resilience Pla</w:t>
      </w:r>
      <w:r w:rsidR="001141B1">
        <w:rPr>
          <w:sz w:val="22"/>
          <w:szCs w:val="22"/>
        </w:rPr>
        <w:t>n.</w:t>
      </w:r>
      <w:r w:rsidR="00B4715F">
        <w:rPr>
          <w:sz w:val="22"/>
          <w:szCs w:val="22"/>
        </w:rPr>
        <w:t xml:space="preserve"> </w:t>
      </w:r>
      <w:r>
        <w:rPr>
          <w:sz w:val="22"/>
          <w:szCs w:val="22"/>
        </w:rPr>
        <w:t xml:space="preserve">The </w:t>
      </w:r>
      <w:r w:rsidR="007767E2">
        <w:rPr>
          <w:sz w:val="22"/>
          <w:szCs w:val="22"/>
        </w:rPr>
        <w:t>team</w:t>
      </w:r>
      <w:r>
        <w:rPr>
          <w:sz w:val="22"/>
          <w:szCs w:val="22"/>
        </w:rPr>
        <w:t xml:space="preserve"> conducted</w:t>
      </w:r>
      <w:r w:rsidR="007767E2">
        <w:rPr>
          <w:sz w:val="22"/>
          <w:szCs w:val="22"/>
        </w:rPr>
        <w:t xml:space="preserve"> the review</w:t>
      </w:r>
      <w:r>
        <w:rPr>
          <w:sz w:val="22"/>
          <w:szCs w:val="22"/>
        </w:rPr>
        <w:t xml:space="preserve"> in April – May 2022 and utilised a theory-based approach. The</w:t>
      </w:r>
      <w:r w:rsidR="007767E2">
        <w:rPr>
          <w:sz w:val="22"/>
          <w:szCs w:val="22"/>
        </w:rPr>
        <w:t xml:space="preserve"> findings of the</w:t>
      </w:r>
      <w:r>
        <w:rPr>
          <w:sz w:val="22"/>
          <w:szCs w:val="22"/>
        </w:rPr>
        <w:t xml:space="preserve"> review </w:t>
      </w:r>
      <w:r w:rsidR="007767E2">
        <w:rPr>
          <w:sz w:val="22"/>
          <w:szCs w:val="22"/>
        </w:rPr>
        <w:t>are</w:t>
      </w:r>
      <w:r>
        <w:rPr>
          <w:sz w:val="22"/>
          <w:szCs w:val="22"/>
        </w:rPr>
        <w:t xml:space="preserve"> based upon document </w:t>
      </w:r>
      <w:r w:rsidR="007767E2">
        <w:rPr>
          <w:sz w:val="22"/>
          <w:szCs w:val="22"/>
        </w:rPr>
        <w:t>analysis</w:t>
      </w:r>
      <w:r>
        <w:rPr>
          <w:sz w:val="22"/>
          <w:szCs w:val="22"/>
        </w:rPr>
        <w:t xml:space="preserve">, consultations with key stakeholders and communities and </w:t>
      </w:r>
      <w:r w:rsidR="007767E2">
        <w:rPr>
          <w:sz w:val="22"/>
          <w:szCs w:val="22"/>
        </w:rPr>
        <w:t>fieldwork</w:t>
      </w:r>
      <w:r>
        <w:rPr>
          <w:sz w:val="22"/>
          <w:szCs w:val="22"/>
        </w:rPr>
        <w:t xml:space="preserve"> </w:t>
      </w:r>
      <w:r w:rsidR="007767E2">
        <w:rPr>
          <w:sz w:val="22"/>
          <w:szCs w:val="22"/>
        </w:rPr>
        <w:t>in</w:t>
      </w:r>
      <w:r>
        <w:rPr>
          <w:sz w:val="22"/>
          <w:szCs w:val="22"/>
        </w:rPr>
        <w:t xml:space="preserve"> Papua New Guinea, including </w:t>
      </w:r>
      <w:r w:rsidR="007767E2">
        <w:rPr>
          <w:sz w:val="22"/>
          <w:szCs w:val="22"/>
        </w:rPr>
        <w:t xml:space="preserve">in </w:t>
      </w:r>
      <w:r>
        <w:rPr>
          <w:sz w:val="22"/>
          <w:szCs w:val="22"/>
        </w:rPr>
        <w:t xml:space="preserve">the South Fly District. </w:t>
      </w:r>
    </w:p>
    <w:p w14:paraId="58943AB8" w14:textId="05CB048D" w:rsidR="00410214" w:rsidRDefault="00F30A6C" w:rsidP="006C3C02">
      <w:pPr>
        <w:pStyle w:val="OPMBodytext"/>
        <w:spacing w:line="276" w:lineRule="auto"/>
        <w:jc w:val="both"/>
        <w:rPr>
          <w:sz w:val="22"/>
          <w:szCs w:val="22"/>
        </w:rPr>
      </w:pPr>
      <w:r w:rsidRPr="006C3C02">
        <w:rPr>
          <w:sz w:val="22"/>
          <w:szCs w:val="22"/>
        </w:rPr>
        <w:t xml:space="preserve">The </w:t>
      </w:r>
      <w:r w:rsidR="003910D6" w:rsidRPr="006C3C02">
        <w:rPr>
          <w:sz w:val="22"/>
          <w:szCs w:val="22"/>
        </w:rPr>
        <w:t xml:space="preserve">South Fly </w:t>
      </w:r>
      <w:r w:rsidR="0057295F" w:rsidRPr="006C3C02">
        <w:rPr>
          <w:sz w:val="22"/>
          <w:szCs w:val="22"/>
        </w:rPr>
        <w:t>District</w:t>
      </w:r>
      <w:r w:rsidRPr="006C3C02">
        <w:rPr>
          <w:sz w:val="22"/>
          <w:szCs w:val="22"/>
        </w:rPr>
        <w:t xml:space="preserve"> </w:t>
      </w:r>
      <w:r w:rsidR="00226669" w:rsidRPr="006C3C02">
        <w:rPr>
          <w:sz w:val="22"/>
          <w:szCs w:val="22"/>
        </w:rPr>
        <w:t xml:space="preserve">in Papua New Guinea </w:t>
      </w:r>
      <w:r w:rsidRPr="006C3C02">
        <w:rPr>
          <w:sz w:val="22"/>
          <w:szCs w:val="22"/>
        </w:rPr>
        <w:t xml:space="preserve">has a high incidence of </w:t>
      </w:r>
      <w:r w:rsidR="00410214" w:rsidRPr="006C3C02">
        <w:rPr>
          <w:sz w:val="22"/>
          <w:szCs w:val="22"/>
        </w:rPr>
        <w:t>multi-dimensional</w:t>
      </w:r>
      <w:r w:rsidRPr="006C3C02">
        <w:rPr>
          <w:sz w:val="22"/>
          <w:szCs w:val="22"/>
        </w:rPr>
        <w:t xml:space="preserve"> poverty</w:t>
      </w:r>
      <w:r w:rsidR="00D31FC2">
        <w:rPr>
          <w:sz w:val="22"/>
          <w:szCs w:val="22"/>
        </w:rPr>
        <w:t xml:space="preserve"> and gender inequalities are glaring.</w:t>
      </w:r>
      <w:r w:rsidRPr="006C3C02">
        <w:rPr>
          <w:sz w:val="22"/>
          <w:szCs w:val="22"/>
        </w:rPr>
        <w:t xml:space="preserve"> </w:t>
      </w:r>
      <w:r w:rsidR="00D31FC2">
        <w:rPr>
          <w:sz w:val="22"/>
          <w:szCs w:val="22"/>
        </w:rPr>
        <w:t xml:space="preserve">The </w:t>
      </w:r>
      <w:proofErr w:type="gramStart"/>
      <w:r w:rsidR="00D31FC2">
        <w:rPr>
          <w:sz w:val="22"/>
          <w:szCs w:val="22"/>
        </w:rPr>
        <w:t>District</w:t>
      </w:r>
      <w:proofErr w:type="gramEnd"/>
      <w:r w:rsidRPr="006C3C02">
        <w:rPr>
          <w:sz w:val="22"/>
          <w:szCs w:val="22"/>
        </w:rPr>
        <w:t xml:space="preserve"> is subject to a range of </w:t>
      </w:r>
      <w:r w:rsidR="00410214" w:rsidRPr="006C3C02">
        <w:rPr>
          <w:sz w:val="22"/>
          <w:szCs w:val="22"/>
        </w:rPr>
        <w:t>risks</w:t>
      </w:r>
      <w:r w:rsidRPr="006C3C02">
        <w:rPr>
          <w:sz w:val="22"/>
          <w:szCs w:val="22"/>
        </w:rPr>
        <w:t>, such as droughts, floods</w:t>
      </w:r>
      <w:r w:rsidR="00410214" w:rsidRPr="006C3C02">
        <w:rPr>
          <w:sz w:val="22"/>
          <w:szCs w:val="22"/>
        </w:rPr>
        <w:t xml:space="preserve">, transmittable diseases, </w:t>
      </w:r>
      <w:r w:rsidR="008B62EE" w:rsidRPr="006C3C02">
        <w:rPr>
          <w:sz w:val="22"/>
          <w:szCs w:val="22"/>
        </w:rPr>
        <w:t>geopolitical</w:t>
      </w:r>
      <w:r w:rsidR="00410214" w:rsidRPr="006C3C02">
        <w:rPr>
          <w:sz w:val="22"/>
          <w:szCs w:val="22"/>
        </w:rPr>
        <w:t xml:space="preserve"> dynamics and border closures.</w:t>
      </w:r>
      <w:r w:rsidR="00D31FC2">
        <w:rPr>
          <w:sz w:val="22"/>
          <w:szCs w:val="22"/>
        </w:rPr>
        <w:t xml:space="preserve"> </w:t>
      </w:r>
      <w:r w:rsidR="002E015D" w:rsidRPr="006C3C02">
        <w:rPr>
          <w:sz w:val="22"/>
          <w:szCs w:val="22"/>
        </w:rPr>
        <w:t>Many of t</w:t>
      </w:r>
      <w:r w:rsidR="00410214" w:rsidRPr="006C3C02">
        <w:rPr>
          <w:sz w:val="22"/>
          <w:szCs w:val="22"/>
        </w:rPr>
        <w:t xml:space="preserve">hese risks </w:t>
      </w:r>
      <w:r w:rsidR="00572CBF" w:rsidRPr="006C3C02">
        <w:rPr>
          <w:sz w:val="22"/>
          <w:szCs w:val="22"/>
        </w:rPr>
        <w:t>eventuated</w:t>
      </w:r>
      <w:r w:rsidR="00410214" w:rsidRPr="006C3C02">
        <w:rPr>
          <w:sz w:val="22"/>
          <w:szCs w:val="22"/>
        </w:rPr>
        <w:t xml:space="preserve"> in 2020. </w:t>
      </w:r>
      <w:r w:rsidR="003910D6" w:rsidRPr="006C3C02">
        <w:rPr>
          <w:sz w:val="22"/>
          <w:szCs w:val="22"/>
        </w:rPr>
        <w:t>The</w:t>
      </w:r>
      <w:r w:rsidR="00B66BA1" w:rsidRPr="006C3C02">
        <w:rPr>
          <w:sz w:val="22"/>
          <w:szCs w:val="22"/>
        </w:rPr>
        <w:t xml:space="preserve"> Australian </w:t>
      </w:r>
      <w:r w:rsidR="002E015D" w:rsidRPr="006C3C02">
        <w:rPr>
          <w:sz w:val="22"/>
          <w:szCs w:val="22"/>
        </w:rPr>
        <w:t>development program</w:t>
      </w:r>
      <w:r w:rsidR="00B66BA1" w:rsidRPr="006C3C02">
        <w:rPr>
          <w:sz w:val="22"/>
          <w:szCs w:val="22"/>
        </w:rPr>
        <w:t xml:space="preserve"> has responded</w:t>
      </w:r>
      <w:r w:rsidR="007B07CE" w:rsidRPr="006C3C02">
        <w:rPr>
          <w:sz w:val="22"/>
          <w:szCs w:val="22"/>
        </w:rPr>
        <w:t>,</w:t>
      </w:r>
      <w:r w:rsidR="00F50E43" w:rsidRPr="006C3C02">
        <w:rPr>
          <w:sz w:val="22"/>
          <w:szCs w:val="22"/>
        </w:rPr>
        <w:t xml:space="preserve"> and t</w:t>
      </w:r>
      <w:r w:rsidR="00B66BA1" w:rsidRPr="006C3C02">
        <w:rPr>
          <w:sz w:val="22"/>
          <w:szCs w:val="22"/>
        </w:rPr>
        <w:t>he</w:t>
      </w:r>
      <w:r w:rsidR="009A7A87">
        <w:rPr>
          <w:sz w:val="22"/>
          <w:szCs w:val="22"/>
        </w:rPr>
        <w:t xml:space="preserve"> South Fly Resilience Plan</w:t>
      </w:r>
      <w:r w:rsidR="003910D6" w:rsidRPr="006C3C02">
        <w:rPr>
          <w:sz w:val="22"/>
          <w:szCs w:val="22"/>
        </w:rPr>
        <w:t xml:space="preserve"> </w:t>
      </w:r>
      <w:r w:rsidR="009A7A87">
        <w:rPr>
          <w:sz w:val="22"/>
          <w:szCs w:val="22"/>
        </w:rPr>
        <w:t>(</w:t>
      </w:r>
      <w:r w:rsidR="00AC08BD">
        <w:rPr>
          <w:sz w:val="22"/>
          <w:szCs w:val="22"/>
        </w:rPr>
        <w:t>SFRP</w:t>
      </w:r>
      <w:r w:rsidR="009A7A87">
        <w:rPr>
          <w:sz w:val="22"/>
          <w:szCs w:val="22"/>
        </w:rPr>
        <w:t>)</w:t>
      </w:r>
      <w:r w:rsidR="00AC08BD">
        <w:rPr>
          <w:sz w:val="22"/>
          <w:szCs w:val="22"/>
        </w:rPr>
        <w:t xml:space="preserve"> </w:t>
      </w:r>
      <w:r w:rsidR="003910D6" w:rsidRPr="006C3C02">
        <w:rPr>
          <w:sz w:val="22"/>
          <w:szCs w:val="22"/>
        </w:rPr>
        <w:t xml:space="preserve">was rapidly formulated and launched to </w:t>
      </w:r>
      <w:r w:rsidR="00B66BA1" w:rsidRPr="006C3C02">
        <w:rPr>
          <w:sz w:val="22"/>
          <w:szCs w:val="22"/>
        </w:rPr>
        <w:t>bolster food and water security.</w:t>
      </w:r>
      <w:r w:rsidR="000C2B0B">
        <w:rPr>
          <w:sz w:val="22"/>
          <w:szCs w:val="22"/>
        </w:rPr>
        <w:t xml:space="preserve"> </w:t>
      </w:r>
      <w:r w:rsidR="005B65AE">
        <w:rPr>
          <w:sz w:val="22"/>
          <w:szCs w:val="22"/>
        </w:rPr>
        <w:t xml:space="preserve">This is a key component of Australia’s investment in the region and presents opportunities for learning to inform the design of future investments in Western Province. </w:t>
      </w:r>
    </w:p>
    <w:p w14:paraId="3B1A7A9F" w14:textId="49A7F8B0" w:rsidR="000C2B0B" w:rsidRDefault="000C2B0B" w:rsidP="006C3C02">
      <w:pPr>
        <w:pStyle w:val="OPMBodytext"/>
        <w:spacing w:line="276" w:lineRule="auto"/>
        <w:jc w:val="both"/>
        <w:rPr>
          <w:sz w:val="22"/>
          <w:szCs w:val="22"/>
        </w:rPr>
      </w:pPr>
      <w:r>
        <w:rPr>
          <w:sz w:val="22"/>
          <w:szCs w:val="22"/>
        </w:rPr>
        <w:t xml:space="preserve">The </w:t>
      </w:r>
      <w:r w:rsidR="001141B1">
        <w:rPr>
          <w:sz w:val="22"/>
          <w:szCs w:val="22"/>
        </w:rPr>
        <w:t>Plan</w:t>
      </w:r>
      <w:r>
        <w:rPr>
          <w:sz w:val="22"/>
          <w:szCs w:val="22"/>
        </w:rPr>
        <w:t xml:space="preserve"> </w:t>
      </w:r>
      <w:r w:rsidR="00AD0D97">
        <w:rPr>
          <w:sz w:val="22"/>
          <w:szCs w:val="22"/>
        </w:rPr>
        <w:t xml:space="preserve">focused on three strategic components: 1) water, </w:t>
      </w:r>
      <w:proofErr w:type="gramStart"/>
      <w:r w:rsidR="00AD0D97">
        <w:rPr>
          <w:sz w:val="22"/>
          <w:szCs w:val="22"/>
        </w:rPr>
        <w:t>sanitation</w:t>
      </w:r>
      <w:proofErr w:type="gramEnd"/>
      <w:r w:rsidR="00AD0D97">
        <w:rPr>
          <w:sz w:val="22"/>
          <w:szCs w:val="22"/>
        </w:rPr>
        <w:t xml:space="preserve"> and hygiene; 2) food security</w:t>
      </w:r>
      <w:r w:rsidR="005B65AE">
        <w:rPr>
          <w:sz w:val="22"/>
          <w:szCs w:val="22"/>
        </w:rPr>
        <w:t xml:space="preserve">, </w:t>
      </w:r>
      <w:r w:rsidR="00AD0D97">
        <w:rPr>
          <w:sz w:val="22"/>
          <w:szCs w:val="22"/>
        </w:rPr>
        <w:t xml:space="preserve">livelihoods </w:t>
      </w:r>
      <w:r w:rsidR="005B65AE">
        <w:rPr>
          <w:sz w:val="22"/>
          <w:szCs w:val="22"/>
        </w:rPr>
        <w:t xml:space="preserve">and governance </w:t>
      </w:r>
      <w:r w:rsidR="00AD0D97">
        <w:rPr>
          <w:sz w:val="22"/>
          <w:szCs w:val="22"/>
        </w:rPr>
        <w:t>and 3) a transport fuel voucher system to access essential services. Component 3 was delayed and is not a primary focus for this review.</w:t>
      </w:r>
      <w:r w:rsidR="005B65AE">
        <w:rPr>
          <w:sz w:val="22"/>
          <w:szCs w:val="22"/>
        </w:rPr>
        <w:t xml:space="preserve"> The </w:t>
      </w:r>
      <w:r w:rsidR="006F4BF4">
        <w:rPr>
          <w:sz w:val="22"/>
          <w:szCs w:val="22"/>
        </w:rPr>
        <w:t xml:space="preserve">Implementation </w:t>
      </w:r>
      <w:r w:rsidR="005B65AE">
        <w:rPr>
          <w:sz w:val="22"/>
          <w:szCs w:val="22"/>
        </w:rPr>
        <w:t>Plan</w:t>
      </w:r>
      <w:r w:rsidR="006F4BF4">
        <w:rPr>
          <w:sz w:val="22"/>
          <w:szCs w:val="22"/>
        </w:rPr>
        <w:t>, under the SFRP,</w:t>
      </w:r>
      <w:r w:rsidR="005B65AE">
        <w:rPr>
          <w:sz w:val="22"/>
          <w:szCs w:val="22"/>
        </w:rPr>
        <w:t xml:space="preserve"> set</w:t>
      </w:r>
      <w:r w:rsidR="006F4BF4">
        <w:rPr>
          <w:sz w:val="22"/>
          <w:szCs w:val="22"/>
        </w:rPr>
        <w:t>s</w:t>
      </w:r>
      <w:r w:rsidR="005B65AE">
        <w:rPr>
          <w:sz w:val="22"/>
          <w:szCs w:val="22"/>
        </w:rPr>
        <w:t xml:space="preserve"> out a program of work from January 2021 to </w:t>
      </w:r>
      <w:r w:rsidR="006F4BF4">
        <w:rPr>
          <w:sz w:val="22"/>
          <w:szCs w:val="22"/>
        </w:rPr>
        <w:t xml:space="preserve">June </w:t>
      </w:r>
      <w:r w:rsidR="005B65AE">
        <w:rPr>
          <w:sz w:val="22"/>
          <w:szCs w:val="22"/>
        </w:rPr>
        <w:t>2022.</w:t>
      </w:r>
      <w:r w:rsidR="00AD0D97">
        <w:rPr>
          <w:sz w:val="22"/>
          <w:szCs w:val="22"/>
        </w:rPr>
        <w:t xml:space="preserve"> </w:t>
      </w:r>
      <w:r>
        <w:rPr>
          <w:sz w:val="22"/>
          <w:szCs w:val="22"/>
        </w:rPr>
        <w:t>Th</w:t>
      </w:r>
      <w:r w:rsidR="005B65AE">
        <w:rPr>
          <w:sz w:val="22"/>
          <w:szCs w:val="22"/>
        </w:rPr>
        <w:t>is</w:t>
      </w:r>
      <w:r>
        <w:rPr>
          <w:sz w:val="22"/>
          <w:szCs w:val="22"/>
        </w:rPr>
        <w:t xml:space="preserve"> review examined the effectiveness, efficiency, sustainability, </w:t>
      </w:r>
      <w:proofErr w:type="gramStart"/>
      <w:r>
        <w:rPr>
          <w:sz w:val="22"/>
          <w:szCs w:val="22"/>
        </w:rPr>
        <w:t>coherence</w:t>
      </w:r>
      <w:proofErr w:type="gramEnd"/>
      <w:r>
        <w:rPr>
          <w:sz w:val="22"/>
          <w:szCs w:val="22"/>
        </w:rPr>
        <w:t xml:space="preserve"> and gender equality aspects of the SFRP.</w:t>
      </w:r>
      <w:r w:rsidR="002E1473">
        <w:rPr>
          <w:sz w:val="22"/>
          <w:szCs w:val="22"/>
        </w:rPr>
        <w:t xml:space="preserve"> </w:t>
      </w:r>
    </w:p>
    <w:p w14:paraId="1BBDF749" w14:textId="63251133" w:rsidR="003910D6" w:rsidRPr="006C3C02" w:rsidRDefault="00D419E1" w:rsidP="006C3C02">
      <w:pPr>
        <w:pStyle w:val="OPMBodytext"/>
        <w:spacing w:line="276" w:lineRule="auto"/>
        <w:jc w:val="both"/>
        <w:rPr>
          <w:sz w:val="22"/>
          <w:szCs w:val="22"/>
        </w:rPr>
      </w:pPr>
      <w:r w:rsidRPr="006C3C02">
        <w:rPr>
          <w:sz w:val="22"/>
          <w:szCs w:val="22"/>
        </w:rPr>
        <w:t xml:space="preserve">Stakeholders welcomed the independent review, and there is intent to learn from the past. Emerging lessons are relevant to i) programming in rural communities in Papua New Guinea, ii) responding to crises and iii) aid delivery models. </w:t>
      </w:r>
    </w:p>
    <w:p w14:paraId="29CC90E2" w14:textId="09944FBB" w:rsidR="0016305A" w:rsidRPr="006C3C02" w:rsidRDefault="00E2391A" w:rsidP="006C3C02">
      <w:pPr>
        <w:pStyle w:val="OPMBodytext"/>
        <w:spacing w:line="276" w:lineRule="auto"/>
        <w:jc w:val="both"/>
        <w:rPr>
          <w:sz w:val="22"/>
          <w:szCs w:val="22"/>
        </w:rPr>
      </w:pPr>
      <w:r w:rsidRPr="006C3C02">
        <w:rPr>
          <w:sz w:val="22"/>
          <w:szCs w:val="22"/>
        </w:rPr>
        <w:t xml:space="preserve">Progress towards increasing food and water security is evident, but there are risks and challenges to sustainable change. </w:t>
      </w:r>
      <w:r w:rsidR="0016305A" w:rsidRPr="006C3C02">
        <w:rPr>
          <w:sz w:val="22"/>
          <w:szCs w:val="22"/>
        </w:rPr>
        <w:t xml:space="preserve">In </w:t>
      </w:r>
      <w:r w:rsidR="00A96776">
        <w:rPr>
          <w:sz w:val="22"/>
          <w:szCs w:val="22"/>
        </w:rPr>
        <w:t xml:space="preserve">the </w:t>
      </w:r>
      <w:r w:rsidR="0016305A" w:rsidRPr="006C3C02">
        <w:rPr>
          <w:sz w:val="22"/>
          <w:szCs w:val="22"/>
        </w:rPr>
        <w:t>food, livelihoods and governance</w:t>
      </w:r>
      <w:r w:rsidR="00A96776">
        <w:rPr>
          <w:sz w:val="22"/>
          <w:szCs w:val="22"/>
        </w:rPr>
        <w:t xml:space="preserve"> component</w:t>
      </w:r>
      <w:r w:rsidR="009A7A87">
        <w:rPr>
          <w:sz w:val="22"/>
          <w:szCs w:val="22"/>
        </w:rPr>
        <w:t>,</w:t>
      </w:r>
      <w:r w:rsidR="0016305A" w:rsidRPr="006C3C02">
        <w:rPr>
          <w:sz w:val="22"/>
          <w:szCs w:val="22"/>
        </w:rPr>
        <w:t xml:space="preserve"> there </w:t>
      </w:r>
      <w:r w:rsidR="00051CC4">
        <w:rPr>
          <w:sz w:val="22"/>
          <w:szCs w:val="22"/>
        </w:rPr>
        <w:t>is some</w:t>
      </w:r>
      <w:r w:rsidR="006F4BF4">
        <w:rPr>
          <w:sz w:val="22"/>
          <w:szCs w:val="22"/>
        </w:rPr>
        <w:t xml:space="preserve"> evidence of</w:t>
      </w:r>
      <w:r w:rsidR="0016305A" w:rsidRPr="006C3C02">
        <w:rPr>
          <w:sz w:val="22"/>
          <w:szCs w:val="22"/>
        </w:rPr>
        <w:t xml:space="preserve"> very limited changes in the percentage of the population with improved financial literacy. There </w:t>
      </w:r>
      <w:r w:rsidR="00051CC4">
        <w:rPr>
          <w:sz w:val="22"/>
          <w:szCs w:val="22"/>
        </w:rPr>
        <w:t>is also</w:t>
      </w:r>
      <w:r w:rsidR="0016305A" w:rsidRPr="006C3C02">
        <w:rPr>
          <w:sz w:val="22"/>
          <w:szCs w:val="22"/>
        </w:rPr>
        <w:t xml:space="preserve"> some</w:t>
      </w:r>
      <w:r w:rsidR="006F4BF4">
        <w:rPr>
          <w:sz w:val="22"/>
          <w:szCs w:val="22"/>
        </w:rPr>
        <w:t xml:space="preserve"> very</w:t>
      </w:r>
      <w:r w:rsidR="0016305A" w:rsidRPr="006C3C02">
        <w:rPr>
          <w:sz w:val="22"/>
          <w:szCs w:val="22"/>
        </w:rPr>
        <w:t xml:space="preserve"> minor improvement in governance capacity, through the delivery of the Ward Profiles</w:t>
      </w:r>
      <w:r w:rsidR="00D11ED0">
        <w:rPr>
          <w:sz w:val="22"/>
          <w:szCs w:val="22"/>
        </w:rPr>
        <w:t xml:space="preserve">. </w:t>
      </w:r>
      <w:r w:rsidR="0016305A" w:rsidRPr="006C3C02">
        <w:rPr>
          <w:sz w:val="22"/>
          <w:szCs w:val="22"/>
        </w:rPr>
        <w:t xml:space="preserve">Together these demonstrate very nascent, but nonetheless relevant, progress towards the achievement of intermediate outcomes. In water, sanitation and </w:t>
      </w:r>
      <w:r w:rsidR="00CE1367">
        <w:rPr>
          <w:sz w:val="22"/>
          <w:szCs w:val="22"/>
        </w:rPr>
        <w:t>hygiene</w:t>
      </w:r>
      <w:r w:rsidR="009A7A87">
        <w:rPr>
          <w:sz w:val="22"/>
          <w:szCs w:val="22"/>
        </w:rPr>
        <w:t>,</w:t>
      </w:r>
      <w:r w:rsidR="0016305A" w:rsidRPr="006C3C02">
        <w:rPr>
          <w:sz w:val="22"/>
          <w:szCs w:val="22"/>
        </w:rPr>
        <w:t xml:space="preserve"> progress is being demonstrated in open defecation free communities, the construct of toilets, the capability to respond to droughts and three well upgrades in Daru. </w:t>
      </w:r>
      <w:r w:rsidR="006F4BF4">
        <w:rPr>
          <w:sz w:val="22"/>
          <w:szCs w:val="22"/>
        </w:rPr>
        <w:t>Progress is also</w:t>
      </w:r>
      <w:r w:rsidR="0016305A" w:rsidRPr="006C3C02">
        <w:rPr>
          <w:sz w:val="22"/>
          <w:szCs w:val="22"/>
        </w:rPr>
        <w:t xml:space="preserve"> being demonstrated in </w:t>
      </w:r>
      <w:r w:rsidR="002F2F69" w:rsidRPr="006C3C02">
        <w:rPr>
          <w:sz w:val="22"/>
          <w:szCs w:val="22"/>
        </w:rPr>
        <w:t xml:space="preserve">water, </w:t>
      </w:r>
      <w:proofErr w:type="gramStart"/>
      <w:r w:rsidR="002F2F69" w:rsidRPr="006C3C02">
        <w:rPr>
          <w:sz w:val="22"/>
          <w:szCs w:val="22"/>
        </w:rPr>
        <w:t>sanitation</w:t>
      </w:r>
      <w:proofErr w:type="gramEnd"/>
      <w:r w:rsidR="002F2F69" w:rsidRPr="006C3C02">
        <w:rPr>
          <w:sz w:val="22"/>
          <w:szCs w:val="22"/>
        </w:rPr>
        <w:t xml:space="preserve"> and </w:t>
      </w:r>
      <w:r w:rsidR="00CE1367" w:rsidRPr="006C3C02">
        <w:rPr>
          <w:sz w:val="22"/>
          <w:szCs w:val="22"/>
        </w:rPr>
        <w:t>h</w:t>
      </w:r>
      <w:r w:rsidR="00CE1367">
        <w:rPr>
          <w:sz w:val="22"/>
          <w:szCs w:val="22"/>
        </w:rPr>
        <w:t xml:space="preserve">ygiene </w:t>
      </w:r>
      <w:r w:rsidR="0016305A" w:rsidRPr="006C3C02">
        <w:rPr>
          <w:sz w:val="22"/>
          <w:szCs w:val="22"/>
        </w:rPr>
        <w:t>governance.</w:t>
      </w:r>
    </w:p>
    <w:p w14:paraId="5E6A5F44" w14:textId="27767D1A" w:rsidR="00E2391A" w:rsidRPr="006C3C02" w:rsidRDefault="009A7A87" w:rsidP="006C3C02">
      <w:pPr>
        <w:pStyle w:val="OPMBodytext"/>
        <w:spacing w:line="276" w:lineRule="auto"/>
        <w:jc w:val="both"/>
        <w:rPr>
          <w:sz w:val="22"/>
          <w:szCs w:val="22"/>
        </w:rPr>
      </w:pPr>
      <w:r>
        <w:rPr>
          <w:sz w:val="22"/>
          <w:szCs w:val="22"/>
        </w:rPr>
        <w:t>B</w:t>
      </w:r>
      <w:r w:rsidR="0016305A" w:rsidRPr="006C3C02">
        <w:rPr>
          <w:sz w:val="22"/>
          <w:szCs w:val="22"/>
        </w:rPr>
        <w:t xml:space="preserve">oth component activities and outputs could be delivered in ways that are more sensitive to the socio-cultural context. </w:t>
      </w:r>
      <w:r w:rsidR="00051CC4">
        <w:rPr>
          <w:sz w:val="22"/>
          <w:szCs w:val="22"/>
        </w:rPr>
        <w:t xml:space="preserve">This relates to the monitoring and evaluation </w:t>
      </w:r>
      <w:r w:rsidR="006F4BF4">
        <w:rPr>
          <w:sz w:val="22"/>
          <w:szCs w:val="22"/>
        </w:rPr>
        <w:t xml:space="preserve">framework’s </w:t>
      </w:r>
      <w:r w:rsidR="006F4BF4" w:rsidRPr="006C3C02">
        <w:rPr>
          <w:sz w:val="22"/>
          <w:szCs w:val="22"/>
        </w:rPr>
        <w:t>assumptions</w:t>
      </w:r>
      <w:r w:rsidR="0016305A" w:rsidRPr="006C3C02">
        <w:rPr>
          <w:sz w:val="22"/>
          <w:szCs w:val="22"/>
        </w:rPr>
        <w:t xml:space="preserve"> surrounding i) communities and Government engaging with the </w:t>
      </w:r>
      <w:r w:rsidR="002F2F69" w:rsidRPr="006C3C02">
        <w:rPr>
          <w:sz w:val="22"/>
          <w:szCs w:val="22"/>
        </w:rPr>
        <w:t xml:space="preserve">implementing partners </w:t>
      </w:r>
      <w:r w:rsidR="0016305A" w:rsidRPr="006C3C02">
        <w:rPr>
          <w:sz w:val="22"/>
          <w:szCs w:val="22"/>
        </w:rPr>
        <w:t xml:space="preserve">and ii) the delivery of the right type of support to achieve outcomes.  </w:t>
      </w:r>
      <w:r w:rsidR="00E2391A" w:rsidRPr="006C3C02">
        <w:rPr>
          <w:sz w:val="22"/>
          <w:szCs w:val="22"/>
        </w:rPr>
        <w:t xml:space="preserve">Implementing partners should </w:t>
      </w:r>
      <w:r w:rsidR="00735638">
        <w:rPr>
          <w:sz w:val="22"/>
          <w:szCs w:val="22"/>
        </w:rPr>
        <w:t xml:space="preserve">consider how to </w:t>
      </w:r>
      <w:r w:rsidR="00E2391A" w:rsidRPr="006C3C02">
        <w:rPr>
          <w:sz w:val="22"/>
          <w:szCs w:val="22"/>
        </w:rPr>
        <w:t xml:space="preserve">enhance engagement with, and reporting to, District authorities and communities, while furthering the practice of adaptive management for gains in efficiency and effectiveness. </w:t>
      </w:r>
    </w:p>
    <w:p w14:paraId="0439DBA2" w14:textId="2B356969" w:rsidR="00FF1B82" w:rsidRPr="006C3C02" w:rsidRDefault="0016305A" w:rsidP="006C3C02">
      <w:pPr>
        <w:pStyle w:val="OPMBodytext"/>
        <w:spacing w:line="276" w:lineRule="auto"/>
        <w:jc w:val="both"/>
        <w:rPr>
          <w:sz w:val="22"/>
          <w:szCs w:val="22"/>
        </w:rPr>
      </w:pPr>
      <w:r w:rsidRPr="006C3C02">
        <w:rPr>
          <w:sz w:val="22"/>
          <w:szCs w:val="22"/>
        </w:rPr>
        <w:t xml:space="preserve">The </w:t>
      </w:r>
      <w:proofErr w:type="gramStart"/>
      <w:r w:rsidR="00B5785D">
        <w:rPr>
          <w:sz w:val="22"/>
          <w:szCs w:val="22"/>
        </w:rPr>
        <w:t>District</w:t>
      </w:r>
      <w:proofErr w:type="gramEnd"/>
      <w:r w:rsidRPr="006C3C02">
        <w:rPr>
          <w:sz w:val="22"/>
          <w:szCs w:val="22"/>
        </w:rPr>
        <w:t xml:space="preserve"> is a costly location to implement a development program</w:t>
      </w:r>
      <w:r w:rsidR="002F2F69" w:rsidRPr="006C3C02">
        <w:rPr>
          <w:sz w:val="22"/>
          <w:szCs w:val="22"/>
        </w:rPr>
        <w:t xml:space="preserve">. </w:t>
      </w:r>
      <w:r w:rsidR="00D11ED0">
        <w:rPr>
          <w:sz w:val="22"/>
          <w:szCs w:val="22"/>
        </w:rPr>
        <w:t xml:space="preserve">In </w:t>
      </w:r>
      <w:r w:rsidRPr="006C3C02">
        <w:rPr>
          <w:sz w:val="22"/>
          <w:szCs w:val="22"/>
        </w:rPr>
        <w:t xml:space="preserve">both components, particularly within food security and livelihoods, progress against outputs is behind schedule. In </w:t>
      </w:r>
      <w:r w:rsidR="002F2F69" w:rsidRPr="006C3C02">
        <w:rPr>
          <w:sz w:val="22"/>
          <w:szCs w:val="22"/>
        </w:rPr>
        <w:t>food, livelihoods and governance</w:t>
      </w:r>
      <w:r w:rsidRPr="006C3C02">
        <w:rPr>
          <w:sz w:val="22"/>
          <w:szCs w:val="22"/>
        </w:rPr>
        <w:t xml:space="preserve">, budget execution has been rapid and uneven across budget lines. </w:t>
      </w:r>
      <w:r w:rsidR="002F2F69" w:rsidRPr="006C3C02">
        <w:rPr>
          <w:sz w:val="22"/>
          <w:szCs w:val="22"/>
        </w:rPr>
        <w:t>This is</w:t>
      </w:r>
      <w:r w:rsidRPr="006C3C02">
        <w:rPr>
          <w:sz w:val="22"/>
          <w:szCs w:val="22"/>
        </w:rPr>
        <w:t xml:space="preserve"> more</w:t>
      </w:r>
      <w:r w:rsidR="002F2F69" w:rsidRPr="006C3C02">
        <w:rPr>
          <w:sz w:val="22"/>
          <w:szCs w:val="22"/>
        </w:rPr>
        <w:t xml:space="preserve"> a</w:t>
      </w:r>
      <w:r w:rsidRPr="006C3C02">
        <w:rPr>
          <w:sz w:val="22"/>
          <w:szCs w:val="22"/>
        </w:rPr>
        <w:t xml:space="preserve"> symptom of the design</w:t>
      </w:r>
      <w:r w:rsidR="004F08B1">
        <w:rPr>
          <w:sz w:val="22"/>
          <w:szCs w:val="22"/>
        </w:rPr>
        <w:t>,</w:t>
      </w:r>
      <w:r w:rsidRPr="006C3C02">
        <w:rPr>
          <w:sz w:val="22"/>
          <w:szCs w:val="22"/>
        </w:rPr>
        <w:t xml:space="preserve"> the operating </w:t>
      </w:r>
      <w:proofErr w:type="gramStart"/>
      <w:r w:rsidRPr="006C3C02">
        <w:rPr>
          <w:sz w:val="22"/>
          <w:szCs w:val="22"/>
        </w:rPr>
        <w:t>environment</w:t>
      </w:r>
      <w:proofErr w:type="gramEnd"/>
      <w:r w:rsidR="004F08B1">
        <w:rPr>
          <w:sz w:val="22"/>
          <w:szCs w:val="22"/>
        </w:rPr>
        <w:t xml:space="preserve"> and the operating model,</w:t>
      </w:r>
      <w:r w:rsidRPr="006C3C02">
        <w:rPr>
          <w:sz w:val="22"/>
          <w:szCs w:val="22"/>
        </w:rPr>
        <w:t xml:space="preserve"> than delays to implementation on behalf of implementing partners. There </w:t>
      </w:r>
      <w:r w:rsidRPr="006C3C02">
        <w:rPr>
          <w:sz w:val="22"/>
          <w:szCs w:val="22"/>
        </w:rPr>
        <w:lastRenderedPageBreak/>
        <w:t xml:space="preserve">seems a need to increase resourcing, enhance engagement and bolster quality assurance and monitoring mechanisms. </w:t>
      </w:r>
    </w:p>
    <w:p w14:paraId="768A6587" w14:textId="2D901BAF" w:rsidR="00FF1B82" w:rsidRPr="006C3C02" w:rsidRDefault="43978448" w:rsidP="006C3C02">
      <w:pPr>
        <w:pStyle w:val="OPMBodytext"/>
        <w:spacing w:line="276" w:lineRule="auto"/>
        <w:jc w:val="both"/>
        <w:rPr>
          <w:sz w:val="22"/>
          <w:szCs w:val="22"/>
        </w:rPr>
      </w:pPr>
      <w:r w:rsidRPr="43978448">
        <w:rPr>
          <w:sz w:val="22"/>
          <w:szCs w:val="22"/>
        </w:rPr>
        <w:t xml:space="preserve">The Plan is relevant to the needs of communities, District and Provincial Plans and Australia’s strategic priorities in Papua New Guinea. While the Plan is harmonised and coordinated across much of Australia’s broader development programme, there are opportunities to further </w:t>
      </w:r>
      <w:r w:rsidR="00051CC4">
        <w:rPr>
          <w:sz w:val="22"/>
          <w:szCs w:val="22"/>
        </w:rPr>
        <w:t xml:space="preserve">this </w:t>
      </w:r>
      <w:r w:rsidRPr="43978448">
        <w:rPr>
          <w:sz w:val="22"/>
          <w:szCs w:val="22"/>
        </w:rPr>
        <w:t xml:space="preserve">with key actors in the South Fly District. Few actors understood the details of the different components of the SFRP. </w:t>
      </w:r>
      <w:r w:rsidR="00051CC4">
        <w:rPr>
          <w:sz w:val="22"/>
          <w:szCs w:val="22"/>
        </w:rPr>
        <w:t xml:space="preserve">For example, </w:t>
      </w:r>
      <w:r w:rsidRPr="43978448">
        <w:rPr>
          <w:sz w:val="22"/>
          <w:szCs w:val="22"/>
        </w:rPr>
        <w:t>District Authorities have not seen th</w:t>
      </w:r>
      <w:r w:rsidR="00301D80">
        <w:rPr>
          <w:sz w:val="22"/>
          <w:szCs w:val="22"/>
        </w:rPr>
        <w:t>e</w:t>
      </w:r>
      <w:r w:rsidR="006F4BF4">
        <w:rPr>
          <w:sz w:val="22"/>
          <w:szCs w:val="22"/>
        </w:rPr>
        <w:t xml:space="preserve"> Implementation</w:t>
      </w:r>
      <w:r w:rsidR="00301D80">
        <w:rPr>
          <w:sz w:val="22"/>
          <w:szCs w:val="22"/>
        </w:rPr>
        <w:t xml:space="preserve"> Plan, </w:t>
      </w:r>
      <w:r w:rsidRPr="43978448">
        <w:rPr>
          <w:sz w:val="22"/>
          <w:szCs w:val="22"/>
        </w:rPr>
        <w:t>although fact sheets have been disseminated and presentations made. Nor are District Authorities sufficiently familiar with the various reports under the Plan. This hampers partners relations</w:t>
      </w:r>
      <w:r w:rsidR="00986A3A">
        <w:rPr>
          <w:sz w:val="22"/>
          <w:szCs w:val="22"/>
        </w:rPr>
        <w:t xml:space="preserve">, ownership </w:t>
      </w:r>
      <w:r w:rsidRPr="43978448">
        <w:rPr>
          <w:sz w:val="22"/>
          <w:szCs w:val="22"/>
        </w:rPr>
        <w:t>and the extent to which sustainability can be achieved.</w:t>
      </w:r>
    </w:p>
    <w:p w14:paraId="230CC049" w14:textId="598126DB" w:rsidR="0016305A" w:rsidRPr="006C3C02" w:rsidRDefault="36277179" w:rsidP="006C3C02">
      <w:pPr>
        <w:pStyle w:val="OPMBodytext"/>
        <w:spacing w:line="276" w:lineRule="auto"/>
        <w:jc w:val="both"/>
        <w:rPr>
          <w:sz w:val="22"/>
          <w:szCs w:val="22"/>
        </w:rPr>
      </w:pPr>
      <w:r w:rsidRPr="36277179">
        <w:rPr>
          <w:sz w:val="22"/>
          <w:szCs w:val="22"/>
        </w:rPr>
        <w:t xml:space="preserve">The Provincial and District authorities prioritise the sustainability of results. After only one year of implementation, there is some, very limited, evidence of the program contributing to more resilient communities. However, the District is largely unable to monitor and respond to crises, much water infrastructure is </w:t>
      </w:r>
      <w:proofErr w:type="gramStart"/>
      <w:r w:rsidRPr="36277179">
        <w:rPr>
          <w:sz w:val="22"/>
          <w:szCs w:val="22"/>
        </w:rPr>
        <w:t>deteriorating</w:t>
      </w:r>
      <w:proofErr w:type="gramEnd"/>
      <w:r w:rsidRPr="36277179">
        <w:rPr>
          <w:sz w:val="22"/>
          <w:szCs w:val="22"/>
        </w:rPr>
        <w:t xml:space="preserve"> and food security has not yet improved. It is very unlikely that formal and informal institutions will be able to maintain both components, without longer term support. In water, </w:t>
      </w:r>
      <w:proofErr w:type="gramStart"/>
      <w:r w:rsidRPr="36277179">
        <w:rPr>
          <w:sz w:val="22"/>
          <w:szCs w:val="22"/>
        </w:rPr>
        <w:t>sanitation</w:t>
      </w:r>
      <w:proofErr w:type="gramEnd"/>
      <w:r w:rsidRPr="36277179">
        <w:rPr>
          <w:sz w:val="22"/>
          <w:szCs w:val="22"/>
        </w:rPr>
        <w:t xml:space="preserve"> and hygiene, however, important gains </w:t>
      </w:r>
      <w:r w:rsidR="00370719">
        <w:rPr>
          <w:sz w:val="22"/>
          <w:szCs w:val="22"/>
        </w:rPr>
        <w:t xml:space="preserve">in governance </w:t>
      </w:r>
      <w:r w:rsidRPr="36277179">
        <w:rPr>
          <w:sz w:val="22"/>
          <w:szCs w:val="22"/>
        </w:rPr>
        <w:t xml:space="preserve">are evident. It will be useful for each component to develop a framework to identify pathways to sustainability for identified outputs. </w:t>
      </w:r>
    </w:p>
    <w:p w14:paraId="5890E068" w14:textId="75227807" w:rsidR="003910D6" w:rsidRPr="006C3C02" w:rsidRDefault="003910D6" w:rsidP="006C3C02">
      <w:pPr>
        <w:pStyle w:val="OPMBodytext"/>
        <w:spacing w:line="276" w:lineRule="auto"/>
        <w:jc w:val="both"/>
        <w:rPr>
          <w:sz w:val="22"/>
          <w:szCs w:val="22"/>
        </w:rPr>
      </w:pPr>
      <w:r w:rsidRPr="006C3C02">
        <w:rPr>
          <w:sz w:val="22"/>
          <w:szCs w:val="22"/>
        </w:rPr>
        <w:t xml:space="preserve">There are visible signs of progress being made to address gender inequality and social exclusion. </w:t>
      </w:r>
      <w:r w:rsidR="00735638">
        <w:rPr>
          <w:sz w:val="22"/>
          <w:szCs w:val="22"/>
        </w:rPr>
        <w:t>Promising progress is demonstrated in women in leadership, but there is less progress in women’s economic empowerment. Implementing partners are not engaged in gender-based violence. Given</w:t>
      </w:r>
      <w:r w:rsidRPr="006C3C02">
        <w:rPr>
          <w:sz w:val="22"/>
          <w:szCs w:val="22"/>
        </w:rPr>
        <w:t xml:space="preserve"> the donor landscape and inequalities, opportunities to improve gender equality and social inclusion </w:t>
      </w:r>
      <w:r w:rsidR="00B66BA1" w:rsidRPr="006C3C02">
        <w:rPr>
          <w:sz w:val="22"/>
          <w:szCs w:val="22"/>
        </w:rPr>
        <w:t>should be exploited</w:t>
      </w:r>
      <w:r w:rsidRPr="006C3C02">
        <w:rPr>
          <w:sz w:val="22"/>
          <w:szCs w:val="22"/>
        </w:rPr>
        <w:t xml:space="preserve">. </w:t>
      </w:r>
      <w:r w:rsidR="006C3C02" w:rsidRPr="006C3C02">
        <w:rPr>
          <w:sz w:val="22"/>
          <w:szCs w:val="22"/>
        </w:rPr>
        <w:t>More</w:t>
      </w:r>
      <w:r w:rsidR="00AC5397" w:rsidRPr="006C3C02">
        <w:rPr>
          <w:sz w:val="22"/>
          <w:szCs w:val="22"/>
        </w:rPr>
        <w:t xml:space="preserve"> can be</w:t>
      </w:r>
      <w:r w:rsidRPr="006C3C02">
        <w:rPr>
          <w:sz w:val="22"/>
          <w:szCs w:val="22"/>
        </w:rPr>
        <w:t xml:space="preserve"> done</w:t>
      </w:r>
      <w:proofErr w:type="gramStart"/>
      <w:r w:rsidR="00534948">
        <w:rPr>
          <w:sz w:val="22"/>
          <w:szCs w:val="22"/>
        </w:rPr>
        <w:t>, in particular,</w:t>
      </w:r>
      <w:r w:rsidRPr="006C3C02">
        <w:rPr>
          <w:sz w:val="22"/>
          <w:szCs w:val="22"/>
        </w:rPr>
        <w:t xml:space="preserve"> to</w:t>
      </w:r>
      <w:proofErr w:type="gramEnd"/>
      <w:r w:rsidRPr="006C3C02">
        <w:rPr>
          <w:sz w:val="22"/>
          <w:szCs w:val="22"/>
        </w:rPr>
        <w:t xml:space="preserve"> address gender-based violence </w:t>
      </w:r>
      <w:r w:rsidR="00AC5397" w:rsidRPr="006C3C02">
        <w:rPr>
          <w:sz w:val="22"/>
          <w:szCs w:val="22"/>
        </w:rPr>
        <w:t>and</w:t>
      </w:r>
      <w:r w:rsidRPr="006C3C02">
        <w:rPr>
          <w:sz w:val="22"/>
          <w:szCs w:val="22"/>
        </w:rPr>
        <w:t xml:space="preserve"> the </w:t>
      </w:r>
      <w:r w:rsidR="00986A3A">
        <w:rPr>
          <w:sz w:val="22"/>
          <w:szCs w:val="22"/>
        </w:rPr>
        <w:t>experience</w:t>
      </w:r>
      <w:r w:rsidRPr="006C3C02">
        <w:rPr>
          <w:sz w:val="22"/>
          <w:szCs w:val="22"/>
        </w:rPr>
        <w:t xml:space="preserve"> of disabled </w:t>
      </w:r>
      <w:r w:rsidR="00534948" w:rsidRPr="006C3C02">
        <w:rPr>
          <w:sz w:val="22"/>
          <w:szCs w:val="22"/>
        </w:rPr>
        <w:t>people</w:t>
      </w:r>
      <w:r w:rsidRPr="006C3C02">
        <w:rPr>
          <w:sz w:val="22"/>
          <w:szCs w:val="22"/>
        </w:rPr>
        <w:t>.</w:t>
      </w:r>
    </w:p>
    <w:p w14:paraId="4ED318C0" w14:textId="28B1FE02" w:rsidR="003910D6" w:rsidRDefault="0016305A" w:rsidP="002F2F69">
      <w:pPr>
        <w:pStyle w:val="FigureImageTablehead"/>
      </w:pPr>
      <w:r>
        <w:t>Recommendations:</w:t>
      </w:r>
    </w:p>
    <w:p w14:paraId="4B0D970D" w14:textId="6EF3A585" w:rsidR="00FF1B82" w:rsidRDefault="0062079E" w:rsidP="00301D80">
      <w:pPr>
        <w:pStyle w:val="ListParagraph"/>
        <w:numPr>
          <w:ilvl w:val="0"/>
          <w:numId w:val="44"/>
        </w:numPr>
      </w:pPr>
      <w:bookmarkStart w:id="6" w:name="_Hlk107561887"/>
      <w:bookmarkStart w:id="7" w:name="_Hlk107562066"/>
      <w:r>
        <w:t xml:space="preserve">Implementing partners </w:t>
      </w:r>
      <w:bookmarkStart w:id="8" w:name="_Hlk106190574"/>
      <w:r w:rsidR="005F6095">
        <w:t xml:space="preserve">and DFAT </w:t>
      </w:r>
      <w:r>
        <w:t>should</w:t>
      </w:r>
      <w:r w:rsidRPr="007374F1">
        <w:t xml:space="preserve"> </w:t>
      </w:r>
      <w:r w:rsidR="005F6095">
        <w:t>consider how best to improve</w:t>
      </w:r>
      <w:r w:rsidRPr="007374F1">
        <w:t xml:space="preserve"> </w:t>
      </w:r>
      <w:r>
        <w:t>engagement with, and reporting to, District authorities and communities</w:t>
      </w:r>
      <w:bookmarkEnd w:id="8"/>
      <w:r w:rsidRPr="007374F1">
        <w:t xml:space="preserve">, while furthering the practice of adaptive management </w:t>
      </w:r>
      <w:r>
        <w:t>for gains in</w:t>
      </w:r>
      <w:r w:rsidRPr="007374F1">
        <w:t xml:space="preserve"> efficiency and effectiveness.</w:t>
      </w:r>
      <w:r>
        <w:t xml:space="preserve"> </w:t>
      </w:r>
    </w:p>
    <w:bookmarkEnd w:id="6"/>
    <w:p w14:paraId="6368B738" w14:textId="2B63053A" w:rsidR="00FF1B82" w:rsidRDefault="43978448" w:rsidP="00301D80">
      <w:pPr>
        <w:pStyle w:val="ListParagraph"/>
        <w:numPr>
          <w:ilvl w:val="0"/>
          <w:numId w:val="44"/>
        </w:numPr>
      </w:pPr>
      <w:r>
        <w:t xml:space="preserve">Should the ambitions of the plan remain, an increase in resourcing is justified. This should be directed, largely, to i) the implementation of activities in food, </w:t>
      </w:r>
      <w:proofErr w:type="gramStart"/>
      <w:r>
        <w:t>livelihoods</w:t>
      </w:r>
      <w:proofErr w:type="gramEnd"/>
      <w:r>
        <w:t xml:space="preserve"> and governance, ii) the Australia Papua New Guinea sub–National Program’s administration and engagement function in Daru iii) a bolstered monitoring and quality assurance function</w:t>
      </w:r>
      <w:r w:rsidR="00986A3A">
        <w:t xml:space="preserve"> and iv) activities to contribute to or progress gender equality.</w:t>
      </w:r>
    </w:p>
    <w:p w14:paraId="4349D5F5" w14:textId="29F7DF51" w:rsidR="00FF1B82" w:rsidRDefault="00FF1B82" w:rsidP="00301D80">
      <w:pPr>
        <w:pStyle w:val="ListParagraph"/>
        <w:numPr>
          <w:ilvl w:val="0"/>
          <w:numId w:val="44"/>
        </w:numPr>
      </w:pPr>
      <w:r>
        <w:t xml:space="preserve">The Rangers should be more actively engaged in agricultural extension services and </w:t>
      </w:r>
      <w:r w:rsidR="002F2F69">
        <w:t xml:space="preserve">water, </w:t>
      </w:r>
      <w:proofErr w:type="gramStart"/>
      <w:r w:rsidR="002F2F69">
        <w:t>sanitation</w:t>
      </w:r>
      <w:proofErr w:type="gramEnd"/>
      <w:r w:rsidR="002F2F69">
        <w:t xml:space="preserve"> and </w:t>
      </w:r>
      <w:r w:rsidR="00CE1367">
        <w:t>hygiene</w:t>
      </w:r>
      <w:r w:rsidR="002F2F69">
        <w:t xml:space="preserve"> </w:t>
      </w:r>
      <w:r>
        <w:t xml:space="preserve">infrastructure delivery, in the short term. Value will also be found </w:t>
      </w:r>
      <w:r w:rsidR="00301D80">
        <w:t>in</w:t>
      </w:r>
      <w:r>
        <w:t xml:space="preserve"> INLOC</w:t>
      </w:r>
      <w:r w:rsidR="00301D80">
        <w:t xml:space="preserve"> (implementer of the Ranger program)</w:t>
      </w:r>
      <w:r>
        <w:t xml:space="preserve"> recruiting Papua New Guinean male and female advisers.    </w:t>
      </w:r>
    </w:p>
    <w:p w14:paraId="02A1E017" w14:textId="3E370C03" w:rsidR="00FF1B82" w:rsidRDefault="00735638" w:rsidP="00301D80">
      <w:pPr>
        <w:pStyle w:val="ListParagraph"/>
        <w:numPr>
          <w:ilvl w:val="0"/>
          <w:numId w:val="44"/>
        </w:numPr>
      </w:pPr>
      <w:r>
        <w:t>Continue to strengthen existing coordination mechanisms</w:t>
      </w:r>
      <w:r w:rsidR="002370DD">
        <w:t>. Meanwhile,</w:t>
      </w:r>
      <w:r>
        <w:t xml:space="preserve"> f</w:t>
      </w:r>
      <w:r w:rsidR="00FF1B82">
        <w:t xml:space="preserve">acilitate, with District authorities, the establishment of a partner coordination platform, meeting at least biannually, comprising, among others, of the Sustainable Development Program, Ok </w:t>
      </w:r>
      <w:proofErr w:type="spellStart"/>
      <w:r w:rsidR="00FF1B82">
        <w:t>Tedi</w:t>
      </w:r>
      <w:proofErr w:type="spellEnd"/>
      <w:r w:rsidR="00FF1B82">
        <w:t xml:space="preserve"> Development Foundation, faith groups and implementers of Australian funded development initiatives.</w:t>
      </w:r>
    </w:p>
    <w:p w14:paraId="171E7BCB" w14:textId="35BF3043" w:rsidR="00FF1B82" w:rsidRDefault="00FF1B82" w:rsidP="00301D80">
      <w:pPr>
        <w:pStyle w:val="ListParagraph"/>
        <w:numPr>
          <w:ilvl w:val="0"/>
          <w:numId w:val="44"/>
        </w:numPr>
      </w:pPr>
      <w:r>
        <w:lastRenderedPageBreak/>
        <w:t>Identify pathways to sustainability for identified outputs, that leverages and improves the position and capabilities of different levels of Government, the private sector and civil society.</w:t>
      </w:r>
    </w:p>
    <w:p w14:paraId="20EDD7D2" w14:textId="253EFEEB" w:rsidR="4DAA23EE" w:rsidRDefault="5EBBF9AD" w:rsidP="00301D80">
      <w:pPr>
        <w:pStyle w:val="ListParagraph"/>
        <w:numPr>
          <w:ilvl w:val="0"/>
          <w:numId w:val="44"/>
        </w:numPr>
      </w:pPr>
      <w:r>
        <w:t>Increase emphasis on facilitating gender equality</w:t>
      </w:r>
      <w:r w:rsidRPr="5EBBF9AD">
        <w:rPr>
          <w:b/>
          <w:bCs/>
        </w:rPr>
        <w:t xml:space="preserve"> </w:t>
      </w:r>
      <w:r>
        <w:t>through enhancing i) women’s access to training opportunities and decision-making forums, ii) increasing consultation with women’s groups to determine acceptable economic enhancement activities and iii) strengthen women’s access to family sexual violence services and referral pathways.</w:t>
      </w:r>
    </w:p>
    <w:p w14:paraId="2AECD0BD" w14:textId="118741F7" w:rsidR="00986A3A" w:rsidRDefault="00986A3A" w:rsidP="00301D80">
      <w:pPr>
        <w:pStyle w:val="ListParagraph"/>
        <w:numPr>
          <w:ilvl w:val="0"/>
          <w:numId w:val="44"/>
        </w:numPr>
      </w:pPr>
      <w:r>
        <w:rPr>
          <w:rFonts w:ascii="Arial" w:eastAsia="Arial" w:hAnsi="Arial" w:cs="Arial"/>
        </w:rPr>
        <w:t>Resource a</w:t>
      </w:r>
      <w:r w:rsidRPr="36277179">
        <w:rPr>
          <w:rFonts w:ascii="Arial" w:eastAsia="Arial" w:hAnsi="Arial" w:cs="Arial"/>
        </w:rPr>
        <w:t xml:space="preserve"> </w:t>
      </w:r>
      <w:r>
        <w:rPr>
          <w:rFonts w:ascii="Arial" w:eastAsia="Arial" w:hAnsi="Arial" w:cs="Arial"/>
        </w:rPr>
        <w:t xml:space="preserve">gender equality and social inclusion </w:t>
      </w:r>
      <w:r w:rsidR="0000490F">
        <w:rPr>
          <w:rFonts w:ascii="Arial" w:eastAsia="Arial" w:hAnsi="Arial" w:cs="Arial"/>
        </w:rPr>
        <w:t>function</w:t>
      </w:r>
      <w:r>
        <w:rPr>
          <w:rFonts w:ascii="Arial" w:eastAsia="Arial" w:hAnsi="Arial" w:cs="Arial"/>
        </w:rPr>
        <w:t xml:space="preserve"> within the </w:t>
      </w:r>
      <w:proofErr w:type="gramStart"/>
      <w:r>
        <w:rPr>
          <w:rFonts w:ascii="Arial" w:eastAsia="Arial" w:hAnsi="Arial" w:cs="Arial"/>
        </w:rPr>
        <w:t>SFRP, and</w:t>
      </w:r>
      <w:proofErr w:type="gramEnd"/>
      <w:r w:rsidRPr="36277179">
        <w:rPr>
          <w:rFonts w:ascii="Arial" w:eastAsia="Arial" w:hAnsi="Arial" w:cs="Arial"/>
        </w:rPr>
        <w:t xml:space="preserve"> conduct a gender analysis</w:t>
      </w:r>
      <w:r>
        <w:rPr>
          <w:rFonts w:ascii="Arial" w:eastAsia="Arial" w:hAnsi="Arial" w:cs="Arial"/>
        </w:rPr>
        <w:t xml:space="preserve"> and a disability analysis</w:t>
      </w:r>
      <w:r w:rsidRPr="36277179">
        <w:rPr>
          <w:rFonts w:ascii="Arial" w:eastAsia="Arial" w:hAnsi="Arial" w:cs="Arial"/>
        </w:rPr>
        <w:t xml:space="preserve"> to inform </w:t>
      </w:r>
      <w:r>
        <w:rPr>
          <w:rFonts w:ascii="Arial" w:eastAsia="Arial" w:hAnsi="Arial" w:cs="Arial"/>
        </w:rPr>
        <w:t xml:space="preserve">current and </w:t>
      </w:r>
      <w:r w:rsidRPr="36277179">
        <w:rPr>
          <w:rFonts w:ascii="Arial" w:eastAsia="Arial" w:hAnsi="Arial" w:cs="Arial"/>
        </w:rPr>
        <w:t>future programming in Western Province.</w:t>
      </w:r>
    </w:p>
    <w:bookmarkEnd w:id="7"/>
    <w:p w14:paraId="7B2DE666" w14:textId="77777777" w:rsidR="00986A3A" w:rsidRDefault="00986A3A" w:rsidP="00986A3A">
      <w:pPr>
        <w:ind w:left="360"/>
      </w:pPr>
    </w:p>
    <w:p w14:paraId="2137F80B" w14:textId="4FA98BC4" w:rsidR="003910D6" w:rsidRDefault="003910D6" w:rsidP="00D419E1"/>
    <w:p w14:paraId="2BA72035" w14:textId="5236205A" w:rsidR="007F3238" w:rsidRPr="00AD0D97" w:rsidRDefault="007F3238">
      <w:pPr>
        <w:spacing w:after="0" w:line="240" w:lineRule="auto"/>
        <w:jc w:val="left"/>
        <w:rPr>
          <w:rFonts w:ascii="Poppins" w:eastAsia="Times New Roman" w:hAnsi="Poppins" w:cs="Poppins"/>
          <w:b/>
          <w:color w:val="0B1F51"/>
          <w:sz w:val="40"/>
          <w:szCs w:val="20"/>
        </w:rPr>
        <w:sectPr w:rsidR="007F3238" w:rsidRPr="00AD0D97" w:rsidSect="00C316E4">
          <w:footerReference w:type="default" r:id="rId16"/>
          <w:footerReference w:type="first" r:id="rId17"/>
          <w:type w:val="continuous"/>
          <w:pgSz w:w="11900" w:h="16840" w:code="9"/>
          <w:pgMar w:top="1440" w:right="1440" w:bottom="1440" w:left="1440" w:header="709" w:footer="435" w:gutter="0"/>
          <w:pgNumType w:fmt="lowerRoman"/>
          <w:cols w:space="708"/>
          <w:titlePg/>
          <w:docGrid w:linePitch="360"/>
        </w:sectPr>
      </w:pPr>
      <w:bookmarkStart w:id="9" w:name="_Toc88562274"/>
    </w:p>
    <w:sdt>
      <w:sdtPr>
        <w:rPr>
          <w:rFonts w:asciiTheme="minorHAnsi" w:eastAsiaTheme="minorHAnsi" w:hAnsiTheme="minorHAnsi" w:cstheme="minorHAnsi"/>
          <w:b w:val="0"/>
          <w:bCs w:val="0"/>
          <w:color w:val="auto"/>
          <w:sz w:val="22"/>
          <w:szCs w:val="22"/>
          <w:lang w:val="en-GB" w:eastAsia="en-GB"/>
        </w:rPr>
        <w:id w:val="-1894272284"/>
        <w:docPartObj>
          <w:docPartGallery w:val="Table of Contents"/>
          <w:docPartUnique/>
        </w:docPartObj>
      </w:sdtPr>
      <w:sdtEndPr>
        <w:rPr>
          <w:noProof/>
        </w:rPr>
      </w:sdtEndPr>
      <w:sdtContent>
        <w:p w14:paraId="458B5B35" w14:textId="77777777" w:rsidR="007F3238" w:rsidRDefault="007F3238">
          <w:pPr>
            <w:pStyle w:val="TOCHeading"/>
          </w:pPr>
          <w:r>
            <w:t>Table of Contents</w:t>
          </w:r>
        </w:p>
        <w:p w14:paraId="6A145D15" w14:textId="0E15B84B" w:rsidR="00653213" w:rsidRDefault="007F3238">
          <w:pPr>
            <w:pStyle w:val="TOC1"/>
            <w:rPr>
              <w:rFonts w:eastAsiaTheme="minorEastAsia" w:cstheme="minorBidi"/>
              <w:b w:val="0"/>
              <w:bCs w:val="0"/>
              <w:noProof/>
              <w:sz w:val="24"/>
              <w:szCs w:val="24"/>
            </w:rPr>
          </w:pPr>
          <w:r w:rsidRPr="007F3238">
            <w:rPr>
              <w:szCs w:val="22"/>
            </w:rPr>
            <w:fldChar w:fldCharType="begin"/>
          </w:r>
          <w:r w:rsidRPr="007F3238">
            <w:rPr>
              <w:szCs w:val="22"/>
            </w:rPr>
            <w:instrText xml:space="preserve"> TOC \o "1-3" \h \z \u </w:instrText>
          </w:r>
          <w:r w:rsidRPr="007F3238">
            <w:rPr>
              <w:szCs w:val="22"/>
            </w:rPr>
            <w:fldChar w:fldCharType="separate"/>
          </w:r>
          <w:hyperlink w:anchor="_Toc108259978" w:history="1">
            <w:r w:rsidR="00653213" w:rsidRPr="00870BFC">
              <w:rPr>
                <w:rStyle w:val="Hyperlink"/>
                <w:noProof/>
              </w:rPr>
              <w:t>About the QTAG</w:t>
            </w:r>
            <w:r w:rsidR="00653213">
              <w:rPr>
                <w:noProof/>
                <w:webHidden/>
              </w:rPr>
              <w:tab/>
            </w:r>
            <w:r w:rsidR="00653213">
              <w:rPr>
                <w:noProof/>
                <w:webHidden/>
              </w:rPr>
              <w:fldChar w:fldCharType="begin"/>
            </w:r>
            <w:r w:rsidR="00653213">
              <w:rPr>
                <w:noProof/>
                <w:webHidden/>
              </w:rPr>
              <w:instrText xml:space="preserve"> PAGEREF _Toc108259978 \h </w:instrText>
            </w:r>
            <w:r w:rsidR="00653213">
              <w:rPr>
                <w:noProof/>
                <w:webHidden/>
              </w:rPr>
            </w:r>
            <w:r w:rsidR="00653213">
              <w:rPr>
                <w:noProof/>
                <w:webHidden/>
              </w:rPr>
              <w:fldChar w:fldCharType="separate"/>
            </w:r>
            <w:r w:rsidR="00B471F9">
              <w:rPr>
                <w:noProof/>
                <w:webHidden/>
              </w:rPr>
              <w:t>ii</w:t>
            </w:r>
            <w:r w:rsidR="00653213">
              <w:rPr>
                <w:noProof/>
                <w:webHidden/>
              </w:rPr>
              <w:fldChar w:fldCharType="end"/>
            </w:r>
          </w:hyperlink>
        </w:p>
        <w:p w14:paraId="2A43D1C3" w14:textId="08DABC4D" w:rsidR="00653213" w:rsidRDefault="003C3C70">
          <w:pPr>
            <w:pStyle w:val="TOC1"/>
            <w:rPr>
              <w:rFonts w:eastAsiaTheme="minorEastAsia" w:cstheme="minorBidi"/>
              <w:b w:val="0"/>
              <w:bCs w:val="0"/>
              <w:noProof/>
              <w:sz w:val="24"/>
              <w:szCs w:val="24"/>
            </w:rPr>
          </w:pPr>
          <w:hyperlink w:anchor="_Toc108259979" w:history="1">
            <w:r w:rsidR="00653213" w:rsidRPr="00870BFC">
              <w:rPr>
                <w:rStyle w:val="Hyperlink"/>
                <w:noProof/>
              </w:rPr>
              <w:t>Executive Summary</w:t>
            </w:r>
            <w:r w:rsidR="00653213">
              <w:rPr>
                <w:noProof/>
                <w:webHidden/>
              </w:rPr>
              <w:tab/>
            </w:r>
            <w:r w:rsidR="00653213">
              <w:rPr>
                <w:noProof/>
                <w:webHidden/>
              </w:rPr>
              <w:fldChar w:fldCharType="begin"/>
            </w:r>
            <w:r w:rsidR="00653213">
              <w:rPr>
                <w:noProof/>
                <w:webHidden/>
              </w:rPr>
              <w:instrText xml:space="preserve"> PAGEREF _Toc108259979 \h </w:instrText>
            </w:r>
            <w:r w:rsidR="00653213">
              <w:rPr>
                <w:noProof/>
                <w:webHidden/>
              </w:rPr>
            </w:r>
            <w:r w:rsidR="00653213">
              <w:rPr>
                <w:noProof/>
                <w:webHidden/>
              </w:rPr>
              <w:fldChar w:fldCharType="separate"/>
            </w:r>
            <w:r w:rsidR="00B471F9">
              <w:rPr>
                <w:noProof/>
                <w:webHidden/>
              </w:rPr>
              <w:t>iii</w:t>
            </w:r>
            <w:r w:rsidR="00653213">
              <w:rPr>
                <w:noProof/>
                <w:webHidden/>
              </w:rPr>
              <w:fldChar w:fldCharType="end"/>
            </w:r>
          </w:hyperlink>
        </w:p>
        <w:p w14:paraId="06D2E53C" w14:textId="3F9DDCCC" w:rsidR="00653213" w:rsidRDefault="003C3C70">
          <w:pPr>
            <w:pStyle w:val="TOC1"/>
            <w:rPr>
              <w:rFonts w:eastAsiaTheme="minorEastAsia" w:cstheme="minorBidi"/>
              <w:b w:val="0"/>
              <w:bCs w:val="0"/>
              <w:noProof/>
              <w:sz w:val="24"/>
              <w:szCs w:val="24"/>
            </w:rPr>
          </w:pPr>
          <w:hyperlink w:anchor="_Toc108259980" w:history="1">
            <w:r w:rsidR="00653213" w:rsidRPr="00870BFC">
              <w:rPr>
                <w:rStyle w:val="Hyperlink"/>
                <w:noProof/>
              </w:rPr>
              <w:t>Acronyms</w:t>
            </w:r>
            <w:r w:rsidR="00653213">
              <w:rPr>
                <w:noProof/>
                <w:webHidden/>
              </w:rPr>
              <w:tab/>
            </w:r>
            <w:r w:rsidR="00653213">
              <w:rPr>
                <w:noProof/>
                <w:webHidden/>
              </w:rPr>
              <w:fldChar w:fldCharType="begin"/>
            </w:r>
            <w:r w:rsidR="00653213">
              <w:rPr>
                <w:noProof/>
                <w:webHidden/>
              </w:rPr>
              <w:instrText xml:space="preserve"> PAGEREF _Toc108259980 \h </w:instrText>
            </w:r>
            <w:r w:rsidR="00653213">
              <w:rPr>
                <w:noProof/>
                <w:webHidden/>
              </w:rPr>
            </w:r>
            <w:r w:rsidR="00653213">
              <w:rPr>
                <w:noProof/>
                <w:webHidden/>
              </w:rPr>
              <w:fldChar w:fldCharType="separate"/>
            </w:r>
            <w:r w:rsidR="00B471F9">
              <w:rPr>
                <w:noProof/>
                <w:webHidden/>
              </w:rPr>
              <w:t>viii</w:t>
            </w:r>
            <w:r w:rsidR="00653213">
              <w:rPr>
                <w:noProof/>
                <w:webHidden/>
              </w:rPr>
              <w:fldChar w:fldCharType="end"/>
            </w:r>
          </w:hyperlink>
        </w:p>
        <w:p w14:paraId="63B0D588" w14:textId="0BCFB2A1" w:rsidR="00653213" w:rsidRDefault="003C3C70">
          <w:pPr>
            <w:pStyle w:val="TOC1"/>
            <w:rPr>
              <w:rFonts w:eastAsiaTheme="minorEastAsia" w:cstheme="minorBidi"/>
              <w:b w:val="0"/>
              <w:bCs w:val="0"/>
              <w:noProof/>
              <w:sz w:val="24"/>
              <w:szCs w:val="24"/>
            </w:rPr>
          </w:pPr>
          <w:hyperlink w:anchor="_Toc108259981" w:history="1">
            <w:r w:rsidR="00653213" w:rsidRPr="00870BFC">
              <w:rPr>
                <w:rStyle w:val="Hyperlink"/>
                <w:noProof/>
              </w:rPr>
              <w:t>1. Purpose, structure, methodology and background</w:t>
            </w:r>
            <w:r w:rsidR="00653213">
              <w:rPr>
                <w:noProof/>
                <w:webHidden/>
              </w:rPr>
              <w:tab/>
            </w:r>
            <w:r w:rsidR="00653213">
              <w:rPr>
                <w:noProof/>
                <w:webHidden/>
              </w:rPr>
              <w:fldChar w:fldCharType="begin"/>
            </w:r>
            <w:r w:rsidR="00653213">
              <w:rPr>
                <w:noProof/>
                <w:webHidden/>
              </w:rPr>
              <w:instrText xml:space="preserve"> PAGEREF _Toc108259981 \h </w:instrText>
            </w:r>
            <w:r w:rsidR="00653213">
              <w:rPr>
                <w:noProof/>
                <w:webHidden/>
              </w:rPr>
            </w:r>
            <w:r w:rsidR="00653213">
              <w:rPr>
                <w:noProof/>
                <w:webHidden/>
              </w:rPr>
              <w:fldChar w:fldCharType="separate"/>
            </w:r>
            <w:r w:rsidR="00B471F9">
              <w:rPr>
                <w:noProof/>
                <w:webHidden/>
              </w:rPr>
              <w:t>1</w:t>
            </w:r>
            <w:r w:rsidR="00653213">
              <w:rPr>
                <w:noProof/>
                <w:webHidden/>
              </w:rPr>
              <w:fldChar w:fldCharType="end"/>
            </w:r>
          </w:hyperlink>
        </w:p>
        <w:p w14:paraId="11FCBF17" w14:textId="593EBFF4" w:rsidR="00653213" w:rsidRDefault="003C3C70">
          <w:pPr>
            <w:pStyle w:val="TOC2"/>
            <w:tabs>
              <w:tab w:val="right" w:pos="9181"/>
            </w:tabs>
            <w:rPr>
              <w:rFonts w:eastAsiaTheme="minorEastAsia" w:cstheme="minorBidi"/>
              <w:iCs w:val="0"/>
              <w:noProof/>
              <w:sz w:val="24"/>
              <w:szCs w:val="24"/>
            </w:rPr>
          </w:pPr>
          <w:hyperlink w:anchor="_Toc108259982" w:history="1">
            <w:r w:rsidR="00653213" w:rsidRPr="00870BFC">
              <w:rPr>
                <w:rStyle w:val="Hyperlink"/>
                <w:noProof/>
              </w:rPr>
              <w:t>1.1 Purpose</w:t>
            </w:r>
            <w:r w:rsidR="00653213">
              <w:rPr>
                <w:noProof/>
                <w:webHidden/>
              </w:rPr>
              <w:tab/>
            </w:r>
            <w:r w:rsidR="00653213">
              <w:rPr>
                <w:noProof/>
                <w:webHidden/>
              </w:rPr>
              <w:fldChar w:fldCharType="begin"/>
            </w:r>
            <w:r w:rsidR="00653213">
              <w:rPr>
                <w:noProof/>
                <w:webHidden/>
              </w:rPr>
              <w:instrText xml:space="preserve"> PAGEREF _Toc108259982 \h </w:instrText>
            </w:r>
            <w:r w:rsidR="00653213">
              <w:rPr>
                <w:noProof/>
                <w:webHidden/>
              </w:rPr>
            </w:r>
            <w:r w:rsidR="00653213">
              <w:rPr>
                <w:noProof/>
                <w:webHidden/>
              </w:rPr>
              <w:fldChar w:fldCharType="separate"/>
            </w:r>
            <w:r w:rsidR="00B471F9">
              <w:rPr>
                <w:noProof/>
                <w:webHidden/>
              </w:rPr>
              <w:t>1</w:t>
            </w:r>
            <w:r w:rsidR="00653213">
              <w:rPr>
                <w:noProof/>
                <w:webHidden/>
              </w:rPr>
              <w:fldChar w:fldCharType="end"/>
            </w:r>
          </w:hyperlink>
        </w:p>
        <w:p w14:paraId="283B926C" w14:textId="39ADE6FE" w:rsidR="00653213" w:rsidRDefault="003C3C70">
          <w:pPr>
            <w:pStyle w:val="TOC2"/>
            <w:tabs>
              <w:tab w:val="right" w:pos="9181"/>
            </w:tabs>
            <w:rPr>
              <w:rFonts w:eastAsiaTheme="minorEastAsia" w:cstheme="minorBidi"/>
              <w:iCs w:val="0"/>
              <w:noProof/>
              <w:sz w:val="24"/>
              <w:szCs w:val="24"/>
            </w:rPr>
          </w:pPr>
          <w:hyperlink w:anchor="_Toc108259983" w:history="1">
            <w:r w:rsidR="00653213" w:rsidRPr="00870BFC">
              <w:rPr>
                <w:rStyle w:val="Hyperlink"/>
                <w:noProof/>
              </w:rPr>
              <w:t>1.2 Structure</w:t>
            </w:r>
            <w:r w:rsidR="00653213">
              <w:rPr>
                <w:noProof/>
                <w:webHidden/>
              </w:rPr>
              <w:tab/>
            </w:r>
            <w:r w:rsidR="00653213">
              <w:rPr>
                <w:noProof/>
                <w:webHidden/>
              </w:rPr>
              <w:fldChar w:fldCharType="begin"/>
            </w:r>
            <w:r w:rsidR="00653213">
              <w:rPr>
                <w:noProof/>
                <w:webHidden/>
              </w:rPr>
              <w:instrText xml:space="preserve"> PAGEREF _Toc108259983 \h </w:instrText>
            </w:r>
            <w:r w:rsidR="00653213">
              <w:rPr>
                <w:noProof/>
                <w:webHidden/>
              </w:rPr>
            </w:r>
            <w:r w:rsidR="00653213">
              <w:rPr>
                <w:noProof/>
                <w:webHidden/>
              </w:rPr>
              <w:fldChar w:fldCharType="separate"/>
            </w:r>
            <w:r w:rsidR="00B471F9">
              <w:rPr>
                <w:noProof/>
                <w:webHidden/>
              </w:rPr>
              <w:t>1</w:t>
            </w:r>
            <w:r w:rsidR="00653213">
              <w:rPr>
                <w:noProof/>
                <w:webHidden/>
              </w:rPr>
              <w:fldChar w:fldCharType="end"/>
            </w:r>
          </w:hyperlink>
        </w:p>
        <w:p w14:paraId="106D1480" w14:textId="501CD3CB" w:rsidR="00653213" w:rsidRDefault="003C3C70">
          <w:pPr>
            <w:pStyle w:val="TOC2"/>
            <w:tabs>
              <w:tab w:val="right" w:pos="9181"/>
            </w:tabs>
            <w:rPr>
              <w:rFonts w:eastAsiaTheme="minorEastAsia" w:cstheme="minorBidi"/>
              <w:iCs w:val="0"/>
              <w:noProof/>
              <w:sz w:val="24"/>
              <w:szCs w:val="24"/>
            </w:rPr>
          </w:pPr>
          <w:hyperlink w:anchor="_Toc108259984" w:history="1">
            <w:r w:rsidR="00653213" w:rsidRPr="00870BFC">
              <w:rPr>
                <w:rStyle w:val="Hyperlink"/>
                <w:noProof/>
              </w:rPr>
              <w:t>1.3 Methodology</w:t>
            </w:r>
            <w:r w:rsidR="00653213">
              <w:rPr>
                <w:noProof/>
                <w:webHidden/>
              </w:rPr>
              <w:tab/>
            </w:r>
            <w:r w:rsidR="00653213">
              <w:rPr>
                <w:noProof/>
                <w:webHidden/>
              </w:rPr>
              <w:fldChar w:fldCharType="begin"/>
            </w:r>
            <w:r w:rsidR="00653213">
              <w:rPr>
                <w:noProof/>
                <w:webHidden/>
              </w:rPr>
              <w:instrText xml:space="preserve"> PAGEREF _Toc108259984 \h </w:instrText>
            </w:r>
            <w:r w:rsidR="00653213">
              <w:rPr>
                <w:noProof/>
                <w:webHidden/>
              </w:rPr>
            </w:r>
            <w:r w:rsidR="00653213">
              <w:rPr>
                <w:noProof/>
                <w:webHidden/>
              </w:rPr>
              <w:fldChar w:fldCharType="separate"/>
            </w:r>
            <w:r w:rsidR="00B471F9">
              <w:rPr>
                <w:noProof/>
                <w:webHidden/>
              </w:rPr>
              <w:t>1</w:t>
            </w:r>
            <w:r w:rsidR="00653213">
              <w:rPr>
                <w:noProof/>
                <w:webHidden/>
              </w:rPr>
              <w:fldChar w:fldCharType="end"/>
            </w:r>
          </w:hyperlink>
        </w:p>
        <w:p w14:paraId="43B82F1E" w14:textId="04F1A098" w:rsidR="00653213" w:rsidRDefault="003C3C70">
          <w:pPr>
            <w:pStyle w:val="TOC2"/>
            <w:tabs>
              <w:tab w:val="right" w:pos="9181"/>
            </w:tabs>
            <w:rPr>
              <w:rFonts w:eastAsiaTheme="minorEastAsia" w:cstheme="minorBidi"/>
              <w:iCs w:val="0"/>
              <w:noProof/>
              <w:sz w:val="24"/>
              <w:szCs w:val="24"/>
            </w:rPr>
          </w:pPr>
          <w:hyperlink w:anchor="_Toc108259985" w:history="1">
            <w:r w:rsidR="00653213" w:rsidRPr="00870BFC">
              <w:rPr>
                <w:rStyle w:val="Hyperlink"/>
                <w:noProof/>
              </w:rPr>
              <w:t>1.4 Background</w:t>
            </w:r>
            <w:r w:rsidR="00653213">
              <w:rPr>
                <w:noProof/>
                <w:webHidden/>
              </w:rPr>
              <w:tab/>
            </w:r>
            <w:r w:rsidR="00653213">
              <w:rPr>
                <w:noProof/>
                <w:webHidden/>
              </w:rPr>
              <w:fldChar w:fldCharType="begin"/>
            </w:r>
            <w:r w:rsidR="00653213">
              <w:rPr>
                <w:noProof/>
                <w:webHidden/>
              </w:rPr>
              <w:instrText xml:space="preserve"> PAGEREF _Toc108259985 \h </w:instrText>
            </w:r>
            <w:r w:rsidR="00653213">
              <w:rPr>
                <w:noProof/>
                <w:webHidden/>
              </w:rPr>
            </w:r>
            <w:r w:rsidR="00653213">
              <w:rPr>
                <w:noProof/>
                <w:webHidden/>
              </w:rPr>
              <w:fldChar w:fldCharType="separate"/>
            </w:r>
            <w:r w:rsidR="00B471F9">
              <w:rPr>
                <w:noProof/>
                <w:webHidden/>
              </w:rPr>
              <w:t>1</w:t>
            </w:r>
            <w:r w:rsidR="00653213">
              <w:rPr>
                <w:noProof/>
                <w:webHidden/>
              </w:rPr>
              <w:fldChar w:fldCharType="end"/>
            </w:r>
          </w:hyperlink>
        </w:p>
        <w:p w14:paraId="0BF469B8" w14:textId="60A9E893" w:rsidR="00653213" w:rsidRDefault="003C3C70">
          <w:pPr>
            <w:pStyle w:val="TOC1"/>
            <w:rPr>
              <w:rFonts w:eastAsiaTheme="minorEastAsia" w:cstheme="minorBidi"/>
              <w:b w:val="0"/>
              <w:bCs w:val="0"/>
              <w:noProof/>
              <w:sz w:val="24"/>
              <w:szCs w:val="24"/>
            </w:rPr>
          </w:pPr>
          <w:hyperlink w:anchor="_Toc108259986" w:history="1">
            <w:r w:rsidR="00653213" w:rsidRPr="00870BFC">
              <w:rPr>
                <w:rStyle w:val="Hyperlink"/>
                <w:noProof/>
              </w:rPr>
              <w:t>2. Effectiveness</w:t>
            </w:r>
            <w:r w:rsidR="00653213">
              <w:rPr>
                <w:noProof/>
                <w:webHidden/>
              </w:rPr>
              <w:tab/>
            </w:r>
            <w:r w:rsidR="00653213">
              <w:rPr>
                <w:noProof/>
                <w:webHidden/>
              </w:rPr>
              <w:fldChar w:fldCharType="begin"/>
            </w:r>
            <w:r w:rsidR="00653213">
              <w:rPr>
                <w:noProof/>
                <w:webHidden/>
              </w:rPr>
              <w:instrText xml:space="preserve"> PAGEREF _Toc108259986 \h </w:instrText>
            </w:r>
            <w:r w:rsidR="00653213">
              <w:rPr>
                <w:noProof/>
                <w:webHidden/>
              </w:rPr>
            </w:r>
            <w:r w:rsidR="00653213">
              <w:rPr>
                <w:noProof/>
                <w:webHidden/>
              </w:rPr>
              <w:fldChar w:fldCharType="separate"/>
            </w:r>
            <w:r w:rsidR="00B471F9">
              <w:rPr>
                <w:noProof/>
                <w:webHidden/>
              </w:rPr>
              <w:t>5</w:t>
            </w:r>
            <w:r w:rsidR="00653213">
              <w:rPr>
                <w:noProof/>
                <w:webHidden/>
              </w:rPr>
              <w:fldChar w:fldCharType="end"/>
            </w:r>
          </w:hyperlink>
        </w:p>
        <w:p w14:paraId="3A8866D3" w14:textId="14F61D3F" w:rsidR="00653213" w:rsidRDefault="003C3C70">
          <w:pPr>
            <w:pStyle w:val="TOC2"/>
            <w:tabs>
              <w:tab w:val="right" w:pos="9181"/>
            </w:tabs>
            <w:rPr>
              <w:rFonts w:eastAsiaTheme="minorEastAsia" w:cstheme="minorBidi"/>
              <w:iCs w:val="0"/>
              <w:noProof/>
              <w:sz w:val="24"/>
              <w:szCs w:val="24"/>
            </w:rPr>
          </w:pPr>
          <w:hyperlink w:anchor="_Toc108259987" w:history="1">
            <w:r w:rsidR="00653213" w:rsidRPr="00870BFC">
              <w:rPr>
                <w:rStyle w:val="Hyperlink"/>
                <w:noProof/>
              </w:rPr>
              <w:t>2.1 The theory of change and its assumptions</w:t>
            </w:r>
            <w:r w:rsidR="00653213">
              <w:rPr>
                <w:noProof/>
                <w:webHidden/>
              </w:rPr>
              <w:tab/>
            </w:r>
            <w:r w:rsidR="00653213">
              <w:rPr>
                <w:noProof/>
                <w:webHidden/>
              </w:rPr>
              <w:fldChar w:fldCharType="begin"/>
            </w:r>
            <w:r w:rsidR="00653213">
              <w:rPr>
                <w:noProof/>
                <w:webHidden/>
              </w:rPr>
              <w:instrText xml:space="preserve"> PAGEREF _Toc108259987 \h </w:instrText>
            </w:r>
            <w:r w:rsidR="00653213">
              <w:rPr>
                <w:noProof/>
                <w:webHidden/>
              </w:rPr>
            </w:r>
            <w:r w:rsidR="00653213">
              <w:rPr>
                <w:noProof/>
                <w:webHidden/>
              </w:rPr>
              <w:fldChar w:fldCharType="separate"/>
            </w:r>
            <w:r w:rsidR="00B471F9">
              <w:rPr>
                <w:noProof/>
                <w:webHidden/>
              </w:rPr>
              <w:t>5</w:t>
            </w:r>
            <w:r w:rsidR="00653213">
              <w:rPr>
                <w:noProof/>
                <w:webHidden/>
              </w:rPr>
              <w:fldChar w:fldCharType="end"/>
            </w:r>
          </w:hyperlink>
        </w:p>
        <w:p w14:paraId="1DDD8239" w14:textId="07DB922F" w:rsidR="00653213" w:rsidRDefault="003C3C70">
          <w:pPr>
            <w:pStyle w:val="TOC2"/>
            <w:tabs>
              <w:tab w:val="right" w:pos="9181"/>
            </w:tabs>
            <w:rPr>
              <w:rFonts w:eastAsiaTheme="minorEastAsia" w:cstheme="minorBidi"/>
              <w:iCs w:val="0"/>
              <w:noProof/>
              <w:sz w:val="24"/>
              <w:szCs w:val="24"/>
            </w:rPr>
          </w:pPr>
          <w:hyperlink w:anchor="_Toc108259988" w:history="1">
            <w:r w:rsidR="00653213" w:rsidRPr="00870BFC">
              <w:rPr>
                <w:rStyle w:val="Hyperlink"/>
                <w:noProof/>
              </w:rPr>
              <w:t>2.2 Food, livelihoods and governance</w:t>
            </w:r>
            <w:r w:rsidR="00653213">
              <w:rPr>
                <w:noProof/>
                <w:webHidden/>
              </w:rPr>
              <w:tab/>
            </w:r>
            <w:r w:rsidR="00653213">
              <w:rPr>
                <w:noProof/>
                <w:webHidden/>
              </w:rPr>
              <w:fldChar w:fldCharType="begin"/>
            </w:r>
            <w:r w:rsidR="00653213">
              <w:rPr>
                <w:noProof/>
                <w:webHidden/>
              </w:rPr>
              <w:instrText xml:space="preserve"> PAGEREF _Toc108259988 \h </w:instrText>
            </w:r>
            <w:r w:rsidR="00653213">
              <w:rPr>
                <w:noProof/>
                <w:webHidden/>
              </w:rPr>
            </w:r>
            <w:r w:rsidR="00653213">
              <w:rPr>
                <w:noProof/>
                <w:webHidden/>
              </w:rPr>
              <w:fldChar w:fldCharType="separate"/>
            </w:r>
            <w:r w:rsidR="00B471F9">
              <w:rPr>
                <w:noProof/>
                <w:webHidden/>
              </w:rPr>
              <w:t>6</w:t>
            </w:r>
            <w:r w:rsidR="00653213">
              <w:rPr>
                <w:noProof/>
                <w:webHidden/>
              </w:rPr>
              <w:fldChar w:fldCharType="end"/>
            </w:r>
          </w:hyperlink>
        </w:p>
        <w:p w14:paraId="55D988D1" w14:textId="14585366" w:rsidR="00653213" w:rsidRDefault="003C3C70">
          <w:pPr>
            <w:pStyle w:val="TOC2"/>
            <w:tabs>
              <w:tab w:val="right" w:pos="9181"/>
            </w:tabs>
            <w:rPr>
              <w:rFonts w:eastAsiaTheme="minorEastAsia" w:cstheme="minorBidi"/>
              <w:iCs w:val="0"/>
              <w:noProof/>
              <w:sz w:val="24"/>
              <w:szCs w:val="24"/>
            </w:rPr>
          </w:pPr>
          <w:hyperlink w:anchor="_Toc108259989" w:history="1">
            <w:r w:rsidR="00653213" w:rsidRPr="00870BFC">
              <w:rPr>
                <w:rStyle w:val="Hyperlink"/>
                <w:noProof/>
              </w:rPr>
              <w:t>2.3 Water, sanitation and hygiene</w:t>
            </w:r>
            <w:r w:rsidR="00653213">
              <w:rPr>
                <w:noProof/>
                <w:webHidden/>
              </w:rPr>
              <w:tab/>
            </w:r>
            <w:r w:rsidR="00653213">
              <w:rPr>
                <w:noProof/>
                <w:webHidden/>
              </w:rPr>
              <w:fldChar w:fldCharType="begin"/>
            </w:r>
            <w:r w:rsidR="00653213">
              <w:rPr>
                <w:noProof/>
                <w:webHidden/>
              </w:rPr>
              <w:instrText xml:space="preserve"> PAGEREF _Toc108259989 \h </w:instrText>
            </w:r>
            <w:r w:rsidR="00653213">
              <w:rPr>
                <w:noProof/>
                <w:webHidden/>
              </w:rPr>
            </w:r>
            <w:r w:rsidR="00653213">
              <w:rPr>
                <w:noProof/>
                <w:webHidden/>
              </w:rPr>
              <w:fldChar w:fldCharType="separate"/>
            </w:r>
            <w:r w:rsidR="00B471F9">
              <w:rPr>
                <w:noProof/>
                <w:webHidden/>
              </w:rPr>
              <w:t>7</w:t>
            </w:r>
            <w:r w:rsidR="00653213">
              <w:rPr>
                <w:noProof/>
                <w:webHidden/>
              </w:rPr>
              <w:fldChar w:fldCharType="end"/>
            </w:r>
          </w:hyperlink>
        </w:p>
        <w:p w14:paraId="1562980A" w14:textId="35EF7A1E" w:rsidR="00653213" w:rsidRDefault="003C3C70">
          <w:pPr>
            <w:pStyle w:val="TOC2"/>
            <w:tabs>
              <w:tab w:val="right" w:pos="9181"/>
            </w:tabs>
            <w:rPr>
              <w:rFonts w:eastAsiaTheme="minorEastAsia" w:cstheme="minorBidi"/>
              <w:iCs w:val="0"/>
              <w:noProof/>
              <w:sz w:val="24"/>
              <w:szCs w:val="24"/>
            </w:rPr>
          </w:pPr>
          <w:hyperlink w:anchor="_Toc108259990" w:history="1">
            <w:r w:rsidR="00653213" w:rsidRPr="00870BFC">
              <w:rPr>
                <w:rStyle w:val="Hyperlink"/>
                <w:noProof/>
              </w:rPr>
              <w:t>2.4 Sensitivity to the socio-cultural local context</w:t>
            </w:r>
            <w:r w:rsidR="00653213">
              <w:rPr>
                <w:noProof/>
                <w:webHidden/>
              </w:rPr>
              <w:tab/>
            </w:r>
            <w:r w:rsidR="00653213">
              <w:rPr>
                <w:noProof/>
                <w:webHidden/>
              </w:rPr>
              <w:fldChar w:fldCharType="begin"/>
            </w:r>
            <w:r w:rsidR="00653213">
              <w:rPr>
                <w:noProof/>
                <w:webHidden/>
              </w:rPr>
              <w:instrText xml:space="preserve"> PAGEREF _Toc108259990 \h </w:instrText>
            </w:r>
            <w:r w:rsidR="00653213">
              <w:rPr>
                <w:noProof/>
                <w:webHidden/>
              </w:rPr>
            </w:r>
            <w:r w:rsidR="00653213">
              <w:rPr>
                <w:noProof/>
                <w:webHidden/>
              </w:rPr>
              <w:fldChar w:fldCharType="separate"/>
            </w:r>
            <w:r w:rsidR="00B471F9">
              <w:rPr>
                <w:noProof/>
                <w:webHidden/>
              </w:rPr>
              <w:t>8</w:t>
            </w:r>
            <w:r w:rsidR="00653213">
              <w:rPr>
                <w:noProof/>
                <w:webHidden/>
              </w:rPr>
              <w:fldChar w:fldCharType="end"/>
            </w:r>
          </w:hyperlink>
        </w:p>
        <w:p w14:paraId="026F7082" w14:textId="2BA5541D" w:rsidR="00653213" w:rsidRDefault="003C3C70">
          <w:pPr>
            <w:pStyle w:val="TOC1"/>
            <w:rPr>
              <w:rFonts w:eastAsiaTheme="minorEastAsia" w:cstheme="minorBidi"/>
              <w:b w:val="0"/>
              <w:bCs w:val="0"/>
              <w:noProof/>
              <w:sz w:val="24"/>
              <w:szCs w:val="24"/>
            </w:rPr>
          </w:pPr>
          <w:hyperlink w:anchor="_Toc108259991" w:history="1">
            <w:r w:rsidR="00653213" w:rsidRPr="00870BFC">
              <w:rPr>
                <w:rStyle w:val="Hyperlink"/>
                <w:noProof/>
              </w:rPr>
              <w:t>3. Efficiency</w:t>
            </w:r>
            <w:r w:rsidR="00653213">
              <w:rPr>
                <w:noProof/>
                <w:webHidden/>
              </w:rPr>
              <w:tab/>
            </w:r>
            <w:r w:rsidR="00653213">
              <w:rPr>
                <w:noProof/>
                <w:webHidden/>
              </w:rPr>
              <w:fldChar w:fldCharType="begin"/>
            </w:r>
            <w:r w:rsidR="00653213">
              <w:rPr>
                <w:noProof/>
                <w:webHidden/>
              </w:rPr>
              <w:instrText xml:space="preserve"> PAGEREF _Toc108259991 \h </w:instrText>
            </w:r>
            <w:r w:rsidR="00653213">
              <w:rPr>
                <w:noProof/>
                <w:webHidden/>
              </w:rPr>
            </w:r>
            <w:r w:rsidR="00653213">
              <w:rPr>
                <w:noProof/>
                <w:webHidden/>
              </w:rPr>
              <w:fldChar w:fldCharType="separate"/>
            </w:r>
            <w:r w:rsidR="00B471F9">
              <w:rPr>
                <w:noProof/>
                <w:webHidden/>
              </w:rPr>
              <w:t>10</w:t>
            </w:r>
            <w:r w:rsidR="00653213">
              <w:rPr>
                <w:noProof/>
                <w:webHidden/>
              </w:rPr>
              <w:fldChar w:fldCharType="end"/>
            </w:r>
          </w:hyperlink>
        </w:p>
        <w:p w14:paraId="083BD989" w14:textId="7DB05182" w:rsidR="00653213" w:rsidRDefault="003C3C70">
          <w:pPr>
            <w:pStyle w:val="TOC2"/>
            <w:tabs>
              <w:tab w:val="right" w:pos="9181"/>
            </w:tabs>
            <w:rPr>
              <w:rFonts w:eastAsiaTheme="minorEastAsia" w:cstheme="minorBidi"/>
              <w:iCs w:val="0"/>
              <w:noProof/>
              <w:sz w:val="24"/>
              <w:szCs w:val="24"/>
            </w:rPr>
          </w:pPr>
          <w:hyperlink w:anchor="_Toc108259992" w:history="1">
            <w:r w:rsidR="00653213" w:rsidRPr="00870BFC">
              <w:rPr>
                <w:rStyle w:val="Hyperlink"/>
                <w:noProof/>
              </w:rPr>
              <w:t>3.1 Overview</w:t>
            </w:r>
            <w:r w:rsidR="00653213">
              <w:rPr>
                <w:noProof/>
                <w:webHidden/>
              </w:rPr>
              <w:tab/>
            </w:r>
            <w:r w:rsidR="00653213">
              <w:rPr>
                <w:noProof/>
                <w:webHidden/>
              </w:rPr>
              <w:fldChar w:fldCharType="begin"/>
            </w:r>
            <w:r w:rsidR="00653213">
              <w:rPr>
                <w:noProof/>
                <w:webHidden/>
              </w:rPr>
              <w:instrText xml:space="preserve"> PAGEREF _Toc108259992 \h </w:instrText>
            </w:r>
            <w:r w:rsidR="00653213">
              <w:rPr>
                <w:noProof/>
                <w:webHidden/>
              </w:rPr>
            </w:r>
            <w:r w:rsidR="00653213">
              <w:rPr>
                <w:noProof/>
                <w:webHidden/>
              </w:rPr>
              <w:fldChar w:fldCharType="separate"/>
            </w:r>
            <w:r w:rsidR="00B471F9">
              <w:rPr>
                <w:noProof/>
                <w:webHidden/>
              </w:rPr>
              <w:t>10</w:t>
            </w:r>
            <w:r w:rsidR="00653213">
              <w:rPr>
                <w:noProof/>
                <w:webHidden/>
              </w:rPr>
              <w:fldChar w:fldCharType="end"/>
            </w:r>
          </w:hyperlink>
        </w:p>
        <w:p w14:paraId="7B1519FC" w14:textId="132658B7" w:rsidR="00653213" w:rsidRDefault="003C3C70">
          <w:pPr>
            <w:pStyle w:val="TOC2"/>
            <w:tabs>
              <w:tab w:val="right" w:pos="9181"/>
            </w:tabs>
            <w:rPr>
              <w:rFonts w:eastAsiaTheme="minorEastAsia" w:cstheme="minorBidi"/>
              <w:iCs w:val="0"/>
              <w:noProof/>
              <w:sz w:val="24"/>
              <w:szCs w:val="24"/>
            </w:rPr>
          </w:pPr>
          <w:hyperlink w:anchor="_Toc108259993" w:history="1">
            <w:r w:rsidR="00653213" w:rsidRPr="00870BFC">
              <w:rPr>
                <w:rStyle w:val="Hyperlink"/>
                <w:noProof/>
              </w:rPr>
              <w:t>3.2 Achievement of outputs and budget execution in food, livelihood and governance</w:t>
            </w:r>
            <w:r w:rsidR="00653213">
              <w:rPr>
                <w:noProof/>
                <w:webHidden/>
              </w:rPr>
              <w:tab/>
            </w:r>
            <w:r w:rsidR="00653213">
              <w:rPr>
                <w:noProof/>
                <w:webHidden/>
              </w:rPr>
              <w:fldChar w:fldCharType="begin"/>
            </w:r>
            <w:r w:rsidR="00653213">
              <w:rPr>
                <w:noProof/>
                <w:webHidden/>
              </w:rPr>
              <w:instrText xml:space="preserve"> PAGEREF _Toc108259993 \h </w:instrText>
            </w:r>
            <w:r w:rsidR="00653213">
              <w:rPr>
                <w:noProof/>
                <w:webHidden/>
              </w:rPr>
            </w:r>
            <w:r w:rsidR="00653213">
              <w:rPr>
                <w:noProof/>
                <w:webHidden/>
              </w:rPr>
              <w:fldChar w:fldCharType="separate"/>
            </w:r>
            <w:r w:rsidR="00B471F9">
              <w:rPr>
                <w:noProof/>
                <w:webHidden/>
              </w:rPr>
              <w:t>10</w:t>
            </w:r>
            <w:r w:rsidR="00653213">
              <w:rPr>
                <w:noProof/>
                <w:webHidden/>
              </w:rPr>
              <w:fldChar w:fldCharType="end"/>
            </w:r>
          </w:hyperlink>
        </w:p>
        <w:p w14:paraId="7392D8BD" w14:textId="6DC2600D" w:rsidR="00653213" w:rsidRDefault="003C3C70">
          <w:pPr>
            <w:pStyle w:val="TOC2"/>
            <w:tabs>
              <w:tab w:val="right" w:pos="9181"/>
            </w:tabs>
            <w:rPr>
              <w:rFonts w:eastAsiaTheme="minorEastAsia" w:cstheme="minorBidi"/>
              <w:iCs w:val="0"/>
              <w:noProof/>
              <w:sz w:val="24"/>
              <w:szCs w:val="24"/>
            </w:rPr>
          </w:pPr>
          <w:hyperlink w:anchor="_Toc108259994" w:history="1">
            <w:r w:rsidR="00653213" w:rsidRPr="00870BFC">
              <w:rPr>
                <w:rStyle w:val="Hyperlink"/>
                <w:noProof/>
              </w:rPr>
              <w:t>3.3 Achievement of outputs and budget execution in water, sanitation and hygiene</w:t>
            </w:r>
            <w:r w:rsidR="00653213">
              <w:rPr>
                <w:noProof/>
                <w:webHidden/>
              </w:rPr>
              <w:tab/>
            </w:r>
            <w:r w:rsidR="00653213">
              <w:rPr>
                <w:noProof/>
                <w:webHidden/>
              </w:rPr>
              <w:fldChar w:fldCharType="begin"/>
            </w:r>
            <w:r w:rsidR="00653213">
              <w:rPr>
                <w:noProof/>
                <w:webHidden/>
              </w:rPr>
              <w:instrText xml:space="preserve"> PAGEREF _Toc108259994 \h </w:instrText>
            </w:r>
            <w:r w:rsidR="00653213">
              <w:rPr>
                <w:noProof/>
                <w:webHidden/>
              </w:rPr>
            </w:r>
            <w:r w:rsidR="00653213">
              <w:rPr>
                <w:noProof/>
                <w:webHidden/>
              </w:rPr>
              <w:fldChar w:fldCharType="separate"/>
            </w:r>
            <w:r w:rsidR="00B471F9">
              <w:rPr>
                <w:noProof/>
                <w:webHidden/>
              </w:rPr>
              <w:t>12</w:t>
            </w:r>
            <w:r w:rsidR="00653213">
              <w:rPr>
                <w:noProof/>
                <w:webHidden/>
              </w:rPr>
              <w:fldChar w:fldCharType="end"/>
            </w:r>
          </w:hyperlink>
        </w:p>
        <w:p w14:paraId="6391B37C" w14:textId="75EAE122" w:rsidR="00653213" w:rsidRDefault="003C3C70">
          <w:pPr>
            <w:pStyle w:val="TOC2"/>
            <w:tabs>
              <w:tab w:val="right" w:pos="9181"/>
            </w:tabs>
            <w:rPr>
              <w:rFonts w:eastAsiaTheme="minorEastAsia" w:cstheme="minorBidi"/>
              <w:iCs w:val="0"/>
              <w:noProof/>
              <w:sz w:val="24"/>
              <w:szCs w:val="24"/>
            </w:rPr>
          </w:pPr>
          <w:hyperlink w:anchor="_Toc108259995" w:history="1">
            <w:r w:rsidR="00653213" w:rsidRPr="00870BFC">
              <w:rPr>
                <w:rStyle w:val="Hyperlink"/>
                <w:noProof/>
              </w:rPr>
              <w:t>3.4 The shipping service to the South Fly</w:t>
            </w:r>
            <w:r w:rsidR="00653213">
              <w:rPr>
                <w:noProof/>
                <w:webHidden/>
              </w:rPr>
              <w:tab/>
            </w:r>
            <w:r w:rsidR="00653213">
              <w:rPr>
                <w:noProof/>
                <w:webHidden/>
              </w:rPr>
              <w:fldChar w:fldCharType="begin"/>
            </w:r>
            <w:r w:rsidR="00653213">
              <w:rPr>
                <w:noProof/>
                <w:webHidden/>
              </w:rPr>
              <w:instrText xml:space="preserve"> PAGEREF _Toc108259995 \h </w:instrText>
            </w:r>
            <w:r w:rsidR="00653213">
              <w:rPr>
                <w:noProof/>
                <w:webHidden/>
              </w:rPr>
            </w:r>
            <w:r w:rsidR="00653213">
              <w:rPr>
                <w:noProof/>
                <w:webHidden/>
              </w:rPr>
              <w:fldChar w:fldCharType="separate"/>
            </w:r>
            <w:r w:rsidR="00B471F9">
              <w:rPr>
                <w:noProof/>
                <w:webHidden/>
              </w:rPr>
              <w:t>13</w:t>
            </w:r>
            <w:r w:rsidR="00653213">
              <w:rPr>
                <w:noProof/>
                <w:webHidden/>
              </w:rPr>
              <w:fldChar w:fldCharType="end"/>
            </w:r>
          </w:hyperlink>
        </w:p>
        <w:p w14:paraId="679F7A61" w14:textId="7E33CA17" w:rsidR="00653213" w:rsidRDefault="003C3C70">
          <w:pPr>
            <w:pStyle w:val="TOC1"/>
            <w:tabs>
              <w:tab w:val="left" w:pos="440"/>
            </w:tabs>
            <w:rPr>
              <w:rFonts w:eastAsiaTheme="minorEastAsia" w:cstheme="minorBidi"/>
              <w:b w:val="0"/>
              <w:bCs w:val="0"/>
              <w:noProof/>
              <w:sz w:val="24"/>
              <w:szCs w:val="24"/>
            </w:rPr>
          </w:pPr>
          <w:hyperlink w:anchor="_Toc108259996" w:history="1">
            <w:r w:rsidR="00653213" w:rsidRPr="00870BFC">
              <w:rPr>
                <w:rStyle w:val="Hyperlink"/>
                <w:noProof/>
              </w:rPr>
              <w:t>4.</w:t>
            </w:r>
            <w:r w:rsidR="00653213">
              <w:rPr>
                <w:rFonts w:eastAsiaTheme="minorEastAsia" w:cstheme="minorBidi"/>
                <w:b w:val="0"/>
                <w:bCs w:val="0"/>
                <w:noProof/>
                <w:sz w:val="24"/>
                <w:szCs w:val="24"/>
              </w:rPr>
              <w:tab/>
            </w:r>
            <w:r w:rsidR="00653213" w:rsidRPr="00870BFC">
              <w:rPr>
                <w:rStyle w:val="Hyperlink"/>
                <w:noProof/>
              </w:rPr>
              <w:t>Coherence</w:t>
            </w:r>
            <w:r w:rsidR="00653213">
              <w:rPr>
                <w:noProof/>
                <w:webHidden/>
              </w:rPr>
              <w:tab/>
            </w:r>
            <w:r w:rsidR="00653213">
              <w:rPr>
                <w:noProof/>
                <w:webHidden/>
              </w:rPr>
              <w:fldChar w:fldCharType="begin"/>
            </w:r>
            <w:r w:rsidR="00653213">
              <w:rPr>
                <w:noProof/>
                <w:webHidden/>
              </w:rPr>
              <w:instrText xml:space="preserve"> PAGEREF _Toc108259996 \h </w:instrText>
            </w:r>
            <w:r w:rsidR="00653213">
              <w:rPr>
                <w:noProof/>
                <w:webHidden/>
              </w:rPr>
            </w:r>
            <w:r w:rsidR="00653213">
              <w:rPr>
                <w:noProof/>
                <w:webHidden/>
              </w:rPr>
              <w:fldChar w:fldCharType="separate"/>
            </w:r>
            <w:r w:rsidR="00B471F9">
              <w:rPr>
                <w:noProof/>
                <w:webHidden/>
              </w:rPr>
              <w:t>15</w:t>
            </w:r>
            <w:r w:rsidR="00653213">
              <w:rPr>
                <w:noProof/>
                <w:webHidden/>
              </w:rPr>
              <w:fldChar w:fldCharType="end"/>
            </w:r>
          </w:hyperlink>
        </w:p>
        <w:p w14:paraId="6C26CF60" w14:textId="674C80DE" w:rsidR="00653213" w:rsidRDefault="003C3C70">
          <w:pPr>
            <w:pStyle w:val="TOC2"/>
            <w:tabs>
              <w:tab w:val="right" w:pos="9181"/>
            </w:tabs>
            <w:rPr>
              <w:rFonts w:eastAsiaTheme="minorEastAsia" w:cstheme="minorBidi"/>
              <w:iCs w:val="0"/>
              <w:noProof/>
              <w:sz w:val="24"/>
              <w:szCs w:val="24"/>
            </w:rPr>
          </w:pPr>
          <w:hyperlink w:anchor="_Toc108259997" w:history="1">
            <w:r w:rsidR="00653213" w:rsidRPr="00870BFC">
              <w:rPr>
                <w:rStyle w:val="Hyperlink"/>
                <w:noProof/>
              </w:rPr>
              <w:t>4.1 Coherence with Australia’s priorities in the SFD</w:t>
            </w:r>
            <w:r w:rsidR="00653213">
              <w:rPr>
                <w:noProof/>
                <w:webHidden/>
              </w:rPr>
              <w:tab/>
            </w:r>
            <w:r w:rsidR="00653213">
              <w:rPr>
                <w:noProof/>
                <w:webHidden/>
              </w:rPr>
              <w:fldChar w:fldCharType="begin"/>
            </w:r>
            <w:r w:rsidR="00653213">
              <w:rPr>
                <w:noProof/>
                <w:webHidden/>
              </w:rPr>
              <w:instrText xml:space="preserve"> PAGEREF _Toc108259997 \h </w:instrText>
            </w:r>
            <w:r w:rsidR="00653213">
              <w:rPr>
                <w:noProof/>
                <w:webHidden/>
              </w:rPr>
            </w:r>
            <w:r w:rsidR="00653213">
              <w:rPr>
                <w:noProof/>
                <w:webHidden/>
              </w:rPr>
              <w:fldChar w:fldCharType="separate"/>
            </w:r>
            <w:r w:rsidR="00B471F9">
              <w:rPr>
                <w:noProof/>
                <w:webHidden/>
              </w:rPr>
              <w:t>15</w:t>
            </w:r>
            <w:r w:rsidR="00653213">
              <w:rPr>
                <w:noProof/>
                <w:webHidden/>
              </w:rPr>
              <w:fldChar w:fldCharType="end"/>
            </w:r>
          </w:hyperlink>
        </w:p>
        <w:p w14:paraId="27EE848C" w14:textId="6BE4708D" w:rsidR="00653213" w:rsidRDefault="003C3C70">
          <w:pPr>
            <w:pStyle w:val="TOC2"/>
            <w:tabs>
              <w:tab w:val="right" w:pos="9181"/>
            </w:tabs>
            <w:rPr>
              <w:rFonts w:eastAsiaTheme="minorEastAsia" w:cstheme="minorBidi"/>
              <w:iCs w:val="0"/>
              <w:noProof/>
              <w:sz w:val="24"/>
              <w:szCs w:val="24"/>
            </w:rPr>
          </w:pPr>
          <w:hyperlink w:anchor="_Toc108259998" w:history="1">
            <w:r w:rsidR="00653213" w:rsidRPr="00870BFC">
              <w:rPr>
                <w:rStyle w:val="Hyperlink"/>
                <w:noProof/>
              </w:rPr>
              <w:t>4.2 Synergies with Australia’s development program and the bilateral partnership</w:t>
            </w:r>
            <w:r w:rsidR="00653213">
              <w:rPr>
                <w:noProof/>
                <w:webHidden/>
              </w:rPr>
              <w:tab/>
            </w:r>
            <w:r w:rsidR="00653213">
              <w:rPr>
                <w:noProof/>
                <w:webHidden/>
              </w:rPr>
              <w:fldChar w:fldCharType="begin"/>
            </w:r>
            <w:r w:rsidR="00653213">
              <w:rPr>
                <w:noProof/>
                <w:webHidden/>
              </w:rPr>
              <w:instrText xml:space="preserve"> PAGEREF _Toc108259998 \h </w:instrText>
            </w:r>
            <w:r w:rsidR="00653213">
              <w:rPr>
                <w:noProof/>
                <w:webHidden/>
              </w:rPr>
            </w:r>
            <w:r w:rsidR="00653213">
              <w:rPr>
                <w:noProof/>
                <w:webHidden/>
              </w:rPr>
              <w:fldChar w:fldCharType="separate"/>
            </w:r>
            <w:r w:rsidR="00B471F9">
              <w:rPr>
                <w:noProof/>
                <w:webHidden/>
              </w:rPr>
              <w:t>15</w:t>
            </w:r>
            <w:r w:rsidR="00653213">
              <w:rPr>
                <w:noProof/>
                <w:webHidden/>
              </w:rPr>
              <w:fldChar w:fldCharType="end"/>
            </w:r>
          </w:hyperlink>
        </w:p>
        <w:p w14:paraId="045FAD47" w14:textId="707B8220" w:rsidR="00653213" w:rsidRDefault="003C3C70">
          <w:pPr>
            <w:pStyle w:val="TOC2"/>
            <w:tabs>
              <w:tab w:val="right" w:pos="9181"/>
            </w:tabs>
            <w:rPr>
              <w:rFonts w:eastAsiaTheme="minorEastAsia" w:cstheme="minorBidi"/>
              <w:iCs w:val="0"/>
              <w:noProof/>
              <w:sz w:val="24"/>
              <w:szCs w:val="24"/>
            </w:rPr>
          </w:pPr>
          <w:hyperlink w:anchor="_Toc108259999" w:history="1">
            <w:r w:rsidR="00653213" w:rsidRPr="00870BFC">
              <w:rPr>
                <w:rStyle w:val="Hyperlink"/>
                <w:noProof/>
              </w:rPr>
              <w:t>4.3 Harmonisation and coordination with key actors in the SFD</w:t>
            </w:r>
            <w:r w:rsidR="00653213">
              <w:rPr>
                <w:noProof/>
                <w:webHidden/>
              </w:rPr>
              <w:tab/>
            </w:r>
            <w:r w:rsidR="00653213">
              <w:rPr>
                <w:noProof/>
                <w:webHidden/>
              </w:rPr>
              <w:fldChar w:fldCharType="begin"/>
            </w:r>
            <w:r w:rsidR="00653213">
              <w:rPr>
                <w:noProof/>
                <w:webHidden/>
              </w:rPr>
              <w:instrText xml:space="preserve"> PAGEREF _Toc108259999 \h </w:instrText>
            </w:r>
            <w:r w:rsidR="00653213">
              <w:rPr>
                <w:noProof/>
                <w:webHidden/>
              </w:rPr>
            </w:r>
            <w:r w:rsidR="00653213">
              <w:rPr>
                <w:noProof/>
                <w:webHidden/>
              </w:rPr>
              <w:fldChar w:fldCharType="separate"/>
            </w:r>
            <w:r w:rsidR="00B471F9">
              <w:rPr>
                <w:noProof/>
                <w:webHidden/>
              </w:rPr>
              <w:t>16</w:t>
            </w:r>
            <w:r w:rsidR="00653213">
              <w:rPr>
                <w:noProof/>
                <w:webHidden/>
              </w:rPr>
              <w:fldChar w:fldCharType="end"/>
            </w:r>
          </w:hyperlink>
        </w:p>
        <w:p w14:paraId="65873C08" w14:textId="0E1AFCD8" w:rsidR="00653213" w:rsidRDefault="003C3C70">
          <w:pPr>
            <w:pStyle w:val="TOC1"/>
            <w:tabs>
              <w:tab w:val="left" w:pos="440"/>
            </w:tabs>
            <w:rPr>
              <w:rFonts w:eastAsiaTheme="minorEastAsia" w:cstheme="minorBidi"/>
              <w:b w:val="0"/>
              <w:bCs w:val="0"/>
              <w:noProof/>
              <w:sz w:val="24"/>
              <w:szCs w:val="24"/>
            </w:rPr>
          </w:pPr>
          <w:hyperlink w:anchor="_Toc108260000" w:history="1">
            <w:r w:rsidR="00653213" w:rsidRPr="00870BFC">
              <w:rPr>
                <w:rStyle w:val="Hyperlink"/>
                <w:noProof/>
              </w:rPr>
              <w:t>5.</w:t>
            </w:r>
            <w:r w:rsidR="00653213">
              <w:rPr>
                <w:rFonts w:eastAsiaTheme="minorEastAsia" w:cstheme="minorBidi"/>
                <w:b w:val="0"/>
                <w:bCs w:val="0"/>
                <w:noProof/>
                <w:sz w:val="24"/>
                <w:szCs w:val="24"/>
              </w:rPr>
              <w:tab/>
            </w:r>
            <w:r w:rsidR="00653213" w:rsidRPr="00870BFC">
              <w:rPr>
                <w:rStyle w:val="Hyperlink"/>
                <w:noProof/>
              </w:rPr>
              <w:t>Sustainability</w:t>
            </w:r>
            <w:r w:rsidR="00653213">
              <w:rPr>
                <w:noProof/>
                <w:webHidden/>
              </w:rPr>
              <w:tab/>
            </w:r>
            <w:r w:rsidR="00653213">
              <w:rPr>
                <w:noProof/>
                <w:webHidden/>
              </w:rPr>
              <w:fldChar w:fldCharType="begin"/>
            </w:r>
            <w:r w:rsidR="00653213">
              <w:rPr>
                <w:noProof/>
                <w:webHidden/>
              </w:rPr>
              <w:instrText xml:space="preserve"> PAGEREF _Toc108260000 \h </w:instrText>
            </w:r>
            <w:r w:rsidR="00653213">
              <w:rPr>
                <w:noProof/>
                <w:webHidden/>
              </w:rPr>
            </w:r>
            <w:r w:rsidR="00653213">
              <w:rPr>
                <w:noProof/>
                <w:webHidden/>
              </w:rPr>
              <w:fldChar w:fldCharType="separate"/>
            </w:r>
            <w:r w:rsidR="00B471F9">
              <w:rPr>
                <w:noProof/>
                <w:webHidden/>
              </w:rPr>
              <w:t>19</w:t>
            </w:r>
            <w:r w:rsidR="00653213">
              <w:rPr>
                <w:noProof/>
                <w:webHidden/>
              </w:rPr>
              <w:fldChar w:fldCharType="end"/>
            </w:r>
          </w:hyperlink>
        </w:p>
        <w:p w14:paraId="1016E470" w14:textId="2F1E3568" w:rsidR="00653213" w:rsidRDefault="003C3C70">
          <w:pPr>
            <w:pStyle w:val="TOC2"/>
            <w:tabs>
              <w:tab w:val="right" w:pos="9181"/>
            </w:tabs>
            <w:rPr>
              <w:rFonts w:eastAsiaTheme="minorEastAsia" w:cstheme="minorBidi"/>
              <w:iCs w:val="0"/>
              <w:noProof/>
              <w:sz w:val="24"/>
              <w:szCs w:val="24"/>
            </w:rPr>
          </w:pPr>
          <w:hyperlink w:anchor="_Toc108260001" w:history="1">
            <w:r w:rsidR="00653213" w:rsidRPr="00870BFC">
              <w:rPr>
                <w:rStyle w:val="Hyperlink"/>
                <w:noProof/>
              </w:rPr>
              <w:t>5.1 Overview</w:t>
            </w:r>
            <w:r w:rsidR="00653213">
              <w:rPr>
                <w:noProof/>
                <w:webHidden/>
              </w:rPr>
              <w:tab/>
            </w:r>
            <w:r w:rsidR="00653213">
              <w:rPr>
                <w:noProof/>
                <w:webHidden/>
              </w:rPr>
              <w:fldChar w:fldCharType="begin"/>
            </w:r>
            <w:r w:rsidR="00653213">
              <w:rPr>
                <w:noProof/>
                <w:webHidden/>
              </w:rPr>
              <w:instrText xml:space="preserve"> PAGEREF _Toc108260001 \h </w:instrText>
            </w:r>
            <w:r w:rsidR="00653213">
              <w:rPr>
                <w:noProof/>
                <w:webHidden/>
              </w:rPr>
            </w:r>
            <w:r w:rsidR="00653213">
              <w:rPr>
                <w:noProof/>
                <w:webHidden/>
              </w:rPr>
              <w:fldChar w:fldCharType="separate"/>
            </w:r>
            <w:r w:rsidR="00B471F9">
              <w:rPr>
                <w:noProof/>
                <w:webHidden/>
              </w:rPr>
              <w:t>19</w:t>
            </w:r>
            <w:r w:rsidR="00653213">
              <w:rPr>
                <w:noProof/>
                <w:webHidden/>
              </w:rPr>
              <w:fldChar w:fldCharType="end"/>
            </w:r>
          </w:hyperlink>
        </w:p>
        <w:p w14:paraId="594654E2" w14:textId="001F9FBA" w:rsidR="00653213" w:rsidRDefault="003C3C70">
          <w:pPr>
            <w:pStyle w:val="TOC2"/>
            <w:tabs>
              <w:tab w:val="right" w:pos="9181"/>
            </w:tabs>
            <w:rPr>
              <w:rFonts w:eastAsiaTheme="minorEastAsia" w:cstheme="minorBidi"/>
              <w:iCs w:val="0"/>
              <w:noProof/>
              <w:sz w:val="24"/>
              <w:szCs w:val="24"/>
            </w:rPr>
          </w:pPr>
          <w:hyperlink w:anchor="_Toc108260002" w:history="1">
            <w:r w:rsidR="00653213" w:rsidRPr="00870BFC">
              <w:rPr>
                <w:rStyle w:val="Hyperlink"/>
                <w:noProof/>
              </w:rPr>
              <w:t>5.2 What areas are likely to be sustained in the long term by formal and informal institutions?</w:t>
            </w:r>
            <w:r w:rsidR="00653213">
              <w:rPr>
                <w:noProof/>
                <w:webHidden/>
              </w:rPr>
              <w:tab/>
            </w:r>
            <w:r w:rsidR="00653213">
              <w:rPr>
                <w:noProof/>
                <w:webHidden/>
              </w:rPr>
              <w:fldChar w:fldCharType="begin"/>
            </w:r>
            <w:r w:rsidR="00653213">
              <w:rPr>
                <w:noProof/>
                <w:webHidden/>
              </w:rPr>
              <w:instrText xml:space="preserve"> PAGEREF _Toc108260002 \h </w:instrText>
            </w:r>
            <w:r w:rsidR="00653213">
              <w:rPr>
                <w:noProof/>
                <w:webHidden/>
              </w:rPr>
            </w:r>
            <w:r w:rsidR="00653213">
              <w:rPr>
                <w:noProof/>
                <w:webHidden/>
              </w:rPr>
              <w:fldChar w:fldCharType="separate"/>
            </w:r>
            <w:r w:rsidR="00B471F9">
              <w:rPr>
                <w:noProof/>
                <w:webHidden/>
              </w:rPr>
              <w:t>19</w:t>
            </w:r>
            <w:r w:rsidR="00653213">
              <w:rPr>
                <w:noProof/>
                <w:webHidden/>
              </w:rPr>
              <w:fldChar w:fldCharType="end"/>
            </w:r>
          </w:hyperlink>
        </w:p>
        <w:p w14:paraId="7A3344C7" w14:textId="117E7468" w:rsidR="00653213" w:rsidRDefault="003C3C70">
          <w:pPr>
            <w:pStyle w:val="TOC1"/>
            <w:tabs>
              <w:tab w:val="left" w:pos="440"/>
            </w:tabs>
            <w:rPr>
              <w:rFonts w:eastAsiaTheme="minorEastAsia" w:cstheme="minorBidi"/>
              <w:b w:val="0"/>
              <w:bCs w:val="0"/>
              <w:noProof/>
              <w:sz w:val="24"/>
              <w:szCs w:val="24"/>
            </w:rPr>
          </w:pPr>
          <w:hyperlink w:anchor="_Toc108260003" w:history="1">
            <w:r w:rsidR="00653213" w:rsidRPr="00870BFC">
              <w:rPr>
                <w:rStyle w:val="Hyperlink"/>
                <w:noProof/>
              </w:rPr>
              <w:t>6.</w:t>
            </w:r>
            <w:r w:rsidR="00653213">
              <w:rPr>
                <w:rFonts w:eastAsiaTheme="minorEastAsia" w:cstheme="minorBidi"/>
                <w:b w:val="0"/>
                <w:bCs w:val="0"/>
                <w:noProof/>
                <w:sz w:val="24"/>
                <w:szCs w:val="24"/>
              </w:rPr>
              <w:tab/>
            </w:r>
            <w:r w:rsidR="00653213" w:rsidRPr="00870BFC">
              <w:rPr>
                <w:rStyle w:val="Hyperlink"/>
                <w:noProof/>
              </w:rPr>
              <w:t>Gender</w:t>
            </w:r>
            <w:r w:rsidR="00653213">
              <w:rPr>
                <w:noProof/>
                <w:webHidden/>
              </w:rPr>
              <w:tab/>
            </w:r>
            <w:r w:rsidR="00653213">
              <w:rPr>
                <w:noProof/>
                <w:webHidden/>
              </w:rPr>
              <w:fldChar w:fldCharType="begin"/>
            </w:r>
            <w:r w:rsidR="00653213">
              <w:rPr>
                <w:noProof/>
                <w:webHidden/>
              </w:rPr>
              <w:instrText xml:space="preserve"> PAGEREF _Toc108260003 \h </w:instrText>
            </w:r>
            <w:r w:rsidR="00653213">
              <w:rPr>
                <w:noProof/>
                <w:webHidden/>
              </w:rPr>
            </w:r>
            <w:r w:rsidR="00653213">
              <w:rPr>
                <w:noProof/>
                <w:webHidden/>
              </w:rPr>
              <w:fldChar w:fldCharType="separate"/>
            </w:r>
            <w:r w:rsidR="00B471F9">
              <w:rPr>
                <w:noProof/>
                <w:webHidden/>
              </w:rPr>
              <w:t>21</w:t>
            </w:r>
            <w:r w:rsidR="00653213">
              <w:rPr>
                <w:noProof/>
                <w:webHidden/>
              </w:rPr>
              <w:fldChar w:fldCharType="end"/>
            </w:r>
          </w:hyperlink>
        </w:p>
        <w:p w14:paraId="1BE28EF7" w14:textId="4B45ACF8" w:rsidR="00653213" w:rsidRDefault="003C3C70">
          <w:pPr>
            <w:pStyle w:val="TOC2"/>
            <w:tabs>
              <w:tab w:val="right" w:pos="9181"/>
            </w:tabs>
            <w:rPr>
              <w:rFonts w:eastAsiaTheme="minorEastAsia" w:cstheme="minorBidi"/>
              <w:iCs w:val="0"/>
              <w:noProof/>
              <w:sz w:val="24"/>
              <w:szCs w:val="24"/>
            </w:rPr>
          </w:pPr>
          <w:hyperlink w:anchor="_Toc108260004" w:history="1">
            <w:r w:rsidR="00653213" w:rsidRPr="00870BFC">
              <w:rPr>
                <w:rStyle w:val="Hyperlink"/>
                <w:noProof/>
              </w:rPr>
              <w:t>6.1 Overview</w:t>
            </w:r>
            <w:r w:rsidR="00653213">
              <w:rPr>
                <w:noProof/>
                <w:webHidden/>
              </w:rPr>
              <w:tab/>
            </w:r>
            <w:r w:rsidR="00653213">
              <w:rPr>
                <w:noProof/>
                <w:webHidden/>
              </w:rPr>
              <w:fldChar w:fldCharType="begin"/>
            </w:r>
            <w:r w:rsidR="00653213">
              <w:rPr>
                <w:noProof/>
                <w:webHidden/>
              </w:rPr>
              <w:instrText xml:space="preserve"> PAGEREF _Toc108260004 \h </w:instrText>
            </w:r>
            <w:r w:rsidR="00653213">
              <w:rPr>
                <w:noProof/>
                <w:webHidden/>
              </w:rPr>
            </w:r>
            <w:r w:rsidR="00653213">
              <w:rPr>
                <w:noProof/>
                <w:webHidden/>
              </w:rPr>
              <w:fldChar w:fldCharType="separate"/>
            </w:r>
            <w:r w:rsidR="00B471F9">
              <w:rPr>
                <w:noProof/>
                <w:webHidden/>
              </w:rPr>
              <w:t>21</w:t>
            </w:r>
            <w:r w:rsidR="00653213">
              <w:rPr>
                <w:noProof/>
                <w:webHidden/>
              </w:rPr>
              <w:fldChar w:fldCharType="end"/>
            </w:r>
          </w:hyperlink>
        </w:p>
        <w:p w14:paraId="5D935931" w14:textId="44250086" w:rsidR="00653213" w:rsidRDefault="003C3C70">
          <w:pPr>
            <w:pStyle w:val="TOC2"/>
            <w:tabs>
              <w:tab w:val="right" w:pos="9181"/>
            </w:tabs>
            <w:rPr>
              <w:rFonts w:eastAsiaTheme="minorEastAsia" w:cstheme="minorBidi"/>
              <w:iCs w:val="0"/>
              <w:noProof/>
              <w:sz w:val="24"/>
              <w:szCs w:val="24"/>
            </w:rPr>
          </w:pPr>
          <w:hyperlink w:anchor="_Toc108260005" w:history="1">
            <w:r w:rsidR="00653213" w:rsidRPr="00870BFC">
              <w:rPr>
                <w:rStyle w:val="Hyperlink"/>
                <w:noProof/>
              </w:rPr>
              <w:t>6.2 Progression against gender to date, forming stronger linkages, leveraging opportunities and unintended consequences</w:t>
            </w:r>
            <w:r w:rsidR="00653213">
              <w:rPr>
                <w:noProof/>
                <w:webHidden/>
              </w:rPr>
              <w:tab/>
            </w:r>
            <w:r w:rsidR="00653213">
              <w:rPr>
                <w:noProof/>
                <w:webHidden/>
              </w:rPr>
              <w:fldChar w:fldCharType="begin"/>
            </w:r>
            <w:r w:rsidR="00653213">
              <w:rPr>
                <w:noProof/>
                <w:webHidden/>
              </w:rPr>
              <w:instrText xml:space="preserve"> PAGEREF _Toc108260005 \h </w:instrText>
            </w:r>
            <w:r w:rsidR="00653213">
              <w:rPr>
                <w:noProof/>
                <w:webHidden/>
              </w:rPr>
            </w:r>
            <w:r w:rsidR="00653213">
              <w:rPr>
                <w:noProof/>
                <w:webHidden/>
              </w:rPr>
              <w:fldChar w:fldCharType="separate"/>
            </w:r>
            <w:r w:rsidR="00B471F9">
              <w:rPr>
                <w:noProof/>
                <w:webHidden/>
              </w:rPr>
              <w:t>21</w:t>
            </w:r>
            <w:r w:rsidR="00653213">
              <w:rPr>
                <w:noProof/>
                <w:webHidden/>
              </w:rPr>
              <w:fldChar w:fldCharType="end"/>
            </w:r>
          </w:hyperlink>
        </w:p>
        <w:p w14:paraId="78D1A73B" w14:textId="2DFEF8E4" w:rsidR="00653213" w:rsidRDefault="003C3C70">
          <w:pPr>
            <w:pStyle w:val="TOC2"/>
            <w:tabs>
              <w:tab w:val="right" w:pos="9181"/>
            </w:tabs>
            <w:rPr>
              <w:rFonts w:eastAsiaTheme="minorEastAsia" w:cstheme="minorBidi"/>
              <w:iCs w:val="0"/>
              <w:noProof/>
              <w:sz w:val="24"/>
              <w:szCs w:val="24"/>
            </w:rPr>
          </w:pPr>
          <w:hyperlink w:anchor="_Toc108260006" w:history="1">
            <w:r w:rsidR="00653213" w:rsidRPr="00870BFC">
              <w:rPr>
                <w:rStyle w:val="Hyperlink"/>
                <w:noProof/>
              </w:rPr>
              <w:t>6.3 Has sufficient effort/resourcing been made?</w:t>
            </w:r>
            <w:r w:rsidR="00653213">
              <w:rPr>
                <w:noProof/>
                <w:webHidden/>
              </w:rPr>
              <w:tab/>
            </w:r>
            <w:r w:rsidR="00653213">
              <w:rPr>
                <w:noProof/>
                <w:webHidden/>
              </w:rPr>
              <w:fldChar w:fldCharType="begin"/>
            </w:r>
            <w:r w:rsidR="00653213">
              <w:rPr>
                <w:noProof/>
                <w:webHidden/>
              </w:rPr>
              <w:instrText xml:space="preserve"> PAGEREF _Toc108260006 \h </w:instrText>
            </w:r>
            <w:r w:rsidR="00653213">
              <w:rPr>
                <w:noProof/>
                <w:webHidden/>
              </w:rPr>
            </w:r>
            <w:r w:rsidR="00653213">
              <w:rPr>
                <w:noProof/>
                <w:webHidden/>
              </w:rPr>
              <w:fldChar w:fldCharType="separate"/>
            </w:r>
            <w:r w:rsidR="00B471F9">
              <w:rPr>
                <w:noProof/>
                <w:webHidden/>
              </w:rPr>
              <w:t>23</w:t>
            </w:r>
            <w:r w:rsidR="00653213">
              <w:rPr>
                <w:noProof/>
                <w:webHidden/>
              </w:rPr>
              <w:fldChar w:fldCharType="end"/>
            </w:r>
          </w:hyperlink>
        </w:p>
        <w:p w14:paraId="1E097AFF" w14:textId="571049D2" w:rsidR="00653213" w:rsidRDefault="003C3C70">
          <w:pPr>
            <w:pStyle w:val="TOC1"/>
            <w:rPr>
              <w:rFonts w:eastAsiaTheme="minorEastAsia" w:cstheme="minorBidi"/>
              <w:b w:val="0"/>
              <w:bCs w:val="0"/>
              <w:noProof/>
              <w:sz w:val="24"/>
              <w:szCs w:val="24"/>
            </w:rPr>
          </w:pPr>
          <w:hyperlink w:anchor="_Toc108260007" w:history="1">
            <w:r w:rsidR="00653213" w:rsidRPr="00870BFC">
              <w:rPr>
                <w:rStyle w:val="Hyperlink"/>
                <w:noProof/>
              </w:rPr>
              <w:t>7. Concluding remarks</w:t>
            </w:r>
            <w:r w:rsidR="00653213">
              <w:rPr>
                <w:noProof/>
                <w:webHidden/>
              </w:rPr>
              <w:tab/>
            </w:r>
            <w:r w:rsidR="00653213">
              <w:rPr>
                <w:noProof/>
                <w:webHidden/>
              </w:rPr>
              <w:fldChar w:fldCharType="begin"/>
            </w:r>
            <w:r w:rsidR="00653213">
              <w:rPr>
                <w:noProof/>
                <w:webHidden/>
              </w:rPr>
              <w:instrText xml:space="preserve"> PAGEREF _Toc108260007 \h </w:instrText>
            </w:r>
            <w:r w:rsidR="00653213">
              <w:rPr>
                <w:noProof/>
                <w:webHidden/>
              </w:rPr>
            </w:r>
            <w:r w:rsidR="00653213">
              <w:rPr>
                <w:noProof/>
                <w:webHidden/>
              </w:rPr>
              <w:fldChar w:fldCharType="separate"/>
            </w:r>
            <w:r w:rsidR="00B471F9">
              <w:rPr>
                <w:noProof/>
                <w:webHidden/>
              </w:rPr>
              <w:t>24</w:t>
            </w:r>
            <w:r w:rsidR="00653213">
              <w:rPr>
                <w:noProof/>
                <w:webHidden/>
              </w:rPr>
              <w:fldChar w:fldCharType="end"/>
            </w:r>
          </w:hyperlink>
        </w:p>
        <w:p w14:paraId="6CC04627" w14:textId="66E64015" w:rsidR="00653213" w:rsidRDefault="003C3C70">
          <w:pPr>
            <w:pStyle w:val="TOC2"/>
            <w:tabs>
              <w:tab w:val="right" w:pos="9181"/>
            </w:tabs>
            <w:rPr>
              <w:rFonts w:eastAsiaTheme="minorEastAsia" w:cstheme="minorBidi"/>
              <w:iCs w:val="0"/>
              <w:noProof/>
              <w:sz w:val="24"/>
              <w:szCs w:val="24"/>
            </w:rPr>
          </w:pPr>
          <w:hyperlink w:anchor="_Toc108260008" w:history="1">
            <w:r w:rsidR="00653213" w:rsidRPr="00870BFC">
              <w:rPr>
                <w:rStyle w:val="Hyperlink"/>
                <w:noProof/>
              </w:rPr>
              <w:t>7.1 Consolidated recommendations</w:t>
            </w:r>
            <w:r w:rsidR="00653213">
              <w:rPr>
                <w:noProof/>
                <w:webHidden/>
              </w:rPr>
              <w:tab/>
            </w:r>
            <w:r w:rsidR="00653213">
              <w:rPr>
                <w:noProof/>
                <w:webHidden/>
              </w:rPr>
              <w:fldChar w:fldCharType="begin"/>
            </w:r>
            <w:r w:rsidR="00653213">
              <w:rPr>
                <w:noProof/>
                <w:webHidden/>
              </w:rPr>
              <w:instrText xml:space="preserve"> PAGEREF _Toc108260008 \h </w:instrText>
            </w:r>
            <w:r w:rsidR="00653213">
              <w:rPr>
                <w:noProof/>
                <w:webHidden/>
              </w:rPr>
            </w:r>
            <w:r w:rsidR="00653213">
              <w:rPr>
                <w:noProof/>
                <w:webHidden/>
              </w:rPr>
              <w:fldChar w:fldCharType="separate"/>
            </w:r>
            <w:r w:rsidR="00B471F9">
              <w:rPr>
                <w:noProof/>
                <w:webHidden/>
              </w:rPr>
              <w:t>24</w:t>
            </w:r>
            <w:r w:rsidR="00653213">
              <w:rPr>
                <w:noProof/>
                <w:webHidden/>
              </w:rPr>
              <w:fldChar w:fldCharType="end"/>
            </w:r>
          </w:hyperlink>
        </w:p>
        <w:p w14:paraId="275024E1" w14:textId="58CAC503" w:rsidR="00653213" w:rsidRDefault="003C3C70">
          <w:pPr>
            <w:pStyle w:val="TOC1"/>
            <w:rPr>
              <w:rFonts w:eastAsiaTheme="minorEastAsia" w:cstheme="minorBidi"/>
              <w:b w:val="0"/>
              <w:bCs w:val="0"/>
              <w:noProof/>
              <w:sz w:val="24"/>
              <w:szCs w:val="24"/>
            </w:rPr>
          </w:pPr>
          <w:hyperlink w:anchor="_Toc108260009" w:history="1">
            <w:r w:rsidR="00653213" w:rsidRPr="00870BFC">
              <w:rPr>
                <w:rStyle w:val="Hyperlink"/>
                <w:noProof/>
              </w:rPr>
              <w:t>Annex 1: Review of the South Fly Resilience Plan – Terms of Reference</w:t>
            </w:r>
            <w:r w:rsidR="00653213">
              <w:rPr>
                <w:noProof/>
                <w:webHidden/>
              </w:rPr>
              <w:tab/>
            </w:r>
            <w:r w:rsidR="00653213">
              <w:rPr>
                <w:noProof/>
                <w:webHidden/>
              </w:rPr>
              <w:fldChar w:fldCharType="begin"/>
            </w:r>
            <w:r w:rsidR="00653213">
              <w:rPr>
                <w:noProof/>
                <w:webHidden/>
              </w:rPr>
              <w:instrText xml:space="preserve"> PAGEREF _Toc108260009 \h </w:instrText>
            </w:r>
            <w:r w:rsidR="00653213">
              <w:rPr>
                <w:noProof/>
                <w:webHidden/>
              </w:rPr>
            </w:r>
            <w:r w:rsidR="00653213">
              <w:rPr>
                <w:noProof/>
                <w:webHidden/>
              </w:rPr>
              <w:fldChar w:fldCharType="separate"/>
            </w:r>
            <w:r w:rsidR="00B471F9">
              <w:rPr>
                <w:noProof/>
                <w:webHidden/>
              </w:rPr>
              <w:t>25</w:t>
            </w:r>
            <w:r w:rsidR="00653213">
              <w:rPr>
                <w:noProof/>
                <w:webHidden/>
              </w:rPr>
              <w:fldChar w:fldCharType="end"/>
            </w:r>
          </w:hyperlink>
        </w:p>
        <w:p w14:paraId="48A395FE" w14:textId="51A47A95" w:rsidR="00653213" w:rsidRDefault="003C3C70">
          <w:pPr>
            <w:pStyle w:val="TOC1"/>
            <w:rPr>
              <w:rFonts w:eastAsiaTheme="minorEastAsia" w:cstheme="minorBidi"/>
              <w:b w:val="0"/>
              <w:bCs w:val="0"/>
              <w:noProof/>
              <w:sz w:val="24"/>
              <w:szCs w:val="24"/>
            </w:rPr>
          </w:pPr>
          <w:hyperlink w:anchor="_Toc108260010" w:history="1">
            <w:r w:rsidR="00653213" w:rsidRPr="00870BFC">
              <w:rPr>
                <w:rStyle w:val="Hyperlink"/>
                <w:noProof/>
              </w:rPr>
              <w:t>Annex 2: SFRP’s results framework</w:t>
            </w:r>
            <w:r w:rsidR="00653213">
              <w:rPr>
                <w:noProof/>
                <w:webHidden/>
              </w:rPr>
              <w:tab/>
            </w:r>
            <w:r w:rsidR="00653213">
              <w:rPr>
                <w:noProof/>
                <w:webHidden/>
              </w:rPr>
              <w:fldChar w:fldCharType="begin"/>
            </w:r>
            <w:r w:rsidR="00653213">
              <w:rPr>
                <w:noProof/>
                <w:webHidden/>
              </w:rPr>
              <w:instrText xml:space="preserve"> PAGEREF _Toc108260010 \h </w:instrText>
            </w:r>
            <w:r w:rsidR="00653213">
              <w:rPr>
                <w:noProof/>
                <w:webHidden/>
              </w:rPr>
            </w:r>
            <w:r w:rsidR="00653213">
              <w:rPr>
                <w:noProof/>
                <w:webHidden/>
              </w:rPr>
              <w:fldChar w:fldCharType="separate"/>
            </w:r>
            <w:r w:rsidR="00B471F9">
              <w:rPr>
                <w:noProof/>
                <w:webHidden/>
              </w:rPr>
              <w:t>30</w:t>
            </w:r>
            <w:r w:rsidR="00653213">
              <w:rPr>
                <w:noProof/>
                <w:webHidden/>
              </w:rPr>
              <w:fldChar w:fldCharType="end"/>
            </w:r>
          </w:hyperlink>
        </w:p>
        <w:p w14:paraId="46BE0B56" w14:textId="419773D4" w:rsidR="00653213" w:rsidRDefault="003C3C70">
          <w:pPr>
            <w:pStyle w:val="TOC1"/>
            <w:rPr>
              <w:rFonts w:eastAsiaTheme="minorEastAsia" w:cstheme="minorBidi"/>
              <w:b w:val="0"/>
              <w:bCs w:val="0"/>
              <w:noProof/>
              <w:sz w:val="24"/>
              <w:szCs w:val="24"/>
            </w:rPr>
          </w:pPr>
          <w:hyperlink w:anchor="_Toc108260011" w:history="1">
            <w:r w:rsidR="00653213" w:rsidRPr="00870BFC">
              <w:rPr>
                <w:rStyle w:val="Hyperlink"/>
                <w:noProof/>
              </w:rPr>
              <w:t>Annex 3: Stakeholders consulted</w:t>
            </w:r>
            <w:r w:rsidR="00653213">
              <w:rPr>
                <w:noProof/>
                <w:webHidden/>
              </w:rPr>
              <w:tab/>
            </w:r>
            <w:r w:rsidR="00653213">
              <w:rPr>
                <w:noProof/>
                <w:webHidden/>
              </w:rPr>
              <w:fldChar w:fldCharType="begin"/>
            </w:r>
            <w:r w:rsidR="00653213">
              <w:rPr>
                <w:noProof/>
                <w:webHidden/>
              </w:rPr>
              <w:instrText xml:space="preserve"> PAGEREF _Toc108260011 \h </w:instrText>
            </w:r>
            <w:r w:rsidR="00653213">
              <w:rPr>
                <w:noProof/>
                <w:webHidden/>
              </w:rPr>
            </w:r>
            <w:r w:rsidR="00653213">
              <w:rPr>
                <w:noProof/>
                <w:webHidden/>
              </w:rPr>
              <w:fldChar w:fldCharType="separate"/>
            </w:r>
            <w:r w:rsidR="00B471F9">
              <w:rPr>
                <w:noProof/>
                <w:webHidden/>
              </w:rPr>
              <w:t>31</w:t>
            </w:r>
            <w:r w:rsidR="00653213">
              <w:rPr>
                <w:noProof/>
                <w:webHidden/>
              </w:rPr>
              <w:fldChar w:fldCharType="end"/>
            </w:r>
          </w:hyperlink>
        </w:p>
        <w:p w14:paraId="78950671" w14:textId="03C5C8D3" w:rsidR="007F3238" w:rsidRPr="003F2F84" w:rsidRDefault="007F3238" w:rsidP="003F2F84">
          <w:r w:rsidRPr="007F3238">
            <w:rPr>
              <w:b/>
              <w:bCs/>
              <w:noProof/>
            </w:rPr>
            <w:fldChar w:fldCharType="end"/>
          </w:r>
        </w:p>
      </w:sdtContent>
    </w:sdt>
    <w:p w14:paraId="08250FC5" w14:textId="614BC0B3" w:rsidR="00300E94" w:rsidRDefault="00881EBF" w:rsidP="00881EBF">
      <w:pPr>
        <w:pStyle w:val="Heading1"/>
      </w:pPr>
      <w:bookmarkStart w:id="10" w:name="_Toc108259980"/>
      <w:r>
        <w:lastRenderedPageBreak/>
        <w:t>Acronyms</w:t>
      </w:r>
      <w:bookmarkEnd w:id="9"/>
      <w:bookmarkEnd w:id="10"/>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5"/>
        <w:gridCol w:w="6905"/>
      </w:tblGrid>
      <w:tr w:rsidR="00300E3E" w:rsidRPr="00300E3E" w14:paraId="32E15964" w14:textId="77777777" w:rsidTr="00300E3E">
        <w:trPr>
          <w:trHeight w:val="277"/>
        </w:trPr>
        <w:tc>
          <w:tcPr>
            <w:tcW w:w="2075" w:type="dxa"/>
            <w:noWrap/>
            <w:hideMark/>
          </w:tcPr>
          <w:p w14:paraId="17A8A9D1" w14:textId="77777777" w:rsidR="00300E3E" w:rsidRPr="00300E3E" w:rsidRDefault="00300E3E" w:rsidP="00300E3E">
            <w:pPr>
              <w:spacing w:after="0" w:line="360" w:lineRule="auto"/>
              <w:rPr>
                <w:lang w:val="en-AU"/>
              </w:rPr>
            </w:pPr>
            <w:r w:rsidRPr="00300E3E">
              <w:t>ADRA</w:t>
            </w:r>
          </w:p>
        </w:tc>
        <w:tc>
          <w:tcPr>
            <w:tcW w:w="6905" w:type="dxa"/>
            <w:noWrap/>
            <w:hideMark/>
          </w:tcPr>
          <w:p w14:paraId="3C877006" w14:textId="77777777" w:rsidR="00300E3E" w:rsidRPr="00300E3E" w:rsidRDefault="00300E3E" w:rsidP="00300E3E">
            <w:pPr>
              <w:spacing w:after="0" w:line="360" w:lineRule="auto"/>
            </w:pPr>
            <w:r w:rsidRPr="00300E3E">
              <w:t>Adventist Development and Relief Agency</w:t>
            </w:r>
          </w:p>
        </w:tc>
      </w:tr>
      <w:tr w:rsidR="00300E3E" w:rsidRPr="00300E3E" w14:paraId="2030B677" w14:textId="77777777" w:rsidTr="00300E3E">
        <w:trPr>
          <w:trHeight w:val="277"/>
        </w:trPr>
        <w:tc>
          <w:tcPr>
            <w:tcW w:w="2075" w:type="dxa"/>
            <w:noWrap/>
            <w:hideMark/>
          </w:tcPr>
          <w:p w14:paraId="0A2F288C" w14:textId="77777777" w:rsidR="00300E3E" w:rsidRPr="00300E3E" w:rsidRDefault="00300E3E" w:rsidP="00300E3E">
            <w:pPr>
              <w:spacing w:after="0" w:line="360" w:lineRule="auto"/>
            </w:pPr>
            <w:r w:rsidRPr="00300E3E">
              <w:t>AHC</w:t>
            </w:r>
          </w:p>
        </w:tc>
        <w:tc>
          <w:tcPr>
            <w:tcW w:w="6905" w:type="dxa"/>
            <w:noWrap/>
            <w:hideMark/>
          </w:tcPr>
          <w:p w14:paraId="4E3346D2" w14:textId="77777777" w:rsidR="00300E3E" w:rsidRPr="00300E3E" w:rsidRDefault="00300E3E" w:rsidP="00300E3E">
            <w:pPr>
              <w:spacing w:after="0" w:line="360" w:lineRule="auto"/>
            </w:pPr>
            <w:r w:rsidRPr="00300E3E">
              <w:t>Australian High Commission</w:t>
            </w:r>
          </w:p>
        </w:tc>
      </w:tr>
      <w:tr w:rsidR="00300E3E" w:rsidRPr="00300E3E" w14:paraId="4AF95A16" w14:textId="77777777" w:rsidTr="00300E3E">
        <w:trPr>
          <w:trHeight w:val="351"/>
        </w:trPr>
        <w:tc>
          <w:tcPr>
            <w:tcW w:w="2075" w:type="dxa"/>
            <w:noWrap/>
            <w:hideMark/>
          </w:tcPr>
          <w:p w14:paraId="07D4B459" w14:textId="77777777" w:rsidR="00300E3E" w:rsidRPr="00300E3E" w:rsidRDefault="00300E3E" w:rsidP="00300E3E">
            <w:pPr>
              <w:spacing w:after="0" w:line="360" w:lineRule="auto"/>
            </w:pPr>
            <w:r w:rsidRPr="00300E3E">
              <w:t>APSP</w:t>
            </w:r>
          </w:p>
        </w:tc>
        <w:tc>
          <w:tcPr>
            <w:tcW w:w="6905" w:type="dxa"/>
            <w:noWrap/>
            <w:hideMark/>
          </w:tcPr>
          <w:p w14:paraId="061767E4" w14:textId="77777777" w:rsidR="00300E3E" w:rsidRPr="00300E3E" w:rsidRDefault="00300E3E" w:rsidP="00300E3E">
            <w:pPr>
              <w:spacing w:after="0" w:line="360" w:lineRule="auto"/>
            </w:pPr>
            <w:r w:rsidRPr="00300E3E">
              <w:t>Australia Papua New Guinea sub–National Program</w:t>
            </w:r>
          </w:p>
        </w:tc>
      </w:tr>
      <w:tr w:rsidR="00300E3E" w:rsidRPr="00300E3E" w14:paraId="0460C78C" w14:textId="77777777" w:rsidTr="00300E3E">
        <w:trPr>
          <w:trHeight w:val="277"/>
        </w:trPr>
        <w:tc>
          <w:tcPr>
            <w:tcW w:w="2075" w:type="dxa"/>
            <w:noWrap/>
            <w:hideMark/>
          </w:tcPr>
          <w:p w14:paraId="5B01EA0A" w14:textId="77777777" w:rsidR="00300E3E" w:rsidRPr="00300E3E" w:rsidRDefault="00300E3E" w:rsidP="00300E3E">
            <w:pPr>
              <w:spacing w:after="0" w:line="360" w:lineRule="auto"/>
            </w:pPr>
            <w:r w:rsidRPr="00300E3E">
              <w:t>CLTS</w:t>
            </w:r>
          </w:p>
        </w:tc>
        <w:tc>
          <w:tcPr>
            <w:tcW w:w="6905" w:type="dxa"/>
            <w:noWrap/>
            <w:hideMark/>
          </w:tcPr>
          <w:p w14:paraId="737C589F" w14:textId="77777777" w:rsidR="00300E3E" w:rsidRPr="00300E3E" w:rsidRDefault="00300E3E" w:rsidP="00300E3E">
            <w:pPr>
              <w:spacing w:after="0" w:line="360" w:lineRule="auto"/>
            </w:pPr>
            <w:r w:rsidRPr="00300E3E">
              <w:t>Community Led Total Sanitation</w:t>
            </w:r>
          </w:p>
        </w:tc>
      </w:tr>
      <w:tr w:rsidR="00300E3E" w:rsidRPr="00300E3E" w14:paraId="7968B375" w14:textId="77777777" w:rsidTr="00300E3E">
        <w:trPr>
          <w:trHeight w:val="60"/>
        </w:trPr>
        <w:tc>
          <w:tcPr>
            <w:tcW w:w="2075" w:type="dxa"/>
            <w:noWrap/>
            <w:hideMark/>
          </w:tcPr>
          <w:p w14:paraId="0FD3FC09" w14:textId="77777777" w:rsidR="00300E3E" w:rsidRPr="00300E3E" w:rsidRDefault="00300E3E" w:rsidP="00300E3E">
            <w:pPr>
              <w:spacing w:after="0" w:line="360" w:lineRule="auto"/>
            </w:pPr>
            <w:r w:rsidRPr="00300E3E">
              <w:t>CSEP</w:t>
            </w:r>
          </w:p>
        </w:tc>
        <w:tc>
          <w:tcPr>
            <w:tcW w:w="6905" w:type="dxa"/>
            <w:noWrap/>
            <w:hideMark/>
          </w:tcPr>
          <w:p w14:paraId="5278A542" w14:textId="77777777" w:rsidR="00300E3E" w:rsidRPr="00300E3E" w:rsidRDefault="00300E3E" w:rsidP="00300E3E">
            <w:pPr>
              <w:spacing w:after="0" w:line="360" w:lineRule="auto"/>
            </w:pPr>
            <w:r w:rsidRPr="00300E3E">
              <w:t xml:space="preserve">Comprehensive Strategic and Economic Partnership </w:t>
            </w:r>
          </w:p>
        </w:tc>
      </w:tr>
      <w:tr w:rsidR="00300E3E" w:rsidRPr="00300E3E" w14:paraId="2C8A5A41" w14:textId="77777777" w:rsidTr="00300E3E">
        <w:trPr>
          <w:trHeight w:val="277"/>
        </w:trPr>
        <w:tc>
          <w:tcPr>
            <w:tcW w:w="2075" w:type="dxa"/>
            <w:noWrap/>
            <w:hideMark/>
          </w:tcPr>
          <w:p w14:paraId="40B99194" w14:textId="77777777" w:rsidR="00300E3E" w:rsidRPr="00301D80" w:rsidRDefault="00300E3E" w:rsidP="00300E3E">
            <w:pPr>
              <w:spacing w:after="0" w:line="360" w:lineRule="auto"/>
            </w:pPr>
            <w:r w:rsidRPr="00301D80">
              <w:t>DAL</w:t>
            </w:r>
          </w:p>
        </w:tc>
        <w:tc>
          <w:tcPr>
            <w:tcW w:w="6905" w:type="dxa"/>
            <w:noWrap/>
            <w:hideMark/>
          </w:tcPr>
          <w:p w14:paraId="2A12C132" w14:textId="6B8472E1" w:rsidR="00300E3E" w:rsidRPr="00301D80" w:rsidRDefault="00301D80" w:rsidP="00300E3E">
            <w:pPr>
              <w:spacing w:after="0" w:line="360" w:lineRule="auto"/>
            </w:pPr>
            <w:r w:rsidRPr="00301D80">
              <w:t>Department of Agriculture and Livestock</w:t>
            </w:r>
          </w:p>
        </w:tc>
      </w:tr>
      <w:tr w:rsidR="00300E3E" w:rsidRPr="00300E3E" w14:paraId="42B1743B" w14:textId="77777777" w:rsidTr="00301D80">
        <w:trPr>
          <w:trHeight w:val="285"/>
        </w:trPr>
        <w:tc>
          <w:tcPr>
            <w:tcW w:w="2075" w:type="dxa"/>
            <w:noWrap/>
            <w:hideMark/>
          </w:tcPr>
          <w:p w14:paraId="52B54734" w14:textId="77777777" w:rsidR="00300E3E" w:rsidRPr="00300E3E" w:rsidRDefault="00300E3E" w:rsidP="00300E3E">
            <w:pPr>
              <w:spacing w:after="0" w:line="360" w:lineRule="auto"/>
            </w:pPr>
            <w:r w:rsidRPr="00300E3E">
              <w:t>DCP</w:t>
            </w:r>
          </w:p>
        </w:tc>
        <w:tc>
          <w:tcPr>
            <w:tcW w:w="6905" w:type="dxa"/>
            <w:noWrap/>
            <w:hideMark/>
          </w:tcPr>
          <w:p w14:paraId="0F797CB2" w14:textId="77777777" w:rsidR="00300E3E" w:rsidRPr="00300E3E" w:rsidRDefault="00300E3E" w:rsidP="00300E3E">
            <w:pPr>
              <w:spacing w:after="0" w:line="360" w:lineRule="auto"/>
            </w:pPr>
            <w:r w:rsidRPr="00300E3E">
              <w:t>Decentralisation and Citizen Participation Partnership</w:t>
            </w:r>
          </w:p>
        </w:tc>
      </w:tr>
      <w:tr w:rsidR="00300E3E" w:rsidRPr="00300E3E" w14:paraId="75FE4E33" w14:textId="77777777" w:rsidTr="00300E3E">
        <w:trPr>
          <w:trHeight w:val="277"/>
        </w:trPr>
        <w:tc>
          <w:tcPr>
            <w:tcW w:w="2075" w:type="dxa"/>
            <w:noWrap/>
            <w:hideMark/>
          </w:tcPr>
          <w:p w14:paraId="2CC4E4C9" w14:textId="77777777" w:rsidR="00300E3E" w:rsidRPr="00300E3E" w:rsidRDefault="00300E3E" w:rsidP="00300E3E">
            <w:pPr>
              <w:spacing w:after="0" w:line="360" w:lineRule="auto"/>
            </w:pPr>
            <w:r w:rsidRPr="00300E3E">
              <w:t>DFAT</w:t>
            </w:r>
          </w:p>
        </w:tc>
        <w:tc>
          <w:tcPr>
            <w:tcW w:w="6905" w:type="dxa"/>
            <w:noWrap/>
            <w:hideMark/>
          </w:tcPr>
          <w:p w14:paraId="1889B555" w14:textId="77777777" w:rsidR="00300E3E" w:rsidRPr="00300E3E" w:rsidRDefault="00300E3E" w:rsidP="00300E3E">
            <w:pPr>
              <w:spacing w:after="0" w:line="360" w:lineRule="auto"/>
            </w:pPr>
            <w:r w:rsidRPr="00300E3E">
              <w:t>Department of Foreign Affairs and Trade</w:t>
            </w:r>
          </w:p>
        </w:tc>
      </w:tr>
      <w:tr w:rsidR="00300E3E" w:rsidRPr="00300E3E" w14:paraId="227BC851" w14:textId="77777777" w:rsidTr="00300E3E">
        <w:trPr>
          <w:trHeight w:val="134"/>
        </w:trPr>
        <w:tc>
          <w:tcPr>
            <w:tcW w:w="2075" w:type="dxa"/>
            <w:noWrap/>
            <w:hideMark/>
          </w:tcPr>
          <w:p w14:paraId="380AEFF1" w14:textId="77777777" w:rsidR="00300E3E" w:rsidRPr="00300E3E" w:rsidRDefault="00300E3E" w:rsidP="00300E3E">
            <w:pPr>
              <w:spacing w:after="0" w:line="360" w:lineRule="auto"/>
            </w:pPr>
            <w:r w:rsidRPr="00300E3E">
              <w:t>DPLGA</w:t>
            </w:r>
          </w:p>
        </w:tc>
        <w:tc>
          <w:tcPr>
            <w:tcW w:w="6905" w:type="dxa"/>
            <w:noWrap/>
            <w:hideMark/>
          </w:tcPr>
          <w:p w14:paraId="16A3BC4E" w14:textId="77777777" w:rsidR="00300E3E" w:rsidRPr="00300E3E" w:rsidRDefault="00300E3E" w:rsidP="00300E3E">
            <w:pPr>
              <w:spacing w:after="0" w:line="360" w:lineRule="auto"/>
            </w:pPr>
            <w:r w:rsidRPr="00300E3E">
              <w:t>Department of Provincial and Local Level Government Affairs</w:t>
            </w:r>
          </w:p>
        </w:tc>
      </w:tr>
      <w:tr w:rsidR="00300E3E" w:rsidRPr="00300E3E" w14:paraId="02DC9CF9" w14:textId="77777777" w:rsidTr="00300E3E">
        <w:trPr>
          <w:trHeight w:val="277"/>
        </w:trPr>
        <w:tc>
          <w:tcPr>
            <w:tcW w:w="2075" w:type="dxa"/>
            <w:noWrap/>
            <w:hideMark/>
          </w:tcPr>
          <w:p w14:paraId="01C085F3" w14:textId="77777777" w:rsidR="00300E3E" w:rsidRPr="00300E3E" w:rsidRDefault="00300E3E" w:rsidP="00300E3E">
            <w:pPr>
              <w:spacing w:after="0" w:line="360" w:lineRule="auto"/>
            </w:pPr>
            <w:r w:rsidRPr="00300E3E">
              <w:t>FLAG</w:t>
            </w:r>
          </w:p>
        </w:tc>
        <w:tc>
          <w:tcPr>
            <w:tcW w:w="6905" w:type="dxa"/>
            <w:noWrap/>
            <w:hideMark/>
          </w:tcPr>
          <w:p w14:paraId="51DF696F" w14:textId="77777777" w:rsidR="00300E3E" w:rsidRPr="00300E3E" w:rsidRDefault="00300E3E" w:rsidP="00300E3E">
            <w:pPr>
              <w:spacing w:after="0" w:line="360" w:lineRule="auto"/>
            </w:pPr>
            <w:r w:rsidRPr="00300E3E">
              <w:t xml:space="preserve">Food, </w:t>
            </w:r>
            <w:proofErr w:type="gramStart"/>
            <w:r w:rsidRPr="00300E3E">
              <w:t>livelihoods</w:t>
            </w:r>
            <w:proofErr w:type="gramEnd"/>
            <w:r w:rsidRPr="00300E3E">
              <w:t xml:space="preserve"> and governance</w:t>
            </w:r>
          </w:p>
        </w:tc>
      </w:tr>
      <w:tr w:rsidR="00300E3E" w:rsidRPr="00300E3E" w14:paraId="15C2B981" w14:textId="77777777" w:rsidTr="00300E3E">
        <w:trPr>
          <w:trHeight w:val="277"/>
        </w:trPr>
        <w:tc>
          <w:tcPr>
            <w:tcW w:w="2075" w:type="dxa"/>
            <w:noWrap/>
            <w:hideMark/>
          </w:tcPr>
          <w:p w14:paraId="647EB82C" w14:textId="77777777" w:rsidR="00300E3E" w:rsidRPr="00300E3E" w:rsidRDefault="00300E3E" w:rsidP="00300E3E">
            <w:pPr>
              <w:spacing w:after="0" w:line="360" w:lineRule="auto"/>
            </w:pPr>
            <w:r w:rsidRPr="00300E3E">
              <w:t>FOREX</w:t>
            </w:r>
          </w:p>
        </w:tc>
        <w:tc>
          <w:tcPr>
            <w:tcW w:w="6905" w:type="dxa"/>
            <w:noWrap/>
            <w:hideMark/>
          </w:tcPr>
          <w:p w14:paraId="6C6C6745" w14:textId="77777777" w:rsidR="00300E3E" w:rsidRPr="00300E3E" w:rsidRDefault="00300E3E" w:rsidP="00300E3E">
            <w:pPr>
              <w:spacing w:after="0" w:line="360" w:lineRule="auto"/>
            </w:pPr>
            <w:r w:rsidRPr="00300E3E">
              <w:t>Foreign exchange</w:t>
            </w:r>
          </w:p>
        </w:tc>
      </w:tr>
      <w:tr w:rsidR="00300E3E" w:rsidRPr="00300E3E" w14:paraId="204C1B02" w14:textId="77777777" w:rsidTr="00300E3E">
        <w:trPr>
          <w:trHeight w:val="134"/>
        </w:trPr>
        <w:tc>
          <w:tcPr>
            <w:tcW w:w="2075" w:type="dxa"/>
            <w:noWrap/>
            <w:hideMark/>
          </w:tcPr>
          <w:p w14:paraId="6A535204" w14:textId="77777777" w:rsidR="00300E3E" w:rsidRPr="00300E3E" w:rsidRDefault="00300E3E" w:rsidP="00300E3E">
            <w:pPr>
              <w:spacing w:after="0" w:line="360" w:lineRule="auto"/>
            </w:pPr>
            <w:r w:rsidRPr="00300E3E">
              <w:t>GEWES</w:t>
            </w:r>
          </w:p>
        </w:tc>
        <w:tc>
          <w:tcPr>
            <w:tcW w:w="6905" w:type="dxa"/>
            <w:noWrap/>
            <w:hideMark/>
          </w:tcPr>
          <w:p w14:paraId="197E6096" w14:textId="77777777" w:rsidR="00300E3E" w:rsidRPr="00300E3E" w:rsidRDefault="00300E3E" w:rsidP="00300E3E">
            <w:pPr>
              <w:spacing w:after="0" w:line="360" w:lineRule="auto"/>
            </w:pPr>
            <w:r w:rsidRPr="00300E3E">
              <w:t>Gender Equality and Women’s Empowerment Strategy</w:t>
            </w:r>
          </w:p>
        </w:tc>
      </w:tr>
      <w:tr w:rsidR="00E80B3D" w:rsidRPr="00300E3E" w14:paraId="7C3FA898" w14:textId="77777777" w:rsidTr="00300E3E">
        <w:trPr>
          <w:trHeight w:val="134"/>
        </w:trPr>
        <w:tc>
          <w:tcPr>
            <w:tcW w:w="2075" w:type="dxa"/>
            <w:noWrap/>
          </w:tcPr>
          <w:p w14:paraId="4DF913EF" w14:textId="29B98E8B" w:rsidR="00E80B3D" w:rsidRPr="00300E3E" w:rsidRDefault="00E80B3D" w:rsidP="00300E3E">
            <w:pPr>
              <w:spacing w:after="0" w:line="360" w:lineRule="auto"/>
            </w:pPr>
            <w:r>
              <w:t>GoPNG</w:t>
            </w:r>
          </w:p>
        </w:tc>
        <w:tc>
          <w:tcPr>
            <w:tcW w:w="6905" w:type="dxa"/>
            <w:noWrap/>
          </w:tcPr>
          <w:p w14:paraId="677E884C" w14:textId="249FA306" w:rsidR="00E80B3D" w:rsidRPr="00300E3E" w:rsidRDefault="00E80B3D" w:rsidP="00300E3E">
            <w:pPr>
              <w:spacing w:after="0" w:line="360" w:lineRule="auto"/>
            </w:pPr>
            <w:r>
              <w:t>Government of Papua New Guinea</w:t>
            </w:r>
          </w:p>
        </w:tc>
      </w:tr>
      <w:tr w:rsidR="00300E3E" w:rsidRPr="00300E3E" w14:paraId="43D9C4BA" w14:textId="77777777" w:rsidTr="00300E3E">
        <w:trPr>
          <w:trHeight w:val="277"/>
        </w:trPr>
        <w:tc>
          <w:tcPr>
            <w:tcW w:w="2075" w:type="dxa"/>
            <w:noWrap/>
            <w:hideMark/>
          </w:tcPr>
          <w:p w14:paraId="22B4DE44" w14:textId="77777777" w:rsidR="00300E3E" w:rsidRPr="00300E3E" w:rsidRDefault="00300E3E" w:rsidP="00300E3E">
            <w:pPr>
              <w:spacing w:after="0" w:line="360" w:lineRule="auto"/>
            </w:pPr>
            <w:r w:rsidRPr="00300E3E">
              <w:t>LLG</w:t>
            </w:r>
          </w:p>
        </w:tc>
        <w:tc>
          <w:tcPr>
            <w:tcW w:w="6905" w:type="dxa"/>
            <w:noWrap/>
            <w:hideMark/>
          </w:tcPr>
          <w:p w14:paraId="0FBF9592" w14:textId="353E5A5F" w:rsidR="00300E3E" w:rsidRPr="00300E3E" w:rsidRDefault="00300E3E" w:rsidP="00300E3E">
            <w:pPr>
              <w:spacing w:after="0" w:line="360" w:lineRule="auto"/>
            </w:pPr>
            <w:r w:rsidRPr="00300E3E">
              <w:t>Local-level government</w:t>
            </w:r>
          </w:p>
        </w:tc>
      </w:tr>
      <w:tr w:rsidR="00300E3E" w:rsidRPr="00300E3E" w14:paraId="288C8057" w14:textId="77777777" w:rsidTr="00300E3E">
        <w:trPr>
          <w:trHeight w:val="277"/>
        </w:trPr>
        <w:tc>
          <w:tcPr>
            <w:tcW w:w="2075" w:type="dxa"/>
            <w:noWrap/>
            <w:hideMark/>
          </w:tcPr>
          <w:p w14:paraId="145CE060" w14:textId="77777777" w:rsidR="00300E3E" w:rsidRPr="00300E3E" w:rsidRDefault="00300E3E" w:rsidP="00300E3E">
            <w:pPr>
              <w:spacing w:after="0" w:line="360" w:lineRule="auto"/>
            </w:pPr>
            <w:r w:rsidRPr="00300E3E">
              <w:t>MEF</w:t>
            </w:r>
          </w:p>
        </w:tc>
        <w:tc>
          <w:tcPr>
            <w:tcW w:w="6905" w:type="dxa"/>
            <w:noWrap/>
            <w:hideMark/>
          </w:tcPr>
          <w:p w14:paraId="4A187D52" w14:textId="77777777" w:rsidR="00300E3E" w:rsidRPr="00300E3E" w:rsidRDefault="00300E3E" w:rsidP="00300E3E">
            <w:pPr>
              <w:spacing w:after="0" w:line="360" w:lineRule="auto"/>
            </w:pPr>
            <w:r w:rsidRPr="00300E3E">
              <w:t>Monitoring and evaluation framework</w:t>
            </w:r>
          </w:p>
        </w:tc>
      </w:tr>
      <w:tr w:rsidR="00300E3E" w:rsidRPr="00300E3E" w14:paraId="4699617E" w14:textId="77777777" w:rsidTr="00300E3E">
        <w:trPr>
          <w:trHeight w:val="277"/>
        </w:trPr>
        <w:tc>
          <w:tcPr>
            <w:tcW w:w="2075" w:type="dxa"/>
            <w:noWrap/>
            <w:hideMark/>
          </w:tcPr>
          <w:p w14:paraId="3124635F" w14:textId="77777777" w:rsidR="00300E3E" w:rsidRPr="00300E3E" w:rsidRDefault="00300E3E" w:rsidP="00300E3E">
            <w:pPr>
              <w:spacing w:after="0" w:line="360" w:lineRule="auto"/>
            </w:pPr>
            <w:r w:rsidRPr="00300E3E">
              <w:t>MEL</w:t>
            </w:r>
          </w:p>
        </w:tc>
        <w:tc>
          <w:tcPr>
            <w:tcW w:w="6905" w:type="dxa"/>
            <w:noWrap/>
            <w:hideMark/>
          </w:tcPr>
          <w:p w14:paraId="5C04FE37" w14:textId="77777777" w:rsidR="00300E3E" w:rsidRPr="00300E3E" w:rsidRDefault="00300E3E" w:rsidP="00300E3E">
            <w:pPr>
              <w:spacing w:after="0" w:line="360" w:lineRule="auto"/>
            </w:pPr>
            <w:r w:rsidRPr="00300E3E">
              <w:t xml:space="preserve">Monitoring, </w:t>
            </w:r>
            <w:proofErr w:type="gramStart"/>
            <w:r w:rsidRPr="00300E3E">
              <w:t>evaluation</w:t>
            </w:r>
            <w:proofErr w:type="gramEnd"/>
            <w:r w:rsidRPr="00300E3E">
              <w:t xml:space="preserve"> and learning</w:t>
            </w:r>
          </w:p>
        </w:tc>
      </w:tr>
      <w:tr w:rsidR="00300E3E" w:rsidRPr="00300E3E" w14:paraId="56297AA3" w14:textId="77777777" w:rsidTr="00300E3E">
        <w:trPr>
          <w:trHeight w:val="277"/>
        </w:trPr>
        <w:tc>
          <w:tcPr>
            <w:tcW w:w="2075" w:type="dxa"/>
            <w:noWrap/>
            <w:hideMark/>
          </w:tcPr>
          <w:p w14:paraId="053DECA1" w14:textId="77777777" w:rsidR="00300E3E" w:rsidRPr="00301D80" w:rsidRDefault="00300E3E" w:rsidP="00300E3E">
            <w:pPr>
              <w:spacing w:after="0" w:line="360" w:lineRule="auto"/>
            </w:pPr>
            <w:r w:rsidRPr="00301D80">
              <w:t>NFA</w:t>
            </w:r>
          </w:p>
        </w:tc>
        <w:tc>
          <w:tcPr>
            <w:tcW w:w="6905" w:type="dxa"/>
            <w:noWrap/>
            <w:hideMark/>
          </w:tcPr>
          <w:p w14:paraId="33AB8566" w14:textId="001A1295" w:rsidR="00300E3E" w:rsidRPr="00301D80" w:rsidRDefault="00301D80" w:rsidP="00300E3E">
            <w:pPr>
              <w:spacing w:after="0" w:line="360" w:lineRule="auto"/>
            </w:pPr>
            <w:r w:rsidRPr="00301D80">
              <w:t>National Fisheries Authority</w:t>
            </w:r>
          </w:p>
        </w:tc>
      </w:tr>
      <w:tr w:rsidR="00300E3E" w:rsidRPr="00300E3E" w14:paraId="521A9952" w14:textId="77777777" w:rsidTr="00300E3E">
        <w:trPr>
          <w:trHeight w:val="277"/>
        </w:trPr>
        <w:tc>
          <w:tcPr>
            <w:tcW w:w="2075" w:type="dxa"/>
            <w:noWrap/>
            <w:hideMark/>
          </w:tcPr>
          <w:p w14:paraId="10529E3A" w14:textId="77777777" w:rsidR="00300E3E" w:rsidRPr="00300E3E" w:rsidRDefault="00300E3E" w:rsidP="00300E3E">
            <w:pPr>
              <w:spacing w:after="0" w:line="360" w:lineRule="auto"/>
            </w:pPr>
            <w:r w:rsidRPr="00300E3E">
              <w:t>OPM</w:t>
            </w:r>
          </w:p>
        </w:tc>
        <w:tc>
          <w:tcPr>
            <w:tcW w:w="6905" w:type="dxa"/>
            <w:noWrap/>
            <w:hideMark/>
          </w:tcPr>
          <w:p w14:paraId="4C8CD6D5" w14:textId="77777777" w:rsidR="00300E3E" w:rsidRPr="00300E3E" w:rsidRDefault="00300E3E" w:rsidP="00300E3E">
            <w:pPr>
              <w:spacing w:after="0" w:line="360" w:lineRule="auto"/>
            </w:pPr>
            <w:r w:rsidRPr="00300E3E">
              <w:t>Oxford Policy Management</w:t>
            </w:r>
          </w:p>
        </w:tc>
      </w:tr>
      <w:tr w:rsidR="00300E3E" w:rsidRPr="00300E3E" w14:paraId="3B4DF783" w14:textId="77777777" w:rsidTr="00300E3E">
        <w:trPr>
          <w:trHeight w:val="277"/>
        </w:trPr>
        <w:tc>
          <w:tcPr>
            <w:tcW w:w="2075" w:type="dxa"/>
            <w:noWrap/>
            <w:hideMark/>
          </w:tcPr>
          <w:p w14:paraId="6178C6DD" w14:textId="77777777" w:rsidR="00300E3E" w:rsidRPr="00300E3E" w:rsidRDefault="00300E3E" w:rsidP="00300E3E">
            <w:pPr>
              <w:spacing w:after="0" w:line="360" w:lineRule="auto"/>
            </w:pPr>
            <w:r w:rsidRPr="00300E3E">
              <w:t>PNG</w:t>
            </w:r>
          </w:p>
        </w:tc>
        <w:tc>
          <w:tcPr>
            <w:tcW w:w="6905" w:type="dxa"/>
            <w:noWrap/>
            <w:hideMark/>
          </w:tcPr>
          <w:p w14:paraId="7171F196" w14:textId="77777777" w:rsidR="00300E3E" w:rsidRPr="00300E3E" w:rsidRDefault="00300E3E" w:rsidP="00300E3E">
            <w:pPr>
              <w:spacing w:after="0" w:line="360" w:lineRule="auto"/>
            </w:pPr>
            <w:r w:rsidRPr="00300E3E">
              <w:t>Papua New Guinea</w:t>
            </w:r>
          </w:p>
        </w:tc>
      </w:tr>
      <w:tr w:rsidR="00300E3E" w:rsidRPr="00300E3E" w14:paraId="4A4F302B" w14:textId="77777777" w:rsidTr="00300E3E">
        <w:trPr>
          <w:trHeight w:val="277"/>
        </w:trPr>
        <w:tc>
          <w:tcPr>
            <w:tcW w:w="2075" w:type="dxa"/>
            <w:noWrap/>
            <w:hideMark/>
          </w:tcPr>
          <w:p w14:paraId="391D2559" w14:textId="77777777" w:rsidR="00300E3E" w:rsidRPr="00300E3E" w:rsidRDefault="00300E3E" w:rsidP="00300E3E">
            <w:pPr>
              <w:spacing w:after="0" w:line="360" w:lineRule="auto"/>
            </w:pPr>
            <w:r w:rsidRPr="00300E3E">
              <w:t>QTAG</w:t>
            </w:r>
          </w:p>
        </w:tc>
        <w:tc>
          <w:tcPr>
            <w:tcW w:w="6905" w:type="dxa"/>
            <w:noWrap/>
            <w:hideMark/>
          </w:tcPr>
          <w:p w14:paraId="2E2E891F" w14:textId="77777777" w:rsidR="00300E3E" w:rsidRPr="00300E3E" w:rsidRDefault="00300E3E" w:rsidP="00300E3E">
            <w:pPr>
              <w:spacing w:after="0" w:line="360" w:lineRule="auto"/>
            </w:pPr>
            <w:r w:rsidRPr="00300E3E">
              <w:t>Quality and Technical Advisory Group</w:t>
            </w:r>
          </w:p>
        </w:tc>
      </w:tr>
      <w:tr w:rsidR="00300E3E" w:rsidRPr="00300E3E" w14:paraId="6764F97A" w14:textId="77777777" w:rsidTr="00300E3E">
        <w:trPr>
          <w:trHeight w:val="277"/>
        </w:trPr>
        <w:tc>
          <w:tcPr>
            <w:tcW w:w="2075" w:type="dxa"/>
            <w:noWrap/>
            <w:hideMark/>
          </w:tcPr>
          <w:p w14:paraId="4C9195EC" w14:textId="77777777" w:rsidR="00300E3E" w:rsidRPr="00300E3E" w:rsidRDefault="00300E3E" w:rsidP="00300E3E">
            <w:pPr>
              <w:spacing w:after="0" w:line="360" w:lineRule="auto"/>
            </w:pPr>
            <w:r w:rsidRPr="00300E3E">
              <w:t>RRRC</w:t>
            </w:r>
          </w:p>
        </w:tc>
        <w:tc>
          <w:tcPr>
            <w:tcW w:w="6905" w:type="dxa"/>
            <w:noWrap/>
            <w:hideMark/>
          </w:tcPr>
          <w:p w14:paraId="083153B5" w14:textId="77777777" w:rsidR="00300E3E" w:rsidRPr="00300E3E" w:rsidRDefault="00300E3E" w:rsidP="00300E3E">
            <w:pPr>
              <w:spacing w:after="0" w:line="360" w:lineRule="auto"/>
            </w:pPr>
            <w:r w:rsidRPr="00300E3E">
              <w:t>Reef and Rainforest Research Centre</w:t>
            </w:r>
          </w:p>
        </w:tc>
      </w:tr>
      <w:tr w:rsidR="00300E3E" w:rsidRPr="00300E3E" w14:paraId="204A14BA" w14:textId="77777777" w:rsidTr="00300E3E">
        <w:trPr>
          <w:trHeight w:val="277"/>
        </w:trPr>
        <w:tc>
          <w:tcPr>
            <w:tcW w:w="2075" w:type="dxa"/>
            <w:noWrap/>
            <w:hideMark/>
          </w:tcPr>
          <w:p w14:paraId="27C3BC67" w14:textId="77777777" w:rsidR="00300E3E" w:rsidRPr="00300E3E" w:rsidRDefault="00300E3E" w:rsidP="00300E3E">
            <w:pPr>
              <w:spacing w:after="0" w:line="360" w:lineRule="auto"/>
            </w:pPr>
            <w:r w:rsidRPr="00300E3E">
              <w:t>SDP</w:t>
            </w:r>
          </w:p>
        </w:tc>
        <w:tc>
          <w:tcPr>
            <w:tcW w:w="6905" w:type="dxa"/>
            <w:noWrap/>
            <w:hideMark/>
          </w:tcPr>
          <w:p w14:paraId="1B1F714B" w14:textId="77777777" w:rsidR="00300E3E" w:rsidRPr="00300E3E" w:rsidRDefault="00300E3E" w:rsidP="00300E3E">
            <w:pPr>
              <w:spacing w:after="0" w:line="360" w:lineRule="auto"/>
            </w:pPr>
            <w:r w:rsidRPr="00300E3E">
              <w:t>Sustainable Development Program</w:t>
            </w:r>
          </w:p>
        </w:tc>
      </w:tr>
      <w:tr w:rsidR="00300E3E" w:rsidRPr="00300E3E" w14:paraId="05D6E677" w14:textId="77777777" w:rsidTr="00300E3E">
        <w:trPr>
          <w:trHeight w:val="277"/>
        </w:trPr>
        <w:tc>
          <w:tcPr>
            <w:tcW w:w="2075" w:type="dxa"/>
            <w:noWrap/>
            <w:hideMark/>
          </w:tcPr>
          <w:p w14:paraId="5509EC2D" w14:textId="77777777" w:rsidR="00300E3E" w:rsidRPr="00300E3E" w:rsidRDefault="00300E3E" w:rsidP="00300E3E">
            <w:pPr>
              <w:spacing w:after="0" w:line="360" w:lineRule="auto"/>
            </w:pPr>
            <w:r w:rsidRPr="00300E3E">
              <w:t>SFD</w:t>
            </w:r>
          </w:p>
        </w:tc>
        <w:tc>
          <w:tcPr>
            <w:tcW w:w="6905" w:type="dxa"/>
            <w:noWrap/>
            <w:hideMark/>
          </w:tcPr>
          <w:p w14:paraId="78B6548F" w14:textId="77777777" w:rsidR="00300E3E" w:rsidRPr="00300E3E" w:rsidRDefault="00300E3E" w:rsidP="00300E3E">
            <w:pPr>
              <w:spacing w:after="0" w:line="360" w:lineRule="auto"/>
            </w:pPr>
            <w:r w:rsidRPr="00300E3E">
              <w:t>South Fly District</w:t>
            </w:r>
          </w:p>
        </w:tc>
      </w:tr>
      <w:tr w:rsidR="00300E3E" w:rsidRPr="00300E3E" w14:paraId="3678F89F" w14:textId="77777777" w:rsidTr="00300E3E">
        <w:trPr>
          <w:trHeight w:val="277"/>
        </w:trPr>
        <w:tc>
          <w:tcPr>
            <w:tcW w:w="2075" w:type="dxa"/>
            <w:noWrap/>
            <w:hideMark/>
          </w:tcPr>
          <w:p w14:paraId="20542818" w14:textId="77777777" w:rsidR="00300E3E" w:rsidRPr="00300E3E" w:rsidRDefault="00300E3E" w:rsidP="00300E3E">
            <w:pPr>
              <w:spacing w:after="0" w:line="360" w:lineRule="auto"/>
            </w:pPr>
            <w:r w:rsidRPr="00300E3E">
              <w:t>SFRP</w:t>
            </w:r>
          </w:p>
        </w:tc>
        <w:tc>
          <w:tcPr>
            <w:tcW w:w="6905" w:type="dxa"/>
            <w:noWrap/>
            <w:hideMark/>
          </w:tcPr>
          <w:p w14:paraId="5792D16C" w14:textId="77777777" w:rsidR="00300E3E" w:rsidRPr="00300E3E" w:rsidRDefault="00300E3E" w:rsidP="00300E3E">
            <w:pPr>
              <w:spacing w:after="0" w:line="360" w:lineRule="auto"/>
            </w:pPr>
            <w:r w:rsidRPr="00300E3E">
              <w:t>South Fly Resilience Plan</w:t>
            </w:r>
          </w:p>
        </w:tc>
      </w:tr>
      <w:tr w:rsidR="00300E3E" w:rsidRPr="00300E3E" w14:paraId="0C9488DE" w14:textId="77777777" w:rsidTr="00300E3E">
        <w:trPr>
          <w:trHeight w:val="277"/>
        </w:trPr>
        <w:tc>
          <w:tcPr>
            <w:tcW w:w="2075" w:type="dxa"/>
            <w:noWrap/>
            <w:hideMark/>
          </w:tcPr>
          <w:p w14:paraId="59E6C42D" w14:textId="77777777" w:rsidR="00300E3E" w:rsidRPr="00300E3E" w:rsidRDefault="00300E3E" w:rsidP="00300E3E">
            <w:pPr>
              <w:spacing w:after="0" w:line="360" w:lineRule="auto"/>
            </w:pPr>
            <w:r w:rsidRPr="00300E3E">
              <w:t>STC</w:t>
            </w:r>
          </w:p>
        </w:tc>
        <w:tc>
          <w:tcPr>
            <w:tcW w:w="6905" w:type="dxa"/>
            <w:noWrap/>
            <w:hideMark/>
          </w:tcPr>
          <w:p w14:paraId="0500D914" w14:textId="77777777" w:rsidR="00300E3E" w:rsidRPr="00300E3E" w:rsidRDefault="00300E3E" w:rsidP="00300E3E">
            <w:pPr>
              <w:spacing w:after="0" w:line="360" w:lineRule="auto"/>
            </w:pPr>
            <w:r w:rsidRPr="00300E3E">
              <w:t>Save the Children</w:t>
            </w:r>
          </w:p>
        </w:tc>
      </w:tr>
      <w:tr w:rsidR="00300E3E" w:rsidRPr="00300E3E" w14:paraId="1A33055B" w14:textId="77777777" w:rsidTr="00300E3E">
        <w:trPr>
          <w:trHeight w:val="277"/>
        </w:trPr>
        <w:tc>
          <w:tcPr>
            <w:tcW w:w="2075" w:type="dxa"/>
            <w:noWrap/>
            <w:hideMark/>
          </w:tcPr>
          <w:p w14:paraId="395373C2" w14:textId="77777777" w:rsidR="00300E3E" w:rsidRPr="00300E3E" w:rsidRDefault="00300E3E" w:rsidP="00300E3E">
            <w:pPr>
              <w:spacing w:after="0" w:line="360" w:lineRule="auto"/>
            </w:pPr>
            <w:r w:rsidRPr="00300E3E">
              <w:t>WASH</w:t>
            </w:r>
          </w:p>
        </w:tc>
        <w:tc>
          <w:tcPr>
            <w:tcW w:w="6905" w:type="dxa"/>
            <w:noWrap/>
            <w:hideMark/>
          </w:tcPr>
          <w:p w14:paraId="518C9B6A" w14:textId="77777777" w:rsidR="00300E3E" w:rsidRPr="00300E3E" w:rsidRDefault="00300E3E" w:rsidP="00300E3E">
            <w:pPr>
              <w:spacing w:after="0" w:line="360" w:lineRule="auto"/>
            </w:pPr>
            <w:r w:rsidRPr="00300E3E">
              <w:t xml:space="preserve">Water, </w:t>
            </w:r>
            <w:proofErr w:type="gramStart"/>
            <w:r w:rsidRPr="00300E3E">
              <w:t>sanitation</w:t>
            </w:r>
            <w:proofErr w:type="gramEnd"/>
            <w:r w:rsidRPr="00300E3E">
              <w:t xml:space="preserve"> and hygiene</w:t>
            </w:r>
          </w:p>
        </w:tc>
      </w:tr>
      <w:tr w:rsidR="00300E3E" w:rsidRPr="00300E3E" w14:paraId="388BEC1E" w14:textId="77777777" w:rsidTr="00300E3E">
        <w:trPr>
          <w:trHeight w:val="277"/>
        </w:trPr>
        <w:tc>
          <w:tcPr>
            <w:tcW w:w="2075" w:type="dxa"/>
            <w:noWrap/>
            <w:hideMark/>
          </w:tcPr>
          <w:p w14:paraId="3261315A" w14:textId="77777777" w:rsidR="00300E3E" w:rsidRPr="00300E3E" w:rsidRDefault="00300E3E" w:rsidP="00300E3E">
            <w:pPr>
              <w:spacing w:after="0" w:line="360" w:lineRule="auto"/>
            </w:pPr>
            <w:r w:rsidRPr="00300E3E">
              <w:t>WVI</w:t>
            </w:r>
          </w:p>
        </w:tc>
        <w:tc>
          <w:tcPr>
            <w:tcW w:w="6905" w:type="dxa"/>
            <w:noWrap/>
            <w:hideMark/>
          </w:tcPr>
          <w:p w14:paraId="55AF1380" w14:textId="77777777" w:rsidR="00300E3E" w:rsidRPr="00300E3E" w:rsidRDefault="00300E3E" w:rsidP="00300E3E">
            <w:pPr>
              <w:spacing w:after="0" w:line="360" w:lineRule="auto"/>
            </w:pPr>
            <w:r w:rsidRPr="00300E3E">
              <w:t>World Vision International</w:t>
            </w:r>
          </w:p>
        </w:tc>
      </w:tr>
    </w:tbl>
    <w:p w14:paraId="322C8392" w14:textId="77777777" w:rsidR="00300E3E" w:rsidRPr="00300E3E" w:rsidRDefault="00300E3E" w:rsidP="00300E3E"/>
    <w:p w14:paraId="3C6AD15A" w14:textId="77777777" w:rsidR="00607D38" w:rsidRDefault="00607D38" w:rsidP="00881EBF">
      <w:pPr>
        <w:sectPr w:rsidR="00607D38" w:rsidSect="00C316E4">
          <w:type w:val="continuous"/>
          <w:pgSz w:w="11905" w:h="17337"/>
          <w:pgMar w:top="1917" w:right="1297" w:bottom="571" w:left="1417" w:header="720" w:footer="720" w:gutter="0"/>
          <w:pgNumType w:fmt="lowerRoman"/>
          <w:cols w:space="720"/>
          <w:noEndnote/>
        </w:sectPr>
      </w:pPr>
    </w:p>
    <w:p w14:paraId="70DB14C9" w14:textId="7F6C7AC0" w:rsidR="002036BF" w:rsidRDefault="00607D38" w:rsidP="00607D38">
      <w:pPr>
        <w:pStyle w:val="Heading1"/>
      </w:pPr>
      <w:bookmarkStart w:id="11" w:name="_Toc108259981"/>
      <w:r>
        <w:lastRenderedPageBreak/>
        <w:t xml:space="preserve">1. </w:t>
      </w:r>
      <w:r w:rsidR="00D419E1">
        <w:t>Purpose</w:t>
      </w:r>
      <w:r w:rsidR="00F30A6C">
        <w:t>, structure</w:t>
      </w:r>
      <w:r w:rsidR="005F2BE7">
        <w:t>, methodology</w:t>
      </w:r>
      <w:r w:rsidR="00D419E1">
        <w:t xml:space="preserve"> and background</w:t>
      </w:r>
      <w:bookmarkEnd w:id="11"/>
    </w:p>
    <w:p w14:paraId="6B541E5D" w14:textId="3E5EA290" w:rsidR="00F30A6C" w:rsidRDefault="00B96887" w:rsidP="00F30A6C">
      <w:pPr>
        <w:pStyle w:val="Heading2"/>
      </w:pPr>
      <w:bookmarkStart w:id="12" w:name="_Toc108259982"/>
      <w:bookmarkStart w:id="13" w:name="_Toc88559764"/>
      <w:bookmarkStart w:id="14" w:name="_Toc88562276"/>
      <w:r>
        <w:t xml:space="preserve">1.1 </w:t>
      </w:r>
      <w:r w:rsidR="00F30A6C">
        <w:t>Purpose</w:t>
      </w:r>
      <w:bookmarkEnd w:id="12"/>
    </w:p>
    <w:p w14:paraId="35004F59" w14:textId="4F97D154" w:rsidR="00F30A6C" w:rsidRDefault="005F2BE7" w:rsidP="00D419E1">
      <w:r>
        <w:t>This report</w:t>
      </w:r>
      <w:r w:rsidR="00CF3E87">
        <w:t xml:space="preserve"> communicates</w:t>
      </w:r>
      <w:r>
        <w:t xml:space="preserve"> </w:t>
      </w:r>
      <w:r w:rsidR="00370752">
        <w:t xml:space="preserve">lessons </w:t>
      </w:r>
      <w:r>
        <w:t>and justifi</w:t>
      </w:r>
      <w:r w:rsidR="00CF3E87">
        <w:t>es</w:t>
      </w:r>
      <w:r>
        <w:t xml:space="preserve"> recommendations, to </w:t>
      </w:r>
      <w:r w:rsidR="00607D38">
        <w:t xml:space="preserve">adapt </w:t>
      </w:r>
      <w:r>
        <w:t>Australian</w:t>
      </w:r>
      <w:r w:rsidR="007E1A4E">
        <w:t xml:space="preserve"> </w:t>
      </w:r>
      <w:r>
        <w:t xml:space="preserve">food and water security programming in the </w:t>
      </w:r>
      <w:r w:rsidR="00264919">
        <w:t>S</w:t>
      </w:r>
      <w:r w:rsidR="0057295F">
        <w:t xml:space="preserve">outh </w:t>
      </w:r>
      <w:r w:rsidR="00264919">
        <w:t>F</w:t>
      </w:r>
      <w:r w:rsidR="0057295F">
        <w:t xml:space="preserve">ly </w:t>
      </w:r>
      <w:r w:rsidR="00264919">
        <w:t>D</w:t>
      </w:r>
      <w:r w:rsidR="0057295F">
        <w:t>istrict</w:t>
      </w:r>
      <w:r w:rsidR="00A1382F">
        <w:t xml:space="preserve"> (SFD)</w:t>
      </w:r>
      <w:r>
        <w:t xml:space="preserve"> of Papua New Guinea</w:t>
      </w:r>
      <w:r w:rsidR="00CF3E87">
        <w:t xml:space="preserve"> (PNG)</w:t>
      </w:r>
      <w:r>
        <w:t xml:space="preserve">. </w:t>
      </w:r>
      <w:r w:rsidR="001D6C0A">
        <w:rPr>
          <w:rStyle w:val="OPMBodytextChar"/>
          <w:rFonts w:eastAsiaTheme="minorHAnsi"/>
          <w:sz w:val="22"/>
          <w:szCs w:val="22"/>
        </w:rPr>
        <w:t xml:space="preserve">This includes </w:t>
      </w:r>
      <w:r w:rsidR="00165DCF">
        <w:rPr>
          <w:rStyle w:val="OPMBodytextChar"/>
          <w:rFonts w:eastAsiaTheme="minorHAnsi"/>
          <w:sz w:val="22"/>
          <w:szCs w:val="22"/>
        </w:rPr>
        <w:t>an</w:t>
      </w:r>
      <w:r w:rsidR="001D6C0A" w:rsidRPr="00377C44">
        <w:rPr>
          <w:rStyle w:val="OPMBodytextChar"/>
          <w:rFonts w:eastAsiaTheme="minorHAnsi"/>
          <w:sz w:val="22"/>
          <w:szCs w:val="22"/>
        </w:rPr>
        <w:t xml:space="preserve"> examin</w:t>
      </w:r>
      <w:r w:rsidR="00165DCF">
        <w:rPr>
          <w:rStyle w:val="OPMBodytextChar"/>
          <w:rFonts w:eastAsiaTheme="minorHAnsi"/>
          <w:sz w:val="22"/>
          <w:szCs w:val="22"/>
        </w:rPr>
        <w:t>ation of</w:t>
      </w:r>
      <w:r w:rsidR="001D6C0A" w:rsidRPr="00377C44">
        <w:rPr>
          <w:rStyle w:val="OPMBodytextChar"/>
          <w:rFonts w:eastAsiaTheme="minorHAnsi"/>
          <w:sz w:val="22"/>
          <w:szCs w:val="22"/>
        </w:rPr>
        <w:t xml:space="preserve"> whether the underpinning assumptions</w:t>
      </w:r>
      <w:r w:rsidR="001D6C0A">
        <w:rPr>
          <w:rStyle w:val="OPMBodytextChar"/>
          <w:rFonts w:eastAsiaTheme="minorHAnsi"/>
          <w:sz w:val="22"/>
          <w:szCs w:val="22"/>
        </w:rPr>
        <w:t xml:space="preserve"> of the South Fly Resilience Plan (SFRP)</w:t>
      </w:r>
      <w:r w:rsidR="001D6C0A" w:rsidRPr="00377C44">
        <w:rPr>
          <w:rStyle w:val="OPMBodytextChar"/>
          <w:rFonts w:eastAsiaTheme="minorHAnsi"/>
          <w:sz w:val="22"/>
          <w:szCs w:val="22"/>
        </w:rPr>
        <w:t xml:space="preserve"> are holding</w:t>
      </w:r>
      <w:r w:rsidR="001D6C0A">
        <w:rPr>
          <w:rStyle w:val="OPMBodytextChar"/>
          <w:rFonts w:eastAsiaTheme="minorHAnsi"/>
          <w:sz w:val="22"/>
          <w:szCs w:val="22"/>
        </w:rPr>
        <w:t>,</w:t>
      </w:r>
      <w:r w:rsidR="001D6C0A" w:rsidRPr="00377C44">
        <w:rPr>
          <w:rStyle w:val="OPMBodytextChar"/>
          <w:rFonts w:eastAsiaTheme="minorHAnsi"/>
          <w:sz w:val="22"/>
          <w:szCs w:val="22"/>
        </w:rPr>
        <w:t xml:space="preserve"> </w:t>
      </w:r>
      <w:r w:rsidR="00A96776">
        <w:rPr>
          <w:rStyle w:val="OPMBodytextChar"/>
          <w:rFonts w:eastAsiaTheme="minorHAnsi"/>
          <w:sz w:val="22"/>
          <w:szCs w:val="22"/>
        </w:rPr>
        <w:t>which can</w:t>
      </w:r>
      <w:r w:rsidR="001D6C0A" w:rsidRPr="00377C44">
        <w:rPr>
          <w:rStyle w:val="OPMBodytextChar"/>
          <w:rFonts w:eastAsiaTheme="minorHAnsi"/>
          <w:sz w:val="22"/>
          <w:szCs w:val="22"/>
        </w:rPr>
        <w:t xml:space="preserve"> inform the</w:t>
      </w:r>
      <w:r w:rsidR="00165DCF">
        <w:rPr>
          <w:rStyle w:val="OPMBodytextChar"/>
          <w:rFonts w:eastAsiaTheme="minorHAnsi"/>
          <w:sz w:val="22"/>
          <w:szCs w:val="22"/>
        </w:rPr>
        <w:t xml:space="preserve"> design of the</w:t>
      </w:r>
      <w:r w:rsidR="001D6C0A" w:rsidRPr="00377C44">
        <w:rPr>
          <w:rStyle w:val="OPMBodytextChar"/>
          <w:rFonts w:eastAsiaTheme="minorHAnsi"/>
          <w:sz w:val="22"/>
          <w:szCs w:val="22"/>
        </w:rPr>
        <w:t xml:space="preserve"> Western Province </w:t>
      </w:r>
      <w:r w:rsidR="00165DCF">
        <w:rPr>
          <w:rStyle w:val="OPMBodytextChar"/>
          <w:rFonts w:eastAsiaTheme="minorHAnsi"/>
          <w:sz w:val="22"/>
          <w:szCs w:val="22"/>
        </w:rPr>
        <w:t>Partnership</w:t>
      </w:r>
      <w:r w:rsidR="001D6C0A" w:rsidRPr="00377C44">
        <w:rPr>
          <w:rStyle w:val="OPMBodytextChar"/>
          <w:rFonts w:eastAsiaTheme="minorHAnsi"/>
          <w:sz w:val="22"/>
          <w:szCs w:val="22"/>
        </w:rPr>
        <w:t>.</w:t>
      </w:r>
      <w:r w:rsidR="001D6C0A">
        <w:rPr>
          <w:rStyle w:val="OPMBodytextChar"/>
          <w:rFonts w:eastAsiaTheme="minorHAnsi"/>
          <w:sz w:val="22"/>
          <w:szCs w:val="22"/>
        </w:rPr>
        <w:t xml:space="preserve"> </w:t>
      </w:r>
      <w:r w:rsidR="00165DCF">
        <w:rPr>
          <w:rStyle w:val="OPMBodytextChar"/>
          <w:rFonts w:eastAsiaTheme="minorHAnsi"/>
          <w:sz w:val="22"/>
          <w:szCs w:val="22"/>
        </w:rPr>
        <w:t xml:space="preserve">To these purposes, this report </w:t>
      </w:r>
      <w:r w:rsidR="001D6C0A">
        <w:rPr>
          <w:rStyle w:val="OPMBodytextChar"/>
          <w:rFonts w:eastAsiaTheme="minorHAnsi"/>
          <w:sz w:val="22"/>
          <w:szCs w:val="22"/>
        </w:rPr>
        <w:t>answer</w:t>
      </w:r>
      <w:r w:rsidR="00165DCF">
        <w:rPr>
          <w:rStyle w:val="OPMBodytextChar"/>
          <w:rFonts w:eastAsiaTheme="minorHAnsi"/>
          <w:sz w:val="22"/>
          <w:szCs w:val="22"/>
        </w:rPr>
        <w:t>s</w:t>
      </w:r>
      <w:r w:rsidR="001D6C0A">
        <w:rPr>
          <w:rStyle w:val="OPMBodytextChar"/>
          <w:rFonts w:eastAsiaTheme="minorHAnsi"/>
          <w:sz w:val="22"/>
          <w:szCs w:val="22"/>
        </w:rPr>
        <w:t xml:space="preserve"> the questions posed in the term</w:t>
      </w:r>
      <w:r w:rsidR="007E1A4E">
        <w:rPr>
          <w:rStyle w:val="OPMBodytextChar"/>
          <w:rFonts w:eastAsiaTheme="minorHAnsi"/>
          <w:sz w:val="22"/>
          <w:szCs w:val="22"/>
        </w:rPr>
        <w:t>s</w:t>
      </w:r>
      <w:r w:rsidR="001D6C0A">
        <w:rPr>
          <w:rStyle w:val="OPMBodytextChar"/>
          <w:rFonts w:eastAsiaTheme="minorHAnsi"/>
          <w:sz w:val="22"/>
          <w:szCs w:val="22"/>
        </w:rPr>
        <w:t xml:space="preserve"> of reference for the </w:t>
      </w:r>
      <w:r w:rsidR="00165DCF">
        <w:rPr>
          <w:rStyle w:val="OPMBodytextChar"/>
          <w:rFonts w:eastAsiaTheme="minorHAnsi"/>
          <w:sz w:val="22"/>
          <w:szCs w:val="22"/>
        </w:rPr>
        <w:t xml:space="preserve">independent </w:t>
      </w:r>
      <w:r w:rsidR="001D6C0A">
        <w:rPr>
          <w:rStyle w:val="OPMBodytextChar"/>
          <w:rFonts w:eastAsiaTheme="minorHAnsi"/>
          <w:sz w:val="22"/>
          <w:szCs w:val="22"/>
        </w:rPr>
        <w:t>review</w:t>
      </w:r>
      <w:r w:rsidR="00165DCF">
        <w:rPr>
          <w:rStyle w:val="OPMBodytextChar"/>
          <w:rFonts w:eastAsiaTheme="minorHAnsi"/>
          <w:sz w:val="22"/>
          <w:szCs w:val="22"/>
        </w:rPr>
        <w:t xml:space="preserve"> of the SFRP</w:t>
      </w:r>
      <w:r w:rsidR="001D6C0A">
        <w:rPr>
          <w:rStyle w:val="OPMBodytextChar"/>
          <w:rFonts w:eastAsiaTheme="minorHAnsi"/>
          <w:sz w:val="22"/>
          <w:szCs w:val="22"/>
        </w:rPr>
        <w:t xml:space="preserve">. </w:t>
      </w:r>
      <w:r w:rsidR="001D6C0A">
        <w:t xml:space="preserve">The </w:t>
      </w:r>
      <w:r w:rsidR="00BA7CD3">
        <w:t>term</w:t>
      </w:r>
      <w:r w:rsidR="007E1A4E">
        <w:t>s</w:t>
      </w:r>
      <w:r w:rsidR="001D6C0A">
        <w:t xml:space="preserve"> of reference</w:t>
      </w:r>
      <w:r w:rsidR="00A96776">
        <w:t xml:space="preserve"> for the review</w:t>
      </w:r>
      <w:r w:rsidR="001D6C0A">
        <w:t xml:space="preserve"> </w:t>
      </w:r>
      <w:r w:rsidR="007E1A4E">
        <w:t xml:space="preserve">are </w:t>
      </w:r>
      <w:r w:rsidR="001D6C0A">
        <w:t>included in</w:t>
      </w:r>
      <w:r>
        <w:t xml:space="preserve"> Annex 1</w:t>
      </w:r>
      <w:r w:rsidR="00165DCF">
        <w:t xml:space="preserve">. This </w:t>
      </w:r>
      <w:r w:rsidR="00F22F9B">
        <w:t>includes signposts to where the questions are answered</w:t>
      </w:r>
      <w:r w:rsidR="00226669">
        <w:t xml:space="preserve"> in this report</w:t>
      </w:r>
      <w:r>
        <w:t xml:space="preserve">. </w:t>
      </w:r>
      <w:r w:rsidR="00D419E1">
        <w:t xml:space="preserve"> </w:t>
      </w:r>
    </w:p>
    <w:p w14:paraId="55C6452A" w14:textId="2F8F04E6" w:rsidR="00F30A6C" w:rsidRDefault="00B96887" w:rsidP="00F30A6C">
      <w:pPr>
        <w:pStyle w:val="Heading2"/>
      </w:pPr>
      <w:bookmarkStart w:id="15" w:name="_Toc108259983"/>
      <w:r>
        <w:t xml:space="preserve">1.2 </w:t>
      </w:r>
      <w:r w:rsidR="00F30A6C">
        <w:t>Structure</w:t>
      </w:r>
      <w:bookmarkEnd w:id="15"/>
    </w:p>
    <w:p w14:paraId="0A16AFD2" w14:textId="55A0DCC8" w:rsidR="005F2BE7" w:rsidRPr="005F2BE7" w:rsidRDefault="00CF3E87" w:rsidP="00685E36">
      <w:r>
        <w:t xml:space="preserve">The remainder of this section presents </w:t>
      </w:r>
      <w:r w:rsidR="003F2F84">
        <w:t>the</w:t>
      </w:r>
      <w:r>
        <w:t xml:space="preserve"> methodology</w:t>
      </w:r>
      <w:r w:rsidR="00062D12">
        <w:t xml:space="preserve"> to the review</w:t>
      </w:r>
      <w:r w:rsidR="00405288">
        <w:t>,</w:t>
      </w:r>
      <w:r>
        <w:t xml:space="preserve"> and </w:t>
      </w:r>
      <w:r w:rsidR="001C6FCA">
        <w:t>background</w:t>
      </w:r>
      <w:r w:rsidR="00A1382F">
        <w:t xml:space="preserve"> to the SFRP</w:t>
      </w:r>
      <w:r>
        <w:t>. Section 2 follows with a</w:t>
      </w:r>
      <w:r w:rsidR="00BE38A8">
        <w:t>n</w:t>
      </w:r>
      <w:r>
        <w:t xml:space="preserve"> assessment of effectiveness, before Section 3 discusses efficiency. This is followed by assessments of coherence, </w:t>
      </w:r>
      <w:proofErr w:type="gramStart"/>
      <w:r>
        <w:t>sustainability</w:t>
      </w:r>
      <w:proofErr w:type="gramEnd"/>
      <w:r>
        <w:t xml:space="preserve"> and gender in Sections 4, 5 and 6</w:t>
      </w:r>
      <w:r w:rsidR="003F2F84">
        <w:t xml:space="preserve">, </w:t>
      </w:r>
      <w:r>
        <w:t xml:space="preserve">respectively. Section 7 </w:t>
      </w:r>
      <w:r w:rsidR="00BE38A8">
        <w:t>presents</w:t>
      </w:r>
      <w:r>
        <w:t xml:space="preserve"> concluding observations</w:t>
      </w:r>
      <w:r w:rsidR="007E1A4E">
        <w:t xml:space="preserve"> and recommendations</w:t>
      </w:r>
      <w:r>
        <w:t>.</w:t>
      </w:r>
    </w:p>
    <w:p w14:paraId="2EE2BBE2" w14:textId="64DDDD4C" w:rsidR="005F2BE7" w:rsidRDefault="00B96887" w:rsidP="005F2BE7">
      <w:pPr>
        <w:pStyle w:val="Heading2"/>
      </w:pPr>
      <w:bookmarkStart w:id="16" w:name="_Toc108259984"/>
      <w:r>
        <w:t xml:space="preserve">1.3 </w:t>
      </w:r>
      <w:r w:rsidR="005F2BE7">
        <w:t>Methodology</w:t>
      </w:r>
      <w:bookmarkEnd w:id="16"/>
    </w:p>
    <w:p w14:paraId="33ED54B9" w14:textId="5DFC95A5" w:rsidR="00BA7CD3" w:rsidRDefault="42832B5C" w:rsidP="005F2BE7">
      <w:r>
        <w:t>The review was undertaken in late April and May 2022</w:t>
      </w:r>
      <w:r w:rsidR="00F02193">
        <w:t xml:space="preserve">. </w:t>
      </w:r>
      <w:r w:rsidR="00BA7CD3">
        <w:t>Where appropriate</w:t>
      </w:r>
      <w:r w:rsidR="00165DCF">
        <w:t>,</w:t>
      </w:r>
      <w:r w:rsidR="00BA7CD3">
        <w:t xml:space="preserve"> the review employ</w:t>
      </w:r>
      <w:r w:rsidR="00E44216">
        <w:t>ed</w:t>
      </w:r>
      <w:r w:rsidR="00BA7CD3">
        <w:t xml:space="preserve"> elements of </w:t>
      </w:r>
      <w:r w:rsidR="00EF72CF">
        <w:t>theory-based</w:t>
      </w:r>
      <w:r w:rsidR="00BA7CD3">
        <w:t xml:space="preserve"> approaches</w:t>
      </w:r>
      <w:r w:rsidR="00E44216">
        <w:t xml:space="preserve"> to evaluations</w:t>
      </w:r>
      <w:r w:rsidR="00BA7CD3">
        <w:t xml:space="preserve">. </w:t>
      </w:r>
    </w:p>
    <w:p w14:paraId="3458CC53" w14:textId="130F9DAB" w:rsidR="001D088F" w:rsidRDefault="42832B5C" w:rsidP="005F2BE7">
      <w:r>
        <w:t xml:space="preserve">Pre mission reading was followed by consultations with stakeholders located in Cairns, Port Moresby and the SFD. A list of organisations consulted can be found in Annex 3. At the end of the two-week </w:t>
      </w:r>
      <w:r w:rsidR="004764BD">
        <w:t>field trip</w:t>
      </w:r>
      <w:r>
        <w:t>, initial findings were presented to stakeholders via an Aide Memoire. This provided opportunity for feedback. Subsequent remote consultations were then held with stakeholders.</w:t>
      </w:r>
      <w:r w:rsidR="001D088F">
        <w:t xml:space="preserve"> </w:t>
      </w:r>
      <w:r w:rsidR="007E1A4E" w:rsidRPr="001D088F">
        <w:t>Despite best attempts, some communities did not feel they were adequately notified</w:t>
      </w:r>
      <w:r w:rsidR="007E1A4E">
        <w:t xml:space="preserve"> of the visit of the review team.</w:t>
      </w:r>
      <w:r w:rsidR="007E1A4E" w:rsidRPr="001D088F">
        <w:t xml:space="preserve"> </w:t>
      </w:r>
      <w:r w:rsidR="007E1A4E">
        <w:t>T</w:t>
      </w:r>
      <w:r w:rsidR="007E1A4E" w:rsidRPr="001D088F">
        <w:t>his impacted the tenor of responses.</w:t>
      </w:r>
    </w:p>
    <w:p w14:paraId="4B6A4E26" w14:textId="3D798DA3" w:rsidR="00A1382F" w:rsidRPr="005F2BE7" w:rsidRDefault="0717EB4E" w:rsidP="005F2BE7">
      <w:r>
        <w:t xml:space="preserve">The review occurred after 12 months of implementation, and with two months remaining on the initial SFRP contracts. This short time frame meant that progress towards outcomes, and the demonstration of sustainability, was expected to be limited. However, the conduct of an independent review at this point does allow for adaptation, as the risks of COVID-19 subside, while also providing input into the design of Australian support to Western Province.   </w:t>
      </w:r>
    </w:p>
    <w:p w14:paraId="38747FC2" w14:textId="77777777" w:rsidR="005C2F56" w:rsidRDefault="00B96887" w:rsidP="005C2F56">
      <w:pPr>
        <w:pStyle w:val="Heading2"/>
        <w:tabs>
          <w:tab w:val="right" w:pos="9191"/>
        </w:tabs>
      </w:pPr>
      <w:bookmarkStart w:id="17" w:name="_Toc108259985"/>
      <w:r>
        <w:t xml:space="preserve">1.4 </w:t>
      </w:r>
      <w:r w:rsidR="00F30A6C">
        <w:t>Background</w:t>
      </w:r>
      <w:bookmarkEnd w:id="17"/>
      <w:r w:rsidR="00607D38">
        <w:tab/>
      </w:r>
    </w:p>
    <w:p w14:paraId="5AC27C84" w14:textId="469F3F68" w:rsidR="005C2F56" w:rsidRDefault="00777F7B" w:rsidP="003F503A">
      <w:pPr>
        <w:pStyle w:val="BodyText"/>
        <w:spacing w:line="276" w:lineRule="auto"/>
      </w:pPr>
      <w:r>
        <w:t>Population</w:t>
      </w:r>
      <w:r w:rsidR="00865D69">
        <w:t xml:space="preserve"> densities in Western Province are low, </w:t>
      </w:r>
      <w:r w:rsidR="00176CC5">
        <w:t>in comparison to other provinces of PNG</w:t>
      </w:r>
      <w:r w:rsidR="007771EB">
        <w:rPr>
          <w:rStyle w:val="FootnoteReference"/>
        </w:rPr>
        <w:footnoteReference w:id="2"/>
      </w:r>
      <w:r w:rsidR="005C2F56">
        <w:t>, and the population growth rate ha</w:t>
      </w:r>
      <w:r w:rsidR="004D7B63">
        <w:t>d</w:t>
      </w:r>
      <w:r w:rsidR="005C2F56">
        <w:t xml:space="preserve"> been shrinking</w:t>
      </w:r>
      <w:r w:rsidR="003F503A">
        <w:t xml:space="preserve"> to 2011</w:t>
      </w:r>
      <w:r w:rsidR="00176CC5">
        <w:t>.</w:t>
      </w:r>
      <w:r w:rsidR="005C2F56">
        <w:t xml:space="preserve"> </w:t>
      </w:r>
      <w:r w:rsidR="000B02F2">
        <w:t xml:space="preserve">Of the circa 60,000 people residing </w:t>
      </w:r>
      <w:r w:rsidR="000B02F2">
        <w:lastRenderedPageBreak/>
        <w:t>in the SFD in</w:t>
      </w:r>
      <w:r w:rsidR="005C2F56">
        <w:t xml:space="preserve"> 2011, 26% of the population resided in Daru Urban. This level of urbanisation is above other Districts in Western Province.</w:t>
      </w:r>
      <w:r w:rsidR="007771EB">
        <w:t xml:space="preserve"> </w:t>
      </w:r>
    </w:p>
    <w:p w14:paraId="22659CBD" w14:textId="391F4576" w:rsidR="00865D69" w:rsidRDefault="005C2F56" w:rsidP="00D419E1">
      <w:r>
        <w:t>The</w:t>
      </w:r>
      <w:r w:rsidR="007771EB">
        <w:t xml:space="preserve"> </w:t>
      </w:r>
      <w:r w:rsidR="00865D69">
        <w:t xml:space="preserve">rural population </w:t>
      </w:r>
      <w:r w:rsidR="00A96776">
        <w:t>of</w:t>
      </w:r>
      <w:r w:rsidR="003F503A">
        <w:t xml:space="preserve"> the SFD </w:t>
      </w:r>
      <w:r w:rsidR="00865D69">
        <w:t>live</w:t>
      </w:r>
      <w:r w:rsidR="0053369A">
        <w:t xml:space="preserve"> mostly</w:t>
      </w:r>
      <w:r w:rsidR="00865D69">
        <w:t xml:space="preserve"> in villages </w:t>
      </w:r>
      <w:r w:rsidR="00EF67FD">
        <w:t xml:space="preserve">spread </w:t>
      </w:r>
      <w:r w:rsidR="00865D69">
        <w:t>across a large geographic area, with scant road connectivity</w:t>
      </w:r>
      <w:r w:rsidR="003F503A">
        <w:rPr>
          <w:rStyle w:val="FootnoteReference"/>
        </w:rPr>
        <w:footnoteReference w:id="3"/>
      </w:r>
      <w:r w:rsidR="00865D69">
        <w:t xml:space="preserve">. </w:t>
      </w:r>
      <w:r w:rsidR="000B0077">
        <w:t xml:space="preserve">In </w:t>
      </w:r>
      <w:r w:rsidR="00603FA8">
        <w:t>most villages</w:t>
      </w:r>
      <w:r w:rsidR="00DF4EE6">
        <w:t>,</w:t>
      </w:r>
      <w:r w:rsidR="000B0077">
        <w:t xml:space="preserve"> g</w:t>
      </w:r>
      <w:r w:rsidR="00865D69">
        <w:t>overnment services are</w:t>
      </w:r>
      <w:r w:rsidR="00756218">
        <w:t xml:space="preserve"> </w:t>
      </w:r>
      <w:r w:rsidR="00865D69">
        <w:t>limited to the provision of education</w:t>
      </w:r>
      <w:r w:rsidR="003F503A">
        <w:rPr>
          <w:rStyle w:val="FootnoteReference"/>
        </w:rPr>
        <w:footnoteReference w:id="4"/>
      </w:r>
      <w:r w:rsidR="00865D69">
        <w:t xml:space="preserve">. </w:t>
      </w:r>
      <w:r w:rsidR="0053369A">
        <w:t>Most h</w:t>
      </w:r>
      <w:r w:rsidR="00777F7B">
        <w:t>ouseholds engage</w:t>
      </w:r>
      <w:r w:rsidR="00865D69">
        <w:t xml:space="preserve"> in subsistence agriculture and income generation activities, </w:t>
      </w:r>
      <w:r w:rsidR="00B50F29">
        <w:t>often from</w:t>
      </w:r>
      <w:r w:rsidR="00865D69">
        <w:t xml:space="preserve"> seasonal activities. Income generating activities</w:t>
      </w:r>
      <w:r w:rsidR="00405288">
        <w:t xml:space="preserve"> largely</w:t>
      </w:r>
      <w:r w:rsidR="00865D69">
        <w:t xml:space="preserve"> pay for essential </w:t>
      </w:r>
      <w:proofErr w:type="gramStart"/>
      <w:r w:rsidR="00865D69">
        <w:t xml:space="preserve">services, </w:t>
      </w:r>
      <w:r w:rsidR="00ED03BE">
        <w:t>and</w:t>
      </w:r>
      <w:proofErr w:type="gramEnd"/>
      <w:r w:rsidR="00072E70">
        <w:t xml:space="preserve"> </w:t>
      </w:r>
      <w:r w:rsidR="00865D69">
        <w:t xml:space="preserve">improve food security. </w:t>
      </w:r>
      <w:r w:rsidR="00756218">
        <w:t xml:space="preserve">Markets are exceptionally nascent and government services are patchy; the </w:t>
      </w:r>
      <w:r w:rsidR="00264919">
        <w:t>SFD</w:t>
      </w:r>
      <w:r w:rsidR="00756218">
        <w:t xml:space="preserve"> is a very challenging </w:t>
      </w:r>
      <w:r w:rsidR="005B7596">
        <w:t xml:space="preserve">operating </w:t>
      </w:r>
      <w:r w:rsidR="00756218">
        <w:t>environment</w:t>
      </w:r>
      <w:r w:rsidR="005B7596">
        <w:t>.</w:t>
      </w:r>
    </w:p>
    <w:p w14:paraId="77DB2ED7" w14:textId="3A0F02B5" w:rsidR="005768DA" w:rsidRDefault="005B7596" w:rsidP="00D419E1">
      <w:r>
        <w:t>The needs of the population</w:t>
      </w:r>
      <w:r w:rsidR="00685E36">
        <w:t xml:space="preserve"> </w:t>
      </w:r>
      <w:r>
        <w:t xml:space="preserve">for </w:t>
      </w:r>
      <w:r w:rsidR="00685E36">
        <w:t xml:space="preserve">improved </w:t>
      </w:r>
      <w:r>
        <w:t xml:space="preserve">food and water security </w:t>
      </w:r>
      <w:r w:rsidR="004D7B63">
        <w:t>are</w:t>
      </w:r>
      <w:r>
        <w:t xml:space="preserve"> high. </w:t>
      </w:r>
      <w:r w:rsidR="00727C44">
        <w:t>Areas of the</w:t>
      </w:r>
      <w:r w:rsidR="00F30A6C">
        <w:t xml:space="preserve"> </w:t>
      </w:r>
      <w:r w:rsidR="00072E70">
        <w:t>low-lying</w:t>
      </w:r>
      <w:r w:rsidR="00DF721B">
        <w:t xml:space="preserve"> </w:t>
      </w:r>
      <w:r w:rsidR="00471CC1">
        <w:t xml:space="preserve">District </w:t>
      </w:r>
      <w:r w:rsidR="00F30A6C">
        <w:t>ha</w:t>
      </w:r>
      <w:r w:rsidR="00727C44">
        <w:t>ve</w:t>
      </w:r>
      <w:r w:rsidR="00F30A6C">
        <w:t xml:space="preserve"> </w:t>
      </w:r>
      <w:r w:rsidR="00727C44">
        <w:t xml:space="preserve">been found to have </w:t>
      </w:r>
      <w:r w:rsidR="00F30A6C">
        <w:t>a high incidence of multi-dimensional poverty</w:t>
      </w:r>
      <w:r w:rsidR="000B02F2">
        <w:rPr>
          <w:rStyle w:val="FootnoteReference"/>
        </w:rPr>
        <w:footnoteReference w:id="5"/>
      </w:r>
      <w:r w:rsidR="00727C44">
        <w:t xml:space="preserve">. The </w:t>
      </w:r>
      <w:proofErr w:type="gramStart"/>
      <w:r w:rsidR="00727C44">
        <w:t>District</w:t>
      </w:r>
      <w:proofErr w:type="gramEnd"/>
      <w:r w:rsidR="00727C44">
        <w:t xml:space="preserve"> is also</w:t>
      </w:r>
      <w:r w:rsidR="00DF08FE">
        <w:t xml:space="preserve"> </w:t>
      </w:r>
      <w:r w:rsidR="00F30A6C">
        <w:t xml:space="preserve">subject to </w:t>
      </w:r>
      <w:r w:rsidR="00A81E81">
        <w:t>climate induced extreme weather events;</w:t>
      </w:r>
      <w:r w:rsidR="00F30A6C">
        <w:t xml:space="preserve"> such as droughts</w:t>
      </w:r>
      <w:r w:rsidR="00DF08FE">
        <w:t>,</w:t>
      </w:r>
      <w:r w:rsidR="00865D69">
        <w:t xml:space="preserve"> </w:t>
      </w:r>
      <w:r w:rsidR="00F30A6C">
        <w:t>floods</w:t>
      </w:r>
      <w:r w:rsidR="00DF08FE">
        <w:t xml:space="preserve"> and increasingly high king tides</w:t>
      </w:r>
      <w:r w:rsidR="00F30A6C">
        <w:t>. Anecdotal evidence suggests that the</w:t>
      </w:r>
      <w:r w:rsidR="00865D69">
        <w:t xml:space="preserve"> severity and incidence of these</w:t>
      </w:r>
      <w:r w:rsidR="00F30A6C">
        <w:t xml:space="preserve"> events are worsening. The </w:t>
      </w:r>
      <w:proofErr w:type="gramStart"/>
      <w:r w:rsidR="00F30A6C">
        <w:t>District</w:t>
      </w:r>
      <w:proofErr w:type="gramEnd"/>
      <w:r w:rsidR="00F30A6C">
        <w:t xml:space="preserve"> also </w:t>
      </w:r>
      <w:r w:rsidR="00CF3E87">
        <w:t xml:space="preserve">suffers from a high incidence of multi drug resistant </w:t>
      </w:r>
      <w:r w:rsidR="00471CC1">
        <w:t>tuberculosis</w:t>
      </w:r>
      <w:r w:rsidR="00CF3E87">
        <w:t>, as well as HIV</w:t>
      </w:r>
      <w:r w:rsidR="005768DA">
        <w:rPr>
          <w:rStyle w:val="FootnoteReference"/>
        </w:rPr>
        <w:footnoteReference w:id="6"/>
      </w:r>
      <w:r w:rsidR="00CF3E87">
        <w:t>.</w:t>
      </w:r>
      <w:r w:rsidR="00F30A6C">
        <w:t xml:space="preserve"> </w:t>
      </w:r>
      <w:r w:rsidR="00CF3E87">
        <w:t>In 2020,</w:t>
      </w:r>
      <w:r w:rsidR="00F30A6C">
        <w:t xml:space="preserve"> the</w:t>
      </w:r>
      <w:r w:rsidR="000E449D">
        <w:t xml:space="preserve"> COVID-19</w:t>
      </w:r>
      <w:r w:rsidR="00F30A6C">
        <w:t xml:space="preserve"> pandemic, and </w:t>
      </w:r>
      <w:r w:rsidR="00BE38A8">
        <w:t xml:space="preserve">possible </w:t>
      </w:r>
      <w:r w:rsidR="00F30A6C">
        <w:t xml:space="preserve">subsequent infection rates, restrictions on movement and </w:t>
      </w:r>
      <w:r w:rsidR="00CF3E87">
        <w:t>the</w:t>
      </w:r>
      <w:r w:rsidR="00F30A6C">
        <w:t xml:space="preserve"> border closure, </w:t>
      </w:r>
      <w:r w:rsidR="00BE38A8">
        <w:t>created another shock</w:t>
      </w:r>
      <w:r w:rsidR="00F30A6C">
        <w:t xml:space="preserve">. </w:t>
      </w:r>
      <w:r w:rsidR="000A4E07">
        <w:t>Given the need</w:t>
      </w:r>
      <w:r w:rsidR="00072E70">
        <w:t>,</w:t>
      </w:r>
      <w:r w:rsidR="000A4E07">
        <w:t xml:space="preserve"> </w:t>
      </w:r>
      <w:r w:rsidR="00F30A6C">
        <w:t xml:space="preserve">Australia, a committed partner, responded. </w:t>
      </w:r>
    </w:p>
    <w:p w14:paraId="08FACD20" w14:textId="73D8A341" w:rsidR="005768DA" w:rsidRDefault="005768DA" w:rsidP="005768DA">
      <w:pPr>
        <w:pStyle w:val="FigureImageTablehead"/>
      </w:pPr>
      <w:r>
        <w:t xml:space="preserve">Figure 1: </w:t>
      </w:r>
      <w:r w:rsidR="00C47F78">
        <w:t xml:space="preserve">Major events in the evolution of the SFRP </w:t>
      </w:r>
    </w:p>
    <w:p w14:paraId="49FBA711" w14:textId="7D7F8152" w:rsidR="004E58EE" w:rsidRDefault="004E58EE" w:rsidP="005768DA">
      <w:r w:rsidRPr="004E58EE">
        <w:rPr>
          <w:noProof/>
        </w:rPr>
        <w:drawing>
          <wp:inline distT="0" distB="0" distL="0" distR="0" wp14:anchorId="46D4C721" wp14:editId="375AB0AF">
            <wp:extent cx="5836285" cy="2569845"/>
            <wp:effectExtent l="0" t="0" r="0" b="0"/>
            <wp:docPr id="37" name="Picture 37" descr="Major events in the evolution of the SFR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Major events in the evolution of the SFRP&#10;"/>
                    <pic:cNvPicPr/>
                  </pic:nvPicPr>
                  <pic:blipFill>
                    <a:blip r:embed="rId18"/>
                    <a:stretch>
                      <a:fillRect/>
                    </a:stretch>
                  </pic:blipFill>
                  <pic:spPr>
                    <a:xfrm>
                      <a:off x="0" y="0"/>
                      <a:ext cx="5836285" cy="2569845"/>
                    </a:xfrm>
                    <a:prstGeom prst="rect">
                      <a:avLst/>
                    </a:prstGeom>
                  </pic:spPr>
                </pic:pic>
              </a:graphicData>
            </a:graphic>
          </wp:inline>
        </w:drawing>
      </w:r>
    </w:p>
    <w:p w14:paraId="2577AFBB" w14:textId="3C4E238A" w:rsidR="0048381B" w:rsidRDefault="00E85F00" w:rsidP="005C4220">
      <w:r>
        <w:t>A</w:t>
      </w:r>
      <w:r w:rsidR="00F30A6C">
        <w:t xml:space="preserve"> major manifestation of Australia’s response has been the SFRP.</w:t>
      </w:r>
      <w:r w:rsidR="005C4220">
        <w:t xml:space="preserve"> </w:t>
      </w:r>
      <w:r w:rsidR="00F30A6C">
        <w:t xml:space="preserve"> </w:t>
      </w:r>
      <w:r w:rsidR="008B62EE">
        <w:t>At initiation, the</w:t>
      </w:r>
      <w:r w:rsidR="00F30A6C">
        <w:t xml:space="preserve"> long-term goal of the SFRP </w:t>
      </w:r>
      <w:r w:rsidR="008B62EE">
        <w:t>was</w:t>
      </w:r>
      <w:r w:rsidR="00F30A6C">
        <w:t xml:space="preserve"> to enhance stability, enhance economic recovery and improve health security, through bolstering</w:t>
      </w:r>
      <w:r w:rsidR="00CF3E87">
        <w:t>, primarily,</w:t>
      </w:r>
      <w:r w:rsidR="00F30A6C">
        <w:t xml:space="preserve"> the ability of communities to meet their </w:t>
      </w:r>
      <w:r w:rsidR="00CF3E87">
        <w:t xml:space="preserve">own </w:t>
      </w:r>
      <w:r w:rsidR="00F30A6C">
        <w:t xml:space="preserve">food and water needs. </w:t>
      </w:r>
      <w:r w:rsidR="00CF3E87">
        <w:t>Effort i</w:t>
      </w:r>
      <w:r w:rsidR="008B62EE">
        <w:t>s</w:t>
      </w:r>
      <w:r w:rsidR="00CF3E87">
        <w:t xml:space="preserve"> also being directed</w:t>
      </w:r>
      <w:r w:rsidR="00F30A6C">
        <w:t xml:space="preserve"> to </w:t>
      </w:r>
      <w:r w:rsidR="00394C05">
        <w:t>enhance the</w:t>
      </w:r>
      <w:r w:rsidR="00F30A6C">
        <w:t xml:space="preserve"> capability of the Ward and District authorities</w:t>
      </w:r>
      <w:r w:rsidR="00CF3E87">
        <w:t xml:space="preserve"> to</w:t>
      </w:r>
      <w:r w:rsidR="00F30A6C">
        <w:t xml:space="preserve"> i) improve governance, ii) invest in food and water security and iii) respond to emergencies. </w:t>
      </w:r>
      <w:r w:rsidR="00BE38A8">
        <w:t>A results framework</w:t>
      </w:r>
      <w:r>
        <w:t xml:space="preserve"> </w:t>
      </w:r>
      <w:r w:rsidR="00BE38A8">
        <w:t xml:space="preserve">is provided in </w:t>
      </w:r>
      <w:r w:rsidR="00215FCA">
        <w:t>Annex 2.</w:t>
      </w:r>
      <w:r w:rsidR="0048381B">
        <w:t xml:space="preserve"> </w:t>
      </w:r>
    </w:p>
    <w:p w14:paraId="24F606C3" w14:textId="6C885B24" w:rsidR="00CF3E87" w:rsidRDefault="00CF3E87" w:rsidP="00D419E1">
      <w:r>
        <w:lastRenderedPageBreak/>
        <w:t>Figure 1 provides a timeline of major events during the init</w:t>
      </w:r>
      <w:r w:rsidR="00BE38A8">
        <w:t>i</w:t>
      </w:r>
      <w:r>
        <w:t>atio</w:t>
      </w:r>
      <w:r w:rsidR="00BE38A8">
        <w:t>n</w:t>
      </w:r>
      <w:r>
        <w:t xml:space="preserve">, </w:t>
      </w:r>
      <w:proofErr w:type="gramStart"/>
      <w:r>
        <w:t>formulation</w:t>
      </w:r>
      <w:proofErr w:type="gramEnd"/>
      <w:r>
        <w:t xml:space="preserve"> and implementation of the SFRP. The SFRP was </w:t>
      </w:r>
      <w:r w:rsidR="00BE38A8">
        <w:t>initiated under the Decentralisation and Citizen Participation</w:t>
      </w:r>
      <w:r w:rsidR="007479F4">
        <w:t xml:space="preserve"> (DCP)</w:t>
      </w:r>
      <w:r w:rsidR="00BE38A8">
        <w:t xml:space="preserve"> Partnership</w:t>
      </w:r>
      <w:r>
        <w:t>, during the second quarter of 2020. 2020 was characterised by unusual levels of uncertainty</w:t>
      </w:r>
      <w:r w:rsidR="003460E0">
        <w:t>,</w:t>
      </w:r>
      <w:r w:rsidR="00DB79BF">
        <w:t xml:space="preserve"> alongside movement restrictions</w:t>
      </w:r>
      <w:r w:rsidR="00543AB7">
        <w:t>,</w:t>
      </w:r>
      <w:r w:rsidR="00053909">
        <w:t xml:space="preserve"> due to the COVID-19 </w:t>
      </w:r>
      <w:r w:rsidR="00543AB7">
        <w:t>p</w:t>
      </w:r>
      <w:r w:rsidR="00053909">
        <w:t>andemic</w:t>
      </w:r>
      <w:r w:rsidR="00543AB7">
        <w:rPr>
          <w:rStyle w:val="FootnoteReference"/>
        </w:rPr>
        <w:footnoteReference w:id="7"/>
      </w:r>
      <w:r w:rsidR="00DB79BF">
        <w:t xml:space="preserve">. </w:t>
      </w:r>
      <w:r w:rsidR="00DF721B">
        <w:t>In responding, the</w:t>
      </w:r>
      <w:r>
        <w:t xml:space="preserve"> SFRP was rapidly designed </w:t>
      </w:r>
      <w:r w:rsidR="00BE38A8">
        <w:t xml:space="preserve">by </w:t>
      </w:r>
      <w:r>
        <w:t>a team of specialists</w:t>
      </w:r>
      <w:r w:rsidR="00DB79BF">
        <w:t>, working remotely</w:t>
      </w:r>
      <w:r w:rsidR="00BE38A8">
        <w:t xml:space="preserve">. The design </w:t>
      </w:r>
      <w:r w:rsidR="005C4220">
        <w:t xml:space="preserve">was informed by </w:t>
      </w:r>
      <w:r w:rsidR="00BE38A8">
        <w:t>remote consultations,</w:t>
      </w:r>
      <w:r w:rsidR="005C4220">
        <w:t xml:space="preserve"> secondary evidence,</w:t>
      </w:r>
      <w:r w:rsidR="00BE38A8">
        <w:t xml:space="preserve"> </w:t>
      </w:r>
      <w:r w:rsidR="002B5C07">
        <w:t xml:space="preserve">prior implementation experience </w:t>
      </w:r>
      <w:r w:rsidR="00BE38A8">
        <w:t>and a survey implemented by the Reef and Rainforest Research Centre (RRRC).</w:t>
      </w:r>
    </w:p>
    <w:p w14:paraId="7DF4E37F" w14:textId="0F2BCB31" w:rsidR="00A81E81" w:rsidRDefault="00A81E81" w:rsidP="00A81E81">
      <w:r>
        <w:t xml:space="preserve">The DCP was succeeded by the Australia Papua New Guinea </w:t>
      </w:r>
      <w:r w:rsidR="00572CBF">
        <w:t>sub–National</w:t>
      </w:r>
      <w:r>
        <w:t xml:space="preserve"> Partnership (APSP)</w:t>
      </w:r>
      <w:r w:rsidR="004C12BD">
        <w:t xml:space="preserve"> in the first quarter of 2022</w:t>
      </w:r>
      <w:r>
        <w:t xml:space="preserve">. </w:t>
      </w:r>
      <w:r w:rsidR="00543AB7">
        <w:t xml:space="preserve">The lessons from the SFRP and the recommendations </w:t>
      </w:r>
      <w:r w:rsidR="00A96776">
        <w:t>from</w:t>
      </w:r>
      <w:r w:rsidR="00543AB7">
        <w:t xml:space="preserve"> this review, are relevant to the </w:t>
      </w:r>
      <w:r>
        <w:t>end of program outcomes of the APSP</w:t>
      </w:r>
      <w:r w:rsidR="00543AB7">
        <w:t>. These define</w:t>
      </w:r>
      <w:r>
        <w:t>:</w:t>
      </w:r>
    </w:p>
    <w:p w14:paraId="36C87C1E" w14:textId="3F660240" w:rsidR="00A81E81" w:rsidRPr="0048381B" w:rsidRDefault="00A81E81" w:rsidP="00A81E81">
      <w:pPr>
        <w:pStyle w:val="ListParagraph"/>
        <w:numPr>
          <w:ilvl w:val="0"/>
          <w:numId w:val="9"/>
        </w:numPr>
        <w:spacing w:before="0" w:after="160" w:line="259" w:lineRule="auto"/>
        <w:contextualSpacing/>
        <w:jc w:val="left"/>
      </w:pPr>
      <w:r>
        <w:rPr>
          <w:i/>
        </w:rPr>
        <w:t>A d</w:t>
      </w:r>
      <w:r w:rsidRPr="0048381B">
        <w:rPr>
          <w:i/>
        </w:rPr>
        <w:t xml:space="preserve">evelopment outcome: </w:t>
      </w:r>
      <w:r w:rsidRPr="0048381B">
        <w:t>Efficient and effective programs</w:t>
      </w:r>
      <w:r>
        <w:t xml:space="preserve"> are</w:t>
      </w:r>
      <w:r w:rsidRPr="0048381B">
        <w:t xml:space="preserve"> delivered in selected provinces that achieve planned end of program outcomes; and,</w:t>
      </w:r>
    </w:p>
    <w:p w14:paraId="54EE0BA7" w14:textId="6E3CE160" w:rsidR="00A81E81" w:rsidRDefault="00A81E81" w:rsidP="00D419E1">
      <w:pPr>
        <w:pStyle w:val="ListParagraph"/>
        <w:numPr>
          <w:ilvl w:val="0"/>
          <w:numId w:val="9"/>
        </w:numPr>
        <w:spacing w:before="0" w:after="160" w:line="259" w:lineRule="auto"/>
        <w:contextualSpacing/>
        <w:jc w:val="left"/>
      </w:pPr>
      <w:r>
        <w:rPr>
          <w:i/>
        </w:rPr>
        <w:t>A p</w:t>
      </w:r>
      <w:r w:rsidRPr="0048381B">
        <w:rPr>
          <w:i/>
        </w:rPr>
        <w:t>artnership outcome:</w:t>
      </w:r>
      <w:r>
        <w:rPr>
          <w:i/>
        </w:rPr>
        <w:t xml:space="preserve"> </w:t>
      </w:r>
      <w:r w:rsidRPr="004C115F">
        <w:t>Australia</w:t>
      </w:r>
      <w:r>
        <w:t xml:space="preserve"> is</w:t>
      </w:r>
      <w:r w:rsidRPr="004C115F">
        <w:t xml:space="preserve"> recognised as a well-informed and constructive partner for investment and policy dialogue at subnational level</w:t>
      </w:r>
      <w:r w:rsidR="00AE0C79">
        <w:t>.</w:t>
      </w:r>
    </w:p>
    <w:p w14:paraId="1DA783FD" w14:textId="44D5ACD0" w:rsidR="001B426E" w:rsidRDefault="000B361D" w:rsidP="001B426E">
      <w:r>
        <w:t xml:space="preserve">The SFRP expands on, and substantially adapts, prior resilience programming specific to the </w:t>
      </w:r>
      <w:r w:rsidR="00264919">
        <w:t>SFD</w:t>
      </w:r>
      <w:r>
        <w:t>. Prior programming centred around the Building Resilience in Treaty Villages initiative</w:t>
      </w:r>
      <w:r w:rsidR="001746EA">
        <w:t>, operating since 2015 and</w:t>
      </w:r>
      <w:r>
        <w:t xml:space="preserve"> implemented by RRRC and </w:t>
      </w:r>
      <w:r w:rsidR="00F70A02">
        <w:t xml:space="preserve">the </w:t>
      </w:r>
      <w:r>
        <w:t>INLOC</w:t>
      </w:r>
      <w:r w:rsidR="00F70A02">
        <w:t xml:space="preserve"> Group</w:t>
      </w:r>
      <w:r w:rsidR="001746EA">
        <w:t>. This</w:t>
      </w:r>
      <w:r>
        <w:t xml:space="preserve"> </w:t>
      </w:r>
      <w:r w:rsidR="00EF67FD">
        <w:t xml:space="preserve">largely focussed </w:t>
      </w:r>
      <w:r>
        <w:t xml:space="preserve">on enhancing water, </w:t>
      </w:r>
      <w:proofErr w:type="gramStart"/>
      <w:r>
        <w:t>sanitation</w:t>
      </w:r>
      <w:proofErr w:type="gramEnd"/>
      <w:r>
        <w:t xml:space="preserve"> and h</w:t>
      </w:r>
      <w:r w:rsidR="00CE1367">
        <w:t>ygiene</w:t>
      </w:r>
      <w:r>
        <w:t xml:space="preserve"> (WASH) outcomes</w:t>
      </w:r>
      <w:r w:rsidR="001746EA">
        <w:t xml:space="preserve"> which have been </w:t>
      </w:r>
      <w:r w:rsidR="00681820">
        <w:t>progressed through</w:t>
      </w:r>
      <w:r>
        <w:t xml:space="preserve"> the engagement of community based and selected Rangers</w:t>
      </w:r>
      <w:r w:rsidR="001746EA">
        <w:rPr>
          <w:rStyle w:val="FootnoteReference"/>
        </w:rPr>
        <w:footnoteReference w:id="8"/>
      </w:r>
      <w:r>
        <w:t xml:space="preserve">. </w:t>
      </w:r>
    </w:p>
    <w:p w14:paraId="254C18F8" w14:textId="5B48C244" w:rsidR="004C12BD" w:rsidRDefault="00DB79BF" w:rsidP="00D419E1">
      <w:r>
        <w:t xml:space="preserve">The SFRP has expanded activities to all Wards in the </w:t>
      </w:r>
      <w:r w:rsidR="00264919">
        <w:t>SFD</w:t>
      </w:r>
      <w:r>
        <w:t xml:space="preserve">, and now includes </w:t>
      </w:r>
      <w:r w:rsidR="00C040BA">
        <w:t xml:space="preserve">support to </w:t>
      </w:r>
      <w:r>
        <w:t>non-treaty villages.</w:t>
      </w:r>
      <w:r w:rsidR="000F019D">
        <w:t xml:space="preserve"> </w:t>
      </w:r>
      <w:r w:rsidR="00CA4A0D">
        <w:t>Australian support has expanded from being delivered to</w:t>
      </w:r>
      <w:r w:rsidR="00EF67FD">
        <w:t xml:space="preserve"> the</w:t>
      </w:r>
      <w:r w:rsidR="000F019D" w:rsidRPr="00F764F4">
        <w:t xml:space="preserve"> </w:t>
      </w:r>
      <w:r w:rsidR="00F764F4" w:rsidRPr="00F764F4">
        <w:t>fourteen</w:t>
      </w:r>
      <w:r w:rsidR="000F019D" w:rsidRPr="00F764F4">
        <w:t xml:space="preserve"> </w:t>
      </w:r>
      <w:r w:rsidR="00EF67FD">
        <w:t>treaty villages</w:t>
      </w:r>
      <w:r w:rsidR="000F019D" w:rsidRPr="00F764F4">
        <w:t xml:space="preserve">, to supporting </w:t>
      </w:r>
      <w:r w:rsidR="00F764F4" w:rsidRPr="00F764F4">
        <w:t>fifty-two</w:t>
      </w:r>
      <w:r w:rsidR="000F019D" w:rsidRPr="00F764F4">
        <w:t xml:space="preserve"> villages.</w:t>
      </w:r>
      <w:r w:rsidR="00CF3E87">
        <w:t xml:space="preserve"> </w:t>
      </w:r>
    </w:p>
    <w:p w14:paraId="48FADE17" w14:textId="206BFA9C" w:rsidR="00A1382F" w:rsidRDefault="00BE38A8" w:rsidP="00D419E1">
      <w:r>
        <w:t xml:space="preserve">Under the SFRP, RRRC and INLOC now deliver the food, </w:t>
      </w:r>
      <w:proofErr w:type="gramStart"/>
      <w:r>
        <w:t>livelihoods</w:t>
      </w:r>
      <w:proofErr w:type="gramEnd"/>
      <w:r>
        <w:t xml:space="preserve"> and governance (FLAG) component while World Vision International (WVI) </w:t>
      </w:r>
      <w:r w:rsidR="00AE0C79">
        <w:t>deliver</w:t>
      </w:r>
      <w:r>
        <w:t xml:space="preserve"> the </w:t>
      </w:r>
      <w:r w:rsidR="00DB79BF">
        <w:t>WASH</w:t>
      </w:r>
      <w:r>
        <w:t xml:space="preserve"> component. </w:t>
      </w:r>
      <w:r w:rsidR="00AE0C79">
        <w:t>The</w:t>
      </w:r>
      <w:r w:rsidR="00DB79BF">
        <w:t xml:space="preserve"> implementation of a</w:t>
      </w:r>
      <w:r>
        <w:t xml:space="preserve"> fuel voucher scheme</w:t>
      </w:r>
      <w:r w:rsidR="00F70A02">
        <w:t>,</w:t>
      </w:r>
      <w:r>
        <w:t xml:space="preserve"> to </w:t>
      </w:r>
      <w:r w:rsidR="00DB79BF">
        <w:t xml:space="preserve">facilitate </w:t>
      </w:r>
      <w:r>
        <w:t>access</w:t>
      </w:r>
      <w:r w:rsidR="00DB79BF">
        <w:t xml:space="preserve"> to</w:t>
      </w:r>
      <w:r>
        <w:t xml:space="preserve"> health services, has been</w:t>
      </w:r>
      <w:r w:rsidR="004E58EE">
        <w:t xml:space="preserve"> </w:t>
      </w:r>
      <w:r w:rsidR="004665B1">
        <w:t>cancelled</w:t>
      </w:r>
      <w:r>
        <w:t>.</w:t>
      </w:r>
      <w:r w:rsidR="00EE48FB">
        <w:t xml:space="preserve"> The roles of key partners </w:t>
      </w:r>
      <w:r w:rsidR="00FD690E">
        <w:t>are</w:t>
      </w:r>
      <w:r w:rsidR="00EE48FB">
        <w:t xml:space="preserve"> shown in Table </w:t>
      </w:r>
      <w:r w:rsidR="00E85F00">
        <w:t>1</w:t>
      </w:r>
      <w:r w:rsidR="00EE48FB">
        <w:t xml:space="preserve">. </w:t>
      </w:r>
      <w:r>
        <w:t xml:space="preserve"> </w:t>
      </w:r>
    </w:p>
    <w:p w14:paraId="282FAF36" w14:textId="2AD15110" w:rsidR="00EE48FB" w:rsidRDefault="00EE48FB" w:rsidP="00EE48FB">
      <w:pPr>
        <w:pStyle w:val="FigureImageTablehead"/>
      </w:pPr>
      <w:r>
        <w:t xml:space="preserve">Table </w:t>
      </w:r>
      <w:r w:rsidR="00E85F00">
        <w:t>1</w:t>
      </w:r>
      <w:r>
        <w:t>: Key roles in the SFRP</w:t>
      </w:r>
    </w:p>
    <w:tbl>
      <w:tblPr>
        <w:tblStyle w:val="GridTable1Light-Accent1"/>
        <w:tblW w:w="9214" w:type="dxa"/>
        <w:tblInd w:w="108" w:type="dxa"/>
        <w:tblLayout w:type="fixed"/>
        <w:tblLook w:val="04A0" w:firstRow="1" w:lastRow="0" w:firstColumn="1" w:lastColumn="0" w:noHBand="0" w:noVBand="1"/>
      </w:tblPr>
      <w:tblGrid>
        <w:gridCol w:w="2694"/>
        <w:gridCol w:w="2268"/>
        <w:gridCol w:w="2126"/>
        <w:gridCol w:w="2126"/>
      </w:tblGrid>
      <w:tr w:rsidR="00384274" w:rsidRPr="00384274" w14:paraId="54FFAE1C" w14:textId="77777777" w:rsidTr="007271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45A7E1" w:themeFill="accent1"/>
          </w:tcPr>
          <w:p w14:paraId="7303FDDE" w14:textId="1F785904" w:rsidR="00384274" w:rsidRPr="008B09C0" w:rsidRDefault="00E23325" w:rsidP="00C316E4">
            <w:pPr>
              <w:pStyle w:val="BodyText"/>
              <w:jc w:val="center"/>
              <w:rPr>
                <w:b w:val="0"/>
                <w:bCs w:val="0"/>
                <w:color w:val="FFFFFF" w:themeColor="background1"/>
                <w:sz w:val="20"/>
                <w:szCs w:val="20"/>
              </w:rPr>
            </w:pPr>
            <w:r w:rsidRPr="008B09C0">
              <w:rPr>
                <w:rFonts w:asciiTheme="minorHAnsi" w:hAnsiTheme="minorHAnsi" w:cstheme="minorHAnsi"/>
                <w:color w:val="FFFFFF" w:themeColor="background1"/>
                <w:sz w:val="20"/>
                <w:szCs w:val="20"/>
                <w:lang w:val="en-US"/>
              </w:rPr>
              <w:t>APSP/DCP (Abt Associates)</w:t>
            </w:r>
          </w:p>
        </w:tc>
        <w:tc>
          <w:tcPr>
            <w:tcW w:w="2268" w:type="dxa"/>
            <w:shd w:val="clear" w:color="auto" w:fill="45A7E1" w:themeFill="accent1"/>
          </w:tcPr>
          <w:p w14:paraId="7B2F2CB9" w14:textId="13850DBD" w:rsidR="00384274" w:rsidRPr="008B09C0" w:rsidRDefault="00384274" w:rsidP="00C316E4">
            <w:pPr>
              <w:pStyle w:val="BodyText"/>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szCs w:val="20"/>
              </w:rPr>
            </w:pPr>
            <w:r w:rsidRPr="008B09C0">
              <w:rPr>
                <w:rFonts w:asciiTheme="minorHAnsi" w:hAnsiTheme="minorHAnsi" w:cstheme="minorHAnsi"/>
                <w:color w:val="FFFFFF" w:themeColor="background1"/>
                <w:sz w:val="20"/>
                <w:szCs w:val="20"/>
                <w:lang w:val="en-US"/>
              </w:rPr>
              <w:t>RRRC</w:t>
            </w:r>
            <w:r w:rsidR="000A4E07" w:rsidRPr="008B09C0">
              <w:rPr>
                <w:rFonts w:asciiTheme="minorHAnsi" w:hAnsiTheme="minorHAnsi" w:cstheme="minorHAnsi"/>
                <w:color w:val="FFFFFF" w:themeColor="background1"/>
                <w:sz w:val="20"/>
                <w:szCs w:val="20"/>
                <w:lang w:val="en-US"/>
              </w:rPr>
              <w:t xml:space="preserve"> and INLOC</w:t>
            </w:r>
          </w:p>
        </w:tc>
        <w:tc>
          <w:tcPr>
            <w:tcW w:w="2126" w:type="dxa"/>
            <w:shd w:val="clear" w:color="auto" w:fill="45A7E1" w:themeFill="accent1"/>
          </w:tcPr>
          <w:p w14:paraId="5BD3B7CE" w14:textId="2995A207" w:rsidR="00384274" w:rsidRPr="008B09C0" w:rsidRDefault="00E23325" w:rsidP="00C316E4">
            <w:pPr>
              <w:pStyle w:val="BodyText"/>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szCs w:val="20"/>
              </w:rPr>
            </w:pPr>
            <w:r w:rsidRPr="008B09C0">
              <w:rPr>
                <w:rFonts w:asciiTheme="minorHAnsi" w:hAnsiTheme="minorHAnsi" w:cstheme="minorHAnsi"/>
                <w:color w:val="FFFFFF" w:themeColor="background1"/>
                <w:sz w:val="20"/>
                <w:szCs w:val="20"/>
                <w:lang w:val="en-US"/>
              </w:rPr>
              <w:t>WVI</w:t>
            </w:r>
          </w:p>
        </w:tc>
        <w:tc>
          <w:tcPr>
            <w:tcW w:w="2126" w:type="dxa"/>
            <w:shd w:val="clear" w:color="auto" w:fill="45A7E1" w:themeFill="accent1"/>
          </w:tcPr>
          <w:p w14:paraId="643F4AC0" w14:textId="6C75BF2E" w:rsidR="00384274" w:rsidRPr="008B09C0" w:rsidRDefault="00384274" w:rsidP="00C316E4">
            <w:pPr>
              <w:pStyle w:val="BodyText"/>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szCs w:val="20"/>
              </w:rPr>
            </w:pPr>
            <w:r w:rsidRPr="008B09C0">
              <w:rPr>
                <w:rFonts w:asciiTheme="minorHAnsi" w:hAnsiTheme="minorHAnsi" w:cstheme="minorHAnsi"/>
                <w:color w:val="FFFFFF" w:themeColor="background1"/>
                <w:sz w:val="20"/>
                <w:szCs w:val="20"/>
                <w:lang w:val="en-US"/>
              </w:rPr>
              <w:t>Ship Management Company</w:t>
            </w:r>
          </w:p>
        </w:tc>
      </w:tr>
      <w:tr w:rsidR="00384274" w:rsidRPr="00384274" w14:paraId="197B6315" w14:textId="77777777" w:rsidTr="00727197">
        <w:tc>
          <w:tcPr>
            <w:cnfStyle w:val="001000000000" w:firstRow="0" w:lastRow="0" w:firstColumn="1" w:lastColumn="0" w:oddVBand="0" w:evenVBand="0" w:oddHBand="0" w:evenHBand="0" w:firstRowFirstColumn="0" w:firstRowLastColumn="0" w:lastRowFirstColumn="0" w:lastRowLastColumn="0"/>
            <w:tcW w:w="2694" w:type="dxa"/>
          </w:tcPr>
          <w:p w14:paraId="53CD6B64" w14:textId="77777777" w:rsidR="00384274" w:rsidRPr="005B7596" w:rsidRDefault="00384274" w:rsidP="0011195E">
            <w:pPr>
              <w:pStyle w:val="ListParagraph"/>
              <w:numPr>
                <w:ilvl w:val="0"/>
                <w:numId w:val="5"/>
              </w:numPr>
              <w:spacing w:before="0" w:after="0" w:line="240" w:lineRule="auto"/>
              <w:ind w:left="173" w:hanging="142"/>
              <w:contextualSpacing/>
              <w:jc w:val="left"/>
              <w:rPr>
                <w:b w:val="0"/>
                <w:bCs w:val="0"/>
                <w:sz w:val="16"/>
                <w:szCs w:val="16"/>
              </w:rPr>
            </w:pPr>
            <w:r w:rsidRPr="005B7596">
              <w:rPr>
                <w:b w:val="0"/>
                <w:bCs w:val="0"/>
                <w:sz w:val="16"/>
                <w:szCs w:val="16"/>
              </w:rPr>
              <w:t xml:space="preserve">Overall management oversight including grant management of RRRC and World Vision International </w:t>
            </w:r>
          </w:p>
          <w:p w14:paraId="0A9DBA91" w14:textId="77777777" w:rsidR="00384274" w:rsidRPr="005B7596" w:rsidRDefault="00384274" w:rsidP="0011195E">
            <w:pPr>
              <w:pStyle w:val="ListParagraph"/>
              <w:numPr>
                <w:ilvl w:val="0"/>
                <w:numId w:val="5"/>
              </w:numPr>
              <w:spacing w:before="0" w:after="0" w:line="240" w:lineRule="auto"/>
              <w:ind w:left="173" w:hanging="142"/>
              <w:contextualSpacing/>
              <w:jc w:val="left"/>
              <w:rPr>
                <w:b w:val="0"/>
                <w:bCs w:val="0"/>
                <w:sz w:val="16"/>
                <w:szCs w:val="16"/>
              </w:rPr>
            </w:pPr>
            <w:r w:rsidRPr="005B7596">
              <w:rPr>
                <w:b w:val="0"/>
                <w:bCs w:val="0"/>
                <w:sz w:val="16"/>
                <w:szCs w:val="16"/>
              </w:rPr>
              <w:t>Lead on MEL and Gender</w:t>
            </w:r>
          </w:p>
          <w:p w14:paraId="600AFAFB" w14:textId="77777777" w:rsidR="00384274" w:rsidRPr="005B7596" w:rsidRDefault="00384274" w:rsidP="0011195E">
            <w:pPr>
              <w:pStyle w:val="ListParagraph"/>
              <w:numPr>
                <w:ilvl w:val="0"/>
                <w:numId w:val="5"/>
              </w:numPr>
              <w:spacing w:before="0" w:after="0" w:line="240" w:lineRule="auto"/>
              <w:ind w:left="173" w:hanging="142"/>
              <w:contextualSpacing/>
              <w:jc w:val="left"/>
              <w:rPr>
                <w:b w:val="0"/>
                <w:bCs w:val="0"/>
                <w:sz w:val="16"/>
                <w:szCs w:val="16"/>
              </w:rPr>
            </w:pPr>
            <w:r w:rsidRPr="005B7596">
              <w:rPr>
                <w:b w:val="0"/>
                <w:bCs w:val="0"/>
                <w:sz w:val="16"/>
                <w:szCs w:val="16"/>
              </w:rPr>
              <w:t>Lead Implementing Partners Working Group</w:t>
            </w:r>
          </w:p>
          <w:p w14:paraId="204B52C4" w14:textId="77777777" w:rsidR="00384274" w:rsidRPr="005B7596" w:rsidRDefault="00384274" w:rsidP="0011195E">
            <w:pPr>
              <w:pStyle w:val="ListParagraph"/>
              <w:numPr>
                <w:ilvl w:val="0"/>
                <w:numId w:val="5"/>
              </w:numPr>
              <w:spacing w:before="0" w:after="0" w:line="240" w:lineRule="auto"/>
              <w:ind w:left="173" w:hanging="142"/>
              <w:contextualSpacing/>
              <w:jc w:val="left"/>
              <w:rPr>
                <w:b w:val="0"/>
                <w:bCs w:val="0"/>
                <w:sz w:val="16"/>
                <w:szCs w:val="16"/>
              </w:rPr>
            </w:pPr>
            <w:r w:rsidRPr="005B7596">
              <w:rPr>
                <w:b w:val="0"/>
                <w:bCs w:val="0"/>
                <w:sz w:val="16"/>
                <w:szCs w:val="16"/>
              </w:rPr>
              <w:t>Specialist Technical inputs</w:t>
            </w:r>
          </w:p>
          <w:p w14:paraId="50653F08" w14:textId="024BC52E" w:rsidR="00384274" w:rsidRPr="00E85F00" w:rsidRDefault="00384274" w:rsidP="0011195E">
            <w:pPr>
              <w:pStyle w:val="ListParagraph"/>
              <w:numPr>
                <w:ilvl w:val="0"/>
                <w:numId w:val="5"/>
              </w:numPr>
              <w:spacing w:before="0" w:after="0" w:line="240" w:lineRule="auto"/>
              <w:ind w:left="173" w:hanging="142"/>
              <w:contextualSpacing/>
              <w:jc w:val="left"/>
              <w:rPr>
                <w:sz w:val="16"/>
                <w:szCs w:val="16"/>
              </w:rPr>
            </w:pPr>
            <w:r w:rsidRPr="005B7596">
              <w:rPr>
                <w:b w:val="0"/>
                <w:bCs w:val="0"/>
                <w:sz w:val="16"/>
                <w:szCs w:val="16"/>
              </w:rPr>
              <w:t>Freight Transport</w:t>
            </w:r>
            <w:r w:rsidRPr="00E85F00">
              <w:rPr>
                <w:sz w:val="16"/>
                <w:szCs w:val="16"/>
              </w:rPr>
              <w:t xml:space="preserve"> </w:t>
            </w:r>
          </w:p>
        </w:tc>
        <w:tc>
          <w:tcPr>
            <w:tcW w:w="2268" w:type="dxa"/>
          </w:tcPr>
          <w:p w14:paraId="6D651313" w14:textId="77777777" w:rsidR="00384274" w:rsidRPr="00E85F00" w:rsidRDefault="00384274" w:rsidP="0011195E">
            <w:pPr>
              <w:pStyle w:val="ListParagraph"/>
              <w:numPr>
                <w:ilvl w:val="0"/>
                <w:numId w:val="5"/>
              </w:numPr>
              <w:spacing w:before="0" w:after="0" w:line="240" w:lineRule="auto"/>
              <w:ind w:left="173" w:hanging="142"/>
              <w:contextualSpacing/>
              <w:jc w:val="left"/>
              <w:cnfStyle w:val="000000000000" w:firstRow="0" w:lastRow="0" w:firstColumn="0" w:lastColumn="0" w:oddVBand="0" w:evenVBand="0" w:oddHBand="0" w:evenHBand="0" w:firstRowFirstColumn="0" w:firstRowLastColumn="0" w:lastRowFirstColumn="0" w:lastRowLastColumn="0"/>
              <w:rPr>
                <w:sz w:val="16"/>
                <w:szCs w:val="16"/>
              </w:rPr>
            </w:pPr>
            <w:r w:rsidRPr="00E85F00">
              <w:rPr>
                <w:sz w:val="16"/>
                <w:szCs w:val="16"/>
              </w:rPr>
              <w:t>Implement monthly food and water security assessment</w:t>
            </w:r>
          </w:p>
          <w:p w14:paraId="5999B491" w14:textId="1884C362" w:rsidR="00384274" w:rsidRPr="00E85F00" w:rsidRDefault="00384274" w:rsidP="0011195E">
            <w:pPr>
              <w:pStyle w:val="ListParagraph"/>
              <w:numPr>
                <w:ilvl w:val="0"/>
                <w:numId w:val="5"/>
              </w:numPr>
              <w:spacing w:before="0" w:after="0" w:line="240" w:lineRule="auto"/>
              <w:ind w:left="173" w:hanging="142"/>
              <w:contextualSpacing/>
              <w:jc w:val="left"/>
              <w:cnfStyle w:val="000000000000" w:firstRow="0" w:lastRow="0" w:firstColumn="0" w:lastColumn="0" w:oddVBand="0" w:evenVBand="0" w:oddHBand="0" w:evenHBand="0" w:firstRowFirstColumn="0" w:firstRowLastColumn="0" w:lastRowFirstColumn="0" w:lastRowLastColumn="0"/>
              <w:rPr>
                <w:sz w:val="16"/>
                <w:szCs w:val="16"/>
              </w:rPr>
            </w:pPr>
            <w:r w:rsidRPr="00E85F00">
              <w:rPr>
                <w:sz w:val="16"/>
                <w:szCs w:val="16"/>
              </w:rPr>
              <w:t>Lead food security and livelihoods component</w:t>
            </w:r>
          </w:p>
          <w:p w14:paraId="572FE481" w14:textId="78B0F178" w:rsidR="00384274" w:rsidRPr="00E85F00" w:rsidRDefault="00384274" w:rsidP="0011195E">
            <w:pPr>
              <w:pStyle w:val="ListParagraph"/>
              <w:numPr>
                <w:ilvl w:val="0"/>
                <w:numId w:val="5"/>
              </w:numPr>
              <w:spacing w:before="0" w:after="0" w:line="240" w:lineRule="auto"/>
              <w:ind w:left="173" w:hanging="142"/>
              <w:contextualSpacing/>
              <w:jc w:val="left"/>
              <w:cnfStyle w:val="000000000000" w:firstRow="0" w:lastRow="0" w:firstColumn="0" w:lastColumn="0" w:oddVBand="0" w:evenVBand="0" w:oddHBand="0" w:evenHBand="0" w:firstRowFirstColumn="0" w:firstRowLastColumn="0" w:lastRowFirstColumn="0" w:lastRowLastColumn="0"/>
              <w:rPr>
                <w:sz w:val="16"/>
                <w:szCs w:val="16"/>
              </w:rPr>
            </w:pPr>
            <w:r w:rsidRPr="00E85F00">
              <w:rPr>
                <w:sz w:val="16"/>
                <w:szCs w:val="16"/>
              </w:rPr>
              <w:t xml:space="preserve">Implement Ranger program </w:t>
            </w:r>
          </w:p>
        </w:tc>
        <w:tc>
          <w:tcPr>
            <w:tcW w:w="2126" w:type="dxa"/>
          </w:tcPr>
          <w:p w14:paraId="372C7DC8" w14:textId="452F31D3" w:rsidR="00384274" w:rsidRPr="00E85F00" w:rsidRDefault="00384274" w:rsidP="0011195E">
            <w:pPr>
              <w:pStyle w:val="ListParagraph"/>
              <w:numPr>
                <w:ilvl w:val="0"/>
                <w:numId w:val="5"/>
              </w:numPr>
              <w:spacing w:before="0" w:after="0" w:line="240" w:lineRule="auto"/>
              <w:ind w:left="173" w:hanging="142"/>
              <w:contextualSpacing/>
              <w:jc w:val="left"/>
              <w:cnfStyle w:val="000000000000" w:firstRow="0" w:lastRow="0" w:firstColumn="0" w:lastColumn="0" w:oddVBand="0" w:evenVBand="0" w:oddHBand="0" w:evenHBand="0" w:firstRowFirstColumn="0" w:firstRowLastColumn="0" w:lastRowFirstColumn="0" w:lastRowLastColumn="0"/>
              <w:rPr>
                <w:sz w:val="16"/>
                <w:szCs w:val="16"/>
              </w:rPr>
            </w:pPr>
            <w:r w:rsidRPr="00E85F00">
              <w:rPr>
                <w:sz w:val="16"/>
                <w:szCs w:val="16"/>
              </w:rPr>
              <w:t xml:space="preserve">Lead WASH component </w:t>
            </w:r>
          </w:p>
          <w:p w14:paraId="635E1775" w14:textId="5F5BB337" w:rsidR="00384274" w:rsidRPr="00E85F00" w:rsidRDefault="00384274" w:rsidP="0011195E">
            <w:pPr>
              <w:pStyle w:val="ListParagraph"/>
              <w:numPr>
                <w:ilvl w:val="0"/>
                <w:numId w:val="5"/>
              </w:numPr>
              <w:spacing w:before="0" w:after="0" w:line="240" w:lineRule="auto"/>
              <w:ind w:left="173" w:hanging="142"/>
              <w:contextualSpacing/>
              <w:jc w:val="left"/>
              <w:cnfStyle w:val="000000000000" w:firstRow="0" w:lastRow="0" w:firstColumn="0" w:lastColumn="0" w:oddVBand="0" w:evenVBand="0" w:oddHBand="0" w:evenHBand="0" w:firstRowFirstColumn="0" w:firstRowLastColumn="0" w:lastRowFirstColumn="0" w:lastRowLastColumn="0"/>
              <w:rPr>
                <w:sz w:val="16"/>
                <w:szCs w:val="16"/>
              </w:rPr>
            </w:pPr>
            <w:r w:rsidRPr="00E85F00">
              <w:rPr>
                <w:sz w:val="16"/>
                <w:szCs w:val="16"/>
              </w:rPr>
              <w:t>Implement Fuel Voucher Trial (d</w:t>
            </w:r>
            <w:r w:rsidR="00572CBF">
              <w:rPr>
                <w:sz w:val="16"/>
                <w:szCs w:val="16"/>
              </w:rPr>
              <w:t>elayed</w:t>
            </w:r>
            <w:r w:rsidRPr="00E85F00">
              <w:rPr>
                <w:sz w:val="16"/>
                <w:szCs w:val="16"/>
              </w:rPr>
              <w:t>)</w:t>
            </w:r>
          </w:p>
        </w:tc>
        <w:tc>
          <w:tcPr>
            <w:tcW w:w="2126" w:type="dxa"/>
          </w:tcPr>
          <w:p w14:paraId="2BB6C13E" w14:textId="428FC31E" w:rsidR="00384274" w:rsidRPr="00E85F00" w:rsidRDefault="00384274" w:rsidP="00EE48FB">
            <w:pPr>
              <w:pStyle w:val="BodyText"/>
              <w:cnfStyle w:val="000000000000" w:firstRow="0" w:lastRow="0" w:firstColumn="0" w:lastColumn="0" w:oddVBand="0" w:evenVBand="0" w:oddHBand="0" w:evenHBand="0" w:firstRowFirstColumn="0" w:firstRowLastColumn="0" w:lastRowFirstColumn="0" w:lastRowLastColumn="0"/>
              <w:rPr>
                <w:sz w:val="16"/>
                <w:szCs w:val="16"/>
              </w:rPr>
            </w:pPr>
            <w:r w:rsidRPr="00E85F00">
              <w:rPr>
                <w:rFonts w:asciiTheme="minorHAnsi" w:hAnsiTheme="minorHAnsi" w:cstheme="minorHAnsi"/>
                <w:sz w:val="16"/>
                <w:szCs w:val="16"/>
              </w:rPr>
              <w:t>Supports freight needs to deliver program of works for food and water security.</w:t>
            </w:r>
          </w:p>
        </w:tc>
      </w:tr>
      <w:tr w:rsidR="00384274" w:rsidRPr="00384274" w14:paraId="45AAF450" w14:textId="77777777" w:rsidTr="00727197">
        <w:tc>
          <w:tcPr>
            <w:cnfStyle w:val="001000000000" w:firstRow="0" w:lastRow="0" w:firstColumn="1" w:lastColumn="0" w:oddVBand="0" w:evenVBand="0" w:oddHBand="0" w:evenHBand="0" w:firstRowFirstColumn="0" w:firstRowLastColumn="0" w:lastRowFirstColumn="0" w:lastRowLastColumn="0"/>
            <w:tcW w:w="2694" w:type="dxa"/>
          </w:tcPr>
          <w:p w14:paraId="203D39C8" w14:textId="77777777" w:rsidR="00384274" w:rsidRPr="00E23325" w:rsidRDefault="00384274" w:rsidP="00EE48FB">
            <w:pPr>
              <w:rPr>
                <w:b w:val="0"/>
                <w:bCs w:val="0"/>
                <w:sz w:val="16"/>
                <w:szCs w:val="16"/>
                <w:lang w:val="en-US"/>
              </w:rPr>
            </w:pPr>
            <w:r w:rsidRPr="00E23325">
              <w:rPr>
                <w:sz w:val="16"/>
                <w:szCs w:val="16"/>
                <w:lang w:val="en-US"/>
              </w:rPr>
              <w:t>FY20/21: AUD 1,120,216</w:t>
            </w:r>
          </w:p>
          <w:p w14:paraId="750EB147" w14:textId="67DE6600" w:rsidR="00384274" w:rsidRPr="00E23325" w:rsidRDefault="00384274" w:rsidP="00EE48FB">
            <w:pPr>
              <w:pStyle w:val="BodyText"/>
              <w:rPr>
                <w:sz w:val="16"/>
                <w:szCs w:val="16"/>
              </w:rPr>
            </w:pPr>
            <w:r w:rsidRPr="00E23325">
              <w:rPr>
                <w:rFonts w:asciiTheme="minorHAnsi" w:hAnsiTheme="minorHAnsi" w:cstheme="minorHAnsi"/>
                <w:sz w:val="16"/>
                <w:szCs w:val="16"/>
                <w:lang w:val="en-US"/>
              </w:rPr>
              <w:t>FY21/22: AUD 1,438,349</w:t>
            </w:r>
          </w:p>
        </w:tc>
        <w:tc>
          <w:tcPr>
            <w:tcW w:w="2268" w:type="dxa"/>
          </w:tcPr>
          <w:p w14:paraId="59FBFE9E" w14:textId="77777777" w:rsidR="00384274" w:rsidRPr="00E23325" w:rsidRDefault="00384274" w:rsidP="00EE48FB">
            <w:pPr>
              <w:cnfStyle w:val="000000000000" w:firstRow="0" w:lastRow="0" w:firstColumn="0" w:lastColumn="0" w:oddVBand="0" w:evenVBand="0" w:oddHBand="0" w:evenHBand="0" w:firstRowFirstColumn="0" w:firstRowLastColumn="0" w:lastRowFirstColumn="0" w:lastRowLastColumn="0"/>
              <w:rPr>
                <w:b/>
                <w:bCs/>
                <w:sz w:val="16"/>
                <w:szCs w:val="16"/>
                <w:lang w:val="en-US"/>
              </w:rPr>
            </w:pPr>
            <w:r w:rsidRPr="00E23325">
              <w:rPr>
                <w:b/>
                <w:bCs/>
                <w:sz w:val="16"/>
                <w:szCs w:val="16"/>
                <w:lang w:val="en-US"/>
              </w:rPr>
              <w:t>FY20/21: AUD 1,845,500</w:t>
            </w:r>
          </w:p>
          <w:p w14:paraId="4FB3F8DD" w14:textId="3363CD77" w:rsidR="00384274" w:rsidRPr="00E23325" w:rsidRDefault="00384274" w:rsidP="00EE48FB">
            <w:pPr>
              <w:pStyle w:val="BodyText"/>
              <w:cnfStyle w:val="000000000000" w:firstRow="0" w:lastRow="0" w:firstColumn="0" w:lastColumn="0" w:oddVBand="0" w:evenVBand="0" w:oddHBand="0" w:evenHBand="0" w:firstRowFirstColumn="0" w:firstRowLastColumn="0" w:lastRowFirstColumn="0" w:lastRowLastColumn="0"/>
              <w:rPr>
                <w:sz w:val="16"/>
                <w:szCs w:val="16"/>
              </w:rPr>
            </w:pPr>
            <w:r w:rsidRPr="00E23325">
              <w:rPr>
                <w:rFonts w:asciiTheme="minorHAnsi" w:hAnsiTheme="minorHAnsi" w:cstheme="minorHAnsi"/>
                <w:b/>
                <w:sz w:val="16"/>
                <w:szCs w:val="16"/>
                <w:lang w:val="en-US"/>
              </w:rPr>
              <w:t>FY21/22: AUD 4,270,000</w:t>
            </w:r>
          </w:p>
        </w:tc>
        <w:tc>
          <w:tcPr>
            <w:tcW w:w="2126" w:type="dxa"/>
          </w:tcPr>
          <w:p w14:paraId="16CE0E72" w14:textId="77777777" w:rsidR="00384274" w:rsidRPr="00E23325" w:rsidRDefault="00384274" w:rsidP="00EE48FB">
            <w:pPr>
              <w:cnfStyle w:val="000000000000" w:firstRow="0" w:lastRow="0" w:firstColumn="0" w:lastColumn="0" w:oddVBand="0" w:evenVBand="0" w:oddHBand="0" w:evenHBand="0" w:firstRowFirstColumn="0" w:firstRowLastColumn="0" w:lastRowFirstColumn="0" w:lastRowLastColumn="0"/>
              <w:rPr>
                <w:b/>
                <w:bCs/>
                <w:sz w:val="16"/>
                <w:szCs w:val="16"/>
                <w:lang w:val="en-US"/>
              </w:rPr>
            </w:pPr>
            <w:r w:rsidRPr="00E23325">
              <w:rPr>
                <w:b/>
                <w:bCs/>
                <w:sz w:val="16"/>
                <w:szCs w:val="16"/>
                <w:lang w:val="en-US"/>
              </w:rPr>
              <w:t>FY20/21: AUD 1,221,182</w:t>
            </w:r>
          </w:p>
          <w:p w14:paraId="465F0ABB" w14:textId="7A0CF870" w:rsidR="00384274" w:rsidRPr="00E23325" w:rsidRDefault="00384274" w:rsidP="00EE48FB">
            <w:pPr>
              <w:pStyle w:val="BodyText"/>
              <w:cnfStyle w:val="000000000000" w:firstRow="0" w:lastRow="0" w:firstColumn="0" w:lastColumn="0" w:oddVBand="0" w:evenVBand="0" w:oddHBand="0" w:evenHBand="0" w:firstRowFirstColumn="0" w:firstRowLastColumn="0" w:lastRowFirstColumn="0" w:lastRowLastColumn="0"/>
              <w:rPr>
                <w:sz w:val="16"/>
                <w:szCs w:val="16"/>
              </w:rPr>
            </w:pPr>
            <w:r w:rsidRPr="00E23325">
              <w:rPr>
                <w:rFonts w:asciiTheme="minorHAnsi" w:hAnsiTheme="minorHAnsi" w:cstheme="minorHAnsi"/>
                <w:b/>
                <w:sz w:val="16"/>
                <w:szCs w:val="16"/>
                <w:lang w:val="en-US"/>
              </w:rPr>
              <w:t>FY21/22: AUD 2,415,494</w:t>
            </w:r>
          </w:p>
        </w:tc>
        <w:tc>
          <w:tcPr>
            <w:tcW w:w="2126" w:type="dxa"/>
          </w:tcPr>
          <w:p w14:paraId="5EA3D666" w14:textId="77777777" w:rsidR="00384274" w:rsidRPr="00E23325" w:rsidRDefault="00384274" w:rsidP="00EE48FB">
            <w:pPr>
              <w:cnfStyle w:val="000000000000" w:firstRow="0" w:lastRow="0" w:firstColumn="0" w:lastColumn="0" w:oddVBand="0" w:evenVBand="0" w:oddHBand="0" w:evenHBand="0" w:firstRowFirstColumn="0" w:firstRowLastColumn="0" w:lastRowFirstColumn="0" w:lastRowLastColumn="0"/>
              <w:rPr>
                <w:b/>
                <w:bCs/>
                <w:sz w:val="16"/>
                <w:szCs w:val="16"/>
                <w:lang w:val="en-US"/>
              </w:rPr>
            </w:pPr>
            <w:r w:rsidRPr="00E23325">
              <w:rPr>
                <w:b/>
                <w:bCs/>
                <w:sz w:val="16"/>
                <w:szCs w:val="16"/>
                <w:lang w:val="en-US"/>
              </w:rPr>
              <w:t>FY20/21: AUD 1,087,420</w:t>
            </w:r>
          </w:p>
          <w:p w14:paraId="472B769C" w14:textId="4E64EEAE" w:rsidR="00384274" w:rsidRPr="00E23325" w:rsidRDefault="00384274" w:rsidP="00EE48FB">
            <w:pPr>
              <w:pStyle w:val="BodyText"/>
              <w:cnfStyle w:val="000000000000" w:firstRow="0" w:lastRow="0" w:firstColumn="0" w:lastColumn="0" w:oddVBand="0" w:evenVBand="0" w:oddHBand="0" w:evenHBand="0" w:firstRowFirstColumn="0" w:firstRowLastColumn="0" w:lastRowFirstColumn="0" w:lastRowLastColumn="0"/>
              <w:rPr>
                <w:sz w:val="16"/>
                <w:szCs w:val="16"/>
              </w:rPr>
            </w:pPr>
            <w:r w:rsidRPr="00E23325">
              <w:rPr>
                <w:rFonts w:asciiTheme="minorHAnsi" w:hAnsiTheme="minorHAnsi" w:cstheme="minorHAnsi"/>
                <w:b/>
                <w:sz w:val="16"/>
                <w:szCs w:val="16"/>
                <w:lang w:val="en-US"/>
              </w:rPr>
              <w:t>FY21/22: AUD 1,793,630</w:t>
            </w:r>
          </w:p>
        </w:tc>
      </w:tr>
    </w:tbl>
    <w:p w14:paraId="3688696B" w14:textId="3F8FD19A" w:rsidR="00CF3E87" w:rsidRDefault="42832B5C" w:rsidP="00D419E1">
      <w:r>
        <w:lastRenderedPageBreak/>
        <w:t xml:space="preserve">A shipping charter agreement has been entered into under the SFRP. This allows for the transportation of goods, primarily destined for use in Australian development projects, from Port Moresby to Daru or </w:t>
      </w:r>
      <w:proofErr w:type="spellStart"/>
      <w:r>
        <w:t>Mabudawan</w:t>
      </w:r>
      <w:proofErr w:type="spellEnd"/>
      <w:r>
        <w:t xml:space="preserve">. The charter agreement allows for other stakeholders </w:t>
      </w:r>
      <w:r w:rsidR="00DA0E3D">
        <w:t xml:space="preserve">to the SFRP, and businesses, </w:t>
      </w:r>
      <w:r>
        <w:t xml:space="preserve">to utilise the service, at above market rates. This pricing has been determined, so that the service does not undermine existing </w:t>
      </w:r>
      <w:r w:rsidR="001746EA">
        <w:t xml:space="preserve">commercial </w:t>
      </w:r>
      <w:r>
        <w:t>services.</w:t>
      </w:r>
    </w:p>
    <w:p w14:paraId="24D8A233" w14:textId="7ED0AA92" w:rsidR="009B6F4E" w:rsidRDefault="00D419E1" w:rsidP="00D419E1">
      <w:pPr>
        <w:pStyle w:val="Heading1"/>
      </w:pPr>
      <w:bookmarkStart w:id="18" w:name="_Toc108259986"/>
      <w:bookmarkEnd w:id="13"/>
      <w:bookmarkEnd w:id="14"/>
      <w:r>
        <w:lastRenderedPageBreak/>
        <w:t>2. Effectiveness</w:t>
      </w:r>
      <w:bookmarkEnd w:id="18"/>
    </w:p>
    <w:p w14:paraId="262C9BFA" w14:textId="7A3B9BB9" w:rsidR="00E348C9" w:rsidRPr="00E348C9" w:rsidRDefault="00E348C9" w:rsidP="00E348C9">
      <w:pPr>
        <w:pStyle w:val="Heading2"/>
      </w:pPr>
      <w:bookmarkStart w:id="19" w:name="_Toc108259987"/>
      <w:r>
        <w:t>2.1 The theory of change and its assumptions</w:t>
      </w:r>
      <w:bookmarkEnd w:id="19"/>
    </w:p>
    <w:p w14:paraId="026A4EA7" w14:textId="6D59AA9D" w:rsidR="00A840EB" w:rsidRDefault="00CE1503" w:rsidP="00D419E1">
      <w:r>
        <w:t>The</w:t>
      </w:r>
      <w:r w:rsidR="00A840EB">
        <w:t xml:space="preserve"> </w:t>
      </w:r>
      <w:r w:rsidR="00FB2407" w:rsidRPr="00B55C4F">
        <w:t>minimum sufficient</w:t>
      </w:r>
      <w:r w:rsidR="00FB2407">
        <w:t xml:space="preserve"> </w:t>
      </w:r>
      <w:r w:rsidR="00A840EB">
        <w:t>monitoring and evaluation framework</w:t>
      </w:r>
      <w:r w:rsidR="00254B2C">
        <w:t xml:space="preserve"> (MEF), delivered </w:t>
      </w:r>
      <w:r w:rsidR="00B55C4F">
        <w:t>one year after the launch of the SFRP</w:t>
      </w:r>
      <w:r w:rsidR="00254B2C">
        <w:t>,</w:t>
      </w:r>
      <w:r w:rsidR="00A840EB">
        <w:t xml:space="preserve"> </w:t>
      </w:r>
      <w:r w:rsidR="00254B2C">
        <w:t>suggests that “understanding the results of the current work requires a longer timeframe than the current window…”. This</w:t>
      </w:r>
      <w:r w:rsidR="00DF721B">
        <w:t xml:space="preserve"> timeframe</w:t>
      </w:r>
      <w:r w:rsidR="00254B2C">
        <w:t xml:space="preserve"> is detailed in Figure 2. </w:t>
      </w:r>
    </w:p>
    <w:p w14:paraId="06072AB7" w14:textId="13CD3E74" w:rsidR="00254B2C" w:rsidRDefault="00254B2C" w:rsidP="00254B2C">
      <w:pPr>
        <w:pStyle w:val="FigureImageTablehead"/>
      </w:pPr>
      <w:r>
        <w:t>Figure 2: SFRP</w:t>
      </w:r>
      <w:r w:rsidR="00E5479E">
        <w:t>’s</w:t>
      </w:r>
      <w:r>
        <w:t xml:space="preserve"> results timeline</w:t>
      </w:r>
    </w:p>
    <w:p w14:paraId="6AFE49B0" w14:textId="2E61A017" w:rsidR="00E5479E" w:rsidRDefault="00E5479E" w:rsidP="00D419E1">
      <w:r>
        <w:rPr>
          <w:noProof/>
        </w:rPr>
        <w:drawing>
          <wp:inline distT="0" distB="0" distL="0" distR="0" wp14:anchorId="72476CCB" wp14:editId="393A56F9">
            <wp:extent cx="5727700" cy="1804670"/>
            <wp:effectExtent l="0" t="0" r="0" b="0"/>
            <wp:docPr id="1" name="Picture 1" descr="SFRP's results tim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FRP's results timeline"/>
                    <pic:cNvPicPr/>
                  </pic:nvPicPr>
                  <pic:blipFill>
                    <a:blip r:embed="rId19"/>
                    <a:stretch>
                      <a:fillRect/>
                    </a:stretch>
                  </pic:blipFill>
                  <pic:spPr>
                    <a:xfrm>
                      <a:off x="0" y="0"/>
                      <a:ext cx="5727700" cy="1804670"/>
                    </a:xfrm>
                    <a:prstGeom prst="rect">
                      <a:avLst/>
                    </a:prstGeom>
                  </pic:spPr>
                </pic:pic>
              </a:graphicData>
            </a:graphic>
          </wp:inline>
        </w:drawing>
      </w:r>
    </w:p>
    <w:p w14:paraId="1D3646E5" w14:textId="695471D0" w:rsidR="00254B2C" w:rsidRDefault="00ED37EF" w:rsidP="00D419E1">
      <w:r>
        <w:t>The use</w:t>
      </w:r>
      <w:r w:rsidR="00254B2C">
        <w:t xml:space="preserve"> of</w:t>
      </w:r>
      <w:r>
        <w:t xml:space="preserve"> </w:t>
      </w:r>
      <w:r w:rsidR="00D415CA">
        <w:t xml:space="preserve">an appropriate </w:t>
      </w:r>
      <w:r>
        <w:t>theor</w:t>
      </w:r>
      <w:r w:rsidR="00D415CA">
        <w:t>y</w:t>
      </w:r>
      <w:r>
        <w:t xml:space="preserve"> of</w:t>
      </w:r>
      <w:r w:rsidR="00254B2C">
        <w:t xml:space="preserve"> change, and the </w:t>
      </w:r>
      <w:r w:rsidR="00FB2407">
        <w:t>subsequent employment of</w:t>
      </w:r>
      <w:r w:rsidR="00254B2C">
        <w:t xml:space="preserve"> contribution analyses, can </w:t>
      </w:r>
      <w:r w:rsidR="00FB2407">
        <w:t xml:space="preserve">assist in </w:t>
      </w:r>
      <w:r w:rsidR="00254B2C">
        <w:t>untang</w:t>
      </w:r>
      <w:r w:rsidR="00FB2407">
        <w:t>ling</w:t>
      </w:r>
      <w:r w:rsidR="00254B2C">
        <w:t xml:space="preserve"> if and how activities and outputs are</w:t>
      </w:r>
      <w:r w:rsidR="00072E70">
        <w:t xml:space="preserve"> contributing,</w:t>
      </w:r>
      <w:r w:rsidR="0005351F">
        <w:t xml:space="preserve"> or </w:t>
      </w:r>
      <w:r w:rsidR="002036B9">
        <w:t>are likely to</w:t>
      </w:r>
      <w:r w:rsidR="00254B2C">
        <w:t xml:space="preserve"> contribut</w:t>
      </w:r>
      <w:r w:rsidR="0005490F">
        <w:t>e</w:t>
      </w:r>
      <w:r w:rsidR="00254B2C">
        <w:t xml:space="preserve"> to</w:t>
      </w:r>
      <w:r w:rsidR="00072E70">
        <w:t>,</w:t>
      </w:r>
      <w:r w:rsidR="00254B2C">
        <w:t xml:space="preserve"> intermediate and </w:t>
      </w:r>
      <w:r>
        <w:t xml:space="preserve">end </w:t>
      </w:r>
      <w:r w:rsidR="00254B2C">
        <w:t xml:space="preserve">of </w:t>
      </w:r>
      <w:r w:rsidR="007B07CE">
        <w:t>program</w:t>
      </w:r>
      <w:r w:rsidR="00254B2C">
        <w:t xml:space="preserve"> outcomes. This can include the extent to which assumptions</w:t>
      </w:r>
      <w:r w:rsidR="0005490F">
        <w:t xml:space="preserve"> </w:t>
      </w:r>
      <w:r w:rsidR="00254B2C">
        <w:t xml:space="preserve">are holding. </w:t>
      </w:r>
      <w:r w:rsidR="009E7825">
        <w:t>The SFRP’s assumptions</w:t>
      </w:r>
      <w:r w:rsidR="0005490F">
        <w:t xml:space="preserve">, defined </w:t>
      </w:r>
      <w:r w:rsidR="00CA52E0">
        <w:t>in</w:t>
      </w:r>
      <w:r w:rsidR="0005490F">
        <w:t xml:space="preserve"> the review and reflection summary</w:t>
      </w:r>
      <w:r w:rsidR="00D415CA">
        <w:t xml:space="preserve"> in April 2022</w:t>
      </w:r>
      <w:r w:rsidR="0005490F">
        <w:t xml:space="preserve">, </w:t>
      </w:r>
      <w:r w:rsidR="009E7825">
        <w:t>are detailed below.</w:t>
      </w:r>
    </w:p>
    <w:p w14:paraId="401BE3AD" w14:textId="541F8F33" w:rsidR="00254B2C" w:rsidRPr="00ED37EF" w:rsidRDefault="00254B2C" w:rsidP="00B452C8">
      <w:pPr>
        <w:pStyle w:val="ListParagraph"/>
        <w:numPr>
          <w:ilvl w:val="0"/>
          <w:numId w:val="23"/>
        </w:numPr>
        <w:spacing w:before="0" w:after="160" w:line="259" w:lineRule="auto"/>
        <w:contextualSpacing/>
        <w:jc w:val="left"/>
        <w:rPr>
          <w:iCs/>
          <w:color w:val="000000" w:themeColor="text1"/>
        </w:rPr>
      </w:pPr>
      <w:r w:rsidRPr="00ED37EF">
        <w:rPr>
          <w:iCs/>
          <w:color w:val="000000" w:themeColor="text1"/>
        </w:rPr>
        <w:t>Community engagement being essential for the SFRP to be effective.</w:t>
      </w:r>
    </w:p>
    <w:p w14:paraId="08FA3B98" w14:textId="6B0ED721" w:rsidR="00254B2C" w:rsidRPr="00ED37EF" w:rsidRDefault="00254B2C" w:rsidP="00B452C8">
      <w:pPr>
        <w:pStyle w:val="ListParagraph"/>
        <w:numPr>
          <w:ilvl w:val="0"/>
          <w:numId w:val="23"/>
        </w:numPr>
        <w:spacing w:before="0" w:after="160" w:line="259" w:lineRule="auto"/>
        <w:contextualSpacing/>
        <w:jc w:val="left"/>
        <w:rPr>
          <w:iCs/>
          <w:color w:val="000000" w:themeColor="text1"/>
        </w:rPr>
      </w:pPr>
      <w:r w:rsidRPr="00ED37EF">
        <w:rPr>
          <w:iCs/>
          <w:color w:val="000000" w:themeColor="text1"/>
        </w:rPr>
        <w:t>Communities being able to, with the right assistance, reduce vulnerability and increase resilience to the impacts of climate shocks.</w:t>
      </w:r>
    </w:p>
    <w:p w14:paraId="02CCDE3C" w14:textId="374BE1D6" w:rsidR="00254B2C" w:rsidRPr="00ED37EF" w:rsidRDefault="00254B2C" w:rsidP="00B452C8">
      <w:pPr>
        <w:pStyle w:val="ListParagraph"/>
        <w:numPr>
          <w:ilvl w:val="0"/>
          <w:numId w:val="23"/>
        </w:numPr>
        <w:spacing w:before="0" w:after="160" w:line="259" w:lineRule="auto"/>
        <w:contextualSpacing/>
        <w:jc w:val="left"/>
        <w:rPr>
          <w:iCs/>
          <w:color w:val="000000" w:themeColor="text1"/>
        </w:rPr>
      </w:pPr>
      <w:r w:rsidRPr="00ED37EF">
        <w:rPr>
          <w:iCs/>
          <w:color w:val="000000" w:themeColor="text1"/>
        </w:rPr>
        <w:t xml:space="preserve">Local government engagement being essential for the SFRP to be effective. </w:t>
      </w:r>
    </w:p>
    <w:p w14:paraId="54AEFB1A" w14:textId="78A9D744" w:rsidR="00254B2C" w:rsidRPr="00ED37EF" w:rsidRDefault="00254B2C" w:rsidP="00B452C8">
      <w:pPr>
        <w:pStyle w:val="ListParagraph"/>
        <w:numPr>
          <w:ilvl w:val="0"/>
          <w:numId w:val="23"/>
        </w:numPr>
        <w:spacing w:before="0" w:after="160" w:line="259" w:lineRule="auto"/>
        <w:contextualSpacing/>
        <w:jc w:val="left"/>
        <w:rPr>
          <w:iCs/>
          <w:color w:val="000000" w:themeColor="text1"/>
        </w:rPr>
      </w:pPr>
      <w:r w:rsidRPr="00ED37EF">
        <w:rPr>
          <w:iCs/>
          <w:color w:val="000000" w:themeColor="text1"/>
        </w:rPr>
        <w:t xml:space="preserve">Local government being able to, with the right assistance, effectively deliver the necessary services to communities to reduce vulnerability and increased resilience to the impacts of climate shocks. </w:t>
      </w:r>
    </w:p>
    <w:p w14:paraId="095F49EA" w14:textId="49A25EB1" w:rsidR="00E72616" w:rsidRPr="003B7624" w:rsidRDefault="43978448" w:rsidP="00D419E1">
      <w:r>
        <w:t>These assumptions are critical, and they do not account for gender equality</w:t>
      </w:r>
      <w:r w:rsidR="00EE5619">
        <w:t xml:space="preserve">. </w:t>
      </w:r>
      <w:r>
        <w:t xml:space="preserve">Given the implementation related nature of these assumptions, a more comprehensive formulation, including consultative, process would have allowed for these to be addressed more fully in the SFRP. For example, one component’s risk registry includes several risks regarding the feasibility and sustainability of SFRP supported economic activities. This also suggests that communication between partners, during formulation, has not been sufficient. It is not too late to address these points, through managing activities and outputs adaptively and enhancing engagement in support of a more effective contribution to outcomes. </w:t>
      </w:r>
    </w:p>
    <w:p w14:paraId="1AC1F9B0" w14:textId="6257FEAB" w:rsidR="001F4F24" w:rsidRDefault="009B645A" w:rsidP="001F4F24">
      <w:r>
        <w:t>Community</w:t>
      </w:r>
      <w:r w:rsidR="00AC79F1">
        <w:t xml:space="preserve"> and government</w:t>
      </w:r>
      <w:r w:rsidR="001F4F24">
        <w:t xml:space="preserve"> expectations are high</w:t>
      </w:r>
      <w:r w:rsidR="003B7624">
        <w:t xml:space="preserve"> and the SFRP is ambitious</w:t>
      </w:r>
      <w:r w:rsidR="001F4F24">
        <w:t>,</w:t>
      </w:r>
      <w:r w:rsidR="003B7624">
        <w:t xml:space="preserve"> but </w:t>
      </w:r>
      <w:r w:rsidR="001F4F24">
        <w:t>there is a widely held view</w:t>
      </w:r>
      <w:r w:rsidR="00AC79F1">
        <w:t xml:space="preserve"> among these stakeholders</w:t>
      </w:r>
      <w:r w:rsidR="001F4F24">
        <w:t xml:space="preserve"> that little relevant progress has been made.</w:t>
      </w:r>
      <w:r w:rsidR="0048381B">
        <w:t xml:space="preserve"> This suggest</w:t>
      </w:r>
      <w:r w:rsidR="00B452C8">
        <w:t>s</w:t>
      </w:r>
      <w:r w:rsidR="0048381B">
        <w:t xml:space="preserve"> that engagement </w:t>
      </w:r>
      <w:r w:rsidR="002F256C">
        <w:t>could have been more effective</w:t>
      </w:r>
      <w:r w:rsidR="0048381B">
        <w:t>.</w:t>
      </w:r>
      <w:r w:rsidR="001F4F24">
        <w:t xml:space="preserve"> When we</w:t>
      </w:r>
      <w:r w:rsidR="00FC7205">
        <w:t xml:space="preserve"> further</w:t>
      </w:r>
      <w:r w:rsidR="001F4F24">
        <w:t xml:space="preserve"> investigated </w:t>
      </w:r>
      <w:r w:rsidR="0027524D">
        <w:t>the rate of progress</w:t>
      </w:r>
      <w:r w:rsidR="0048381B">
        <w:t xml:space="preserve"> with</w:t>
      </w:r>
      <w:r w:rsidR="001F4F24">
        <w:t xml:space="preserve"> communities, </w:t>
      </w:r>
      <w:r w:rsidR="00FC7205">
        <w:t>agreement was generated</w:t>
      </w:r>
      <w:r w:rsidR="001F4F24">
        <w:t xml:space="preserve"> on progress in Community Led Total Sanitation </w:t>
      </w:r>
      <w:r w:rsidR="000371CD">
        <w:t xml:space="preserve">(CLTS) </w:t>
      </w:r>
      <w:r w:rsidR="001F4F24">
        <w:t xml:space="preserve">and </w:t>
      </w:r>
      <w:r w:rsidR="00CE1503">
        <w:t>WASH</w:t>
      </w:r>
      <w:r w:rsidR="001F4F24">
        <w:t xml:space="preserve"> governance. </w:t>
      </w:r>
      <w:r w:rsidR="00CE1503">
        <w:t>Very nascent progress is also evident in FLAG.</w:t>
      </w:r>
      <w:r w:rsidR="00427B40">
        <w:t xml:space="preserve"> </w:t>
      </w:r>
    </w:p>
    <w:p w14:paraId="7868F0D4" w14:textId="4F9BC7EF" w:rsidR="00FB2407" w:rsidRDefault="001F4F24" w:rsidP="001F4F24">
      <w:pPr>
        <w:pStyle w:val="Heading2"/>
      </w:pPr>
      <w:bookmarkStart w:id="20" w:name="_Toc108259988"/>
      <w:r>
        <w:lastRenderedPageBreak/>
        <w:t>2.</w:t>
      </w:r>
      <w:r w:rsidR="00727197">
        <w:t>2</w:t>
      </w:r>
      <w:r>
        <w:t xml:space="preserve"> Food, </w:t>
      </w:r>
      <w:proofErr w:type="gramStart"/>
      <w:r>
        <w:t>livelihoods</w:t>
      </w:r>
      <w:proofErr w:type="gramEnd"/>
      <w:r>
        <w:t xml:space="preserve"> and governance</w:t>
      </w:r>
      <w:bookmarkEnd w:id="20"/>
    </w:p>
    <w:p w14:paraId="03B5A8A7" w14:textId="7203178A" w:rsidR="002A48F7" w:rsidRDefault="002A48F7" w:rsidP="001D1FC4">
      <w:r>
        <w:t xml:space="preserve">Figure 3 displays intermediate and end of program outcomes for the FLAG component. </w:t>
      </w:r>
      <w:r w:rsidR="00F71023">
        <w:t xml:space="preserve">Of the intermediate outcome indicators in the MEF, </w:t>
      </w:r>
      <w:r w:rsidR="009340E4">
        <w:t>the</w:t>
      </w:r>
      <w:r w:rsidR="00AC79F1">
        <w:t>re may be</w:t>
      </w:r>
      <w:r w:rsidR="00C15765">
        <w:t xml:space="preserve"> very limited changes in</w:t>
      </w:r>
      <w:r w:rsidR="00F71023">
        <w:t xml:space="preserve"> </w:t>
      </w:r>
      <w:r w:rsidR="00C15765">
        <w:t xml:space="preserve">the </w:t>
      </w:r>
      <w:r w:rsidR="00A30654">
        <w:t>percentage</w:t>
      </w:r>
      <w:r w:rsidR="00C15765">
        <w:t xml:space="preserve"> of the population with improved financial literacy</w:t>
      </w:r>
      <w:r w:rsidR="00FE2C87">
        <w:t xml:space="preserve"> (financial literacy training has been delivered to 20 men and 20 women)</w:t>
      </w:r>
      <w:r w:rsidR="00C15765">
        <w:t>. There may also be some</w:t>
      </w:r>
      <w:r w:rsidR="00A90216">
        <w:t xml:space="preserve"> minor</w:t>
      </w:r>
      <w:r w:rsidR="00C15765">
        <w:t xml:space="preserve"> improvement in</w:t>
      </w:r>
      <w:r>
        <w:t xml:space="preserve"> governance capacity</w:t>
      </w:r>
      <w:r w:rsidR="00C15765">
        <w:t xml:space="preserve"> through the delivery of the Ward Profiles</w:t>
      </w:r>
      <w:r>
        <w:t xml:space="preserve">. </w:t>
      </w:r>
      <w:r w:rsidR="00104BBC">
        <w:t>Together th</w:t>
      </w:r>
      <w:r w:rsidR="00965117">
        <w:t>ese</w:t>
      </w:r>
      <w:r>
        <w:t xml:space="preserve"> </w:t>
      </w:r>
      <w:r w:rsidR="009E3A26">
        <w:t xml:space="preserve">demonstrate </w:t>
      </w:r>
      <w:r w:rsidR="006D2B27">
        <w:t xml:space="preserve">very </w:t>
      </w:r>
      <w:r w:rsidR="009E3A26">
        <w:t>nascent</w:t>
      </w:r>
      <w:r w:rsidR="008B62EE">
        <w:t>, but</w:t>
      </w:r>
      <w:r w:rsidR="00F51552">
        <w:t xml:space="preserve"> nonetheless</w:t>
      </w:r>
      <w:r w:rsidR="008B62EE">
        <w:t xml:space="preserve"> </w:t>
      </w:r>
      <w:r w:rsidR="003C4A3A">
        <w:t>relevant</w:t>
      </w:r>
      <w:r w:rsidR="008B62EE">
        <w:t>,</w:t>
      </w:r>
      <w:r w:rsidR="009E3A26">
        <w:t xml:space="preserve"> progress</w:t>
      </w:r>
      <w:r>
        <w:t xml:space="preserve"> towards</w:t>
      </w:r>
      <w:r w:rsidR="00F71023">
        <w:t xml:space="preserve"> the achievement of</w:t>
      </w:r>
      <w:r>
        <w:t xml:space="preserve"> intermediate outcomes. </w:t>
      </w:r>
      <w:r w:rsidR="00A90216">
        <w:t>Given that this is a new component, and the stage of implementation, th</w:t>
      </w:r>
      <w:r w:rsidR="00F70A02">
        <w:t>is slow</w:t>
      </w:r>
      <w:r w:rsidR="00A90216">
        <w:t xml:space="preserve"> </w:t>
      </w:r>
      <w:r w:rsidR="003C2650">
        <w:t>rate</w:t>
      </w:r>
      <w:r w:rsidR="00A90216">
        <w:t xml:space="preserve"> of progress towards intermediate outcomes is not surprising. </w:t>
      </w:r>
    </w:p>
    <w:p w14:paraId="023F1AE1" w14:textId="3C571162" w:rsidR="001F4F24" w:rsidRPr="001F4F24" w:rsidRDefault="002A48F7" w:rsidP="002A48F7">
      <w:pPr>
        <w:pStyle w:val="FigureImageTablehead"/>
      </w:pPr>
      <w:r>
        <w:t xml:space="preserve">Figure 3: End of investment and intermediate outcomes in food, </w:t>
      </w:r>
      <w:proofErr w:type="gramStart"/>
      <w:r>
        <w:t>livelihoods</w:t>
      </w:r>
      <w:proofErr w:type="gramEnd"/>
      <w:r>
        <w:t xml:space="preserve"> and governance</w:t>
      </w:r>
      <w:r>
        <w:rPr>
          <w:noProof/>
        </w:rPr>
        <w:drawing>
          <wp:inline distT="0" distB="0" distL="0" distR="0" wp14:anchorId="54C124EC" wp14:editId="42ABDAC3">
            <wp:extent cx="5486400" cy="2097314"/>
            <wp:effectExtent l="0" t="0" r="57150" b="0"/>
            <wp:docPr id="17" name="Diagram 17" descr="End of investment and intermediate outcomes in food, livelihoods and governance&#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20B3995E" w14:textId="4F6CD989" w:rsidR="00457E72" w:rsidRDefault="36277179" w:rsidP="002A48F7">
      <w:r>
        <w:t xml:space="preserve">Several outputs may need adapting and accelerating to achieve outcomes.  For example, the Implementation Plan is overly prescriptive in which economic activities should be progressed. This may risk the engagement of communities and the achievement of outcomes. The introduction of goats is considered particularly risky. Wherever productive activities are being considered, a very careful consideration of environmental sustainability, inclusivity (especially the current and future role of women) and competitiveness is needed.  This should include the needs, capabilities and expectations of communities, and other stakeholders. </w:t>
      </w:r>
    </w:p>
    <w:p w14:paraId="18DAE52B" w14:textId="0CEB7131" w:rsidR="00457E72" w:rsidRDefault="31A9DF3B" w:rsidP="002A48F7">
      <w:r>
        <w:t xml:space="preserve">In line with the assumption in the MEF, implementation capability of Government also needs consideration. The </w:t>
      </w:r>
      <w:proofErr w:type="gramStart"/>
      <w:r>
        <w:t>District</w:t>
      </w:r>
      <w:proofErr w:type="gramEnd"/>
      <w:r>
        <w:t xml:space="preserve"> authority requires substantial improvements in capability to sustain improvements in FLAG. Further </w:t>
      </w:r>
      <w:r w:rsidR="00A5745C">
        <w:t xml:space="preserve">while </w:t>
      </w:r>
      <w:r>
        <w:t>the SFRP recognises that the Department of Agriculture and Livestock</w:t>
      </w:r>
      <w:r w:rsidR="00E80B3D">
        <w:t xml:space="preserve"> (DAL)</w:t>
      </w:r>
      <w:r>
        <w:t xml:space="preserve"> and the National Fisheries Authority</w:t>
      </w:r>
      <w:r w:rsidR="00E80B3D">
        <w:t xml:space="preserve"> (NFA)</w:t>
      </w:r>
      <w:r>
        <w:t xml:space="preserve"> a</w:t>
      </w:r>
      <w:r w:rsidR="00A5745C">
        <w:t>s</w:t>
      </w:r>
      <w:r>
        <w:t xml:space="preserve"> </w:t>
      </w:r>
      <w:r w:rsidR="00A5745C">
        <w:t>being</w:t>
      </w:r>
      <w:r>
        <w:t xml:space="preserve"> critical to implementation</w:t>
      </w:r>
      <w:r w:rsidR="00A5745C">
        <w:t>, the</w:t>
      </w:r>
      <w:r w:rsidR="00A739B7">
        <w:t xml:space="preserve"> Implementation Plan recognises </w:t>
      </w:r>
      <w:r w:rsidR="00A5745C">
        <w:t>an</w:t>
      </w:r>
      <w:r w:rsidR="00A739B7">
        <w:t xml:space="preserve"> absence of capability. </w:t>
      </w:r>
      <w:r>
        <w:t xml:space="preserve">We saw little visibility of these </w:t>
      </w:r>
      <w:r w:rsidR="00D9141F">
        <w:t>organisations, or the results of their projects,</w:t>
      </w:r>
      <w:r>
        <w:t xml:space="preserve"> in the </w:t>
      </w:r>
      <w:proofErr w:type="gramStart"/>
      <w:r>
        <w:t>District</w:t>
      </w:r>
      <w:proofErr w:type="gramEnd"/>
      <w:r w:rsidR="00D9141F">
        <w:t>. Ch</w:t>
      </w:r>
      <w:r>
        <w:t xml:space="preserve">allenges could arise in relying too heavily on their </w:t>
      </w:r>
      <w:r w:rsidR="00D9141F">
        <w:t>support</w:t>
      </w:r>
      <w:r>
        <w:t>.</w:t>
      </w:r>
    </w:p>
    <w:p w14:paraId="2330C47A" w14:textId="66F91917" w:rsidR="00BD7FE1" w:rsidRDefault="00192FF1" w:rsidP="00192FF1">
      <w:r>
        <w:t>Across FLAG,</w:t>
      </w:r>
      <w:r w:rsidR="00FE2C87">
        <w:t xml:space="preserve"> in order to further the achievement of outcomes,</w:t>
      </w:r>
      <w:r>
        <w:t xml:space="preserve"> there </w:t>
      </w:r>
      <w:r w:rsidR="00FE2C87">
        <w:t>seems</w:t>
      </w:r>
      <w:r>
        <w:t xml:space="preserve"> a need to i) enhance engagement with communities to build on existing food and livelihood activities wherever possible, ii) </w:t>
      </w:r>
      <w:r w:rsidR="00A739B7">
        <w:t xml:space="preserve">continue to </w:t>
      </w:r>
      <w:r>
        <w:t>allow flexibility across budget lines</w:t>
      </w:r>
      <w:r w:rsidR="00EF3F25">
        <w:t>,</w:t>
      </w:r>
      <w:r>
        <w:t xml:space="preserve"> iii) facilitate the funding of the Food Security Plan through a wider range of sources than the </w:t>
      </w:r>
      <w:proofErr w:type="gramStart"/>
      <w:r>
        <w:t>District</w:t>
      </w:r>
      <w:proofErr w:type="gramEnd"/>
      <w:r>
        <w:t xml:space="preserve"> budget</w:t>
      </w:r>
      <w:r w:rsidR="00EF3F25">
        <w:t xml:space="preserve"> and iv) accelerating governance improvements at the</w:t>
      </w:r>
      <w:r w:rsidR="00C040BA">
        <w:t xml:space="preserve"> Ward level, and</w:t>
      </w:r>
      <w:r w:rsidR="00EF3F25">
        <w:t xml:space="preserve"> District level.</w:t>
      </w:r>
    </w:p>
    <w:p w14:paraId="7D44859B" w14:textId="77777777" w:rsidR="008C5A49" w:rsidRDefault="008C5A49" w:rsidP="00192FF1"/>
    <w:p w14:paraId="3C80AEB0" w14:textId="475F4FE3" w:rsidR="006D2B27" w:rsidRDefault="009E3A26" w:rsidP="006D2B27">
      <w:pPr>
        <w:pStyle w:val="Heading2"/>
      </w:pPr>
      <w:bookmarkStart w:id="21" w:name="_Toc108259989"/>
      <w:r>
        <w:lastRenderedPageBreak/>
        <w:t>2.</w:t>
      </w:r>
      <w:r w:rsidR="00727197">
        <w:t>3</w:t>
      </w:r>
      <w:r>
        <w:t xml:space="preserve"> Water, </w:t>
      </w:r>
      <w:proofErr w:type="gramStart"/>
      <w:r>
        <w:t>sanitation</w:t>
      </w:r>
      <w:proofErr w:type="gramEnd"/>
      <w:r>
        <w:t xml:space="preserve"> and h</w:t>
      </w:r>
      <w:r w:rsidR="00CE1367">
        <w:t>ygiene</w:t>
      </w:r>
      <w:bookmarkEnd w:id="21"/>
    </w:p>
    <w:p w14:paraId="0D86C9AA" w14:textId="3542A349" w:rsidR="00B5605F" w:rsidRPr="00F51552" w:rsidRDefault="00457E72" w:rsidP="00F51552">
      <w:r w:rsidRPr="00F51552">
        <w:t xml:space="preserve">Figure 4 shows the intermediate and end of program outcomes of the WASH component. Of the intermediate outcome indicators, progress is being demonstrated in </w:t>
      </w:r>
      <w:r w:rsidR="00B5605F" w:rsidRPr="00F51552">
        <w:t>open defecation</w:t>
      </w:r>
      <w:r w:rsidR="00B4661C" w:rsidRPr="00F51552">
        <w:t xml:space="preserve"> free communities (which is subject to being verified), the construct of toilets, the capability to respond to droughts (through </w:t>
      </w:r>
      <w:r w:rsidR="00A94F8E">
        <w:t xml:space="preserve">‘mobile’ </w:t>
      </w:r>
      <w:r w:rsidR="00B4661C" w:rsidRPr="00F51552">
        <w:t>desalination plants) and three well upgrades in Daru.</w:t>
      </w:r>
      <w:r w:rsidR="00B5605F" w:rsidRPr="00F51552">
        <w:t xml:space="preserve"> Progress is also being demonstrated in WASH governance, through the creation of the District and Ward level WASH committees. </w:t>
      </w:r>
    </w:p>
    <w:p w14:paraId="32419045" w14:textId="20EDAA60" w:rsidR="00EC62BB" w:rsidRPr="008C7044" w:rsidRDefault="00EC62BB" w:rsidP="00EC62BB">
      <w:pPr>
        <w:pStyle w:val="TableHeaderLeftAligned"/>
      </w:pPr>
      <w:r w:rsidRPr="008C7044">
        <w:t xml:space="preserve">Figure 4: End of investment and intermediate outcomes in water, </w:t>
      </w:r>
      <w:proofErr w:type="gramStart"/>
      <w:r w:rsidRPr="008C7044">
        <w:t>sanitation</w:t>
      </w:r>
      <w:proofErr w:type="gramEnd"/>
      <w:r w:rsidRPr="008C7044">
        <w:t xml:space="preserve"> and h</w:t>
      </w:r>
      <w:r w:rsidR="00CE1367">
        <w:t>ygiene</w:t>
      </w:r>
    </w:p>
    <w:p w14:paraId="3A824298" w14:textId="2E6B1A14" w:rsidR="00EC62BB" w:rsidRDefault="00EC62BB" w:rsidP="00EC62BB">
      <w:r>
        <w:rPr>
          <w:noProof/>
        </w:rPr>
        <w:drawing>
          <wp:inline distT="0" distB="0" distL="0" distR="0" wp14:anchorId="2E66CE66" wp14:editId="151DF1EF">
            <wp:extent cx="5486400" cy="1991532"/>
            <wp:effectExtent l="19050" t="0" r="57150" b="0"/>
            <wp:docPr id="20" name="Diagram 20" descr="End of investment and intermediate outcomes in water, sanitation and hygiene&#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5AEA2392" w14:textId="2C13A98F" w:rsidR="00457E72" w:rsidRDefault="00B5605F" w:rsidP="00F51552">
      <w:r>
        <w:t xml:space="preserve">This </w:t>
      </w:r>
      <w:r w:rsidR="004A44FF">
        <w:t>moderate</w:t>
      </w:r>
      <w:r w:rsidR="00FE2C87">
        <w:t xml:space="preserve"> </w:t>
      </w:r>
      <w:r>
        <w:t xml:space="preserve">rate of progress is not surprising. </w:t>
      </w:r>
      <w:r w:rsidR="009340E4">
        <w:t>Further,</w:t>
      </w:r>
      <w:r w:rsidR="00A94F8E">
        <w:t xml:space="preserve"> the</w:t>
      </w:r>
      <w:r>
        <w:t xml:space="preserve"> transition to the new approach to WASH</w:t>
      </w:r>
      <w:r w:rsidR="00FE2C87">
        <w:t xml:space="preserve">, </w:t>
      </w:r>
      <w:r w:rsidR="00FE2C87" w:rsidRPr="00942769">
        <w:t>which prioritises longer term transformational change,</w:t>
      </w:r>
      <w:r w:rsidRPr="00942769">
        <w:t xml:space="preserve"> </w:t>
      </w:r>
      <w:r w:rsidRPr="008A18A9">
        <w:t xml:space="preserve">has </w:t>
      </w:r>
      <w:r w:rsidR="00D9141F" w:rsidRPr="008A18A9">
        <w:t xml:space="preserve">paused </w:t>
      </w:r>
      <w:r w:rsidRPr="008A18A9">
        <w:t>gains in small WASH infrastructure</w:t>
      </w:r>
      <w:r>
        <w:t>.</w:t>
      </w:r>
      <w:r w:rsidR="00FB6CBE">
        <w:t xml:space="preserve"> For </w:t>
      </w:r>
      <w:r w:rsidR="008A18A9">
        <w:t>Treaty Villages, which benefited from support to WASH through INLOC</w:t>
      </w:r>
      <w:r w:rsidR="009340E4">
        <w:t xml:space="preserve">, </w:t>
      </w:r>
      <w:r w:rsidR="00FB6CBE">
        <w:t>this transition has been hard.</w:t>
      </w:r>
      <w:r>
        <w:t xml:space="preserve"> A more balanced approach seems relevant</w:t>
      </w:r>
      <w:r w:rsidR="00FE2C87">
        <w:t xml:space="preserve">, that does not undermine the sustainability of </w:t>
      </w:r>
      <w:r w:rsidR="004A44FF">
        <w:t xml:space="preserve">the </w:t>
      </w:r>
      <w:r w:rsidR="00FE2C87">
        <w:t>new practices being facilitated</w:t>
      </w:r>
      <w:r w:rsidR="004A44FF">
        <w:t xml:space="preserve"> in </w:t>
      </w:r>
      <w:r w:rsidR="00F70A02">
        <w:t xml:space="preserve">WASH </w:t>
      </w:r>
      <w:r w:rsidR="004A44FF">
        <w:t>governance</w:t>
      </w:r>
      <w:r w:rsidR="009340E4">
        <w:t>. This</w:t>
      </w:r>
      <w:r w:rsidR="00845628">
        <w:t xml:space="preserve"> will require </w:t>
      </w:r>
      <w:r w:rsidR="00DF721B">
        <w:t>a</w:t>
      </w:r>
      <w:r w:rsidR="00845628">
        <w:t xml:space="preserve"> rapid acceleration in support to </w:t>
      </w:r>
      <w:r w:rsidR="008A18A9">
        <w:t>WASH</w:t>
      </w:r>
      <w:r w:rsidR="00845628">
        <w:t xml:space="preserve"> infrastructure this dry season</w:t>
      </w:r>
      <w:r>
        <w:t>.</w:t>
      </w:r>
      <w:r w:rsidR="00845628">
        <w:t xml:space="preserve"> </w:t>
      </w:r>
    </w:p>
    <w:p w14:paraId="0DBB30FB" w14:textId="1C53B175" w:rsidR="00845628" w:rsidRDefault="00845628" w:rsidP="00F51552">
      <w:r>
        <w:t>Transformational change could be generated through the release and use of the much-anticipated hydro</w:t>
      </w:r>
      <w:r w:rsidR="00F70A02">
        <w:t>logical</w:t>
      </w:r>
      <w:r>
        <w:t xml:space="preserve"> </w:t>
      </w:r>
      <w:r w:rsidR="00F70A02">
        <w:t>assessments</w:t>
      </w:r>
      <w:r>
        <w:t xml:space="preserve"> of some villages</w:t>
      </w:r>
      <w:r w:rsidR="000B361D">
        <w:t>, though challenges are being encountered in receiving the report</w:t>
      </w:r>
      <w:r>
        <w:t xml:space="preserve">. With </w:t>
      </w:r>
      <w:r w:rsidR="00F70A02">
        <w:t xml:space="preserve">more assessments and </w:t>
      </w:r>
      <w:r>
        <w:t>subsequent investment, water security could be bolstered through the dry season. But to manage risk</w:t>
      </w:r>
      <w:r w:rsidR="000B361D">
        <w:t>s</w:t>
      </w:r>
      <w:r>
        <w:t>, this should be part of a mixed approach to water security that includes improved rain catchment and storage.</w:t>
      </w:r>
    </w:p>
    <w:p w14:paraId="49146754" w14:textId="095CB08A" w:rsidR="00133B16" w:rsidRDefault="31A9DF3B" w:rsidP="00F51552">
      <w:r>
        <w:t xml:space="preserve">Much emphasis is being given to the role of the District in WASH service delivery, including emergency response, in line with the assumptions in the MEF. The sector is in a state of flux </w:t>
      </w:r>
      <w:r w:rsidR="00133B16">
        <w:t>in urban areas</w:t>
      </w:r>
      <w:r>
        <w:t>, as responsibility for WASH shifts from Provincial Health Authorities to District authorities.</w:t>
      </w:r>
      <w:r w:rsidR="00133B16">
        <w:t xml:space="preserve"> The Provincial Health Authorities will continue to take responsibility for WASH in rural areas, and the Authority has updated its organisational structure to account for WASH responsibilities.</w:t>
      </w:r>
    </w:p>
    <w:p w14:paraId="2D2F7971" w14:textId="74264FF4" w:rsidR="00845628" w:rsidRDefault="31A9DF3B" w:rsidP="00A87820">
      <w:r>
        <w:t xml:space="preserve">The </w:t>
      </w:r>
      <w:proofErr w:type="gramStart"/>
      <w:r>
        <w:t>District</w:t>
      </w:r>
      <w:proofErr w:type="gramEnd"/>
      <w:r w:rsidR="004A44FF">
        <w:t>, with WVI support,</w:t>
      </w:r>
      <w:r>
        <w:t xml:space="preserve"> has made good progress and could become a demonstrator for other Districts to follow. However, great challenges </w:t>
      </w:r>
      <w:proofErr w:type="gramStart"/>
      <w:r>
        <w:t>remain</w:t>
      </w:r>
      <w:proofErr w:type="gramEnd"/>
      <w:r>
        <w:t xml:space="preserve"> and greater emphasis can be given to building institutional capability as the District takes on more functions in WASH.</w:t>
      </w:r>
      <w:r w:rsidR="00133B16">
        <w:t xml:space="preserve"> </w:t>
      </w:r>
      <w:r>
        <w:t>This should include</w:t>
      </w:r>
      <w:r w:rsidR="00133B16">
        <w:t xml:space="preserve"> i) acting on the findings of the bottleneck analysis,</w:t>
      </w:r>
      <w:r>
        <w:t xml:space="preserve"> </w:t>
      </w:r>
      <w:r w:rsidR="00133B16">
        <w:t xml:space="preserve">ii) </w:t>
      </w:r>
      <w:r>
        <w:t>facilitating a broad range of funding streams to the WASH plan</w:t>
      </w:r>
      <w:r w:rsidR="004A44FF">
        <w:t xml:space="preserve"> and </w:t>
      </w:r>
      <w:r w:rsidR="00133B16">
        <w:t xml:space="preserve">iii) </w:t>
      </w:r>
      <w:r w:rsidR="004A44FF">
        <w:t>embedding WASH functions in the District</w:t>
      </w:r>
      <w:r w:rsidR="00E41222">
        <w:t xml:space="preserve"> Administration</w:t>
      </w:r>
      <w:r w:rsidR="00014B5F">
        <w:t xml:space="preserve"> and Provincial Health Authority</w:t>
      </w:r>
      <w:r>
        <w:t xml:space="preserve"> in the next 12 months. </w:t>
      </w:r>
    </w:p>
    <w:p w14:paraId="0F5DCBC0" w14:textId="70A79765" w:rsidR="005751A6" w:rsidRDefault="00192FF1" w:rsidP="00192FF1">
      <w:r>
        <w:lastRenderedPageBreak/>
        <w:t xml:space="preserve">In WASH, </w:t>
      </w:r>
      <w:r w:rsidR="004A44FF">
        <w:t xml:space="preserve">in order to further the achievement of outcomes, </w:t>
      </w:r>
      <w:r>
        <w:t>there is a need to i) obtain and use the results of the hydrological survey, ii) accelerate the delivery and maintenance of WASH infrastructure</w:t>
      </w:r>
      <w:r w:rsidR="00133B16">
        <w:t>, subject to engagement with the District and the Provincial Health Authority,</w:t>
      </w:r>
      <w:r>
        <w:t xml:space="preserve"> this dry season, iii) facilitate the funding of the draft WASH plan through a broader range of sources than </w:t>
      </w:r>
      <w:r w:rsidR="004A44FF">
        <w:t xml:space="preserve">the </w:t>
      </w:r>
      <w:r>
        <w:t xml:space="preserve">District </w:t>
      </w:r>
      <w:r w:rsidR="004A44FF">
        <w:t>budget</w:t>
      </w:r>
      <w:r>
        <w:t xml:space="preserve"> and iv) accelerate governance strengthening at the District level.</w:t>
      </w:r>
    </w:p>
    <w:p w14:paraId="29CBD747" w14:textId="4E3B5BF5" w:rsidR="006D2B27" w:rsidRDefault="006D2B27" w:rsidP="006D2B27">
      <w:pPr>
        <w:pStyle w:val="Heading2"/>
      </w:pPr>
      <w:bookmarkStart w:id="22" w:name="_Toc108259990"/>
      <w:r>
        <w:t>2.</w:t>
      </w:r>
      <w:r w:rsidR="00727197">
        <w:t>4</w:t>
      </w:r>
      <w:r>
        <w:t xml:space="preserve"> Sensitivity to </w:t>
      </w:r>
      <w:r w:rsidR="0048381B">
        <w:t>the</w:t>
      </w:r>
      <w:r>
        <w:t xml:space="preserve"> socio-cultural local context</w:t>
      </w:r>
      <w:bookmarkEnd w:id="22"/>
    </w:p>
    <w:p w14:paraId="16614CDF" w14:textId="77777777" w:rsidR="009A4C99" w:rsidRDefault="00D419E1" w:rsidP="00F51552">
      <w:r>
        <w:t>A</w:t>
      </w:r>
      <w:r w:rsidR="00B5605F">
        <w:t>cross both components a</w:t>
      </w:r>
      <w:r>
        <w:t>ctivities and outputs could be delivered in ways that are more sensitive to the socio-cultural context.</w:t>
      </w:r>
      <w:r w:rsidR="0048381B">
        <w:rPr>
          <w:rStyle w:val="FootnoteReference"/>
        </w:rPr>
        <w:footnoteReference w:id="9"/>
      </w:r>
      <w:r w:rsidR="003C2650" w:rsidRPr="003C2650">
        <w:t xml:space="preserve"> </w:t>
      </w:r>
      <w:r w:rsidR="003C2650">
        <w:t xml:space="preserve">Importantly it risks the holding of assumptions </w:t>
      </w:r>
      <w:r w:rsidR="00427B40">
        <w:t>surrounding</w:t>
      </w:r>
      <w:r w:rsidR="003C2650">
        <w:t xml:space="preserve"> </w:t>
      </w:r>
      <w:r w:rsidR="00427B40">
        <w:t>i)</w:t>
      </w:r>
      <w:r w:rsidR="003C2650">
        <w:t xml:space="preserve"> communities and Government engag</w:t>
      </w:r>
      <w:r w:rsidR="00427B40">
        <w:t>ing</w:t>
      </w:r>
      <w:r w:rsidR="003C2650">
        <w:t xml:space="preserve"> with the SFRP and ii) the delivery of the right type of support to achieve outcomes. </w:t>
      </w:r>
      <w:r>
        <w:t xml:space="preserve"> </w:t>
      </w:r>
    </w:p>
    <w:p w14:paraId="743066F4" w14:textId="11678F42" w:rsidR="008804A7" w:rsidRDefault="31A9DF3B" w:rsidP="00F51552">
      <w:r>
        <w:t xml:space="preserve">We found widely held views, that the SFRP is not engaging </w:t>
      </w:r>
      <w:r w:rsidR="00FA0C6F">
        <w:t>appropriately</w:t>
      </w:r>
      <w:r>
        <w:t xml:space="preserve"> at the community level.</w:t>
      </w:r>
      <w:r w:rsidR="00FA0C6F">
        <w:t xml:space="preserve"> This is a challenging area, but</w:t>
      </w:r>
      <w:r w:rsidR="002508B3">
        <w:t xml:space="preserve"> it seems</w:t>
      </w:r>
      <w:r w:rsidR="00FA0C6F">
        <w:t xml:space="preserve"> improvements can be made. </w:t>
      </w:r>
      <w:r w:rsidR="00014B5F">
        <w:t xml:space="preserve">There is a widely held view that information is being gleaned from communities, with little reciprocity. This is not a sustainable </w:t>
      </w:r>
      <w:proofErr w:type="gramStart"/>
      <w:r w:rsidR="00014B5F">
        <w:t>approach, and</w:t>
      </w:r>
      <w:proofErr w:type="gramEnd"/>
      <w:r w:rsidR="00014B5F">
        <w:t xml:space="preserve"> is culturally inappropriate.  </w:t>
      </w:r>
      <w:r w:rsidR="00FA0C6F">
        <w:t>For example, members of one community felt ill informed about the hydrogeological survey. The community were alarmed when they witnessed the survey team conducting their tests.</w:t>
      </w:r>
      <w:r w:rsidR="008804A7">
        <w:t xml:space="preserve"> </w:t>
      </w:r>
    </w:p>
    <w:p w14:paraId="77246F4A" w14:textId="1891EC47" w:rsidR="00475C4C" w:rsidRPr="00A31423" w:rsidRDefault="008804A7" w:rsidP="00DA464F">
      <w:pPr>
        <w:pStyle w:val="BodyText"/>
        <w:spacing w:line="276" w:lineRule="auto"/>
        <w:rPr>
          <w:rFonts w:asciiTheme="minorHAnsi" w:hAnsiTheme="minorHAnsi" w:cstheme="minorHAnsi"/>
        </w:rPr>
      </w:pPr>
      <w:r w:rsidRPr="00A31423">
        <w:rPr>
          <w:rFonts w:asciiTheme="minorHAnsi" w:hAnsiTheme="minorHAnsi" w:cstheme="minorHAnsi"/>
        </w:rPr>
        <w:t xml:space="preserve">Facilitating the introduction of new behaviours within communities is </w:t>
      </w:r>
      <w:proofErr w:type="gramStart"/>
      <w:r w:rsidRPr="00A31423">
        <w:rPr>
          <w:rFonts w:asciiTheme="minorHAnsi" w:hAnsiTheme="minorHAnsi" w:cstheme="minorHAnsi"/>
        </w:rPr>
        <w:t>challenging, and</w:t>
      </w:r>
      <w:proofErr w:type="gramEnd"/>
      <w:r w:rsidRPr="00A31423">
        <w:rPr>
          <w:rFonts w:asciiTheme="minorHAnsi" w:hAnsiTheme="minorHAnsi" w:cstheme="minorHAnsi"/>
        </w:rPr>
        <w:t xml:space="preserve"> comes with risks. During consultations, stakeholders gave examples of i) negative messaging to effect change, ii) the discontinuation of support to much needed WASH infrastructure in the transition phase and iii) communities being told what to do.  </w:t>
      </w:r>
    </w:p>
    <w:p w14:paraId="5886A466" w14:textId="31222B66" w:rsidR="00475C4C" w:rsidRPr="00A31423" w:rsidRDefault="00475C4C" w:rsidP="00DA464F">
      <w:pPr>
        <w:pStyle w:val="BodyText"/>
        <w:spacing w:line="276" w:lineRule="auto"/>
        <w:rPr>
          <w:rFonts w:asciiTheme="minorHAnsi" w:eastAsia="Times New Roman" w:hAnsiTheme="minorHAnsi" w:cstheme="minorHAnsi"/>
        </w:rPr>
      </w:pPr>
      <w:r w:rsidRPr="00A31423">
        <w:rPr>
          <w:rFonts w:asciiTheme="minorHAnsi" w:hAnsiTheme="minorHAnsi" w:cstheme="minorHAnsi"/>
        </w:rPr>
        <w:t>In</w:t>
      </w:r>
      <w:r w:rsidR="00E41222" w:rsidRPr="00A31423">
        <w:rPr>
          <w:rFonts w:asciiTheme="minorHAnsi" w:hAnsiTheme="minorHAnsi" w:cstheme="minorHAnsi"/>
        </w:rPr>
        <w:t xml:space="preserve"> one village </w:t>
      </w:r>
      <w:r w:rsidR="00E41222" w:rsidRPr="00A31423">
        <w:rPr>
          <w:rFonts w:asciiTheme="minorHAnsi" w:eastAsia="Times New Roman" w:hAnsiTheme="minorHAnsi" w:cstheme="minorHAnsi"/>
          <w:color w:val="000000"/>
        </w:rPr>
        <w:t xml:space="preserve">women were concerned about </w:t>
      </w:r>
      <w:r w:rsidRPr="00A31423">
        <w:rPr>
          <w:rFonts w:asciiTheme="minorHAnsi" w:eastAsia="Times New Roman" w:hAnsiTheme="minorHAnsi" w:cstheme="minorHAnsi"/>
          <w:color w:val="000000"/>
        </w:rPr>
        <w:t xml:space="preserve">the </w:t>
      </w:r>
      <w:r w:rsidR="00E41222" w:rsidRPr="00A31423">
        <w:rPr>
          <w:rFonts w:asciiTheme="minorHAnsi" w:eastAsia="Times New Roman" w:hAnsiTheme="minorHAnsi" w:cstheme="minorHAnsi"/>
          <w:color w:val="000000"/>
        </w:rPr>
        <w:t xml:space="preserve">lack of progress in infrastructure work on toilets. This village were advised to dig pits, which they did. Due to floods, the pits were continuously inundated with water. They were advised to purchase </w:t>
      </w:r>
      <w:proofErr w:type="gramStart"/>
      <w:r w:rsidR="00E41222" w:rsidRPr="00A31423">
        <w:rPr>
          <w:rFonts w:asciiTheme="minorHAnsi" w:eastAsia="Times New Roman" w:hAnsiTheme="minorHAnsi" w:cstheme="minorHAnsi"/>
          <w:color w:val="000000"/>
        </w:rPr>
        <w:t>44 gallon</w:t>
      </w:r>
      <w:proofErr w:type="gramEnd"/>
      <w:r w:rsidR="00E41222" w:rsidRPr="00A31423">
        <w:rPr>
          <w:rFonts w:asciiTheme="minorHAnsi" w:eastAsia="Times New Roman" w:hAnsiTheme="minorHAnsi" w:cstheme="minorHAnsi"/>
          <w:color w:val="000000"/>
        </w:rPr>
        <w:t xml:space="preserve"> drums to use in pits. These could only be accessed from Daru, which </w:t>
      </w:r>
      <w:r w:rsidRPr="00A31423">
        <w:rPr>
          <w:rFonts w:asciiTheme="minorHAnsi" w:eastAsia="Times New Roman" w:hAnsiTheme="minorHAnsi" w:cstheme="minorHAnsi"/>
          <w:color w:val="000000"/>
        </w:rPr>
        <w:t>is</w:t>
      </w:r>
      <w:r w:rsidR="00E41222" w:rsidRPr="00A31423">
        <w:rPr>
          <w:rFonts w:asciiTheme="minorHAnsi" w:eastAsia="Times New Roman" w:hAnsiTheme="minorHAnsi" w:cstheme="minorHAnsi"/>
          <w:color w:val="000000"/>
        </w:rPr>
        <w:t xml:space="preserve"> costly. Drums are also not always available. When the implementing partner conducted a monitoring visit and found they had not prepared appropriate pits, </w:t>
      </w:r>
      <w:r w:rsidRPr="00A31423">
        <w:rPr>
          <w:rFonts w:asciiTheme="minorHAnsi" w:eastAsia="Times New Roman" w:hAnsiTheme="minorHAnsi" w:cstheme="minorHAnsi"/>
          <w:color w:val="000000"/>
        </w:rPr>
        <w:t>they were informed that</w:t>
      </w:r>
      <w:r w:rsidR="00E41222" w:rsidRPr="00A31423">
        <w:rPr>
          <w:rFonts w:asciiTheme="minorHAnsi" w:eastAsia="Times New Roman" w:hAnsiTheme="minorHAnsi" w:cstheme="minorHAnsi"/>
          <w:color w:val="000000"/>
        </w:rPr>
        <w:t xml:space="preserve"> they would not be further assisted until they had </w:t>
      </w:r>
      <w:r w:rsidR="00E41222" w:rsidRPr="00A31423">
        <w:rPr>
          <w:rFonts w:asciiTheme="minorHAnsi" w:eastAsia="Times New Roman" w:hAnsiTheme="minorHAnsi" w:cstheme="minorHAnsi"/>
          <w:color w:val="000000"/>
          <w:shd w:val="clear" w:color="auto" w:fill="FFFFFF"/>
        </w:rPr>
        <w:t>appropriate pits.</w:t>
      </w:r>
      <w:r w:rsidR="00E41222" w:rsidRPr="00A31423">
        <w:rPr>
          <w:rFonts w:asciiTheme="minorHAnsi" w:eastAsia="Times New Roman" w:hAnsiTheme="minorHAnsi" w:cstheme="minorHAnsi"/>
          <w:i/>
          <w:iCs/>
          <w:color w:val="000000"/>
          <w:shd w:val="clear" w:color="auto" w:fill="FFFFFF"/>
        </w:rPr>
        <w:t> </w:t>
      </w:r>
      <w:r w:rsidRPr="00A31423">
        <w:rPr>
          <w:rFonts w:asciiTheme="minorHAnsi" w:eastAsia="Times New Roman" w:hAnsiTheme="minorHAnsi" w:cstheme="minorHAnsi"/>
        </w:rPr>
        <w:t xml:space="preserve"> </w:t>
      </w:r>
    </w:p>
    <w:p w14:paraId="36499492" w14:textId="06E7A619" w:rsidR="00475C4C" w:rsidRPr="00A31423" w:rsidRDefault="00475C4C" w:rsidP="00DA464F">
      <w:pPr>
        <w:pStyle w:val="BodyText"/>
        <w:spacing w:line="276" w:lineRule="auto"/>
        <w:rPr>
          <w:rFonts w:asciiTheme="minorHAnsi" w:hAnsiTheme="minorHAnsi" w:cstheme="minorHAnsi"/>
        </w:rPr>
      </w:pPr>
      <w:r w:rsidRPr="00A31423">
        <w:rPr>
          <w:rFonts w:asciiTheme="minorHAnsi" w:hAnsiTheme="minorHAnsi" w:cstheme="minorHAnsi"/>
        </w:rPr>
        <w:t>The approach to engagement and facilitating behaviour change can</w:t>
      </w:r>
      <w:r w:rsidRPr="00A31423">
        <w:rPr>
          <w:rFonts w:asciiTheme="minorHAnsi" w:eastAsia="Times New Roman" w:hAnsiTheme="minorHAnsi" w:cstheme="minorHAnsi"/>
        </w:rPr>
        <w:t xml:space="preserve"> </w:t>
      </w:r>
      <w:r w:rsidR="003B714D" w:rsidRPr="00A31423">
        <w:rPr>
          <w:rFonts w:asciiTheme="minorHAnsi" w:hAnsiTheme="minorHAnsi" w:cstheme="minorHAnsi"/>
        </w:rPr>
        <w:t>be more balanced, by</w:t>
      </w:r>
      <w:r w:rsidR="008804A7" w:rsidRPr="00A31423">
        <w:rPr>
          <w:rFonts w:asciiTheme="minorHAnsi" w:hAnsiTheme="minorHAnsi" w:cstheme="minorHAnsi"/>
        </w:rPr>
        <w:t xml:space="preserve"> employing positive messaging, patience, </w:t>
      </w:r>
      <w:r w:rsidR="003B714D" w:rsidRPr="00A31423">
        <w:rPr>
          <w:rFonts w:asciiTheme="minorHAnsi" w:hAnsiTheme="minorHAnsi" w:cstheme="minorHAnsi"/>
        </w:rPr>
        <w:t>evidence-based</w:t>
      </w:r>
      <w:r w:rsidR="008804A7" w:rsidRPr="00A31423">
        <w:rPr>
          <w:rFonts w:asciiTheme="minorHAnsi" w:hAnsiTheme="minorHAnsi" w:cstheme="minorHAnsi"/>
        </w:rPr>
        <w:t xml:space="preserve"> consultation</w:t>
      </w:r>
      <w:r w:rsidR="00A87820" w:rsidRPr="00A31423">
        <w:rPr>
          <w:rFonts w:asciiTheme="minorHAnsi" w:hAnsiTheme="minorHAnsi" w:cstheme="minorHAnsi"/>
        </w:rPr>
        <w:t xml:space="preserve"> and dialogue</w:t>
      </w:r>
      <w:r w:rsidR="008804A7" w:rsidRPr="00A31423">
        <w:rPr>
          <w:rFonts w:asciiTheme="minorHAnsi" w:hAnsiTheme="minorHAnsi" w:cstheme="minorHAnsi"/>
        </w:rPr>
        <w:t xml:space="preserve"> and decision making by consensus, while building on existing behaviours </w:t>
      </w:r>
      <w:r w:rsidR="00FD3DA2" w:rsidRPr="00A31423">
        <w:rPr>
          <w:rFonts w:asciiTheme="minorHAnsi" w:hAnsiTheme="minorHAnsi" w:cstheme="minorHAnsi"/>
        </w:rPr>
        <w:t>wherever</w:t>
      </w:r>
      <w:r w:rsidR="008804A7" w:rsidRPr="00A31423">
        <w:rPr>
          <w:rFonts w:asciiTheme="minorHAnsi" w:hAnsiTheme="minorHAnsi" w:cstheme="minorHAnsi"/>
        </w:rPr>
        <w:t xml:space="preserve"> possible. </w:t>
      </w:r>
      <w:r w:rsidR="003B714D" w:rsidRPr="00A31423">
        <w:rPr>
          <w:rFonts w:asciiTheme="minorHAnsi" w:hAnsiTheme="minorHAnsi" w:cstheme="minorHAnsi"/>
        </w:rPr>
        <w:t xml:space="preserve">This takes </w:t>
      </w:r>
      <w:proofErr w:type="gramStart"/>
      <w:r w:rsidR="003B714D" w:rsidRPr="00A31423">
        <w:rPr>
          <w:rFonts w:asciiTheme="minorHAnsi" w:hAnsiTheme="minorHAnsi" w:cstheme="minorHAnsi"/>
        </w:rPr>
        <w:t>patience, but</w:t>
      </w:r>
      <w:proofErr w:type="gramEnd"/>
      <w:r w:rsidR="003B714D" w:rsidRPr="00A31423">
        <w:rPr>
          <w:rFonts w:asciiTheme="minorHAnsi" w:hAnsiTheme="minorHAnsi" w:cstheme="minorHAnsi"/>
        </w:rPr>
        <w:t xml:space="preserve"> seems a more appropriate way of working in rural Papua New Guinea. </w:t>
      </w:r>
    </w:p>
    <w:p w14:paraId="55AA1F25" w14:textId="7A06D82F" w:rsidR="006A0377" w:rsidRDefault="31A9DF3B" w:rsidP="00F51552">
      <w:r>
        <w:t>Engagement with District authorities, during the formulation of the SFRP and the early phases of implementation, has also not met expectations.</w:t>
      </w:r>
      <w:r w:rsidR="008804A7">
        <w:t xml:space="preserve"> </w:t>
      </w:r>
      <w:r w:rsidR="003B714D">
        <w:t>While presentations on the Plan have been made and factsheets disseminated, t</w:t>
      </w:r>
      <w:r w:rsidR="008804A7">
        <w:t>he District Administrat</w:t>
      </w:r>
      <w:r w:rsidR="00DA713E">
        <w:t>or</w:t>
      </w:r>
      <w:r w:rsidR="008804A7">
        <w:t xml:space="preserve"> was apparently only </w:t>
      </w:r>
      <w:r w:rsidR="00DA713E">
        <w:t xml:space="preserve">made </w:t>
      </w:r>
      <w:r w:rsidR="008804A7">
        <w:t>aware of the SFRP when they were approached to establish the District WASH Committee.</w:t>
      </w:r>
      <w:r w:rsidR="003B714D">
        <w:t xml:space="preserve"> While effort to </w:t>
      </w:r>
      <w:r w:rsidR="00DB795C">
        <w:t xml:space="preserve">inform and </w:t>
      </w:r>
      <w:r w:rsidR="003B714D">
        <w:t>consult was made, this evidently did not meet expectations.</w:t>
      </w:r>
      <w:r>
        <w:t xml:space="preserve"> </w:t>
      </w:r>
    </w:p>
    <w:p w14:paraId="1527F97D" w14:textId="2D44851C" w:rsidR="00FC7205" w:rsidRDefault="006A0377" w:rsidP="00F51552">
      <w:r>
        <w:lastRenderedPageBreak/>
        <w:t>A</w:t>
      </w:r>
      <w:r w:rsidR="003B714D">
        <w:t xml:space="preserve"> stakeholder engagement plan is in use, </w:t>
      </w:r>
      <w:r>
        <w:t xml:space="preserve">and the Rangers are now utilised for communication, </w:t>
      </w:r>
      <w:r w:rsidR="00014B5F">
        <w:t>A</w:t>
      </w:r>
      <w:r w:rsidR="003B714D">
        <w:t xml:space="preserve"> more systematic approach will be beneficial. </w:t>
      </w:r>
      <w:r w:rsidR="31A9DF3B">
        <w:t>An engagement protocol</w:t>
      </w:r>
      <w:r w:rsidR="000F687F">
        <w:t xml:space="preserve">, which is mindful of </w:t>
      </w:r>
      <w:r w:rsidR="00C030D9">
        <w:t>gender inequality</w:t>
      </w:r>
      <w:r>
        <w:t>, and the continued utilisation of the Rangers for communication</w:t>
      </w:r>
      <w:r w:rsidR="31A9DF3B">
        <w:t xml:space="preserve"> will help.</w:t>
      </w:r>
    </w:p>
    <w:p w14:paraId="533E1958" w14:textId="77777777" w:rsidR="00C316E4" w:rsidRDefault="00C316E4" w:rsidP="00C316E4">
      <w:pPr>
        <w:pBdr>
          <w:top w:val="single" w:sz="36" w:space="1" w:color="45A7E1" w:themeColor="accent1"/>
          <w:left w:val="single" w:sz="36" w:space="4" w:color="45A7E1" w:themeColor="accent1"/>
          <w:bottom w:val="single" w:sz="36" w:space="1" w:color="45A7E1" w:themeColor="accent1"/>
          <w:right w:val="single" w:sz="36" w:space="4" w:color="45A7E1" w:themeColor="accent1"/>
        </w:pBdr>
      </w:pPr>
      <w:r w:rsidRPr="00A220A6">
        <w:rPr>
          <w:b/>
          <w:bCs/>
        </w:rPr>
        <w:t>Recommendation 1:</w:t>
      </w:r>
      <w:r>
        <w:t xml:space="preserve"> Implementing partners and DFAT should</w:t>
      </w:r>
      <w:r w:rsidRPr="007374F1">
        <w:t xml:space="preserve"> </w:t>
      </w:r>
      <w:r>
        <w:t>consider how best to improve</w:t>
      </w:r>
      <w:r w:rsidRPr="007374F1">
        <w:t xml:space="preserve"> </w:t>
      </w:r>
      <w:r>
        <w:t>engagement with, and reporting to, District authorities and communities</w:t>
      </w:r>
      <w:r w:rsidRPr="007374F1">
        <w:t xml:space="preserve">, while furthering the practice of adaptive management </w:t>
      </w:r>
      <w:r>
        <w:t>for gains in</w:t>
      </w:r>
      <w:r w:rsidRPr="007374F1">
        <w:t xml:space="preserve"> efficiency and effectiveness.</w:t>
      </w:r>
      <w:r>
        <w:t xml:space="preserve"> </w:t>
      </w:r>
    </w:p>
    <w:p w14:paraId="2BCD50E0" w14:textId="5A0D4287" w:rsidR="009D76D1" w:rsidRDefault="009D76D1" w:rsidP="00F51552">
      <w:r>
        <w:t>Risks to future engagement, among communities and government, could stem from the inconsistent issuance of allowances for participating i</w:t>
      </w:r>
      <w:r w:rsidR="00A70F07">
        <w:t xml:space="preserve">n </w:t>
      </w:r>
      <w:r>
        <w:t xml:space="preserve">training and workshops </w:t>
      </w:r>
      <w:r w:rsidR="00A70F07">
        <w:t xml:space="preserve">run </w:t>
      </w:r>
      <w:r>
        <w:t>by</w:t>
      </w:r>
      <w:r w:rsidR="00A70F07">
        <w:t xml:space="preserve"> the SFRP’s</w:t>
      </w:r>
      <w:r>
        <w:t xml:space="preserve"> </w:t>
      </w:r>
      <w:r w:rsidR="002436F2">
        <w:t xml:space="preserve">implementing partners. A consistent approach will level the playing the field and manage expectations. </w:t>
      </w:r>
    </w:p>
    <w:p w14:paraId="46E6D12F" w14:textId="6BA48AC3" w:rsidR="009D76D1" w:rsidRDefault="009D76D1" w:rsidP="00F51552"/>
    <w:p w14:paraId="6C331906" w14:textId="72D08DEB" w:rsidR="00427B40" w:rsidRDefault="00427B40" w:rsidP="00D419E1"/>
    <w:p w14:paraId="5699C727" w14:textId="5514129B" w:rsidR="00D419E1" w:rsidRPr="00D419E1" w:rsidRDefault="00D419E1" w:rsidP="00D419E1"/>
    <w:p w14:paraId="1BB1A394" w14:textId="36AB5027" w:rsidR="00D419E1" w:rsidRDefault="00D419E1" w:rsidP="00D419E1">
      <w:pPr>
        <w:pStyle w:val="Heading1"/>
      </w:pPr>
      <w:bookmarkStart w:id="23" w:name="_Toc108259991"/>
      <w:r>
        <w:lastRenderedPageBreak/>
        <w:t xml:space="preserve">3. </w:t>
      </w:r>
      <w:r w:rsidRPr="00D419E1">
        <w:t>Efficiency</w:t>
      </w:r>
      <w:bookmarkEnd w:id="23"/>
    </w:p>
    <w:p w14:paraId="652EBDBC" w14:textId="23A3E1C7" w:rsidR="00FC7205" w:rsidRPr="00FC7205" w:rsidRDefault="00FC7205" w:rsidP="00A10CB3">
      <w:pPr>
        <w:pStyle w:val="Heading2"/>
      </w:pPr>
      <w:bookmarkStart w:id="24" w:name="_Toc108259992"/>
      <w:r>
        <w:t>3.1 Overview</w:t>
      </w:r>
      <w:bookmarkEnd w:id="24"/>
    </w:p>
    <w:p w14:paraId="23D43F93" w14:textId="3640284D" w:rsidR="00CD1AB4" w:rsidRDefault="00C040BA" w:rsidP="00C040BA">
      <w:r>
        <w:t>The</w:t>
      </w:r>
      <w:r w:rsidR="009B645A">
        <w:t xml:space="preserve"> </w:t>
      </w:r>
      <w:r w:rsidR="00264919">
        <w:t>SFD</w:t>
      </w:r>
      <w:r w:rsidR="009B645A">
        <w:t xml:space="preserve"> is a costly location to implement a development </w:t>
      </w:r>
      <w:r w:rsidR="007B07CE">
        <w:t>program</w:t>
      </w:r>
      <w:r w:rsidR="009B645A">
        <w:t>.</w:t>
      </w:r>
      <w:r>
        <w:t xml:space="preserve"> </w:t>
      </w:r>
      <w:r w:rsidR="009B645A">
        <w:t>This</w:t>
      </w:r>
      <w:r w:rsidR="00CD1AB4">
        <w:t xml:space="preserve"> is driven </w:t>
      </w:r>
      <w:r w:rsidR="00F64146">
        <w:t xml:space="preserve">largely </w:t>
      </w:r>
      <w:r w:rsidR="00CD1AB4">
        <w:t>by transportation cost</w:t>
      </w:r>
      <w:r w:rsidR="00F64146">
        <w:t xml:space="preserve">s </w:t>
      </w:r>
      <w:r w:rsidR="00CD1AB4">
        <w:t>and the absorptive capability of local stakeholders.</w:t>
      </w:r>
      <w:r w:rsidR="00E2381F">
        <w:t xml:space="preserve"> </w:t>
      </w:r>
      <w:r w:rsidR="001C6FCA">
        <w:t>Monitoring activities and results is also costly</w:t>
      </w:r>
      <w:r w:rsidR="004A44FF">
        <w:t xml:space="preserve">, and there is a risk that results are not verified. </w:t>
      </w:r>
    </w:p>
    <w:p w14:paraId="40B03231" w14:textId="241B45CD" w:rsidR="009B645A" w:rsidRDefault="00FA4870" w:rsidP="000B60B9">
      <w:r>
        <w:t>Much</w:t>
      </w:r>
      <w:r w:rsidR="4F9A08F7">
        <w:t xml:space="preserve"> has been </w:t>
      </w:r>
      <w:r>
        <w:t>done. But</w:t>
      </w:r>
      <w:r w:rsidR="4F9A08F7">
        <w:t xml:space="preserve"> in both components, particularly food security</w:t>
      </w:r>
      <w:r w:rsidR="00CF0529">
        <w:t xml:space="preserve"> and livelihoods</w:t>
      </w:r>
      <w:r w:rsidR="4F9A08F7">
        <w:t xml:space="preserve">, progress against outputs is behind schedule. In FLAG, budget execution has been rapid and uneven across budget lines. We view these more of symptoms of the design and the operating environment, than delays to implementation on behalf of implementing partners. There </w:t>
      </w:r>
      <w:r w:rsidR="00CF0529">
        <w:t>seems</w:t>
      </w:r>
      <w:r w:rsidR="4F9A08F7">
        <w:t xml:space="preserve"> a need to increase resourcing, enhance engagement and bolster quality assurance mechanisms. </w:t>
      </w:r>
    </w:p>
    <w:p w14:paraId="45518125" w14:textId="5814D737" w:rsidR="005A53C9" w:rsidRDefault="005A53C9" w:rsidP="000B60B9">
      <w:r>
        <w:rPr>
          <w:noProof/>
        </w:rPr>
        <mc:AlternateContent>
          <mc:Choice Requires="wps">
            <w:drawing>
              <wp:anchor distT="0" distB="0" distL="114300" distR="114300" simplePos="0" relativeHeight="251658242" behindDoc="0" locked="0" layoutInCell="1" allowOverlap="1" wp14:anchorId="178E16EB" wp14:editId="0A2A409D">
                <wp:simplePos x="0" y="0"/>
                <wp:positionH relativeFrom="column">
                  <wp:posOffset>19050</wp:posOffset>
                </wp:positionH>
                <wp:positionV relativeFrom="paragraph">
                  <wp:posOffset>-1238</wp:posOffset>
                </wp:positionV>
                <wp:extent cx="5805679" cy="1048934"/>
                <wp:effectExtent l="12700" t="12700" r="24130" b="31115"/>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05679" cy="1048934"/>
                        </a:xfrm>
                        <a:prstGeom prst="rect">
                          <a:avLst/>
                        </a:prstGeom>
                        <a:solidFill>
                          <a:schemeClr val="lt1"/>
                        </a:solidFill>
                        <a:ln w="34925">
                          <a:solidFill>
                            <a:schemeClr val="accent1"/>
                          </a:solidFill>
                        </a:ln>
                      </wps:spPr>
                      <wps:txbx>
                        <w:txbxContent>
                          <w:p w14:paraId="72E2D141" w14:textId="77777777" w:rsidR="005A53C9" w:rsidRDefault="00032B5B" w:rsidP="005A53C9">
                            <w:r w:rsidRPr="005A53C9">
                              <w:rPr>
                                <w:b/>
                                <w:bCs/>
                              </w:rPr>
                              <w:t xml:space="preserve">Recommendation 2: </w:t>
                            </w:r>
                            <w:r w:rsidR="005A53C9">
                              <w:t xml:space="preserve">Should the ambitions of the plan remain, an increase in resourcing is justified. This should be directed, largely, to i) the implementation of activities in food, </w:t>
                            </w:r>
                            <w:proofErr w:type="gramStart"/>
                            <w:r w:rsidR="005A53C9">
                              <w:t>livelihoods</w:t>
                            </w:r>
                            <w:proofErr w:type="gramEnd"/>
                            <w:r w:rsidR="005A53C9">
                              <w:t xml:space="preserve"> and governance, ii) the Australia Papua New Guinea sub–National Program’s administration and engagement function in Daru iii) a bolstered monitoring and quality assurance function and iv) activities to contribute to or progress gender equality.</w:t>
                            </w:r>
                          </w:p>
                          <w:p w14:paraId="0D84F9D1" w14:textId="0282B05D" w:rsidR="00032B5B" w:rsidRDefault="00032B5B" w:rsidP="00032B5B"/>
                          <w:p w14:paraId="0B1AB484" w14:textId="417073BC" w:rsidR="00032B5B" w:rsidRDefault="00032B5B" w:rsidP="00032B5B"/>
                          <w:p w14:paraId="1A8BDE02" w14:textId="77777777" w:rsidR="00032B5B" w:rsidRDefault="00032B5B" w:rsidP="00032B5B"/>
                          <w:p w14:paraId="02D0B318" w14:textId="77777777" w:rsidR="00032B5B" w:rsidRPr="00BD7FE1" w:rsidRDefault="00032B5B" w:rsidP="00032B5B">
                            <w:pPr>
                              <w:rPr>
                                <w:b/>
                                <w:bCs/>
                              </w:rPr>
                            </w:pPr>
                          </w:p>
                          <w:p w14:paraId="1B735452" w14:textId="77777777" w:rsidR="00032B5B" w:rsidRDefault="00032B5B" w:rsidP="00032B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E16EB" id="_x0000_t202" coordsize="21600,21600" o:spt="202" path="m,l,21600r21600,l21600,xe">
                <v:stroke joinstyle="miter"/>
                <v:path gradientshapeok="t" o:connecttype="rect"/>
              </v:shapetype>
              <v:shape id="Text Box 8" o:spid="_x0000_s1026" type="#_x0000_t202" alt="&quot;&quot;" style="position:absolute;left:0;text-align:left;margin-left:1.5pt;margin-top:-.1pt;width:457.15pt;height:82.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MOAIAAIIEAAAOAAAAZHJzL2Uyb0RvYy54bWysVE1v2zAMvQ/YfxB0X+ykTpsYcYosRYYB&#10;QVsgLXpWZDk2IIuapMTOfv0o2flo19Owi0KK9BP5+JjZfVtLchDGVqAyOhzElAjFIa/ULqOvL6tv&#10;E0qsYypnEpTI6FFYej//+mXW6FSMoASZC0MQRNm00RktndNpFFleiprZAWihMFiAqZlD1+yi3LAG&#10;0WsZjeL4NmrA5NoAF9bi7UMXpPOAXxSCu6eisMIRmVGszYXThHPrz2g+Y+nOMF1WvC+D/UMVNasU&#10;PnqGemCOkb2p/oKqK27AQuEGHOoIiqLiIvSA3QzjD91sSqZF6AXJsfpMk/1/sPzxsNHPhrj2O7Q4&#10;QE9Io21q8dL30xam9r9YKcE4Ung80yZaRzhejifx+PZuSgnH2DBOJtObxONEl8+1se6HgJp4I6MG&#10;5xLoYoe1dV3qKcW/ZkFW+aqSMjheC2IpDTkwnKJ0oUgEf5clFWkyepNMR+OA/C4Y5HSBYJwL9RkM&#10;gkqFhV8Y8JZrt21PyxbyI7JloBOS1XxVYUdrZt0zM6gcJAi3wT3hUUjAiqC3KCnB/P7s3ufjQDFK&#10;SYNKzKj9tWdGUCJ/Khz1dJgkXrrBScZ3I3TMdWR7HVH7eglI0xD3TvNg+nwnT2ZhoH7DpVn4VzHE&#10;FMe3M+pO5tJ1+4FLx8ViEZJQrJq5tdpo7qH9WPy8Xto3ZnQ/VId6eISTZln6YbZdrv9SwWLvoKjC&#10;4D3BHas97yj0IJ1+Kf0mXfsh6/LXMf8DAAD//wMAUEsDBBQABgAIAAAAIQDy8kZg3gAAAAcBAAAP&#10;AAAAZHJzL2Rvd25yZXYueG1sTI9PS8NAFMTvgt9heYIXaXebaqwxm2KFXgSR/gGvm+wzCc2+Ddlt&#10;E7+9z5MehxlmfpOvJ9eJCw6h9aRhMVcgkCpvW6o1HA/b2QpEiIas6Tyhhm8MsC6ur3KTWT/SDi/7&#10;WAsuoZAZDU2MfSZlqBp0Jsx9j8Telx+ciSyHWtrBjFzuOpkolUpnWuKFxvT42mB12p+dhs099eou&#10;pB9JOu5Wm/LdnLafb1rf3kwvzyAiTvEvDL/4jA4FM5X+TDaITsOSn0QNswQEu0+LxyWIkmPpgwJZ&#10;5PI/f/EDAAD//wMAUEsBAi0AFAAGAAgAAAAhALaDOJL+AAAA4QEAABMAAAAAAAAAAAAAAAAAAAAA&#10;AFtDb250ZW50X1R5cGVzXS54bWxQSwECLQAUAAYACAAAACEAOP0h/9YAAACUAQAACwAAAAAAAAAA&#10;AAAAAAAvAQAAX3JlbHMvLnJlbHNQSwECLQAUAAYACAAAACEA0Pv3TDgCAACCBAAADgAAAAAAAAAA&#10;AAAAAAAuAgAAZHJzL2Uyb0RvYy54bWxQSwECLQAUAAYACAAAACEA8vJGYN4AAAAHAQAADwAAAAAA&#10;AAAAAAAAAACSBAAAZHJzL2Rvd25yZXYueG1sUEsFBgAAAAAEAAQA8wAAAJ0FAAAAAA==&#10;" fillcolor="white [3201]" strokecolor="#45a7e1 [3204]" strokeweight="2.75pt">
                <v:textbox>
                  <w:txbxContent>
                    <w:p w14:paraId="72E2D141" w14:textId="77777777" w:rsidR="005A53C9" w:rsidRDefault="00032B5B" w:rsidP="005A53C9">
                      <w:r w:rsidRPr="005A53C9">
                        <w:rPr>
                          <w:b/>
                          <w:bCs/>
                        </w:rPr>
                        <w:t xml:space="preserve">Recommendation 2: </w:t>
                      </w:r>
                      <w:r w:rsidR="005A53C9">
                        <w:t xml:space="preserve">Should the ambitions of the plan remain, an increase in resourcing is justified. This should be directed, largely, to i) the implementation of activities in food, </w:t>
                      </w:r>
                      <w:proofErr w:type="gramStart"/>
                      <w:r w:rsidR="005A53C9">
                        <w:t>livelihoods</w:t>
                      </w:r>
                      <w:proofErr w:type="gramEnd"/>
                      <w:r w:rsidR="005A53C9">
                        <w:t xml:space="preserve"> and governance, ii) the Australia Papua New Guinea sub–National Program’s administration and engagement function in Daru iii) a bolstered monitoring and quality assurance function and iv) activities to contribute to or progress gender equality.</w:t>
                      </w:r>
                    </w:p>
                    <w:p w14:paraId="0D84F9D1" w14:textId="0282B05D" w:rsidR="00032B5B" w:rsidRDefault="00032B5B" w:rsidP="00032B5B"/>
                    <w:p w14:paraId="0B1AB484" w14:textId="417073BC" w:rsidR="00032B5B" w:rsidRDefault="00032B5B" w:rsidP="00032B5B"/>
                    <w:p w14:paraId="1A8BDE02" w14:textId="77777777" w:rsidR="00032B5B" w:rsidRDefault="00032B5B" w:rsidP="00032B5B"/>
                    <w:p w14:paraId="02D0B318" w14:textId="77777777" w:rsidR="00032B5B" w:rsidRPr="00BD7FE1" w:rsidRDefault="00032B5B" w:rsidP="00032B5B">
                      <w:pPr>
                        <w:rPr>
                          <w:b/>
                          <w:bCs/>
                        </w:rPr>
                      </w:pPr>
                    </w:p>
                    <w:p w14:paraId="1B735452" w14:textId="77777777" w:rsidR="00032B5B" w:rsidRDefault="00032B5B" w:rsidP="00032B5B"/>
                  </w:txbxContent>
                </v:textbox>
              </v:shape>
            </w:pict>
          </mc:Fallback>
        </mc:AlternateContent>
      </w:r>
    </w:p>
    <w:p w14:paraId="60729D95" w14:textId="22314AF1" w:rsidR="00032B5B" w:rsidRDefault="00032B5B" w:rsidP="00C040BA"/>
    <w:p w14:paraId="2C4E0598" w14:textId="180AFCFC" w:rsidR="00032B5B" w:rsidRDefault="00032B5B" w:rsidP="00C040BA"/>
    <w:p w14:paraId="621B99D5" w14:textId="55A0D03B" w:rsidR="00032B5B" w:rsidRDefault="00032B5B" w:rsidP="00C040BA"/>
    <w:p w14:paraId="67412F78" w14:textId="743AE1A0" w:rsidR="00C040BA" w:rsidRDefault="00C040BA" w:rsidP="00C040BA">
      <w:pPr>
        <w:pStyle w:val="Heading2"/>
      </w:pPr>
      <w:bookmarkStart w:id="25" w:name="_Toc108259993"/>
      <w:r>
        <w:t>3.</w:t>
      </w:r>
      <w:r w:rsidR="00FC7205">
        <w:t>2</w:t>
      </w:r>
      <w:r>
        <w:t xml:space="preserve"> Achievement of outputs and budget execution in food, </w:t>
      </w:r>
      <w:proofErr w:type="gramStart"/>
      <w:r>
        <w:t>livelihood</w:t>
      </w:r>
      <w:proofErr w:type="gramEnd"/>
      <w:r>
        <w:t xml:space="preserve"> and governance</w:t>
      </w:r>
      <w:bookmarkEnd w:id="25"/>
    </w:p>
    <w:p w14:paraId="4072AA8C" w14:textId="78F72987" w:rsidR="00041973" w:rsidRDefault="00041973" w:rsidP="003562C9">
      <w:r>
        <w:t xml:space="preserve">This component adopts a multi-layered approach, whereby RRRC have an over-the-top contract and subcontracts INLOC. The approach may affect the extent to which adaptive management can be practiced effectively.  </w:t>
      </w:r>
    </w:p>
    <w:p w14:paraId="0CD3457A" w14:textId="0E82869B" w:rsidR="00E2381F" w:rsidRDefault="00934C1F" w:rsidP="003562C9">
      <w:r>
        <w:t xml:space="preserve">The FLAG component includes a range of activities and outputs that are new to Government, communities and implementing partners. These challenges were </w:t>
      </w:r>
      <w:r w:rsidRPr="005321D1">
        <w:t xml:space="preserve">compounded by the ambitions of the SFRP, and the </w:t>
      </w:r>
      <w:r w:rsidR="0069035D" w:rsidRPr="005321D1">
        <w:t>top-down</w:t>
      </w:r>
      <w:r w:rsidRPr="005321D1">
        <w:t xml:space="preserve"> </w:t>
      </w:r>
      <w:r w:rsidR="00ED03BE" w:rsidRPr="005321D1">
        <w:t>way</w:t>
      </w:r>
      <w:r w:rsidRPr="005321D1">
        <w:t xml:space="preserve"> the</w:t>
      </w:r>
      <w:r w:rsidR="0069035D" w:rsidRPr="005321D1">
        <w:t xml:space="preserve"> SFRP and the</w:t>
      </w:r>
      <w:r w:rsidR="00FA344E" w:rsidRPr="005321D1">
        <w:t xml:space="preserve"> associated</w:t>
      </w:r>
      <w:r w:rsidRPr="005321D1">
        <w:t xml:space="preserve"> work pla</w:t>
      </w:r>
      <w:r w:rsidR="00FA344E" w:rsidRPr="005321D1">
        <w:t>n</w:t>
      </w:r>
      <w:r w:rsidR="00DF721B" w:rsidRPr="005321D1">
        <w:t>s</w:t>
      </w:r>
      <w:r w:rsidRPr="005321D1">
        <w:t xml:space="preserve"> were </w:t>
      </w:r>
      <w:r w:rsidR="0069035D" w:rsidRPr="005321D1">
        <w:t>formulated</w:t>
      </w:r>
      <w:r w:rsidRPr="005321D1">
        <w:t>.</w:t>
      </w:r>
    </w:p>
    <w:p w14:paraId="2CB8DAA4" w14:textId="2C6D4A88" w:rsidR="00606404" w:rsidRDefault="00606404" w:rsidP="00606404">
      <w:pPr>
        <w:pStyle w:val="FigureImageTablehead"/>
      </w:pPr>
      <w:r>
        <w:t xml:space="preserve">Table 2: Key </w:t>
      </w:r>
      <w:r w:rsidR="002A3B57">
        <w:t xml:space="preserve">envisioned </w:t>
      </w:r>
      <w:r w:rsidR="00326A0F">
        <w:t>actions</w:t>
      </w:r>
      <w:r>
        <w:t xml:space="preserve"> under the FLAG component</w:t>
      </w:r>
      <w:r w:rsidR="00326A0F">
        <w:t xml:space="preserve"> until June 2022</w:t>
      </w:r>
    </w:p>
    <w:tbl>
      <w:tblPr>
        <w:tblStyle w:val="GridTable1Light-Accent1"/>
        <w:tblW w:w="0" w:type="auto"/>
        <w:tblLook w:val="04A0" w:firstRow="1" w:lastRow="0" w:firstColumn="1" w:lastColumn="0" w:noHBand="0" w:noVBand="1"/>
      </w:tblPr>
      <w:tblGrid>
        <w:gridCol w:w="4590"/>
        <w:gridCol w:w="4591"/>
      </w:tblGrid>
      <w:tr w:rsidR="005E15E5" w:rsidRPr="00DE0FAC" w14:paraId="29B21EB8" w14:textId="77777777" w:rsidTr="00AA27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shd w:val="clear" w:color="auto" w:fill="45A7E1" w:themeFill="accent1"/>
          </w:tcPr>
          <w:p w14:paraId="2B63C35F" w14:textId="58EFF04A" w:rsidR="005E15E5" w:rsidRPr="008B09C0" w:rsidRDefault="005E15E5" w:rsidP="005E15E5">
            <w:pPr>
              <w:rPr>
                <w:color w:val="FFFFFF" w:themeColor="background1"/>
                <w:sz w:val="20"/>
                <w:szCs w:val="20"/>
              </w:rPr>
            </w:pPr>
            <w:r w:rsidRPr="00546955">
              <w:rPr>
                <w:sz w:val="20"/>
                <w:szCs w:val="20"/>
              </w:rPr>
              <w:t>RRRC</w:t>
            </w:r>
            <w:r>
              <w:rPr>
                <w:sz w:val="20"/>
                <w:szCs w:val="20"/>
              </w:rPr>
              <w:t>/INLOC</w:t>
            </w:r>
          </w:p>
        </w:tc>
        <w:tc>
          <w:tcPr>
            <w:tcW w:w="4591" w:type="dxa"/>
            <w:shd w:val="clear" w:color="auto" w:fill="45A7E1" w:themeFill="accent1"/>
          </w:tcPr>
          <w:p w14:paraId="2D4ACD48" w14:textId="7F6217BF" w:rsidR="005E15E5" w:rsidRPr="008B09C0" w:rsidRDefault="005E15E5" w:rsidP="005E15E5">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Pr>
                <w:sz w:val="20"/>
                <w:szCs w:val="20"/>
              </w:rPr>
              <w:t>APSP</w:t>
            </w:r>
            <w:r w:rsidRPr="00546955">
              <w:rPr>
                <w:sz w:val="20"/>
                <w:szCs w:val="20"/>
              </w:rPr>
              <w:t>/DCP</w:t>
            </w:r>
          </w:p>
        </w:tc>
      </w:tr>
      <w:tr w:rsidR="005E15E5" w:rsidRPr="00DE0FAC" w14:paraId="7357393E" w14:textId="77777777" w:rsidTr="00AA271A">
        <w:trPr>
          <w:trHeight w:val="225"/>
        </w:trPr>
        <w:tc>
          <w:tcPr>
            <w:cnfStyle w:val="001000000000" w:firstRow="0" w:lastRow="0" w:firstColumn="1" w:lastColumn="0" w:oddVBand="0" w:evenVBand="0" w:oddHBand="0" w:evenHBand="0" w:firstRowFirstColumn="0" w:firstRowLastColumn="0" w:lastRowFirstColumn="0" w:lastRowLastColumn="0"/>
            <w:tcW w:w="4590" w:type="dxa"/>
          </w:tcPr>
          <w:p w14:paraId="3F7F1D28" w14:textId="77777777" w:rsidR="005E15E5" w:rsidRPr="00822B5E" w:rsidRDefault="005E15E5" w:rsidP="005E15E5">
            <w:pPr>
              <w:pStyle w:val="ListParagraph"/>
              <w:widowControl w:val="0"/>
              <w:numPr>
                <w:ilvl w:val="0"/>
                <w:numId w:val="5"/>
              </w:numPr>
              <w:autoSpaceDE w:val="0"/>
              <w:autoSpaceDN w:val="0"/>
              <w:spacing w:before="0" w:after="0" w:line="240" w:lineRule="auto"/>
              <w:jc w:val="left"/>
              <w:rPr>
                <w:b w:val="0"/>
                <w:bCs w:val="0"/>
                <w:sz w:val="18"/>
                <w:szCs w:val="18"/>
              </w:rPr>
            </w:pPr>
            <w:r w:rsidRPr="00822B5E">
              <w:rPr>
                <w:b w:val="0"/>
                <w:bCs w:val="0"/>
                <w:sz w:val="18"/>
                <w:szCs w:val="18"/>
              </w:rPr>
              <w:t>Tok Save Roadshows / community consultation</w:t>
            </w:r>
          </w:p>
          <w:p w14:paraId="0A8E5C47" w14:textId="77777777" w:rsidR="005E15E5" w:rsidRPr="00822B5E" w:rsidRDefault="005E15E5" w:rsidP="005E15E5">
            <w:pPr>
              <w:pStyle w:val="ListParagraph"/>
              <w:widowControl w:val="0"/>
              <w:numPr>
                <w:ilvl w:val="0"/>
                <w:numId w:val="5"/>
              </w:numPr>
              <w:autoSpaceDE w:val="0"/>
              <w:autoSpaceDN w:val="0"/>
              <w:spacing w:before="0" w:after="0" w:line="240" w:lineRule="auto"/>
              <w:jc w:val="left"/>
              <w:rPr>
                <w:b w:val="0"/>
                <w:bCs w:val="0"/>
                <w:sz w:val="18"/>
                <w:szCs w:val="18"/>
              </w:rPr>
            </w:pPr>
            <w:r w:rsidRPr="00822B5E">
              <w:rPr>
                <w:b w:val="0"/>
                <w:bCs w:val="0"/>
                <w:sz w:val="18"/>
                <w:szCs w:val="18"/>
              </w:rPr>
              <w:t>Basic agriculture workshops</w:t>
            </w:r>
          </w:p>
          <w:p w14:paraId="1276D3FB" w14:textId="77777777" w:rsidR="005E15E5" w:rsidRPr="00822B5E" w:rsidRDefault="005E15E5" w:rsidP="005E15E5">
            <w:pPr>
              <w:pStyle w:val="ListParagraph"/>
              <w:widowControl w:val="0"/>
              <w:numPr>
                <w:ilvl w:val="0"/>
                <w:numId w:val="5"/>
              </w:numPr>
              <w:autoSpaceDE w:val="0"/>
              <w:autoSpaceDN w:val="0"/>
              <w:spacing w:before="0" w:after="0" w:line="240" w:lineRule="auto"/>
              <w:jc w:val="left"/>
              <w:rPr>
                <w:b w:val="0"/>
                <w:bCs w:val="0"/>
                <w:sz w:val="18"/>
                <w:szCs w:val="18"/>
              </w:rPr>
            </w:pPr>
            <w:r w:rsidRPr="00822B5E">
              <w:rPr>
                <w:b w:val="0"/>
                <w:bCs w:val="0"/>
                <w:sz w:val="18"/>
                <w:szCs w:val="18"/>
              </w:rPr>
              <w:t>Procurement and distribution of water wheels</w:t>
            </w:r>
          </w:p>
          <w:p w14:paraId="73AF02E5" w14:textId="77777777" w:rsidR="005E15E5" w:rsidRPr="00822B5E" w:rsidRDefault="005E15E5" w:rsidP="005E15E5">
            <w:pPr>
              <w:pStyle w:val="ListParagraph"/>
              <w:widowControl w:val="0"/>
              <w:numPr>
                <w:ilvl w:val="0"/>
                <w:numId w:val="5"/>
              </w:numPr>
              <w:autoSpaceDE w:val="0"/>
              <w:autoSpaceDN w:val="0"/>
              <w:spacing w:before="0" w:after="0" w:line="240" w:lineRule="auto"/>
              <w:jc w:val="left"/>
              <w:rPr>
                <w:b w:val="0"/>
                <w:bCs w:val="0"/>
                <w:sz w:val="18"/>
                <w:szCs w:val="18"/>
              </w:rPr>
            </w:pPr>
            <w:r w:rsidRPr="00822B5E">
              <w:rPr>
                <w:b w:val="0"/>
                <w:bCs w:val="0"/>
                <w:sz w:val="18"/>
                <w:szCs w:val="18"/>
              </w:rPr>
              <w:t xml:space="preserve">Facilitate and support communities to construct nursery infrastructure </w:t>
            </w:r>
          </w:p>
          <w:p w14:paraId="1C0F0CAC" w14:textId="77777777" w:rsidR="005E15E5" w:rsidRPr="00822B5E" w:rsidRDefault="005E15E5" w:rsidP="005E15E5">
            <w:pPr>
              <w:pStyle w:val="ListParagraph"/>
              <w:widowControl w:val="0"/>
              <w:numPr>
                <w:ilvl w:val="0"/>
                <w:numId w:val="5"/>
              </w:numPr>
              <w:autoSpaceDE w:val="0"/>
              <w:autoSpaceDN w:val="0"/>
              <w:spacing w:before="0" w:after="0" w:line="240" w:lineRule="auto"/>
              <w:jc w:val="left"/>
              <w:rPr>
                <w:b w:val="0"/>
                <w:bCs w:val="0"/>
                <w:sz w:val="18"/>
                <w:szCs w:val="18"/>
              </w:rPr>
            </w:pPr>
            <w:r w:rsidRPr="00822B5E">
              <w:rPr>
                <w:b w:val="0"/>
                <w:bCs w:val="0"/>
                <w:sz w:val="18"/>
                <w:szCs w:val="18"/>
              </w:rPr>
              <w:t>Provision of moringa trees</w:t>
            </w:r>
          </w:p>
          <w:p w14:paraId="0865D12B" w14:textId="77777777" w:rsidR="005E15E5" w:rsidRPr="00822B5E" w:rsidRDefault="005E15E5" w:rsidP="005E15E5">
            <w:pPr>
              <w:pStyle w:val="ListParagraph"/>
              <w:widowControl w:val="0"/>
              <w:numPr>
                <w:ilvl w:val="0"/>
                <w:numId w:val="5"/>
              </w:numPr>
              <w:autoSpaceDE w:val="0"/>
              <w:autoSpaceDN w:val="0"/>
              <w:spacing w:before="0" w:after="0" w:line="240" w:lineRule="auto"/>
              <w:jc w:val="left"/>
              <w:rPr>
                <w:b w:val="0"/>
                <w:bCs w:val="0"/>
                <w:sz w:val="18"/>
                <w:szCs w:val="18"/>
              </w:rPr>
            </w:pPr>
            <w:r w:rsidRPr="00822B5E">
              <w:rPr>
                <w:b w:val="0"/>
                <w:bCs w:val="0"/>
                <w:sz w:val="18"/>
                <w:szCs w:val="18"/>
              </w:rPr>
              <w:t>Income generation trials</w:t>
            </w:r>
          </w:p>
          <w:p w14:paraId="45161851" w14:textId="1C857FA3" w:rsidR="005E15E5" w:rsidRPr="00822B5E" w:rsidRDefault="005E15E5" w:rsidP="005E15E5">
            <w:pPr>
              <w:pStyle w:val="ListParagraph"/>
              <w:widowControl w:val="0"/>
              <w:numPr>
                <w:ilvl w:val="0"/>
                <w:numId w:val="5"/>
              </w:numPr>
              <w:autoSpaceDE w:val="0"/>
              <w:autoSpaceDN w:val="0"/>
              <w:spacing w:before="0" w:after="0" w:line="240" w:lineRule="auto"/>
              <w:jc w:val="left"/>
              <w:rPr>
                <w:b w:val="0"/>
                <w:bCs w:val="0"/>
                <w:sz w:val="18"/>
                <w:szCs w:val="18"/>
              </w:rPr>
            </w:pPr>
            <w:r w:rsidRPr="00822B5E">
              <w:rPr>
                <w:b w:val="0"/>
                <w:bCs w:val="0"/>
                <w:sz w:val="18"/>
                <w:szCs w:val="18"/>
              </w:rPr>
              <w:t xml:space="preserve">Capacity development </w:t>
            </w:r>
            <w:r>
              <w:rPr>
                <w:b w:val="0"/>
                <w:bCs w:val="0"/>
                <w:sz w:val="18"/>
                <w:szCs w:val="18"/>
              </w:rPr>
              <w:t>DAL</w:t>
            </w:r>
            <w:r w:rsidR="00CD6430">
              <w:rPr>
                <w:b w:val="0"/>
                <w:bCs w:val="0"/>
                <w:sz w:val="18"/>
                <w:szCs w:val="18"/>
              </w:rPr>
              <w:t xml:space="preserve"> </w:t>
            </w:r>
            <w:r w:rsidR="00CD6430" w:rsidRPr="00CD6430">
              <w:rPr>
                <w:b w:val="0"/>
                <w:bCs w:val="0"/>
                <w:sz w:val="18"/>
                <w:szCs w:val="18"/>
              </w:rPr>
              <w:t>a</w:t>
            </w:r>
            <w:r w:rsidRPr="00822B5E">
              <w:rPr>
                <w:b w:val="0"/>
                <w:bCs w:val="0"/>
                <w:sz w:val="18"/>
                <w:szCs w:val="18"/>
              </w:rPr>
              <w:t xml:space="preserve">nd </w:t>
            </w:r>
            <w:r>
              <w:rPr>
                <w:b w:val="0"/>
                <w:bCs w:val="0"/>
                <w:sz w:val="18"/>
                <w:szCs w:val="18"/>
              </w:rPr>
              <w:t>NFA</w:t>
            </w:r>
          </w:p>
          <w:p w14:paraId="7BAFB004" w14:textId="77777777" w:rsidR="005E15E5" w:rsidRPr="00822B5E" w:rsidRDefault="005E15E5" w:rsidP="005E15E5">
            <w:pPr>
              <w:pStyle w:val="ListParagraph"/>
              <w:widowControl w:val="0"/>
              <w:numPr>
                <w:ilvl w:val="0"/>
                <w:numId w:val="5"/>
              </w:numPr>
              <w:autoSpaceDE w:val="0"/>
              <w:autoSpaceDN w:val="0"/>
              <w:spacing w:before="0" w:after="0" w:line="240" w:lineRule="auto"/>
              <w:jc w:val="left"/>
              <w:rPr>
                <w:b w:val="0"/>
                <w:bCs w:val="0"/>
                <w:sz w:val="18"/>
                <w:szCs w:val="18"/>
              </w:rPr>
            </w:pPr>
            <w:r w:rsidRPr="00822B5E">
              <w:rPr>
                <w:b w:val="0"/>
                <w:bCs w:val="0"/>
                <w:sz w:val="18"/>
                <w:szCs w:val="18"/>
              </w:rPr>
              <w:t xml:space="preserve">Facilitate enhancement of bush road from </w:t>
            </w:r>
            <w:proofErr w:type="spellStart"/>
            <w:r w:rsidRPr="00822B5E">
              <w:rPr>
                <w:b w:val="0"/>
                <w:bCs w:val="0"/>
                <w:sz w:val="18"/>
                <w:szCs w:val="18"/>
              </w:rPr>
              <w:t>Sota</w:t>
            </w:r>
            <w:proofErr w:type="spellEnd"/>
            <w:r w:rsidRPr="00822B5E">
              <w:rPr>
                <w:b w:val="0"/>
                <w:bCs w:val="0"/>
                <w:sz w:val="18"/>
                <w:szCs w:val="18"/>
              </w:rPr>
              <w:t xml:space="preserve"> to </w:t>
            </w:r>
            <w:proofErr w:type="spellStart"/>
            <w:r w:rsidRPr="00822B5E">
              <w:rPr>
                <w:b w:val="0"/>
                <w:bCs w:val="0"/>
                <w:sz w:val="18"/>
                <w:szCs w:val="18"/>
              </w:rPr>
              <w:t>Weam</w:t>
            </w:r>
            <w:proofErr w:type="spellEnd"/>
          </w:p>
          <w:p w14:paraId="1E008C6E" w14:textId="77777777" w:rsidR="005E15E5" w:rsidRPr="00822B5E" w:rsidRDefault="005E15E5" w:rsidP="005E15E5">
            <w:pPr>
              <w:pStyle w:val="ListParagraph"/>
              <w:widowControl w:val="0"/>
              <w:numPr>
                <w:ilvl w:val="0"/>
                <w:numId w:val="5"/>
              </w:numPr>
              <w:autoSpaceDE w:val="0"/>
              <w:autoSpaceDN w:val="0"/>
              <w:spacing w:before="0" w:after="0" w:line="240" w:lineRule="auto"/>
              <w:jc w:val="left"/>
              <w:rPr>
                <w:b w:val="0"/>
                <w:bCs w:val="0"/>
                <w:sz w:val="18"/>
                <w:szCs w:val="18"/>
              </w:rPr>
            </w:pPr>
            <w:r w:rsidRPr="00822B5E">
              <w:rPr>
                <w:b w:val="0"/>
                <w:bCs w:val="0"/>
                <w:sz w:val="18"/>
                <w:szCs w:val="18"/>
              </w:rPr>
              <w:t xml:space="preserve">Procure and facilitate construction of a reaction/cable Pontoon across </w:t>
            </w:r>
            <w:proofErr w:type="spellStart"/>
            <w:r w:rsidRPr="00822B5E">
              <w:rPr>
                <w:b w:val="0"/>
                <w:bCs w:val="0"/>
                <w:sz w:val="18"/>
                <w:szCs w:val="18"/>
              </w:rPr>
              <w:t>Bensbach</w:t>
            </w:r>
            <w:proofErr w:type="spellEnd"/>
            <w:r w:rsidRPr="00822B5E">
              <w:rPr>
                <w:b w:val="0"/>
                <w:bCs w:val="0"/>
                <w:sz w:val="18"/>
                <w:szCs w:val="18"/>
              </w:rPr>
              <w:t xml:space="preserve"> </w:t>
            </w:r>
            <w:r w:rsidRPr="00822B5E">
              <w:rPr>
                <w:b w:val="0"/>
                <w:bCs w:val="0"/>
                <w:sz w:val="18"/>
                <w:szCs w:val="18"/>
              </w:rPr>
              <w:lastRenderedPageBreak/>
              <w:t xml:space="preserve">River </w:t>
            </w:r>
          </w:p>
          <w:p w14:paraId="16181EEC" w14:textId="77777777" w:rsidR="005E15E5" w:rsidRPr="00822B5E" w:rsidRDefault="005E15E5" w:rsidP="005E15E5">
            <w:pPr>
              <w:pStyle w:val="ListParagraph"/>
              <w:widowControl w:val="0"/>
              <w:numPr>
                <w:ilvl w:val="0"/>
                <w:numId w:val="5"/>
              </w:numPr>
              <w:autoSpaceDE w:val="0"/>
              <w:autoSpaceDN w:val="0"/>
              <w:spacing w:before="0" w:after="0" w:line="240" w:lineRule="auto"/>
              <w:jc w:val="left"/>
              <w:rPr>
                <w:b w:val="0"/>
                <w:bCs w:val="0"/>
                <w:sz w:val="18"/>
                <w:szCs w:val="18"/>
              </w:rPr>
            </w:pPr>
            <w:r w:rsidRPr="00822B5E">
              <w:rPr>
                <w:b w:val="0"/>
                <w:bCs w:val="0"/>
                <w:sz w:val="18"/>
                <w:szCs w:val="18"/>
              </w:rPr>
              <w:t xml:space="preserve">Procure and support construction of hub infrastructure </w:t>
            </w:r>
          </w:p>
          <w:p w14:paraId="3666F7BC" w14:textId="1E9F135D" w:rsidR="005E15E5" w:rsidRPr="00526170" w:rsidRDefault="005E15E5" w:rsidP="005E15E5">
            <w:pPr>
              <w:pStyle w:val="ListParagraph"/>
              <w:widowControl w:val="0"/>
              <w:numPr>
                <w:ilvl w:val="0"/>
                <w:numId w:val="5"/>
              </w:numPr>
              <w:autoSpaceDE w:val="0"/>
              <w:autoSpaceDN w:val="0"/>
              <w:spacing w:before="0" w:after="0" w:line="240" w:lineRule="auto"/>
              <w:jc w:val="left"/>
              <w:rPr>
                <w:b w:val="0"/>
                <w:bCs w:val="0"/>
                <w:sz w:val="18"/>
                <w:szCs w:val="18"/>
              </w:rPr>
            </w:pPr>
            <w:r w:rsidRPr="00822B5E">
              <w:rPr>
                <w:b w:val="0"/>
                <w:bCs w:val="0"/>
                <w:sz w:val="18"/>
                <w:szCs w:val="18"/>
              </w:rPr>
              <w:t>Ranger Program</w:t>
            </w:r>
          </w:p>
          <w:p w14:paraId="31515156" w14:textId="273AC363" w:rsidR="005E15E5" w:rsidRPr="00526170" w:rsidRDefault="005E15E5" w:rsidP="005E15E5">
            <w:pPr>
              <w:pStyle w:val="ListParagraph"/>
              <w:widowControl w:val="0"/>
              <w:numPr>
                <w:ilvl w:val="0"/>
                <w:numId w:val="5"/>
              </w:numPr>
              <w:autoSpaceDE w:val="0"/>
              <w:autoSpaceDN w:val="0"/>
              <w:spacing w:before="0" w:after="0" w:line="240" w:lineRule="auto"/>
              <w:jc w:val="left"/>
              <w:rPr>
                <w:b w:val="0"/>
                <w:bCs w:val="0"/>
                <w:sz w:val="18"/>
                <w:szCs w:val="18"/>
              </w:rPr>
            </w:pPr>
            <w:r w:rsidRPr="00526170">
              <w:rPr>
                <w:b w:val="0"/>
                <w:bCs w:val="0"/>
                <w:sz w:val="18"/>
                <w:szCs w:val="18"/>
              </w:rPr>
              <w:t xml:space="preserve">Community Governance training </w:t>
            </w:r>
          </w:p>
        </w:tc>
        <w:tc>
          <w:tcPr>
            <w:tcW w:w="4591" w:type="dxa"/>
          </w:tcPr>
          <w:p w14:paraId="37EA7113" w14:textId="77777777" w:rsidR="005E15E5" w:rsidRPr="00822B5E" w:rsidRDefault="005E15E5" w:rsidP="005E15E5">
            <w:pPr>
              <w:pStyle w:val="ListParagraph"/>
              <w:widowControl w:val="0"/>
              <w:numPr>
                <w:ilvl w:val="0"/>
                <w:numId w:val="5"/>
              </w:numPr>
              <w:autoSpaceDE w:val="0"/>
              <w:autoSpaceDN w:val="0"/>
              <w:spacing w:before="0" w:after="0" w:line="240" w:lineRule="auto"/>
              <w:jc w:val="left"/>
              <w:cnfStyle w:val="000000000000" w:firstRow="0" w:lastRow="0" w:firstColumn="0" w:lastColumn="0" w:oddVBand="0" w:evenVBand="0" w:oddHBand="0" w:evenHBand="0" w:firstRowFirstColumn="0" w:firstRowLastColumn="0" w:lastRowFirstColumn="0" w:lastRowLastColumn="0"/>
              <w:rPr>
                <w:sz w:val="18"/>
                <w:szCs w:val="18"/>
              </w:rPr>
            </w:pPr>
            <w:r w:rsidRPr="00822B5E">
              <w:rPr>
                <w:sz w:val="18"/>
                <w:szCs w:val="18"/>
              </w:rPr>
              <w:lastRenderedPageBreak/>
              <w:t xml:space="preserve">Market Development and mobile money activities in </w:t>
            </w:r>
            <w:proofErr w:type="spellStart"/>
            <w:r w:rsidRPr="00822B5E">
              <w:rPr>
                <w:sz w:val="18"/>
                <w:szCs w:val="18"/>
              </w:rPr>
              <w:t>Mabuduwan</w:t>
            </w:r>
            <w:proofErr w:type="spellEnd"/>
          </w:p>
          <w:p w14:paraId="3800BF5E" w14:textId="77777777" w:rsidR="005E15E5" w:rsidRPr="00822B5E" w:rsidRDefault="005E15E5" w:rsidP="005E15E5">
            <w:pPr>
              <w:pStyle w:val="ListParagraph"/>
              <w:widowControl w:val="0"/>
              <w:numPr>
                <w:ilvl w:val="0"/>
                <w:numId w:val="5"/>
              </w:numPr>
              <w:autoSpaceDE w:val="0"/>
              <w:autoSpaceDN w:val="0"/>
              <w:spacing w:before="0" w:after="0" w:line="240" w:lineRule="auto"/>
              <w:jc w:val="left"/>
              <w:cnfStyle w:val="000000000000" w:firstRow="0" w:lastRow="0" w:firstColumn="0" w:lastColumn="0" w:oddVBand="0" w:evenVBand="0" w:oddHBand="0" w:evenHBand="0" w:firstRowFirstColumn="0" w:firstRowLastColumn="0" w:lastRowFirstColumn="0" w:lastRowLastColumn="0"/>
              <w:rPr>
                <w:sz w:val="18"/>
                <w:szCs w:val="18"/>
              </w:rPr>
            </w:pPr>
            <w:r w:rsidRPr="00822B5E">
              <w:rPr>
                <w:sz w:val="18"/>
                <w:szCs w:val="18"/>
              </w:rPr>
              <w:t xml:space="preserve">Financial Literacy Training in </w:t>
            </w:r>
            <w:proofErr w:type="spellStart"/>
            <w:r w:rsidRPr="00822B5E">
              <w:rPr>
                <w:sz w:val="18"/>
                <w:szCs w:val="18"/>
              </w:rPr>
              <w:t>Mabuduwan</w:t>
            </w:r>
            <w:proofErr w:type="spellEnd"/>
            <w:r w:rsidRPr="00822B5E">
              <w:rPr>
                <w:sz w:val="18"/>
                <w:szCs w:val="18"/>
              </w:rPr>
              <w:t xml:space="preserve"> </w:t>
            </w:r>
          </w:p>
          <w:p w14:paraId="0FBA4E58" w14:textId="77777777" w:rsidR="005E15E5" w:rsidRPr="00822B5E" w:rsidRDefault="005E15E5" w:rsidP="005E15E5">
            <w:pPr>
              <w:pStyle w:val="ListParagraph"/>
              <w:widowControl w:val="0"/>
              <w:numPr>
                <w:ilvl w:val="0"/>
                <w:numId w:val="5"/>
              </w:numPr>
              <w:autoSpaceDE w:val="0"/>
              <w:autoSpaceDN w:val="0"/>
              <w:spacing w:before="0" w:after="0" w:line="240" w:lineRule="auto"/>
              <w:jc w:val="left"/>
              <w:cnfStyle w:val="000000000000" w:firstRow="0" w:lastRow="0" w:firstColumn="0" w:lastColumn="0" w:oddVBand="0" w:evenVBand="0" w:oddHBand="0" w:evenHBand="0" w:firstRowFirstColumn="0" w:firstRowLastColumn="0" w:lastRowFirstColumn="0" w:lastRowLastColumn="0"/>
              <w:rPr>
                <w:sz w:val="18"/>
                <w:szCs w:val="18"/>
              </w:rPr>
            </w:pPr>
            <w:r w:rsidRPr="00822B5E">
              <w:rPr>
                <w:sz w:val="18"/>
                <w:szCs w:val="18"/>
              </w:rPr>
              <w:t>Rapid evaluation of income generation trials</w:t>
            </w:r>
          </w:p>
          <w:p w14:paraId="17AA1794" w14:textId="14666983" w:rsidR="005E15E5" w:rsidRPr="00546955" w:rsidRDefault="005E15E5" w:rsidP="005E15E5">
            <w:pPr>
              <w:cnfStyle w:val="000000000000" w:firstRow="0" w:lastRow="0" w:firstColumn="0" w:lastColumn="0" w:oddVBand="0" w:evenVBand="0" w:oddHBand="0" w:evenHBand="0" w:firstRowFirstColumn="0" w:firstRowLastColumn="0" w:lastRowFirstColumn="0" w:lastRowLastColumn="0"/>
              <w:rPr>
                <w:b/>
                <w:bCs/>
                <w:sz w:val="20"/>
                <w:szCs w:val="20"/>
              </w:rPr>
            </w:pPr>
          </w:p>
        </w:tc>
      </w:tr>
    </w:tbl>
    <w:p w14:paraId="6FC4B4A8" w14:textId="77777777" w:rsidR="00727197" w:rsidRDefault="00727197" w:rsidP="003562C9"/>
    <w:p w14:paraId="35CB8868" w14:textId="56254B40" w:rsidR="003562C9" w:rsidRDefault="00326A0F" w:rsidP="003562C9">
      <w:r>
        <w:t>According to the Output summary report</w:t>
      </w:r>
      <w:r w:rsidR="00DF721B">
        <w:t>,</w:t>
      </w:r>
      <w:r w:rsidR="0070366B">
        <w:t xml:space="preserve"> delivered in April 2022</w:t>
      </w:r>
      <w:r>
        <w:t>:</w:t>
      </w:r>
    </w:p>
    <w:p w14:paraId="7D103E11" w14:textId="6506D482" w:rsidR="00326A0F" w:rsidRDefault="00326A0F" w:rsidP="00326A0F">
      <w:pPr>
        <w:pStyle w:val="ListParagraph"/>
        <w:numPr>
          <w:ilvl w:val="0"/>
          <w:numId w:val="13"/>
        </w:numPr>
      </w:pPr>
      <w:r>
        <w:t>9 communities</w:t>
      </w:r>
      <w:r w:rsidR="0070366B">
        <w:t xml:space="preserve"> now</w:t>
      </w:r>
      <w:r>
        <w:t xml:space="preserve"> have access to water </w:t>
      </w:r>
      <w:proofErr w:type="gramStart"/>
      <w:r>
        <w:t>wheels;</w:t>
      </w:r>
      <w:proofErr w:type="gramEnd"/>
    </w:p>
    <w:p w14:paraId="03A14E66" w14:textId="4815D528" w:rsidR="00326A0F" w:rsidRDefault="00326A0F" w:rsidP="00326A0F">
      <w:pPr>
        <w:pStyle w:val="ListParagraph"/>
        <w:numPr>
          <w:ilvl w:val="0"/>
          <w:numId w:val="13"/>
        </w:numPr>
      </w:pPr>
      <w:r>
        <w:t xml:space="preserve">40 people have received financial literacy </w:t>
      </w:r>
      <w:proofErr w:type="gramStart"/>
      <w:r>
        <w:t>training;</w:t>
      </w:r>
      <w:proofErr w:type="gramEnd"/>
      <w:r>
        <w:t xml:space="preserve"> and,</w:t>
      </w:r>
    </w:p>
    <w:p w14:paraId="7E5BC783" w14:textId="089F2D89" w:rsidR="00326A0F" w:rsidRDefault="00326A0F" w:rsidP="00326A0F">
      <w:pPr>
        <w:pStyle w:val="ListParagraph"/>
        <w:numPr>
          <w:ilvl w:val="0"/>
          <w:numId w:val="13"/>
        </w:numPr>
      </w:pPr>
      <w:r>
        <w:t>40 Wards have received Ward Development Profile Workshops, and 22 have developed Ward Development Plans.</w:t>
      </w:r>
    </w:p>
    <w:p w14:paraId="5DA2979E" w14:textId="52638AC2" w:rsidR="00326A0F" w:rsidRDefault="006B1227" w:rsidP="00326A0F">
      <w:r w:rsidRPr="0096276D">
        <w:t xml:space="preserve">No outputs have been </w:t>
      </w:r>
      <w:r w:rsidR="005E5214" w:rsidRPr="0096276D">
        <w:t>achieved</w:t>
      </w:r>
      <w:r w:rsidR="001D52CC" w:rsidRPr="0096276D">
        <w:t xml:space="preserve"> relating to</w:t>
      </w:r>
      <w:r w:rsidR="00326A0F" w:rsidRPr="0096276D">
        <w:t xml:space="preserve"> </w:t>
      </w:r>
      <w:r w:rsidR="001D52CC" w:rsidRPr="0096276D">
        <w:t>income generation through micro businesses or small and medium enterprises, training in garden practices, agriculture or aquaculture hubs and the food security plan.</w:t>
      </w:r>
      <w:r w:rsidR="00C030D9">
        <w:t xml:space="preserve"> </w:t>
      </w:r>
      <w:r w:rsidR="00FD690E">
        <w:t>However,</w:t>
      </w:r>
      <w:r w:rsidR="001D52CC">
        <w:t xml:space="preserve"> progress is being made</w:t>
      </w:r>
      <w:r w:rsidR="0070366B">
        <w:t xml:space="preserve"> towards delivering</w:t>
      </w:r>
      <w:r>
        <w:t xml:space="preserve"> </w:t>
      </w:r>
      <w:r w:rsidR="00063D95">
        <w:t>some of these</w:t>
      </w:r>
      <w:r w:rsidR="0070366B">
        <w:t xml:space="preserve"> outputs</w:t>
      </w:r>
      <w:r w:rsidR="001D52CC">
        <w:t>. One nursery has been constructed</w:t>
      </w:r>
      <w:r w:rsidR="0070366B">
        <w:t xml:space="preserve"> but is not </w:t>
      </w:r>
      <w:r w:rsidR="009340E4">
        <w:t xml:space="preserve">yet </w:t>
      </w:r>
      <w:r w:rsidR="0070366B">
        <w:t>being used</w:t>
      </w:r>
      <w:r w:rsidR="001D52CC">
        <w:t xml:space="preserve">, and the food security plan is at a mature stage of drafting. </w:t>
      </w:r>
      <w:r w:rsidR="00C030D9">
        <w:t xml:space="preserve">When </w:t>
      </w:r>
      <w:r w:rsidR="00C62E42">
        <w:t xml:space="preserve">output level </w:t>
      </w:r>
      <w:r w:rsidR="00C030D9">
        <w:t>results are reported, these should be disaggregated by gender</w:t>
      </w:r>
      <w:r w:rsidR="00942758">
        <w:t xml:space="preserve"> and disability</w:t>
      </w:r>
      <w:r w:rsidR="00C030D9">
        <w:t xml:space="preserve">. </w:t>
      </w:r>
    </w:p>
    <w:p w14:paraId="25936C7E" w14:textId="2D6EC466" w:rsidR="00BB54F1" w:rsidRDefault="00BB54F1" w:rsidP="00326A0F">
      <w:r>
        <w:t xml:space="preserve">According to the work plan, activities were expected to be well advanced across all outputs by </w:t>
      </w:r>
      <w:r w:rsidR="00CF0529">
        <w:t>May 2022</w:t>
      </w:r>
      <w:r>
        <w:t xml:space="preserve">. </w:t>
      </w:r>
      <w:r w:rsidR="0070366B">
        <w:t>For some outputs,</w:t>
      </w:r>
      <w:r>
        <w:t xml:space="preserve"> delays </w:t>
      </w:r>
      <w:r w:rsidR="0070366B">
        <w:t>seem to be a</w:t>
      </w:r>
      <w:r>
        <w:t xml:space="preserve"> result of relying on the participation of National agencies and the ambition and complexity, and associated need for </w:t>
      </w:r>
      <w:r w:rsidR="0070366B">
        <w:t>engagement and technical assistance</w:t>
      </w:r>
      <w:r>
        <w:t xml:space="preserve">, of establishing hubs, micro </w:t>
      </w:r>
      <w:proofErr w:type="gramStart"/>
      <w:r>
        <w:t>businesses</w:t>
      </w:r>
      <w:proofErr w:type="gramEnd"/>
      <w:r>
        <w:t xml:space="preserve"> and income generation trials</w:t>
      </w:r>
      <w:r w:rsidR="0070366B">
        <w:t xml:space="preserve">. </w:t>
      </w:r>
    </w:p>
    <w:p w14:paraId="0941D59C" w14:textId="0A3E14EC" w:rsidR="000D4A22" w:rsidRDefault="0070366B" w:rsidP="00326A0F">
      <w:r w:rsidRPr="000A5A22">
        <w:t xml:space="preserve">While progress against outputs has been slow to April 2022, </w:t>
      </w:r>
      <w:r w:rsidR="00681820">
        <w:t>by</w:t>
      </w:r>
      <w:r w:rsidRPr="000A5A22">
        <w:t xml:space="preserve"> December 2021 </w:t>
      </w:r>
      <w:r w:rsidR="00681820">
        <w:t>5</w:t>
      </w:r>
      <w:r w:rsidRPr="000A5A22">
        <w:t xml:space="preserve">8% of the grant </w:t>
      </w:r>
      <w:r w:rsidR="00DB795C">
        <w:t>to RRRC</w:t>
      </w:r>
      <w:r w:rsidR="00737872">
        <w:t xml:space="preserve">, under the </w:t>
      </w:r>
      <w:proofErr w:type="gramStart"/>
      <w:r w:rsidR="00737872">
        <w:t>SFRP,</w:t>
      </w:r>
      <w:r w:rsidR="00DB795C">
        <w:t xml:space="preserve"> </w:t>
      </w:r>
      <w:r w:rsidRPr="000A5A22">
        <w:t xml:space="preserve"> had</w:t>
      </w:r>
      <w:proofErr w:type="gramEnd"/>
      <w:r w:rsidRPr="000A5A22">
        <w:t xml:space="preserve"> been expended</w:t>
      </w:r>
      <w:r w:rsidR="000D4A22" w:rsidRPr="000A5A22">
        <w:t>.</w:t>
      </w:r>
      <w:r w:rsidR="000D4A22">
        <w:t xml:space="preserve"> Meanwhile, the </w:t>
      </w:r>
      <w:r w:rsidR="005E5214">
        <w:t xml:space="preserve">utilisation rate of </w:t>
      </w:r>
      <w:r w:rsidR="00FA344E">
        <w:t>the</w:t>
      </w:r>
      <w:r w:rsidR="00063D95">
        <w:t xml:space="preserve"> </w:t>
      </w:r>
      <w:r w:rsidR="005E5214">
        <w:t>Rangers has fallen</w:t>
      </w:r>
      <w:r w:rsidR="000D4A22">
        <w:t xml:space="preserve"> from prior programming</w:t>
      </w:r>
      <w:r w:rsidR="005E5214">
        <w:t>.</w:t>
      </w:r>
      <w:r>
        <w:t xml:space="preserve"> </w:t>
      </w:r>
    </w:p>
    <w:p w14:paraId="5760B56E" w14:textId="0279D1FB" w:rsidR="00DF721B" w:rsidRDefault="00733F71" w:rsidP="00326A0F">
      <w:r>
        <w:t xml:space="preserve">To address the </w:t>
      </w:r>
      <w:r w:rsidR="006B1227">
        <w:t xml:space="preserve">high </w:t>
      </w:r>
      <w:r>
        <w:t>burn rate and rate of delivery of outputs, it will be useful to revisit the mode of delivery</w:t>
      </w:r>
      <w:r w:rsidR="00DF721B">
        <w:t xml:space="preserve"> to:</w:t>
      </w:r>
    </w:p>
    <w:p w14:paraId="3B33B0DD" w14:textId="066E4215" w:rsidR="00DF721B" w:rsidRDefault="00526170" w:rsidP="00DF721B">
      <w:pPr>
        <w:pStyle w:val="ListParagraph"/>
        <w:numPr>
          <w:ilvl w:val="0"/>
          <w:numId w:val="16"/>
        </w:numPr>
      </w:pPr>
      <w:r>
        <w:t>I</w:t>
      </w:r>
      <w:r w:rsidR="00733F71">
        <w:t xml:space="preserve">ncrease the utilisation rate of </w:t>
      </w:r>
      <w:r w:rsidR="003A0D5A">
        <w:t>R</w:t>
      </w:r>
      <w:r w:rsidR="00733F71">
        <w:t xml:space="preserve">angers in </w:t>
      </w:r>
      <w:r w:rsidR="006B1227">
        <w:t xml:space="preserve">delivering appropriate </w:t>
      </w:r>
      <w:r w:rsidR="00733F71">
        <w:t xml:space="preserve">agricultural extension </w:t>
      </w:r>
      <w:proofErr w:type="gramStart"/>
      <w:r w:rsidR="00733F71">
        <w:t>services</w:t>
      </w:r>
      <w:r w:rsidR="00DF721B">
        <w:t>;</w:t>
      </w:r>
      <w:proofErr w:type="gramEnd"/>
      <w:r w:rsidR="00733F71">
        <w:t xml:space="preserve"> </w:t>
      </w:r>
    </w:p>
    <w:p w14:paraId="6697C651" w14:textId="7CD5B326" w:rsidR="00DF721B" w:rsidRDefault="00526170" w:rsidP="00DF721B">
      <w:pPr>
        <w:pStyle w:val="ListParagraph"/>
        <w:numPr>
          <w:ilvl w:val="0"/>
          <w:numId w:val="16"/>
        </w:numPr>
      </w:pPr>
      <w:r>
        <w:t>A</w:t>
      </w:r>
      <w:r w:rsidR="00733F71">
        <w:t>ccelerate the delivery of technical assistance and community engagement for micro businesses and agricultural trials</w:t>
      </w:r>
      <w:r w:rsidR="00DF721B">
        <w:t>; and,</w:t>
      </w:r>
    </w:p>
    <w:p w14:paraId="2C8FD99A" w14:textId="0ADE6E60" w:rsidR="003A0D5A" w:rsidRDefault="00526170" w:rsidP="00DF721B">
      <w:pPr>
        <w:pStyle w:val="ListParagraph"/>
        <w:numPr>
          <w:ilvl w:val="0"/>
          <w:numId w:val="16"/>
        </w:numPr>
      </w:pPr>
      <w:r>
        <w:t>E</w:t>
      </w:r>
      <w:r w:rsidR="006B1227">
        <w:t>nhance the footprint of implementing partners in Daru</w:t>
      </w:r>
      <w:r w:rsidR="003A0D5A">
        <w:t xml:space="preserve"> (and perhaps beyond)</w:t>
      </w:r>
      <w:r w:rsidR="006B1227">
        <w:t xml:space="preserve">, to facilitate engagement </w:t>
      </w:r>
      <w:r w:rsidR="00824B69">
        <w:t>associated</w:t>
      </w:r>
      <w:r w:rsidR="00FA344E">
        <w:t xml:space="preserve"> with the formulation</w:t>
      </w:r>
      <w:r w:rsidR="006B1227">
        <w:t xml:space="preserve"> </w:t>
      </w:r>
      <w:r w:rsidR="003A0D5A">
        <w:t xml:space="preserve">and implementation </w:t>
      </w:r>
      <w:r w:rsidR="006B1227">
        <w:t xml:space="preserve">of the Food Security Plan and the Ward Development Plans, among others. </w:t>
      </w:r>
    </w:p>
    <w:p w14:paraId="650843AD" w14:textId="77777777" w:rsidR="00C316E4" w:rsidRDefault="00C316E4" w:rsidP="00C316E4">
      <w:pPr>
        <w:pBdr>
          <w:top w:val="single" w:sz="36" w:space="1" w:color="45A7E1" w:themeColor="accent1"/>
          <w:left w:val="single" w:sz="36" w:space="4" w:color="45A7E1" w:themeColor="accent1"/>
          <w:bottom w:val="single" w:sz="36" w:space="1" w:color="45A7E1" w:themeColor="accent1"/>
          <w:right w:val="single" w:sz="36" w:space="4" w:color="45A7E1" w:themeColor="accent1"/>
        </w:pBdr>
      </w:pPr>
      <w:r w:rsidRPr="00C316E4">
        <w:rPr>
          <w:b/>
          <w:bCs/>
        </w:rPr>
        <w:t xml:space="preserve">Recommendation 3: </w:t>
      </w:r>
      <w:r>
        <w:t xml:space="preserve">The Rangers should be more actively engaged in agricultural extension services and water, </w:t>
      </w:r>
      <w:proofErr w:type="gramStart"/>
      <w:r>
        <w:t>sanitation</w:t>
      </w:r>
      <w:proofErr w:type="gramEnd"/>
      <w:r>
        <w:t xml:space="preserve"> and hygiene infrastructure delivery, in the short term. Value will also be found in INLOC recruiting Papua New Guinean male and female advisers.   </w:t>
      </w:r>
    </w:p>
    <w:p w14:paraId="0BB0547F" w14:textId="2F26228D" w:rsidR="00CA4A0D" w:rsidRDefault="005E5214" w:rsidP="002A3B57">
      <w:r>
        <w:t>Wherever possible</w:t>
      </w:r>
      <w:r w:rsidR="00AA271A">
        <w:t>,</w:t>
      </w:r>
      <w:r w:rsidR="00014B5F">
        <w:t xml:space="preserve"> </w:t>
      </w:r>
      <w:r w:rsidR="00C62E42">
        <w:t xml:space="preserve">activities </w:t>
      </w:r>
      <w:r w:rsidR="00014B5F">
        <w:t>should build existing value chains or exploit existing momentum, rather than seeking to introduce new value chains without private sector, and sufficient community, participation.</w:t>
      </w:r>
      <w:r>
        <w:t xml:space="preserve"> </w:t>
      </w:r>
      <w:r w:rsidR="003A0D5A">
        <w:t xml:space="preserve">Value will also be found in </w:t>
      </w:r>
      <w:r w:rsidR="00A93774">
        <w:t xml:space="preserve">gradually </w:t>
      </w:r>
      <w:r w:rsidR="003A0D5A">
        <w:t>recruiting Papua New Guinean male and female advisers into the ranks of INLOC.</w:t>
      </w:r>
    </w:p>
    <w:p w14:paraId="2B9213A2" w14:textId="7AC808A7" w:rsidR="74ACD026" w:rsidRDefault="74ACD026">
      <w:r>
        <w:lastRenderedPageBreak/>
        <w:t xml:space="preserve">Written deliverables are of a mixed quality in FLAG. The feasibility studies tend to arrive at a solution early, and then identify challenges to further implementation. An alternative approach could have considered options for how the value chain could be strengthened or established, sustainably, with donor support. Given the nascent nature of markets, several options could have been considered. The Food Security Plan is nearing a final draft, and sufficient attention should be given to appraising options and consultation, with the </w:t>
      </w:r>
      <w:proofErr w:type="gramStart"/>
      <w:r>
        <w:t>District</w:t>
      </w:r>
      <w:proofErr w:type="gramEnd"/>
      <w:r>
        <w:t xml:space="preserve">, to ensure its feasibility.  </w:t>
      </w:r>
      <w:r w:rsidR="005E3BC8">
        <w:t xml:space="preserve">Given the role of women in food security, adequate attention should also be given to consulting with women in communities. </w:t>
      </w:r>
    </w:p>
    <w:p w14:paraId="6700D95D" w14:textId="15AF1AF4" w:rsidR="00B5785D" w:rsidRDefault="00B5785D">
      <w:r>
        <w:t xml:space="preserve">The Tok Save Road Show Outcomes report was not a formal deliverable. However, feedback from communities and stakeholders </w:t>
      </w:r>
      <w:r w:rsidR="00104B84">
        <w:t xml:space="preserve">and </w:t>
      </w:r>
      <w:r>
        <w:t>the content of the report</w:t>
      </w:r>
      <w:r w:rsidR="00104B84">
        <w:t xml:space="preserve"> suggest that, while the Road Show was useful, deeper engagement with communities is required.</w:t>
      </w:r>
    </w:p>
    <w:p w14:paraId="1CBC65EA" w14:textId="46454CDC" w:rsidR="003562C9" w:rsidRPr="003562C9" w:rsidRDefault="009A34DE" w:rsidP="002A3B57">
      <w:r>
        <w:t>The monthly Food and Water Security Reports</w:t>
      </w:r>
      <w:r w:rsidR="002A3B57">
        <w:t>, which</w:t>
      </w:r>
      <w:r>
        <w:t xml:space="preserve"> monitor the position of focal villages</w:t>
      </w:r>
      <w:r w:rsidR="002A3B57">
        <w:t>,</w:t>
      </w:r>
      <w:r>
        <w:t xml:space="preserve"> is </w:t>
      </w:r>
      <w:r w:rsidRPr="00E11AB6">
        <w:t>valu</w:t>
      </w:r>
      <w:r w:rsidR="002A3B57" w:rsidRPr="00E11AB6">
        <w:t>ed</w:t>
      </w:r>
      <w:r w:rsidRPr="00E11AB6">
        <w:t>. However</w:t>
      </w:r>
      <w:r w:rsidR="00822B5E" w:rsidRPr="00E11AB6">
        <w:t>,</w:t>
      </w:r>
      <w:r w:rsidRPr="00E11AB6">
        <w:t xml:space="preserve"> concerns were raised over the ways questions are asked</w:t>
      </w:r>
      <w:r w:rsidR="007C502F" w:rsidRPr="00E11AB6">
        <w:t xml:space="preserve">, and alignment with </w:t>
      </w:r>
      <w:proofErr w:type="spellStart"/>
      <w:r w:rsidR="00E80B3D">
        <w:t>Go</w:t>
      </w:r>
      <w:r w:rsidR="007C502F" w:rsidRPr="00E11AB6">
        <w:t>PNG’s</w:t>
      </w:r>
      <w:proofErr w:type="spellEnd"/>
      <w:r w:rsidR="007C502F" w:rsidRPr="00E11AB6">
        <w:t xml:space="preserve"> methodology</w:t>
      </w:r>
      <w:r w:rsidR="00BB6DE9" w:rsidRPr="00E11AB6">
        <w:t xml:space="preserve"> for similar reports</w:t>
      </w:r>
      <w:r w:rsidRPr="00E11AB6">
        <w:t xml:space="preserve">. The methodology is </w:t>
      </w:r>
      <w:r w:rsidR="00FA344E" w:rsidRPr="00E11AB6">
        <w:t xml:space="preserve">soon </w:t>
      </w:r>
      <w:r w:rsidRPr="00E11AB6">
        <w:t>to be adapted</w:t>
      </w:r>
      <w:r w:rsidR="00104B84" w:rsidRPr="00E11AB6">
        <w:t xml:space="preserve">, so that it aligns with the </w:t>
      </w:r>
      <w:proofErr w:type="spellStart"/>
      <w:r w:rsidR="00E80B3D">
        <w:t>GoPNG’s</w:t>
      </w:r>
      <w:proofErr w:type="spellEnd"/>
      <w:r w:rsidR="00104B84" w:rsidRPr="00E11AB6">
        <w:t xml:space="preserve"> methodology</w:t>
      </w:r>
      <w:r w:rsidRPr="00E11AB6">
        <w:t xml:space="preserve">.  </w:t>
      </w:r>
      <w:r w:rsidR="003A0D5A" w:rsidRPr="00E11AB6">
        <w:t>Support</w:t>
      </w:r>
      <w:r w:rsidR="003A0D5A">
        <w:t xml:space="preserve"> provided to Ward Profiles has been well </w:t>
      </w:r>
      <w:proofErr w:type="gramStart"/>
      <w:r w:rsidR="003A0D5A">
        <w:t>received, and</w:t>
      </w:r>
      <w:proofErr w:type="gramEnd"/>
      <w:r w:rsidR="003A0D5A">
        <w:t xml:space="preserve"> is considered of a high quality</w:t>
      </w:r>
      <w:r w:rsidR="00EA7D74">
        <w:t>.</w:t>
      </w:r>
      <w:r w:rsidR="00104B84">
        <w:t xml:space="preserve"> </w:t>
      </w:r>
      <w:r w:rsidR="00857DA5">
        <w:t xml:space="preserve">The monthly progress reports are a key tool for accountability, and there is space for improving them in FLAG. </w:t>
      </w:r>
      <w:r w:rsidR="00C62E42">
        <w:t>There is a view that underperforming areas are glossed over,</w:t>
      </w:r>
      <w:r w:rsidR="00857DA5">
        <w:t xml:space="preserve"> rather than communicat</w:t>
      </w:r>
      <w:r w:rsidR="00C62E42">
        <w:t>ing</w:t>
      </w:r>
      <w:r w:rsidR="00857DA5">
        <w:t xml:space="preserve"> lessons and </w:t>
      </w:r>
      <w:r w:rsidR="00AA271A">
        <w:t>adapting</w:t>
      </w:r>
      <w:r w:rsidR="00857DA5">
        <w:t xml:space="preserve">. </w:t>
      </w:r>
    </w:p>
    <w:p w14:paraId="141629A9" w14:textId="728A1DEA" w:rsidR="00C040BA" w:rsidRDefault="00C040BA" w:rsidP="00C040BA">
      <w:pPr>
        <w:pStyle w:val="Heading2"/>
      </w:pPr>
      <w:bookmarkStart w:id="26" w:name="_Toc108259994"/>
      <w:r>
        <w:t>3.</w:t>
      </w:r>
      <w:r w:rsidR="00FC7205">
        <w:t>3</w:t>
      </w:r>
      <w:r>
        <w:t xml:space="preserve"> Achievement of outputs and budget execution in water, </w:t>
      </w:r>
      <w:proofErr w:type="gramStart"/>
      <w:r>
        <w:t>sanitation</w:t>
      </w:r>
      <w:proofErr w:type="gramEnd"/>
      <w:r>
        <w:t xml:space="preserve"> and h</w:t>
      </w:r>
      <w:r w:rsidR="00CE1367">
        <w:t>ygiene</w:t>
      </w:r>
      <w:bookmarkEnd w:id="26"/>
    </w:p>
    <w:p w14:paraId="65973067" w14:textId="59D626CB" w:rsidR="00FA344E" w:rsidRDefault="00FA344E" w:rsidP="00FA344E">
      <w:r>
        <w:t>The WASH component has adopted a different approach</w:t>
      </w:r>
      <w:r w:rsidR="007C502F">
        <w:t xml:space="preserve"> to prior programming</w:t>
      </w:r>
      <w:r w:rsidR="00822B5E">
        <w:t>, which was implemented by RRRC and INLOC. The WASH Component now</w:t>
      </w:r>
      <w:r>
        <w:t xml:space="preserve"> seek</w:t>
      </w:r>
      <w:r w:rsidR="00822B5E">
        <w:t>s</w:t>
      </w:r>
      <w:r>
        <w:t xml:space="preserve"> to deliver transformational change through i) </w:t>
      </w:r>
      <w:r w:rsidR="00AD6673">
        <w:t>mapping and accessing</w:t>
      </w:r>
      <w:r>
        <w:t xml:space="preserve"> aquifers, ii) achieving Community Led Total Sanitation and iii) </w:t>
      </w:r>
      <w:r w:rsidR="002A3B57">
        <w:t>improve</w:t>
      </w:r>
      <w:r w:rsidR="00A93774">
        <w:t>d</w:t>
      </w:r>
      <w:r w:rsidR="002A3B57">
        <w:t xml:space="preserve"> </w:t>
      </w:r>
      <w:r w:rsidR="00A93774">
        <w:t xml:space="preserve">sector </w:t>
      </w:r>
      <w:r>
        <w:t>governance</w:t>
      </w:r>
      <w:r w:rsidR="002A3B57">
        <w:t>, among others</w:t>
      </w:r>
      <w:r>
        <w:t xml:space="preserve">. </w:t>
      </w:r>
    </w:p>
    <w:p w14:paraId="4B413F57" w14:textId="6D85CC61" w:rsidR="008D09C1" w:rsidRPr="00FA344E" w:rsidRDefault="008D09C1" w:rsidP="008D09C1">
      <w:pPr>
        <w:pStyle w:val="FigureImageTablehead"/>
      </w:pPr>
      <w:r>
        <w:t xml:space="preserve">Table 3: Key </w:t>
      </w:r>
      <w:r w:rsidR="002A3B57">
        <w:t xml:space="preserve">envisioned </w:t>
      </w:r>
      <w:r>
        <w:t>actions under the WASH component to June 2022</w:t>
      </w:r>
    </w:p>
    <w:tbl>
      <w:tblPr>
        <w:tblStyle w:val="GridTable1Light-Accent1"/>
        <w:tblW w:w="0" w:type="auto"/>
        <w:tblLook w:val="04A0" w:firstRow="1" w:lastRow="0" w:firstColumn="1" w:lastColumn="0" w:noHBand="0" w:noVBand="1"/>
      </w:tblPr>
      <w:tblGrid>
        <w:gridCol w:w="6204"/>
        <w:gridCol w:w="2977"/>
      </w:tblGrid>
      <w:tr w:rsidR="005E15E5" w:rsidRPr="00DE0FAC" w14:paraId="1F01C1E1" w14:textId="77777777" w:rsidTr="007271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shd w:val="clear" w:color="auto" w:fill="45A7E1" w:themeFill="accent1"/>
          </w:tcPr>
          <w:p w14:paraId="1BF1D981" w14:textId="0EBDFEE5" w:rsidR="005E15E5" w:rsidRPr="008B09C0" w:rsidRDefault="005E15E5" w:rsidP="00C316E4">
            <w:pPr>
              <w:jc w:val="center"/>
              <w:rPr>
                <w:color w:val="FFFFFF" w:themeColor="background1"/>
                <w:sz w:val="20"/>
                <w:szCs w:val="20"/>
              </w:rPr>
            </w:pPr>
            <w:r>
              <w:rPr>
                <w:sz w:val="20"/>
                <w:szCs w:val="20"/>
              </w:rPr>
              <w:t>WVI</w:t>
            </w:r>
          </w:p>
        </w:tc>
        <w:tc>
          <w:tcPr>
            <w:tcW w:w="2977" w:type="dxa"/>
            <w:shd w:val="clear" w:color="auto" w:fill="45A7E1" w:themeFill="accent1"/>
          </w:tcPr>
          <w:p w14:paraId="2831F146" w14:textId="314C1A41" w:rsidR="005E15E5" w:rsidRPr="008B09C0" w:rsidRDefault="005E15E5" w:rsidP="00C316E4">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Pr>
                <w:sz w:val="20"/>
                <w:szCs w:val="20"/>
              </w:rPr>
              <w:t>APSP</w:t>
            </w:r>
            <w:r w:rsidRPr="00546955">
              <w:rPr>
                <w:sz w:val="20"/>
                <w:szCs w:val="20"/>
              </w:rPr>
              <w:t>/DC</w:t>
            </w:r>
            <w:r>
              <w:rPr>
                <w:sz w:val="20"/>
                <w:szCs w:val="20"/>
              </w:rPr>
              <w:t>P</w:t>
            </w:r>
          </w:p>
        </w:tc>
      </w:tr>
      <w:tr w:rsidR="005E15E5" w:rsidRPr="00DE0FAC" w14:paraId="6297CBE0" w14:textId="77777777" w:rsidTr="00727197">
        <w:trPr>
          <w:trHeight w:val="289"/>
        </w:trPr>
        <w:tc>
          <w:tcPr>
            <w:cnfStyle w:val="001000000000" w:firstRow="0" w:lastRow="0" w:firstColumn="1" w:lastColumn="0" w:oddVBand="0" w:evenVBand="0" w:oddHBand="0" w:evenHBand="0" w:firstRowFirstColumn="0" w:firstRowLastColumn="0" w:lastRowFirstColumn="0" w:lastRowLastColumn="0"/>
            <w:tcW w:w="6204" w:type="dxa"/>
          </w:tcPr>
          <w:p w14:paraId="15D222C6" w14:textId="77777777" w:rsidR="005E15E5" w:rsidRPr="00822B5E" w:rsidRDefault="005E15E5" w:rsidP="005E15E5">
            <w:pPr>
              <w:pStyle w:val="ListParagraph"/>
              <w:widowControl w:val="0"/>
              <w:numPr>
                <w:ilvl w:val="0"/>
                <w:numId w:val="5"/>
              </w:numPr>
              <w:autoSpaceDE w:val="0"/>
              <w:autoSpaceDN w:val="0"/>
              <w:spacing w:before="0" w:after="0" w:line="240" w:lineRule="auto"/>
              <w:jc w:val="left"/>
              <w:rPr>
                <w:b w:val="0"/>
                <w:bCs w:val="0"/>
                <w:sz w:val="18"/>
                <w:szCs w:val="18"/>
              </w:rPr>
            </w:pPr>
            <w:r w:rsidRPr="00822B5E">
              <w:rPr>
                <w:b w:val="0"/>
                <w:bCs w:val="0"/>
                <w:sz w:val="18"/>
                <w:szCs w:val="18"/>
              </w:rPr>
              <w:t>Expanded WASH survey</w:t>
            </w:r>
          </w:p>
          <w:p w14:paraId="398CC35F" w14:textId="77777777" w:rsidR="005E15E5" w:rsidRPr="00822B5E" w:rsidRDefault="005E15E5" w:rsidP="005E15E5">
            <w:pPr>
              <w:pStyle w:val="ListParagraph"/>
              <w:widowControl w:val="0"/>
              <w:numPr>
                <w:ilvl w:val="0"/>
                <w:numId w:val="5"/>
              </w:numPr>
              <w:autoSpaceDE w:val="0"/>
              <w:autoSpaceDN w:val="0"/>
              <w:spacing w:before="0" w:after="0" w:line="240" w:lineRule="auto"/>
              <w:jc w:val="left"/>
              <w:rPr>
                <w:b w:val="0"/>
                <w:bCs w:val="0"/>
                <w:sz w:val="18"/>
                <w:szCs w:val="18"/>
              </w:rPr>
            </w:pPr>
            <w:r w:rsidRPr="00822B5E">
              <w:rPr>
                <w:b w:val="0"/>
                <w:bCs w:val="0"/>
                <w:sz w:val="18"/>
                <w:szCs w:val="18"/>
              </w:rPr>
              <w:t xml:space="preserve">Community Total Led Sanitation </w:t>
            </w:r>
          </w:p>
          <w:p w14:paraId="682FEB40" w14:textId="77777777" w:rsidR="005E15E5" w:rsidRPr="00822B5E" w:rsidRDefault="005E15E5" w:rsidP="005E15E5">
            <w:pPr>
              <w:pStyle w:val="ListParagraph"/>
              <w:widowControl w:val="0"/>
              <w:numPr>
                <w:ilvl w:val="0"/>
                <w:numId w:val="5"/>
              </w:numPr>
              <w:autoSpaceDE w:val="0"/>
              <w:autoSpaceDN w:val="0"/>
              <w:spacing w:before="0" w:after="0" w:line="240" w:lineRule="auto"/>
              <w:jc w:val="left"/>
              <w:rPr>
                <w:b w:val="0"/>
                <w:bCs w:val="0"/>
                <w:sz w:val="18"/>
                <w:szCs w:val="18"/>
              </w:rPr>
            </w:pPr>
            <w:r w:rsidRPr="00822B5E">
              <w:rPr>
                <w:b w:val="0"/>
                <w:bCs w:val="0"/>
                <w:sz w:val="18"/>
                <w:szCs w:val="18"/>
              </w:rPr>
              <w:t>District WASH Plan</w:t>
            </w:r>
          </w:p>
          <w:p w14:paraId="1160EAFE" w14:textId="77777777" w:rsidR="005E15E5" w:rsidRPr="00822B5E" w:rsidRDefault="005E15E5" w:rsidP="005E15E5">
            <w:pPr>
              <w:pStyle w:val="ListParagraph"/>
              <w:widowControl w:val="0"/>
              <w:numPr>
                <w:ilvl w:val="0"/>
                <w:numId w:val="5"/>
              </w:numPr>
              <w:autoSpaceDE w:val="0"/>
              <w:autoSpaceDN w:val="0"/>
              <w:spacing w:before="0" w:after="0" w:line="240" w:lineRule="auto"/>
              <w:jc w:val="left"/>
              <w:rPr>
                <w:b w:val="0"/>
                <w:bCs w:val="0"/>
                <w:sz w:val="18"/>
                <w:szCs w:val="18"/>
              </w:rPr>
            </w:pPr>
            <w:r w:rsidRPr="00822B5E">
              <w:rPr>
                <w:b w:val="0"/>
                <w:bCs w:val="0"/>
                <w:sz w:val="18"/>
                <w:szCs w:val="18"/>
              </w:rPr>
              <w:t>Environmental and Social Impact Assessment Management Plan</w:t>
            </w:r>
          </w:p>
          <w:p w14:paraId="4E23C599" w14:textId="77777777" w:rsidR="005E15E5" w:rsidRPr="00822B5E" w:rsidRDefault="005E15E5" w:rsidP="005E15E5">
            <w:pPr>
              <w:pStyle w:val="ListParagraph"/>
              <w:widowControl w:val="0"/>
              <w:numPr>
                <w:ilvl w:val="0"/>
                <w:numId w:val="5"/>
              </w:numPr>
              <w:autoSpaceDE w:val="0"/>
              <w:autoSpaceDN w:val="0"/>
              <w:spacing w:before="0" w:after="0" w:line="240" w:lineRule="auto"/>
              <w:jc w:val="left"/>
              <w:rPr>
                <w:b w:val="0"/>
                <w:bCs w:val="0"/>
                <w:sz w:val="18"/>
                <w:szCs w:val="18"/>
              </w:rPr>
            </w:pPr>
            <w:r w:rsidRPr="00822B5E">
              <w:rPr>
                <w:b w:val="0"/>
                <w:bCs w:val="0"/>
                <w:sz w:val="18"/>
                <w:szCs w:val="18"/>
              </w:rPr>
              <w:t>Establishment of District level WASH Committee</w:t>
            </w:r>
          </w:p>
          <w:p w14:paraId="4D6068AE" w14:textId="77777777" w:rsidR="005E15E5" w:rsidRPr="00822B5E" w:rsidRDefault="005E15E5" w:rsidP="005E15E5">
            <w:pPr>
              <w:pStyle w:val="ListParagraph"/>
              <w:widowControl w:val="0"/>
              <w:numPr>
                <w:ilvl w:val="0"/>
                <w:numId w:val="5"/>
              </w:numPr>
              <w:autoSpaceDE w:val="0"/>
              <w:autoSpaceDN w:val="0"/>
              <w:spacing w:before="0" w:after="0" w:line="240" w:lineRule="auto"/>
              <w:jc w:val="left"/>
              <w:rPr>
                <w:b w:val="0"/>
                <w:bCs w:val="0"/>
                <w:sz w:val="18"/>
                <w:szCs w:val="18"/>
              </w:rPr>
            </w:pPr>
            <w:r w:rsidRPr="00822B5E">
              <w:rPr>
                <w:b w:val="0"/>
                <w:bCs w:val="0"/>
                <w:sz w:val="18"/>
                <w:szCs w:val="18"/>
              </w:rPr>
              <w:t>Establishment of Ward level WASH committees</w:t>
            </w:r>
          </w:p>
          <w:p w14:paraId="069CBCD9" w14:textId="77777777" w:rsidR="005E15E5" w:rsidRPr="00822B5E" w:rsidRDefault="005E15E5" w:rsidP="005E15E5">
            <w:pPr>
              <w:pStyle w:val="ListParagraph"/>
              <w:widowControl w:val="0"/>
              <w:numPr>
                <w:ilvl w:val="0"/>
                <w:numId w:val="5"/>
              </w:numPr>
              <w:autoSpaceDE w:val="0"/>
              <w:autoSpaceDN w:val="0"/>
              <w:spacing w:before="0" w:after="0" w:line="240" w:lineRule="auto"/>
              <w:jc w:val="left"/>
              <w:rPr>
                <w:b w:val="0"/>
                <w:bCs w:val="0"/>
                <w:sz w:val="18"/>
                <w:szCs w:val="18"/>
              </w:rPr>
            </w:pPr>
            <w:r w:rsidRPr="00822B5E">
              <w:rPr>
                <w:b w:val="0"/>
                <w:bCs w:val="0"/>
                <w:sz w:val="18"/>
                <w:szCs w:val="18"/>
              </w:rPr>
              <w:t>Pre-positioning of desalination plants</w:t>
            </w:r>
          </w:p>
          <w:p w14:paraId="460577F2" w14:textId="56C64C4F" w:rsidR="005E15E5" w:rsidRPr="005E15E5" w:rsidRDefault="005E15E5" w:rsidP="005E15E5">
            <w:pPr>
              <w:pStyle w:val="ListParagraph"/>
              <w:widowControl w:val="0"/>
              <w:numPr>
                <w:ilvl w:val="0"/>
                <w:numId w:val="5"/>
              </w:numPr>
              <w:autoSpaceDE w:val="0"/>
              <w:autoSpaceDN w:val="0"/>
              <w:spacing w:before="0" w:after="0" w:line="240" w:lineRule="auto"/>
              <w:jc w:val="left"/>
              <w:rPr>
                <w:b w:val="0"/>
                <w:bCs w:val="0"/>
                <w:sz w:val="18"/>
                <w:szCs w:val="18"/>
              </w:rPr>
            </w:pPr>
            <w:r w:rsidRPr="00822B5E">
              <w:rPr>
                <w:b w:val="0"/>
                <w:bCs w:val="0"/>
                <w:sz w:val="18"/>
                <w:szCs w:val="18"/>
              </w:rPr>
              <w:t>Latrine construction</w:t>
            </w:r>
          </w:p>
          <w:p w14:paraId="2177981A" w14:textId="5AD751B5" w:rsidR="005E15E5" w:rsidRPr="005E15E5" w:rsidRDefault="005E15E5" w:rsidP="005E15E5">
            <w:pPr>
              <w:pStyle w:val="ListParagraph"/>
              <w:widowControl w:val="0"/>
              <w:numPr>
                <w:ilvl w:val="0"/>
                <w:numId w:val="5"/>
              </w:numPr>
              <w:autoSpaceDE w:val="0"/>
              <w:autoSpaceDN w:val="0"/>
              <w:spacing w:before="0" w:after="0" w:line="240" w:lineRule="auto"/>
              <w:jc w:val="left"/>
              <w:rPr>
                <w:b w:val="0"/>
                <w:bCs w:val="0"/>
                <w:sz w:val="18"/>
                <w:szCs w:val="18"/>
              </w:rPr>
            </w:pPr>
            <w:r w:rsidRPr="005E15E5">
              <w:rPr>
                <w:b w:val="0"/>
                <w:bCs w:val="0"/>
                <w:sz w:val="18"/>
                <w:szCs w:val="18"/>
              </w:rPr>
              <w:t>Well upgrades and new boreholes</w:t>
            </w:r>
          </w:p>
        </w:tc>
        <w:tc>
          <w:tcPr>
            <w:tcW w:w="2977" w:type="dxa"/>
          </w:tcPr>
          <w:p w14:paraId="2493D7B0" w14:textId="77777777" w:rsidR="005E15E5" w:rsidRPr="00822B5E" w:rsidRDefault="005E15E5" w:rsidP="005E15E5">
            <w:pPr>
              <w:pStyle w:val="ListParagraph"/>
              <w:widowControl w:val="0"/>
              <w:numPr>
                <w:ilvl w:val="0"/>
                <w:numId w:val="5"/>
              </w:numPr>
              <w:autoSpaceDE w:val="0"/>
              <w:autoSpaceDN w:val="0"/>
              <w:spacing w:before="0" w:after="0" w:line="240" w:lineRule="auto"/>
              <w:jc w:val="left"/>
              <w:cnfStyle w:val="000000000000" w:firstRow="0" w:lastRow="0" w:firstColumn="0" w:lastColumn="0" w:oddVBand="0" w:evenVBand="0" w:oddHBand="0" w:evenHBand="0" w:firstRowFirstColumn="0" w:firstRowLastColumn="0" w:lastRowFirstColumn="0" w:lastRowLastColumn="0"/>
              <w:rPr>
                <w:sz w:val="18"/>
                <w:szCs w:val="18"/>
              </w:rPr>
            </w:pPr>
            <w:r w:rsidRPr="00822B5E">
              <w:rPr>
                <w:sz w:val="18"/>
                <w:szCs w:val="18"/>
              </w:rPr>
              <w:t>Hydrological survey</w:t>
            </w:r>
          </w:p>
          <w:p w14:paraId="0412DC3D" w14:textId="116681F2" w:rsidR="005E15E5" w:rsidRPr="00546955" w:rsidRDefault="005E15E5" w:rsidP="005E15E5">
            <w:pPr>
              <w:cnfStyle w:val="000000000000" w:firstRow="0" w:lastRow="0" w:firstColumn="0" w:lastColumn="0" w:oddVBand="0" w:evenVBand="0" w:oddHBand="0" w:evenHBand="0" w:firstRowFirstColumn="0" w:firstRowLastColumn="0" w:lastRowFirstColumn="0" w:lastRowLastColumn="0"/>
              <w:rPr>
                <w:b/>
                <w:bCs/>
                <w:sz w:val="20"/>
                <w:szCs w:val="20"/>
              </w:rPr>
            </w:pPr>
          </w:p>
        </w:tc>
      </w:tr>
    </w:tbl>
    <w:p w14:paraId="4E03A85B" w14:textId="77777777" w:rsidR="00526170" w:rsidRDefault="00526170" w:rsidP="003562C9"/>
    <w:p w14:paraId="7FBF629C" w14:textId="123D200F" w:rsidR="000371CD" w:rsidRDefault="000371CD" w:rsidP="003562C9">
      <w:r>
        <w:t xml:space="preserve">According to the output summary report delivered in April 2022: </w:t>
      </w:r>
    </w:p>
    <w:p w14:paraId="7B00D7EE" w14:textId="75BF763C" w:rsidR="000371CD" w:rsidRDefault="000371CD" w:rsidP="000371CD">
      <w:pPr>
        <w:pStyle w:val="ListParagraph"/>
        <w:numPr>
          <w:ilvl w:val="0"/>
          <w:numId w:val="14"/>
        </w:numPr>
      </w:pPr>
      <w:r>
        <w:t xml:space="preserve">3 well upgrades have been </w:t>
      </w:r>
      <w:proofErr w:type="gramStart"/>
      <w:r>
        <w:t>completed;</w:t>
      </w:r>
      <w:proofErr w:type="gramEnd"/>
    </w:p>
    <w:p w14:paraId="4D27CC1D" w14:textId="6FBDF6D7" w:rsidR="000371CD" w:rsidRDefault="000371CD" w:rsidP="000371CD">
      <w:pPr>
        <w:pStyle w:val="ListParagraph"/>
        <w:numPr>
          <w:ilvl w:val="0"/>
          <w:numId w:val="14"/>
        </w:numPr>
      </w:pPr>
      <w:r>
        <w:t xml:space="preserve">15 communities have been triggered for Community Led Total </w:t>
      </w:r>
      <w:proofErr w:type="gramStart"/>
      <w:r>
        <w:t>Sanitation;</w:t>
      </w:r>
      <w:proofErr w:type="gramEnd"/>
    </w:p>
    <w:p w14:paraId="65B38DC4" w14:textId="70AFB2D5" w:rsidR="000371CD" w:rsidRDefault="000371CD" w:rsidP="000371CD">
      <w:pPr>
        <w:pStyle w:val="ListParagraph"/>
        <w:numPr>
          <w:ilvl w:val="0"/>
          <w:numId w:val="14"/>
        </w:numPr>
      </w:pPr>
      <w:r>
        <w:t xml:space="preserve">477 latrines have been </w:t>
      </w:r>
      <w:proofErr w:type="gramStart"/>
      <w:r>
        <w:t>constructed;</w:t>
      </w:r>
      <w:proofErr w:type="gramEnd"/>
    </w:p>
    <w:p w14:paraId="1F6C84CD" w14:textId="75828222" w:rsidR="000371CD" w:rsidRDefault="000371CD" w:rsidP="000371CD">
      <w:pPr>
        <w:pStyle w:val="ListParagraph"/>
        <w:numPr>
          <w:ilvl w:val="0"/>
          <w:numId w:val="14"/>
        </w:numPr>
      </w:pPr>
      <w:r>
        <w:t xml:space="preserve">13 Ward level WASH committees have been </w:t>
      </w:r>
      <w:proofErr w:type="gramStart"/>
      <w:r>
        <w:t>established;</w:t>
      </w:r>
      <w:proofErr w:type="gramEnd"/>
      <w:r w:rsidR="002A3B57">
        <w:t xml:space="preserve"> </w:t>
      </w:r>
    </w:p>
    <w:p w14:paraId="61DA0426" w14:textId="0353E6F0" w:rsidR="000371CD" w:rsidRDefault="002A3B57" w:rsidP="000371CD">
      <w:pPr>
        <w:pStyle w:val="ListParagraph"/>
        <w:numPr>
          <w:ilvl w:val="0"/>
          <w:numId w:val="14"/>
        </w:numPr>
      </w:pPr>
      <w:r>
        <w:lastRenderedPageBreak/>
        <w:t xml:space="preserve">A District level WASH plan has been drafted, and a </w:t>
      </w:r>
      <w:r w:rsidR="00ED03BE">
        <w:t>committee</w:t>
      </w:r>
      <w:r>
        <w:t xml:space="preserve"> formulated; and,</w:t>
      </w:r>
    </w:p>
    <w:p w14:paraId="1BDC92E8" w14:textId="40FE8DB1" w:rsidR="000371CD" w:rsidRDefault="002A3B57" w:rsidP="003562C9">
      <w:pPr>
        <w:pStyle w:val="ListParagraph"/>
        <w:numPr>
          <w:ilvl w:val="0"/>
          <w:numId w:val="14"/>
        </w:numPr>
      </w:pPr>
      <w:r>
        <w:t>2 desalination units have been prepositioned.</w:t>
      </w:r>
    </w:p>
    <w:p w14:paraId="008E91CD" w14:textId="15DB0DC4" w:rsidR="002A3B57" w:rsidRDefault="002A3B57" w:rsidP="002A3B57">
      <w:r>
        <w:t xml:space="preserve">No outputs have yet </w:t>
      </w:r>
      <w:r w:rsidR="002918CB">
        <w:t>been</w:t>
      </w:r>
      <w:r>
        <w:t xml:space="preserve"> achieved in </w:t>
      </w:r>
      <w:r w:rsidR="00063D95">
        <w:t>new boreholes</w:t>
      </w:r>
      <w:r w:rsidR="00E81B48">
        <w:t xml:space="preserve"> (though three have been drilled, awaiting equipment, in </w:t>
      </w:r>
      <w:proofErr w:type="spellStart"/>
      <w:r w:rsidR="00E81B48">
        <w:t>Mabuduwan</w:t>
      </w:r>
      <w:proofErr w:type="spellEnd"/>
      <w:r w:rsidR="00E81B48">
        <w:t>)</w:t>
      </w:r>
      <w:r w:rsidR="00063D95">
        <w:t xml:space="preserve">, the number of schools and health facilities with access to a basic level of WASH or emergency protocols and response drills. </w:t>
      </w:r>
      <w:r w:rsidR="003A4669">
        <w:t xml:space="preserve">Given </w:t>
      </w:r>
      <w:r w:rsidR="00063D95">
        <w:t xml:space="preserve">the requirements for sequencing and prioritisation, the rate of progress for these outputs is understandable.  </w:t>
      </w:r>
    </w:p>
    <w:p w14:paraId="0021A184" w14:textId="263BBD14" w:rsidR="00063D95" w:rsidRDefault="00063D95" w:rsidP="002A3B57">
      <w:r>
        <w:t xml:space="preserve">At the end of December 2021, the burn rate of the grant amount reached </w:t>
      </w:r>
      <w:r w:rsidR="004A78ED">
        <w:t xml:space="preserve">27% (excluding FOREX and interest). There is variance on almost all line items in the budget, and this has been contributed to by </w:t>
      </w:r>
      <w:r w:rsidR="00481450">
        <w:t xml:space="preserve">the </w:t>
      </w:r>
      <w:r w:rsidR="004A78ED">
        <w:t>delay in contracting and COVID</w:t>
      </w:r>
      <w:r w:rsidR="0005157E">
        <w:t>-19</w:t>
      </w:r>
      <w:r w:rsidR="004A78ED">
        <w:t xml:space="preserve">. </w:t>
      </w:r>
      <w:r w:rsidR="007B2EDE">
        <w:t>In WASH it is also necessary to consider</w:t>
      </w:r>
      <w:r w:rsidR="004A78ED">
        <w:t xml:space="preserve"> the seasonal nature of the construction of </w:t>
      </w:r>
      <w:r w:rsidR="00481450">
        <w:t xml:space="preserve">much ground-based </w:t>
      </w:r>
      <w:r w:rsidR="004A78ED">
        <w:t>WASH infrastructure</w:t>
      </w:r>
      <w:r w:rsidR="00481450">
        <w:t xml:space="preserve">. There </w:t>
      </w:r>
      <w:r w:rsidR="00E31C9A">
        <w:t>seems</w:t>
      </w:r>
      <w:r w:rsidR="00481450">
        <w:t xml:space="preserve"> a</w:t>
      </w:r>
      <w:r w:rsidR="004A78ED">
        <w:t xml:space="preserve"> need to accelerate the construct</w:t>
      </w:r>
      <w:r w:rsidR="00844E95">
        <w:t>ion</w:t>
      </w:r>
      <w:r w:rsidR="004A78ED">
        <w:t xml:space="preserve"> of WASH infrastructure this dry season. </w:t>
      </w:r>
    </w:p>
    <w:p w14:paraId="6511E34C" w14:textId="5C2A466D" w:rsidR="00BB6DE9" w:rsidRDefault="00824B69" w:rsidP="002A3B57">
      <w:r>
        <w:t>While good progress is being made,</w:t>
      </w:r>
      <w:r w:rsidR="00BB6DE9">
        <w:t xml:space="preserve"> this has come at the cost of past and anticipated gains in small WASH infrastructure development, which was temporarily discontinued. A more balanced approach seems justified.</w:t>
      </w:r>
    </w:p>
    <w:p w14:paraId="346F21CB" w14:textId="77777777" w:rsidR="00C41429" w:rsidRDefault="00BB6DE9" w:rsidP="002A3B57">
      <w:r>
        <w:t xml:space="preserve">Written deliverables are </w:t>
      </w:r>
      <w:r w:rsidR="008210EE">
        <w:t xml:space="preserve">generally </w:t>
      </w:r>
      <w:r>
        <w:t>of a good quality. The WASH survey provides a wealth of information relevant to policy formulation. Meanwhile the District is proud of the progress it is making in WASH governance</w:t>
      </w:r>
      <w:r w:rsidR="00986ADD">
        <w:t>. Relevant</w:t>
      </w:r>
      <w:r>
        <w:t xml:space="preserve"> Wards are satisfied by the equal representation of men and women in the WASH committees. </w:t>
      </w:r>
    </w:p>
    <w:p w14:paraId="12494D10" w14:textId="06924509" w:rsidR="00BB6DE9" w:rsidRDefault="00E31C9A" w:rsidP="002A3B57">
      <w:r>
        <w:t>The</w:t>
      </w:r>
      <w:r w:rsidR="00BB6DE9">
        <w:t xml:space="preserve"> draft District WASH Plan outlines an </w:t>
      </w:r>
      <w:r w:rsidR="007B2EDE">
        <w:t>ambitious</w:t>
      </w:r>
      <w:r w:rsidR="00BB6DE9">
        <w:t xml:space="preserve"> approach to service delivery</w:t>
      </w:r>
      <w:r>
        <w:t xml:space="preserve"> and governance of the sector. A</w:t>
      </w:r>
      <w:r w:rsidR="007B2EDE">
        <w:t>n appropriate appraisal and consultative process</w:t>
      </w:r>
      <w:r w:rsidR="00024365">
        <w:t>, that emphasises the voice of women given their role in WASH,</w:t>
      </w:r>
      <w:r w:rsidR="007B2EDE">
        <w:t xml:space="preserve"> will </w:t>
      </w:r>
      <w:r w:rsidR="00F85C50">
        <w:t>support its</w:t>
      </w:r>
      <w:r w:rsidR="007B2EDE">
        <w:t xml:space="preserve"> feasibility. </w:t>
      </w:r>
    </w:p>
    <w:p w14:paraId="63B34A81" w14:textId="0AB54794" w:rsidR="008210EE" w:rsidRPr="003562C9" w:rsidRDefault="008210EE" w:rsidP="002A3B57">
      <w:r>
        <w:t>The hydro</w:t>
      </w:r>
      <w:r w:rsidR="00C41429">
        <w:t>logical</w:t>
      </w:r>
      <w:r>
        <w:t xml:space="preserve"> survey covered 22 villages</w:t>
      </w:r>
      <w:r w:rsidR="00C41429">
        <w:t>,</w:t>
      </w:r>
      <w:r>
        <w:t xml:space="preserve"> across 3 Local Level Governments. </w:t>
      </w:r>
      <w:r w:rsidR="002A0D26">
        <w:t xml:space="preserve">The assessment could trigger transformational </w:t>
      </w:r>
      <w:r w:rsidR="00ED03BE">
        <w:t>change if</w:t>
      </w:r>
      <w:r w:rsidR="002A0D26">
        <w:t xml:space="preserve"> suitable sources of ground water can be identified. However, challenges </w:t>
      </w:r>
      <w:r w:rsidR="00DB795C">
        <w:t>have been</w:t>
      </w:r>
      <w:r w:rsidR="002A0D26">
        <w:t xml:space="preserve"> encountered in receiving the reports from the Mineral Resource Authority. Any future </w:t>
      </w:r>
      <w:r w:rsidR="00E31C9A">
        <w:t>surveys</w:t>
      </w:r>
      <w:r w:rsidR="002A0D26">
        <w:t xml:space="preserve"> should be under contracted arrangements</w:t>
      </w:r>
      <w:r w:rsidR="00865CA2">
        <w:t>, rather than Memorand</w:t>
      </w:r>
      <w:r w:rsidR="00526170">
        <w:t>a</w:t>
      </w:r>
      <w:r w:rsidR="00865CA2">
        <w:t xml:space="preserve"> of Understanding</w:t>
      </w:r>
      <w:r w:rsidR="002A0D26">
        <w:t>, to ensure the timely delivery of outputs.</w:t>
      </w:r>
    </w:p>
    <w:p w14:paraId="45B9C74B" w14:textId="1F6F9E1D" w:rsidR="00C040BA" w:rsidRDefault="00C040BA" w:rsidP="00B41A6D">
      <w:pPr>
        <w:pStyle w:val="Heading2"/>
      </w:pPr>
      <w:bookmarkStart w:id="27" w:name="_Toc108259995"/>
      <w:r>
        <w:t>3.</w:t>
      </w:r>
      <w:r w:rsidR="00FC7205">
        <w:t>4</w:t>
      </w:r>
      <w:r>
        <w:t xml:space="preserve"> The </w:t>
      </w:r>
      <w:r w:rsidR="003342B2">
        <w:t>shipping service to the South Fly</w:t>
      </w:r>
      <w:bookmarkEnd w:id="27"/>
    </w:p>
    <w:p w14:paraId="15E14B40" w14:textId="20C0ABF7" w:rsidR="00824B69" w:rsidRDefault="00F64146" w:rsidP="00140C70">
      <w:r>
        <w:t xml:space="preserve">Transporting goods </w:t>
      </w:r>
      <w:r w:rsidR="00017D9B">
        <w:t xml:space="preserve">to the South Fly </w:t>
      </w:r>
      <w:r>
        <w:t>commercially</w:t>
      </w:r>
      <w:r w:rsidR="00ED1C2D">
        <w:t xml:space="preserve"> </w:t>
      </w:r>
      <w:r>
        <w:t>is</w:t>
      </w:r>
      <w:r w:rsidR="00ED1C2D">
        <w:t xml:space="preserve"> </w:t>
      </w:r>
      <w:r>
        <w:t>costly, and services</w:t>
      </w:r>
      <w:r w:rsidR="00ED1C2D">
        <w:t xml:space="preserve"> infrequent. </w:t>
      </w:r>
      <w:r w:rsidR="00E2381F">
        <w:t xml:space="preserve">It is not possible to use supply lines from the Torres </w:t>
      </w:r>
      <w:r w:rsidR="00322C39">
        <w:t>Strait</w:t>
      </w:r>
      <w:r w:rsidR="00E2381F">
        <w:t xml:space="preserve">. </w:t>
      </w:r>
      <w:r w:rsidR="00ED1C2D">
        <w:t>To address th</w:t>
      </w:r>
      <w:r w:rsidR="000B60B9">
        <w:t>ese points</w:t>
      </w:r>
      <w:r w:rsidR="00ED1C2D">
        <w:t>, a</w:t>
      </w:r>
      <w:r w:rsidR="00824B69">
        <w:t xml:space="preserve">n innovation </w:t>
      </w:r>
      <w:r w:rsidR="00ED1C2D">
        <w:t>under the SFRP</w:t>
      </w:r>
      <w:r w:rsidR="00824B69">
        <w:t xml:space="preserve"> has been the </w:t>
      </w:r>
      <w:r w:rsidR="00436EF6">
        <w:t>charter of the Motor Vessel</w:t>
      </w:r>
      <w:r w:rsidR="00947693">
        <w:t xml:space="preserve"> </w:t>
      </w:r>
      <w:r>
        <w:t xml:space="preserve">(MV) </w:t>
      </w:r>
      <w:r w:rsidR="00436EF6">
        <w:t>Islander.</w:t>
      </w:r>
      <w:r w:rsidR="00E06660">
        <w:t xml:space="preserve"> </w:t>
      </w:r>
      <w:r w:rsidR="00526170">
        <w:t>This</w:t>
      </w:r>
      <w:r w:rsidR="00E06660">
        <w:t xml:space="preserve"> service</w:t>
      </w:r>
      <w:r w:rsidR="00526170">
        <w:t xml:space="preserve"> is</w:t>
      </w:r>
      <w:r w:rsidR="00E06660">
        <w:t xml:space="preserve"> provided to all Australian development partners in the </w:t>
      </w:r>
      <w:proofErr w:type="gramStart"/>
      <w:r w:rsidR="00E06660">
        <w:t>District</w:t>
      </w:r>
      <w:proofErr w:type="gramEnd"/>
      <w:r w:rsidR="00E06660">
        <w:t>.</w:t>
      </w:r>
      <w:r w:rsidR="00436EF6">
        <w:t xml:space="preserve"> </w:t>
      </w:r>
      <w:r w:rsidR="00526170">
        <w:t>The service is</w:t>
      </w:r>
      <w:r w:rsidR="00436EF6">
        <w:t xml:space="preserve"> being delivered through arrangements</w:t>
      </w:r>
      <w:r w:rsidR="00947693">
        <w:t xml:space="preserve"> between </w:t>
      </w:r>
      <w:r w:rsidR="006949C6">
        <w:t>the DCP/APSP (</w:t>
      </w:r>
      <w:r w:rsidR="00947693">
        <w:t>Abt Associates</w:t>
      </w:r>
      <w:r w:rsidR="006949C6">
        <w:t>)</w:t>
      </w:r>
      <w:r w:rsidR="00E06660">
        <w:t xml:space="preserve">, </w:t>
      </w:r>
      <w:r w:rsidR="00436EF6">
        <w:t>AST Oceanics</w:t>
      </w:r>
      <w:r w:rsidR="00E06660">
        <w:t xml:space="preserve"> and Inchcape. Inchcape manage APSP’s interest in the </w:t>
      </w:r>
      <w:r w:rsidR="00014B5F">
        <w:t>c</w:t>
      </w:r>
      <w:r w:rsidR="00E06660">
        <w:t xml:space="preserve">harter, while AST Oceanics subcontract to Trans World Logistics (who own the MV Islander). </w:t>
      </w:r>
      <w:r w:rsidR="00A107EC">
        <w:t xml:space="preserve">The MV Islander, and its accompanying launch, is well configured to meet the </w:t>
      </w:r>
      <w:r w:rsidR="00140C70">
        <w:t xml:space="preserve">specific </w:t>
      </w:r>
      <w:r w:rsidR="00A107EC">
        <w:t xml:space="preserve">environment of the </w:t>
      </w:r>
      <w:proofErr w:type="gramStart"/>
      <w:r w:rsidR="00A107EC">
        <w:t>District</w:t>
      </w:r>
      <w:proofErr w:type="gramEnd"/>
      <w:r w:rsidR="00A107EC">
        <w:t xml:space="preserve">. </w:t>
      </w:r>
      <w:r w:rsidR="00ED03BE">
        <w:t>However,</w:t>
      </w:r>
      <w:r w:rsidR="00140C70">
        <w:t xml:space="preserve"> t</w:t>
      </w:r>
      <w:r w:rsidR="00A107EC">
        <w:t xml:space="preserve">he MV Islander’s accessibility to areas outside of </w:t>
      </w:r>
      <w:proofErr w:type="spellStart"/>
      <w:r w:rsidR="00A107EC">
        <w:t>Mabuduwan</w:t>
      </w:r>
      <w:proofErr w:type="spellEnd"/>
      <w:r w:rsidR="00A107EC">
        <w:t xml:space="preserve"> and Daru</w:t>
      </w:r>
      <w:r w:rsidR="00140C70">
        <w:t xml:space="preserve"> is partly constrained by the absence of accurate shipping charts. </w:t>
      </w:r>
    </w:p>
    <w:p w14:paraId="0DE35B3A" w14:textId="06938323" w:rsidR="00D419E1" w:rsidRPr="00D419E1" w:rsidRDefault="00947693" w:rsidP="00D419E1">
      <w:r>
        <w:t>The arrangement has required Abt Associates to participate in a new market</w:t>
      </w:r>
      <w:r w:rsidR="00140C70">
        <w:t xml:space="preserve"> in a short period of time;</w:t>
      </w:r>
      <w:r>
        <w:t xml:space="preserve"> this has been conducted </w:t>
      </w:r>
      <w:r w:rsidR="00140C70">
        <w:t>efficiently</w:t>
      </w:r>
      <w:r>
        <w:t>.</w:t>
      </w:r>
      <w:r w:rsidR="00F64146">
        <w:t xml:space="preserve"> DFAT has also responded</w:t>
      </w:r>
      <w:r w:rsidR="00A93774">
        <w:t xml:space="preserve"> efficiently</w:t>
      </w:r>
      <w:r w:rsidR="00F64146">
        <w:t xml:space="preserve"> to meet this challenge.</w:t>
      </w:r>
      <w:r>
        <w:t xml:space="preserve"> </w:t>
      </w:r>
      <w:r w:rsidR="00ED1C2D" w:rsidRPr="004353E7">
        <w:t>The service is</w:t>
      </w:r>
      <w:r w:rsidR="00A107EC" w:rsidRPr="004353E7">
        <w:t xml:space="preserve"> delivering substantial cost and time efficiencies to Australia’s investments in the South Fly</w:t>
      </w:r>
      <w:r w:rsidR="00104B84" w:rsidRPr="004353E7">
        <w:t xml:space="preserve">. For example, an infrastructure investment, valued at AUD 16 </w:t>
      </w:r>
      <w:r w:rsidR="00322C39" w:rsidRPr="004353E7">
        <w:lastRenderedPageBreak/>
        <w:t>m</w:t>
      </w:r>
      <w:r w:rsidR="00322C39">
        <w:t>i</w:t>
      </w:r>
      <w:r w:rsidR="00322C39" w:rsidRPr="004353E7">
        <w:t>ll</w:t>
      </w:r>
      <w:r w:rsidR="00322C39">
        <w:t>i</w:t>
      </w:r>
      <w:r w:rsidR="00322C39" w:rsidRPr="004353E7">
        <w:t>on</w:t>
      </w:r>
      <w:r w:rsidR="00104B84" w:rsidRPr="004353E7">
        <w:t xml:space="preserve">, found savings of AUD 2 </w:t>
      </w:r>
      <w:r w:rsidR="00322C39" w:rsidRPr="004353E7">
        <w:t>m</w:t>
      </w:r>
      <w:r w:rsidR="00322C39">
        <w:t>i</w:t>
      </w:r>
      <w:r w:rsidR="00322C39" w:rsidRPr="004353E7">
        <w:t>ll</w:t>
      </w:r>
      <w:r w:rsidR="00322C39">
        <w:t>i</w:t>
      </w:r>
      <w:r w:rsidR="00322C39" w:rsidRPr="004353E7">
        <w:t>on</w:t>
      </w:r>
      <w:r w:rsidR="00104B84" w:rsidRPr="004353E7">
        <w:t>. through utilising the service.</w:t>
      </w:r>
      <w:r w:rsidR="003C72B9">
        <w:t xml:space="preserve"> </w:t>
      </w:r>
      <w:r w:rsidR="00104B84" w:rsidRPr="004353E7">
        <w:t xml:space="preserve"> The service</w:t>
      </w:r>
      <w:r w:rsidR="00104B84">
        <w:t xml:space="preserve"> also</w:t>
      </w:r>
      <w:r w:rsidR="00A107EC">
        <w:t xml:space="preserve"> provides opportunity for other development partners and the private sector to utilise the service.</w:t>
      </w:r>
      <w:r w:rsidR="00140C70">
        <w:t xml:space="preserve"> </w:t>
      </w:r>
      <w:r w:rsidR="00140C70" w:rsidRPr="00140C70">
        <w:t xml:space="preserve"> </w:t>
      </w:r>
      <w:r w:rsidR="00140C70">
        <w:t>Further efficiencies will be gained</w:t>
      </w:r>
      <w:r w:rsidR="00F64146">
        <w:t>,</w:t>
      </w:r>
      <w:r w:rsidR="00140C70">
        <w:t xml:space="preserve"> following improvements </w:t>
      </w:r>
      <w:r w:rsidR="00F64146">
        <w:t>to</w:t>
      </w:r>
      <w:r w:rsidR="00140C70">
        <w:t xml:space="preserve"> wharf </w:t>
      </w:r>
      <w:r w:rsidR="00F64146">
        <w:t xml:space="preserve">and jetty </w:t>
      </w:r>
      <w:r w:rsidR="00140C70">
        <w:t>infrastructure and stevedoring operations.</w:t>
      </w:r>
    </w:p>
    <w:p w14:paraId="50590490" w14:textId="1C588291" w:rsidR="00D419E1" w:rsidRDefault="00D419E1" w:rsidP="009D481C">
      <w:pPr>
        <w:pStyle w:val="Heading1"/>
        <w:numPr>
          <w:ilvl w:val="0"/>
          <w:numId w:val="24"/>
        </w:numPr>
      </w:pPr>
      <w:bookmarkStart w:id="28" w:name="_Toc108259996"/>
      <w:r w:rsidRPr="009D481C">
        <w:lastRenderedPageBreak/>
        <w:t>Coherence</w:t>
      </w:r>
      <w:bookmarkEnd w:id="28"/>
    </w:p>
    <w:p w14:paraId="79B5E260" w14:textId="793E5514" w:rsidR="009D481C" w:rsidRPr="009D481C" w:rsidRDefault="009D481C" w:rsidP="009D481C">
      <w:pPr>
        <w:pStyle w:val="Heading2"/>
      </w:pPr>
      <w:bookmarkStart w:id="29" w:name="_Toc108259997"/>
      <w:r>
        <w:t xml:space="preserve">4.1 </w:t>
      </w:r>
      <w:r w:rsidR="00E572E7">
        <w:t>C</w:t>
      </w:r>
      <w:r w:rsidR="00E572E7" w:rsidRPr="00427060">
        <w:t>oher</w:t>
      </w:r>
      <w:r w:rsidR="00E572E7">
        <w:t>ence</w:t>
      </w:r>
      <w:r w:rsidRPr="00427060">
        <w:t xml:space="preserve"> with Australia’s priorities in </w:t>
      </w:r>
      <w:r w:rsidR="00E572E7">
        <w:t xml:space="preserve">the </w:t>
      </w:r>
      <w:r w:rsidR="00264919">
        <w:t>SFD</w:t>
      </w:r>
      <w:bookmarkEnd w:id="29"/>
    </w:p>
    <w:p w14:paraId="72769EDF" w14:textId="641A872A" w:rsidR="00AC5397" w:rsidRDefault="00AC5397" w:rsidP="00D419E1">
      <w:r>
        <w:t xml:space="preserve">The SFRP represents one of the </w:t>
      </w:r>
      <w:r w:rsidR="00B27823">
        <w:t>Australian development program’s</w:t>
      </w:r>
      <w:r>
        <w:t xml:space="preserve"> responses to the COVID</w:t>
      </w:r>
      <w:r w:rsidR="00322C39">
        <w:t>-</w:t>
      </w:r>
      <w:r>
        <w:t>19 policy context, as well as the needs of the population for food and water security. The delivery modalities under the DCP facilitated the scale and rapid nature of the response</w:t>
      </w:r>
      <w:r w:rsidR="00B27823">
        <w:t xml:space="preserve">, however this </w:t>
      </w:r>
      <w:r w:rsidR="0074172D">
        <w:t xml:space="preserve">came at the cost of </w:t>
      </w:r>
      <w:r w:rsidR="00104B84">
        <w:t xml:space="preserve">sufficient </w:t>
      </w:r>
      <w:r w:rsidR="0074172D">
        <w:t xml:space="preserve">engagement with District </w:t>
      </w:r>
      <w:r w:rsidR="00ED03BE">
        <w:t>authorities</w:t>
      </w:r>
      <w:r w:rsidR="00104B84">
        <w:t xml:space="preserve"> and communities</w:t>
      </w:r>
      <w:r>
        <w:t xml:space="preserve">. </w:t>
      </w:r>
    </w:p>
    <w:p w14:paraId="2DBAF9BA" w14:textId="692CB05C" w:rsidR="00D419E1" w:rsidRDefault="00D419E1" w:rsidP="00D419E1">
      <w:r>
        <w:t xml:space="preserve">The SFRP is aligned with </w:t>
      </w:r>
      <w:r>
        <w:rPr>
          <w:i/>
          <w:iCs/>
        </w:rPr>
        <w:t>Partnerships for Recovery: Australia’s COVID-19 Development Response</w:t>
      </w:r>
      <w:r>
        <w:rPr>
          <w:rStyle w:val="FootnoteReference"/>
          <w:i/>
          <w:iCs/>
        </w:rPr>
        <w:footnoteReference w:id="10"/>
      </w:r>
      <w:r>
        <w:t xml:space="preserve">, by focusing initially on </w:t>
      </w:r>
      <w:r w:rsidR="00FB247C">
        <w:t xml:space="preserve">the </w:t>
      </w:r>
      <w:r>
        <w:t>emergency response and then the transition to recovery.</w:t>
      </w:r>
      <w:r w:rsidR="00FB247C">
        <w:t xml:space="preserve"> </w:t>
      </w:r>
      <w:r>
        <w:t xml:space="preserve">The Plan is also aligned to DFAT’s </w:t>
      </w:r>
      <w:r>
        <w:rPr>
          <w:i/>
          <w:iCs/>
        </w:rPr>
        <w:t>Papua New Guinea COVID-19 Development Response Plan</w:t>
      </w:r>
      <w:r>
        <w:rPr>
          <w:rStyle w:val="FootnoteReference"/>
          <w:i/>
          <w:iCs/>
        </w:rPr>
        <w:footnoteReference w:id="11"/>
      </w:r>
      <w:r>
        <w:t xml:space="preserve">, which singles out the </w:t>
      </w:r>
      <w:r w:rsidR="00264919">
        <w:t>SFD</w:t>
      </w:r>
      <w:r>
        <w:t xml:space="preserve"> as a place to “pilot a more integrated approach to engagement” reflecting “shared strategic and development interests in this region.”</w:t>
      </w:r>
    </w:p>
    <w:p w14:paraId="4AF3C968" w14:textId="50C1F49B" w:rsidR="00FB247C" w:rsidRDefault="00FB247C" w:rsidP="00D419E1">
      <w:r>
        <w:t xml:space="preserve">The SFRP also aligns to key pillars of the </w:t>
      </w:r>
      <w:r w:rsidRPr="786FFF53">
        <w:rPr>
          <w:i/>
          <w:iCs/>
        </w:rPr>
        <w:t>Comprehensive Strategic and Economic Partnership</w:t>
      </w:r>
      <w:r w:rsidR="00A13192" w:rsidRPr="786FFF53">
        <w:rPr>
          <w:rStyle w:val="FootnoteReference"/>
          <w:i/>
          <w:iCs/>
        </w:rPr>
        <w:footnoteReference w:id="12"/>
      </w:r>
      <w:r>
        <w:t xml:space="preserve"> (CSEP). The CSEP includes a range of principles relevant to the</w:t>
      </w:r>
      <w:r w:rsidR="00B46D10">
        <w:t xml:space="preserve"> future of the</w:t>
      </w:r>
      <w:r>
        <w:t xml:space="preserve"> SFRP</w:t>
      </w:r>
      <w:r w:rsidR="00B46D10">
        <w:t xml:space="preserve"> as it adapts</w:t>
      </w:r>
      <w:r>
        <w:t xml:space="preserve">, principally </w:t>
      </w:r>
      <w:r w:rsidR="00B46D10">
        <w:t xml:space="preserve">i) open communication, ii) shared responsibility and iii) flexibility. </w:t>
      </w:r>
      <w:r w:rsidR="008377E3">
        <w:t>Gender</w:t>
      </w:r>
      <w:r w:rsidR="00D07A7A">
        <w:t xml:space="preserve"> equality and women’s empowerment </w:t>
      </w:r>
      <w:r w:rsidR="008377E3">
        <w:t>are also</w:t>
      </w:r>
      <w:r w:rsidR="00D07A7A">
        <w:t xml:space="preserve"> important prioriti</w:t>
      </w:r>
      <w:r w:rsidR="008377E3">
        <w:t>es</w:t>
      </w:r>
      <w:r w:rsidR="00D07A7A">
        <w:t xml:space="preserve"> for Australia, as embodied in the CSEP and Gender and Women’s Empowerment Strategy</w:t>
      </w:r>
      <w:r w:rsidR="00B91903">
        <w:t xml:space="preserve"> (GEWES)</w:t>
      </w:r>
      <w:r w:rsidR="00D07A7A">
        <w:rPr>
          <w:rStyle w:val="FootnoteReference"/>
        </w:rPr>
        <w:footnoteReference w:id="13"/>
      </w:r>
      <w:r w:rsidR="00D07A7A">
        <w:t xml:space="preserve">. </w:t>
      </w:r>
      <w:r w:rsidR="008377E3">
        <w:t xml:space="preserve">Progress is most evident in one of the three pillars of </w:t>
      </w:r>
      <w:r w:rsidR="00B91903">
        <w:t>the GEWES</w:t>
      </w:r>
      <w:r w:rsidR="008377E3">
        <w:t>.</w:t>
      </w:r>
    </w:p>
    <w:p w14:paraId="5D5F7F7F" w14:textId="17A1280B" w:rsidR="009D481C" w:rsidRDefault="009D481C" w:rsidP="009D481C">
      <w:pPr>
        <w:pStyle w:val="Heading2"/>
      </w:pPr>
      <w:bookmarkStart w:id="30" w:name="_Toc108259998"/>
      <w:r>
        <w:t>4.2 Synergies with</w:t>
      </w:r>
      <w:r w:rsidRPr="00427060">
        <w:t xml:space="preserve"> Australia’s development program and </w:t>
      </w:r>
      <w:r w:rsidR="00171191">
        <w:t xml:space="preserve">the </w:t>
      </w:r>
      <w:r w:rsidRPr="00427060">
        <w:t>bilateral partnership</w:t>
      </w:r>
      <w:bookmarkEnd w:id="30"/>
      <w:r w:rsidRPr="00427060">
        <w:t xml:space="preserve"> </w:t>
      </w:r>
    </w:p>
    <w:p w14:paraId="021C1493" w14:textId="2335F0DE" w:rsidR="002E7DBA" w:rsidRDefault="00C42777" w:rsidP="00245387">
      <w:r>
        <w:t>The SFRP has developed strong synergies and is coordinated across much of Australia’s development program</w:t>
      </w:r>
      <w:r w:rsidR="00072C47">
        <w:t xml:space="preserve"> and bilateral </w:t>
      </w:r>
      <w:r w:rsidR="00072C47" w:rsidRPr="004353E7">
        <w:t>partnership</w:t>
      </w:r>
      <w:r w:rsidRPr="004353E7">
        <w:t xml:space="preserve">. </w:t>
      </w:r>
      <w:r w:rsidR="002E7DBA" w:rsidRPr="004353E7">
        <w:t xml:space="preserve">The South Fly Shipping Service is the most visible evidence of </w:t>
      </w:r>
      <w:r w:rsidR="005E3BC8" w:rsidRPr="004353E7">
        <w:t>opportunities</w:t>
      </w:r>
      <w:r w:rsidR="002E7DBA" w:rsidRPr="004353E7">
        <w:t xml:space="preserve"> being capitalised upon. This is improving </w:t>
      </w:r>
      <w:r w:rsidR="002D48AC" w:rsidRPr="004353E7">
        <w:t xml:space="preserve">time and cost efficiencies, across </w:t>
      </w:r>
      <w:r w:rsidR="00AC5397" w:rsidRPr="004353E7">
        <w:t>the development</w:t>
      </w:r>
      <w:r w:rsidR="002D48AC" w:rsidRPr="004353E7">
        <w:t xml:space="preserve"> program.</w:t>
      </w:r>
      <w:r w:rsidR="002D48AC">
        <w:t xml:space="preserve"> </w:t>
      </w:r>
    </w:p>
    <w:p w14:paraId="0976BAA4" w14:textId="5FBD4AD6" w:rsidR="002D48AC" w:rsidRDefault="0BDE1AC5" w:rsidP="00C42777">
      <w:r>
        <w:t xml:space="preserve">Australia’s development </w:t>
      </w:r>
      <w:r w:rsidR="007B07CE">
        <w:t>program</w:t>
      </w:r>
      <w:r>
        <w:t xml:space="preserve"> has a long history of health interventions in the SFD</w:t>
      </w:r>
      <w:r w:rsidR="00C41429">
        <w:t>, and the SFRP has worked closely with the PNG Australia Transition to Health project</w:t>
      </w:r>
      <w:r w:rsidR="00E52BFF">
        <w:t xml:space="preserve"> during the pandemic</w:t>
      </w:r>
      <w:r>
        <w:t xml:space="preserve">. Synergies and interlinkages are increasingly being capitalised on through past and upcoming infrastructure investments. Recent investments include the health centre and jetty at </w:t>
      </w:r>
      <w:proofErr w:type="spellStart"/>
      <w:r>
        <w:t>Mabuduwan</w:t>
      </w:r>
      <w:proofErr w:type="spellEnd"/>
      <w:r>
        <w:t xml:space="preserve">, which aims to serve </w:t>
      </w:r>
      <w:r w:rsidR="00ED03BE">
        <w:t>many</w:t>
      </w:r>
      <w:r>
        <w:t xml:space="preserve"> villages in the South Fly. Future, possible, investments include </w:t>
      </w:r>
      <w:r w:rsidR="000F687F">
        <w:t xml:space="preserve">rehabilitating </w:t>
      </w:r>
      <w:r>
        <w:t xml:space="preserve">Daru Port and the </w:t>
      </w:r>
      <w:r w:rsidR="001D088F">
        <w:t>medium wave radio transmitter</w:t>
      </w:r>
      <w:r w:rsidR="001F7EE4">
        <w:t xml:space="preserve"> in Daru</w:t>
      </w:r>
      <w:r w:rsidR="001D088F">
        <w:t xml:space="preserve"> for </w:t>
      </w:r>
      <w:r w:rsidR="001F7EE4">
        <w:t>the National Broadcasting Corporation</w:t>
      </w:r>
      <w:r>
        <w:t xml:space="preserve">. These will improve access to goods and services. Under the SFRP, </w:t>
      </w:r>
      <w:r>
        <w:lastRenderedPageBreak/>
        <w:t xml:space="preserve">the construction of a road has been put on hold. But its inclusion in the SFRP does demonstrate awareness of the need to improve connectivity through infrastructure investments across the South Fly. </w:t>
      </w:r>
    </w:p>
    <w:p w14:paraId="2350FA5F" w14:textId="74A1D82A" w:rsidR="00AC5397" w:rsidRDefault="00AC5397" w:rsidP="00C42777">
      <w:pPr>
        <w:rPr>
          <w:rFonts w:ascii="Arial" w:eastAsia="Arial" w:hAnsi="Arial" w:cs="Arial"/>
        </w:rPr>
      </w:pPr>
      <w:r>
        <w:rPr>
          <w:rFonts w:ascii="Arial" w:eastAsia="Arial" w:hAnsi="Arial" w:cs="Arial"/>
        </w:rPr>
        <w:t>A</w:t>
      </w:r>
      <w:r w:rsidRPr="64DC902A">
        <w:rPr>
          <w:rFonts w:ascii="Arial" w:eastAsia="Arial" w:hAnsi="Arial" w:cs="Arial"/>
        </w:rPr>
        <w:t xml:space="preserve"> study i</w:t>
      </w:r>
      <w:r>
        <w:rPr>
          <w:rFonts w:ascii="Arial" w:eastAsia="Arial" w:hAnsi="Arial" w:cs="Arial"/>
        </w:rPr>
        <w:t>s currently under way to investigate the potential for interventions to alleviate the high cost of fuel and improve coastal and riverine transport of goods and people. If progressed, this will improve access to essential services.</w:t>
      </w:r>
    </w:p>
    <w:p w14:paraId="202A642D" w14:textId="64EC4B78" w:rsidR="00F833CC" w:rsidRDefault="6CDB7118" w:rsidP="5D44B21F">
      <w:pPr>
        <w:rPr>
          <w:rFonts w:eastAsiaTheme="minorEastAsia" w:cstheme="minorBidi"/>
          <w:color w:val="201F1E"/>
        </w:rPr>
      </w:pPr>
      <w:r w:rsidRPr="6CDB7118">
        <w:rPr>
          <w:rFonts w:eastAsiaTheme="minorEastAsia" w:cstheme="minorBidi"/>
          <w:color w:val="201F1E"/>
        </w:rPr>
        <w:t xml:space="preserve">The SFRP’s interlinkages with Churches are less well formed and could be strengthened in food security and gender </w:t>
      </w:r>
      <w:r w:rsidR="00ED03BE" w:rsidRPr="6CDB7118">
        <w:rPr>
          <w:rFonts w:eastAsiaTheme="minorEastAsia" w:cstheme="minorBidi"/>
          <w:color w:val="201F1E"/>
        </w:rPr>
        <w:t>equality</w:t>
      </w:r>
      <w:r w:rsidRPr="6CDB7118">
        <w:rPr>
          <w:rFonts w:eastAsiaTheme="minorEastAsia" w:cstheme="minorBidi"/>
          <w:color w:val="201F1E"/>
        </w:rPr>
        <w:t xml:space="preserve">. Caritas, </w:t>
      </w:r>
      <w:r w:rsidR="007B4698" w:rsidRPr="007B4698">
        <w:rPr>
          <w:rFonts w:eastAsiaTheme="minorEastAsia" w:cstheme="minorBidi"/>
          <w:color w:val="201F1E"/>
        </w:rPr>
        <w:t xml:space="preserve">Adventist Development and Relief Agency </w:t>
      </w:r>
      <w:r w:rsidR="007B4698">
        <w:rPr>
          <w:rFonts w:eastAsiaTheme="minorEastAsia" w:cstheme="minorBidi"/>
          <w:color w:val="201F1E"/>
        </w:rPr>
        <w:t>(</w:t>
      </w:r>
      <w:r w:rsidRPr="6CDB7118">
        <w:rPr>
          <w:rFonts w:eastAsiaTheme="minorEastAsia" w:cstheme="minorBidi"/>
          <w:color w:val="201F1E"/>
        </w:rPr>
        <w:t>ADRA</w:t>
      </w:r>
      <w:r w:rsidR="007B4698">
        <w:rPr>
          <w:rFonts w:eastAsiaTheme="minorEastAsia" w:cstheme="minorBidi"/>
          <w:color w:val="201F1E"/>
        </w:rPr>
        <w:t>)</w:t>
      </w:r>
      <w:r w:rsidRPr="6CDB7118">
        <w:rPr>
          <w:rFonts w:eastAsiaTheme="minorEastAsia" w:cstheme="minorBidi"/>
          <w:color w:val="201F1E"/>
        </w:rPr>
        <w:t xml:space="preserve"> and United Church Partners have been responding to </w:t>
      </w:r>
      <w:r w:rsidR="00FE280E">
        <w:rPr>
          <w:rFonts w:eastAsiaTheme="minorEastAsia" w:cstheme="minorBidi"/>
          <w:color w:val="201F1E"/>
        </w:rPr>
        <w:t>COVID</w:t>
      </w:r>
      <w:r w:rsidRPr="6CDB7118">
        <w:rPr>
          <w:rFonts w:eastAsiaTheme="minorEastAsia" w:cstheme="minorBidi"/>
          <w:color w:val="201F1E"/>
        </w:rPr>
        <w:t xml:space="preserve">-19 through food security and livelihood interventions in </w:t>
      </w:r>
      <w:proofErr w:type="spellStart"/>
      <w:r w:rsidRPr="6CDB7118">
        <w:rPr>
          <w:rFonts w:eastAsiaTheme="minorEastAsia" w:cstheme="minorBidi"/>
          <w:color w:val="201F1E"/>
        </w:rPr>
        <w:t>Oriomo-Bituri</w:t>
      </w:r>
      <w:proofErr w:type="spellEnd"/>
      <w:r w:rsidRPr="6CDB7118">
        <w:rPr>
          <w:rFonts w:eastAsiaTheme="minorEastAsia" w:cstheme="minorBidi"/>
          <w:color w:val="201F1E"/>
        </w:rPr>
        <w:t xml:space="preserve"> </w:t>
      </w:r>
      <w:r w:rsidR="00266236">
        <w:rPr>
          <w:rFonts w:eastAsiaTheme="minorEastAsia" w:cstheme="minorBidi"/>
          <w:color w:val="201F1E"/>
        </w:rPr>
        <w:t>Local Level Government</w:t>
      </w:r>
      <w:r w:rsidRPr="6CDB7118">
        <w:rPr>
          <w:rFonts w:eastAsiaTheme="minorEastAsia" w:cstheme="minorBidi"/>
          <w:color w:val="201F1E"/>
        </w:rPr>
        <w:t xml:space="preserve">. This is funded by the Australian Humanitarian Partnership through their Australian Church Partners, a </w:t>
      </w:r>
      <w:r w:rsidR="00266236" w:rsidRPr="6CDB7118">
        <w:rPr>
          <w:rFonts w:eastAsiaTheme="minorEastAsia" w:cstheme="minorBidi"/>
          <w:color w:val="201F1E"/>
        </w:rPr>
        <w:t>5</w:t>
      </w:r>
      <w:r w:rsidR="00266236">
        <w:rPr>
          <w:rFonts w:eastAsiaTheme="minorEastAsia" w:cstheme="minorBidi"/>
          <w:color w:val="201F1E"/>
        </w:rPr>
        <w:t>-year</w:t>
      </w:r>
      <w:r w:rsidRPr="6CDB7118">
        <w:rPr>
          <w:rFonts w:eastAsiaTheme="minorEastAsia" w:cstheme="minorBidi"/>
          <w:color w:val="201F1E"/>
        </w:rPr>
        <w:t xml:space="preserve"> program (2017-2022). Caritas coordinates with Australian funders and provides reporting, while the United Church and ADRA implement interventions. </w:t>
      </w:r>
      <w:r w:rsidR="00AF42C8">
        <w:rPr>
          <w:rFonts w:eastAsiaTheme="minorEastAsia" w:cstheme="minorBidi"/>
          <w:color w:val="201F1E"/>
        </w:rPr>
        <w:t>There is some overlap between the FLAG component and ADRA’s initiative</w:t>
      </w:r>
      <w:r w:rsidR="00B4289D">
        <w:rPr>
          <w:rFonts w:eastAsiaTheme="minorEastAsia" w:cstheme="minorBidi"/>
          <w:color w:val="201F1E"/>
        </w:rPr>
        <w:t>.</w:t>
      </w:r>
      <w:r w:rsidR="00AF42C8">
        <w:rPr>
          <w:rFonts w:eastAsiaTheme="minorEastAsia" w:cstheme="minorBidi"/>
          <w:color w:val="201F1E"/>
        </w:rPr>
        <w:t xml:space="preserve"> RRRC is developing a map to show the footprint of different initiatives</w:t>
      </w:r>
      <w:r w:rsidR="00B4289D">
        <w:rPr>
          <w:rFonts w:eastAsiaTheme="minorEastAsia" w:cstheme="minorBidi"/>
          <w:color w:val="201F1E"/>
        </w:rPr>
        <w:t xml:space="preserve"> in FLAG</w:t>
      </w:r>
      <w:r w:rsidR="00AF42C8">
        <w:rPr>
          <w:rFonts w:eastAsiaTheme="minorEastAsia" w:cstheme="minorBidi"/>
          <w:color w:val="201F1E"/>
        </w:rPr>
        <w:t xml:space="preserve"> to avoid duplication of effort. </w:t>
      </w:r>
    </w:p>
    <w:p w14:paraId="654EFD40" w14:textId="65F69307" w:rsidR="00022683" w:rsidRDefault="0717EB4E" w:rsidP="0717EB4E">
      <w:pPr>
        <w:rPr>
          <w:rFonts w:eastAsiaTheme="minorEastAsia" w:cstheme="minorBidi"/>
          <w:color w:val="201F1E"/>
        </w:rPr>
      </w:pPr>
      <w:r w:rsidRPr="0717EB4E">
        <w:rPr>
          <w:rFonts w:eastAsiaTheme="minorEastAsia" w:cstheme="minorBidi"/>
          <w:color w:val="201F1E"/>
        </w:rPr>
        <w:t xml:space="preserve">Greater coordination with the law and justice program, particularly the Justice Service and Stability for Development Program’s Community Justice Adviser in Western Province, would also be beneficial. Interlinkages are likely to be found in gender-based </w:t>
      </w:r>
      <w:proofErr w:type="gramStart"/>
      <w:r w:rsidRPr="0717EB4E">
        <w:rPr>
          <w:rFonts w:eastAsiaTheme="minorEastAsia" w:cstheme="minorBidi"/>
          <w:color w:val="201F1E"/>
        </w:rPr>
        <w:t>violence</w:t>
      </w:r>
      <w:r w:rsidR="00792BDB">
        <w:rPr>
          <w:rFonts w:eastAsiaTheme="minorEastAsia" w:cstheme="minorBidi"/>
          <w:color w:val="201F1E"/>
        </w:rPr>
        <w:t>, in particular</w:t>
      </w:r>
      <w:proofErr w:type="gramEnd"/>
      <w:r w:rsidRPr="0717EB4E">
        <w:rPr>
          <w:rFonts w:eastAsiaTheme="minorEastAsia" w:cstheme="minorBidi"/>
          <w:color w:val="201F1E"/>
        </w:rPr>
        <w:t xml:space="preserve">. </w:t>
      </w:r>
    </w:p>
    <w:p w14:paraId="49EA7064" w14:textId="054704FD" w:rsidR="00C42777" w:rsidRDefault="4DAA23EE" w:rsidP="36277179">
      <w:pPr>
        <w:rPr>
          <w:rFonts w:eastAsiaTheme="minorEastAsia" w:cstheme="minorBidi"/>
          <w:color w:val="201F1E"/>
        </w:rPr>
      </w:pPr>
      <w:r w:rsidRPr="4DAA23EE">
        <w:rPr>
          <w:rFonts w:eastAsiaTheme="minorEastAsia" w:cstheme="minorBidi"/>
          <w:color w:val="201F1E"/>
        </w:rPr>
        <w:t>Save the Children (STC) is conducting a baseline on nutrition in</w:t>
      </w:r>
      <w:r w:rsidR="00D152E2">
        <w:rPr>
          <w:rFonts w:eastAsiaTheme="minorEastAsia" w:cstheme="minorBidi"/>
          <w:color w:val="201F1E"/>
        </w:rPr>
        <w:t xml:space="preserve"> the</w:t>
      </w:r>
      <w:r w:rsidRPr="4DAA23EE">
        <w:rPr>
          <w:rFonts w:eastAsiaTheme="minorEastAsia" w:cstheme="minorBidi"/>
          <w:color w:val="201F1E"/>
        </w:rPr>
        <w:t xml:space="preserve"> North and South Fly communities. This is funded under the Australia Non-Governmental Organisation Cooperation Program. STC have not heard of the SFRP nor met any implementing partner. Opportunities exist for synergies and interlinkages.</w:t>
      </w:r>
    </w:p>
    <w:p w14:paraId="5ECB80A1" w14:textId="59580A2C" w:rsidR="008C33B0" w:rsidRDefault="008C33B0" w:rsidP="5D44B21F">
      <w:pPr>
        <w:rPr>
          <w:rFonts w:eastAsiaTheme="minorEastAsia" w:cstheme="minorBidi"/>
          <w:color w:val="201F1E"/>
        </w:rPr>
      </w:pPr>
      <w:r>
        <w:t>The SFRP is expected to transition into the Western Province Partnership</w:t>
      </w:r>
      <w:r w:rsidR="00A70F07">
        <w:t xml:space="preserve"> in the </w:t>
      </w:r>
      <w:r w:rsidR="00475C4C">
        <w:t>first half of 2023.</w:t>
      </w:r>
      <w:r>
        <w:t xml:space="preserve"> </w:t>
      </w:r>
      <w:r w:rsidR="001E7158">
        <w:t>The formulation of the Western Province Partnership</w:t>
      </w:r>
      <w:r>
        <w:t xml:space="preserve"> will provide opportunity to further coherence and generate synergies across Australia’s investments.</w:t>
      </w:r>
    </w:p>
    <w:p w14:paraId="0A01B16D" w14:textId="66FBB1A4" w:rsidR="009D481C" w:rsidRDefault="7FD909F6" w:rsidP="00E25FDF">
      <w:pPr>
        <w:pStyle w:val="Heading2"/>
        <w:rPr>
          <w:rFonts w:eastAsiaTheme="minorEastAsia" w:cstheme="minorBidi"/>
          <w:color w:val="201F1E"/>
        </w:rPr>
      </w:pPr>
      <w:bookmarkStart w:id="31" w:name="_Toc108259999"/>
      <w:r>
        <w:t>4.3 Harmonisation and coordination with key actors in the SFD</w:t>
      </w:r>
      <w:bookmarkEnd w:id="31"/>
    </w:p>
    <w:p w14:paraId="44F7FC04" w14:textId="5C2705B2" w:rsidR="00065DFC" w:rsidRDefault="005E3BC8" w:rsidP="0BDE1AC5">
      <w:r>
        <w:t xml:space="preserve">There is space to improve harmonisation and </w:t>
      </w:r>
      <w:r w:rsidR="00065DFC">
        <w:t>coordination</w:t>
      </w:r>
      <w:r>
        <w:t xml:space="preserve"> with key actors in the SFD. </w:t>
      </w:r>
      <w:r w:rsidR="00065DFC">
        <w:t xml:space="preserve">This can build on the improvements already made.  </w:t>
      </w:r>
    </w:p>
    <w:p w14:paraId="1FD8EABF" w14:textId="4EF10347" w:rsidR="00F17B83" w:rsidRDefault="0BDE1AC5" w:rsidP="0BDE1AC5">
      <w:r>
        <w:t>Coordination and partnership with national level</w:t>
      </w:r>
      <w:r w:rsidR="00AC5397">
        <w:t xml:space="preserve"> institutions</w:t>
      </w:r>
      <w:r>
        <w:t xml:space="preserve"> </w:t>
      </w:r>
      <w:r w:rsidR="006E7F4D">
        <w:t>is</w:t>
      </w:r>
      <w:r>
        <w:t xml:space="preserve"> important for the SFRP’s effectiveness, and coordination is improving. The Department of Provincial and Local Level Government Affairs (DPLGA</w:t>
      </w:r>
      <w:r w:rsidR="00C17FB8">
        <w:t>)</w:t>
      </w:r>
      <w:r>
        <w:t xml:space="preserve"> is responsible for institutional strengthening at the sub national level. Training in this area, facilitated by the SFRP and involving DPLGA, </w:t>
      </w:r>
      <w:r w:rsidR="00C17FB8">
        <w:t>is</w:t>
      </w:r>
      <w:r>
        <w:t xml:space="preserve"> considered of high quality. There is further space to engage with DPLGA in governance related activities. </w:t>
      </w:r>
      <w:r w:rsidR="004909DB">
        <w:t xml:space="preserve">Wherever this occurs, it will be necessary for the implementing partners to support the </w:t>
      </w:r>
      <w:proofErr w:type="gramStart"/>
      <w:r w:rsidR="004909DB">
        <w:t>District</w:t>
      </w:r>
      <w:proofErr w:type="gramEnd"/>
      <w:r w:rsidR="004909DB">
        <w:t xml:space="preserve"> administration in requesting support from DPLGA.</w:t>
      </w:r>
      <w:r w:rsidR="00A70F07">
        <w:t xml:space="preserve"> This will build, or strengthen existing, relationships.</w:t>
      </w:r>
    </w:p>
    <w:p w14:paraId="7ED61D3A" w14:textId="5D1401C3" w:rsidR="00D20F92" w:rsidRPr="00E25FDF" w:rsidRDefault="0BDE1AC5" w:rsidP="0BDE1AC5">
      <w:r>
        <w:t>The Department of National Planning and Monitoring is responsible for the Papua New Guinea WASH Policy 2015-2030, though responsib</w:t>
      </w:r>
      <w:r w:rsidR="00C17FB8">
        <w:t>ility</w:t>
      </w:r>
      <w:r>
        <w:t xml:space="preserve"> for </w:t>
      </w:r>
      <w:r w:rsidR="00C17FB8">
        <w:t xml:space="preserve">the ownership of </w:t>
      </w:r>
      <w:r>
        <w:t>WASH in the provinces</w:t>
      </w:r>
      <w:r w:rsidR="00C17FB8">
        <w:t xml:space="preserve"> is vague</w:t>
      </w:r>
      <w:r>
        <w:t xml:space="preserve">. The SFRP is navigating this vacuum well, and the </w:t>
      </w:r>
      <w:r w:rsidR="00B4289D">
        <w:rPr>
          <w:rFonts w:ascii="Arial" w:eastAsia="Arial" w:hAnsi="Arial" w:cs="Arial"/>
        </w:rPr>
        <w:t>SFD</w:t>
      </w:r>
      <w:r w:rsidRPr="0BDE1AC5">
        <w:rPr>
          <w:rFonts w:ascii="Arial" w:eastAsia="Arial" w:hAnsi="Arial" w:cs="Arial"/>
        </w:rPr>
        <w:t xml:space="preserve"> could become a recognised </w:t>
      </w:r>
      <w:r w:rsidRPr="0BDE1AC5">
        <w:rPr>
          <w:rFonts w:ascii="Arial" w:eastAsia="Arial" w:hAnsi="Arial" w:cs="Arial"/>
        </w:rPr>
        <w:lastRenderedPageBreak/>
        <w:t>leader in WASH service provision</w:t>
      </w:r>
      <w:r w:rsidR="00A70F07">
        <w:rPr>
          <w:rFonts w:ascii="Arial" w:eastAsia="Arial" w:hAnsi="Arial" w:cs="Arial"/>
        </w:rPr>
        <w:t xml:space="preserve"> once functions are fully adopted by the District</w:t>
      </w:r>
      <w:r w:rsidR="00B4289D">
        <w:rPr>
          <w:rFonts w:ascii="Arial" w:eastAsia="Arial" w:hAnsi="Arial" w:cs="Arial"/>
        </w:rPr>
        <w:t xml:space="preserve"> and Provincial Health Authority</w:t>
      </w:r>
      <w:r w:rsidRPr="0BDE1AC5">
        <w:rPr>
          <w:rFonts w:ascii="Arial" w:eastAsia="Arial" w:hAnsi="Arial" w:cs="Arial"/>
        </w:rPr>
        <w:t xml:space="preserve">.  </w:t>
      </w:r>
    </w:p>
    <w:p w14:paraId="193F7C58" w14:textId="49AB81D5" w:rsidR="001441A2" w:rsidRDefault="001441A2" w:rsidP="003A1ADC">
      <w:r>
        <w:t xml:space="preserve">The focus on food and water security is aligned to the </w:t>
      </w:r>
      <w:r w:rsidRPr="007610B4">
        <w:rPr>
          <w:i/>
          <w:iCs/>
        </w:rPr>
        <w:t>New Way Forward</w:t>
      </w:r>
      <w:r>
        <w:t xml:space="preserve">: </w:t>
      </w:r>
      <w:r w:rsidRPr="007610B4">
        <w:rPr>
          <w:i/>
          <w:iCs/>
        </w:rPr>
        <w:t>Wester</w:t>
      </w:r>
      <w:r>
        <w:rPr>
          <w:i/>
          <w:iCs/>
        </w:rPr>
        <w:t>n</w:t>
      </w:r>
      <w:r w:rsidRPr="007610B4">
        <w:rPr>
          <w:i/>
          <w:iCs/>
        </w:rPr>
        <w:t xml:space="preserve"> Province Development Plan</w:t>
      </w:r>
      <w:r>
        <w:rPr>
          <w:i/>
          <w:iCs/>
        </w:rPr>
        <w:t xml:space="preserve"> 2018-2022</w:t>
      </w:r>
      <w:r w:rsidRPr="4CE483E1">
        <w:rPr>
          <w:i/>
          <w:iCs/>
        </w:rPr>
        <w:t xml:space="preserve"> and the </w:t>
      </w:r>
      <w:r w:rsidRPr="037C71EA">
        <w:rPr>
          <w:i/>
          <w:iCs/>
        </w:rPr>
        <w:t xml:space="preserve">Papua New Guinea </w:t>
      </w:r>
      <w:r w:rsidRPr="43A9A1BF">
        <w:rPr>
          <w:i/>
          <w:iCs/>
        </w:rPr>
        <w:t>National Food</w:t>
      </w:r>
      <w:r w:rsidRPr="7798D416">
        <w:rPr>
          <w:i/>
          <w:iCs/>
        </w:rPr>
        <w:t xml:space="preserve"> Security Policy </w:t>
      </w:r>
      <w:r w:rsidRPr="314A1080">
        <w:rPr>
          <w:i/>
          <w:iCs/>
        </w:rPr>
        <w:t>2018-2027</w:t>
      </w:r>
      <w:r>
        <w:t xml:space="preserve">. This focuses on advancing the meeting of the basic needs of the population. The imminent updating of this Plan, and the </w:t>
      </w:r>
      <w:proofErr w:type="gramStart"/>
      <w:r>
        <w:t>District’s</w:t>
      </w:r>
      <w:proofErr w:type="gramEnd"/>
      <w:r>
        <w:t xml:space="preserve"> plan, provides opportunity to maintain alignment, and identify synergies as the SFRP adapts.</w:t>
      </w:r>
      <w:r w:rsidR="00546E9E">
        <w:t xml:space="preserve"> The Provincial Administrator has effective lines of communication with the Australian High Commission.</w:t>
      </w:r>
      <w:r w:rsidR="00C13D9C" w:rsidRPr="00C13D9C">
        <w:t xml:space="preserve"> </w:t>
      </w:r>
      <w:r w:rsidR="00C13D9C">
        <w:t>The existing Provincial Coordination and Monitoring Committee allows for the engagement of all government and non-government stakeholders; participation in this mechanism should be continued.</w:t>
      </w:r>
    </w:p>
    <w:p w14:paraId="018B873C" w14:textId="20B57389" w:rsidR="00B63B48" w:rsidRDefault="00D419E1" w:rsidP="003A1ADC">
      <w:r>
        <w:t>While the SFRP complements Provincial and District plans there has been insufficient engagement in the formulation and early implementation stages of the Plan.</w:t>
      </w:r>
      <w:r w:rsidR="00546E9E">
        <w:t xml:space="preserve"> This has recently improved</w:t>
      </w:r>
      <w:r w:rsidR="00B63B48">
        <w:t xml:space="preserve">. For example, the SFRP’s Steering Committee first met in April 2022. </w:t>
      </w:r>
      <w:r w:rsidR="00475C4C">
        <w:t xml:space="preserve">While best efforts were made to convene </w:t>
      </w:r>
      <w:r w:rsidR="00E520FF">
        <w:t>the Steering Committee in Daru earlier</w:t>
      </w:r>
      <w:r w:rsidR="00475C4C">
        <w:t xml:space="preserve">, the delay to the first meeting of the Steering Committee is </w:t>
      </w:r>
      <w:r w:rsidR="00E520FF">
        <w:t xml:space="preserve">a </w:t>
      </w:r>
      <w:r w:rsidR="00475C4C">
        <w:t>symptom of</w:t>
      </w:r>
      <w:r w:rsidR="00E520FF">
        <w:t xml:space="preserve"> </w:t>
      </w:r>
      <w:r w:rsidR="00475C4C">
        <w:t>trying to gather a broad range of stakeholders</w:t>
      </w:r>
      <w:r w:rsidR="00E520FF">
        <w:t xml:space="preserve"> together</w:t>
      </w:r>
      <w:r w:rsidR="00475C4C">
        <w:t>.</w:t>
      </w:r>
    </w:p>
    <w:p w14:paraId="1EA82F35" w14:textId="58055BEA" w:rsidR="00072C47" w:rsidRDefault="00546E9E" w:rsidP="003A1ADC">
      <w:r>
        <w:t>However f</w:t>
      </w:r>
      <w:r w:rsidR="00D419E1">
        <w:t xml:space="preserve">ew partners understood the </w:t>
      </w:r>
      <w:r w:rsidR="002D1DA4">
        <w:t xml:space="preserve">details of the </w:t>
      </w:r>
      <w:r w:rsidR="00D419E1">
        <w:t>different components</w:t>
      </w:r>
      <w:r w:rsidR="00072C47">
        <w:t xml:space="preserve"> of</w:t>
      </w:r>
      <w:r>
        <w:t xml:space="preserve"> the SFRP</w:t>
      </w:r>
      <w:r w:rsidR="00072C47">
        <w:t xml:space="preserve">, and activities </w:t>
      </w:r>
      <w:r>
        <w:t>there</w:t>
      </w:r>
      <w:r w:rsidR="00072C47">
        <w:t>in</w:t>
      </w:r>
      <w:r w:rsidR="00D419E1">
        <w:t xml:space="preserve">. For example, District authorities have not seen the </w:t>
      </w:r>
      <w:r w:rsidR="00E52BFF">
        <w:t xml:space="preserve">Implementation </w:t>
      </w:r>
      <w:r w:rsidR="00D419E1">
        <w:t>Plan.</w:t>
      </w:r>
      <w:r w:rsidR="002D1DA4">
        <w:t xml:space="preserve"> Though they have received fact sheets and presentations have been made</w:t>
      </w:r>
      <w:r w:rsidR="00C13D9C">
        <w:t>.</w:t>
      </w:r>
      <w:r w:rsidR="00D419E1">
        <w:t xml:space="preserve"> Nor </w:t>
      </w:r>
      <w:r w:rsidR="002D1DA4">
        <w:t>are District authorities familiar with</w:t>
      </w:r>
      <w:r w:rsidR="00D419E1">
        <w:t xml:space="preserve"> the various surveillance, </w:t>
      </w:r>
      <w:proofErr w:type="gramStart"/>
      <w:r w:rsidR="00D419E1">
        <w:t>research</w:t>
      </w:r>
      <w:proofErr w:type="gramEnd"/>
      <w:r w:rsidR="00D419E1">
        <w:t xml:space="preserve"> and monitoring reports of the SFRP. </w:t>
      </w:r>
    </w:p>
    <w:p w14:paraId="7224BE73" w14:textId="7E04940C" w:rsidR="00546E9E" w:rsidRDefault="00D419E1" w:rsidP="003A1ADC">
      <w:r>
        <w:t xml:space="preserve">This hampers partner relations </w:t>
      </w:r>
      <w:r w:rsidRPr="009B2B56">
        <w:t xml:space="preserve">and the extent to which sustainability, complementarity, </w:t>
      </w:r>
      <w:proofErr w:type="gramStart"/>
      <w:r w:rsidRPr="009B2B56">
        <w:t>harmonisation</w:t>
      </w:r>
      <w:proofErr w:type="gramEnd"/>
      <w:r w:rsidRPr="009B2B56">
        <w:t xml:space="preserve"> and coordination can be achieved. However, the effort directed towards the Steering Committee and the establishment and strengthening of the District and Ward level WASH Committees, and the Food and Water Security Plans, does demonstrate the utilisation of local system</w:t>
      </w:r>
      <w:r w:rsidR="00546E9E" w:rsidRPr="009B2B56">
        <w:t>s</w:t>
      </w:r>
      <w:r w:rsidRPr="009B2B56">
        <w:t>.</w:t>
      </w:r>
      <w:r>
        <w:t xml:space="preserve"> </w:t>
      </w:r>
    </w:p>
    <w:p w14:paraId="46D62B58" w14:textId="188B7EE2" w:rsidR="224AFDB9" w:rsidRDefault="4E5878D0">
      <w:r>
        <w:t xml:space="preserve">The Sub National Adviser has delivered a much-required step change in engagement. The Australian High Commission’s mobilisation of technical expertise in agriculture also seems valuable. But improvements in the quality and consistency of engagement with communities and the </w:t>
      </w:r>
      <w:proofErr w:type="gramStart"/>
      <w:r>
        <w:t>District</w:t>
      </w:r>
      <w:proofErr w:type="gramEnd"/>
      <w:r>
        <w:t xml:space="preserve"> is still required. Value will also be derived by sharing reporting (such as the results of the WASH survey and the monthly situation reports) with District and Provincial authorities.</w:t>
      </w:r>
    </w:p>
    <w:p w14:paraId="12965EAE" w14:textId="15D499AA" w:rsidR="00D419E1" w:rsidRPr="00D419E1" w:rsidRDefault="7FD909F6" w:rsidP="00D419E1">
      <w:r>
        <w:t xml:space="preserve">Relations with other development partners, such as the Ok </w:t>
      </w:r>
      <w:proofErr w:type="spellStart"/>
      <w:r>
        <w:t>Tedi</w:t>
      </w:r>
      <w:proofErr w:type="spellEnd"/>
      <w:r>
        <w:t xml:space="preserve"> Development Foundation, are emerging. However, the relationship with the Sustainable Development Program (SDP) seems fraught. Bridges should be built</w:t>
      </w:r>
      <w:r w:rsidR="001E7158">
        <w:t xml:space="preserve"> between the organisations</w:t>
      </w:r>
      <w:r>
        <w:t xml:space="preserve">. This is especially relevant given SDP’s engagement in vanilla production and aquaculture. </w:t>
      </w:r>
    </w:p>
    <w:p w14:paraId="291F871F" w14:textId="0994E345" w:rsidR="7FD909F6" w:rsidRDefault="74ACD026" w:rsidP="7FD909F6">
      <w:pPr>
        <w:rPr>
          <w:rFonts w:ascii="Arial" w:eastAsia="Arial" w:hAnsi="Arial" w:cs="Arial"/>
        </w:rPr>
      </w:pPr>
      <w:r w:rsidRPr="74ACD026">
        <w:rPr>
          <w:rFonts w:ascii="Arial" w:eastAsia="Arial" w:hAnsi="Arial" w:cs="Arial"/>
        </w:rPr>
        <w:t xml:space="preserve">Relations with </w:t>
      </w:r>
      <w:r w:rsidR="0074172D">
        <w:rPr>
          <w:rFonts w:ascii="Arial" w:eastAsia="Arial" w:hAnsi="Arial" w:cs="Arial"/>
        </w:rPr>
        <w:t>n</w:t>
      </w:r>
      <w:r w:rsidR="0074172D" w:rsidRPr="74ACD026">
        <w:rPr>
          <w:rFonts w:ascii="Arial" w:eastAsia="Arial" w:hAnsi="Arial" w:cs="Arial"/>
        </w:rPr>
        <w:t>on</w:t>
      </w:r>
      <w:r w:rsidR="0074172D">
        <w:rPr>
          <w:rFonts w:ascii="Arial" w:eastAsia="Arial" w:hAnsi="Arial" w:cs="Arial"/>
        </w:rPr>
        <w:t>-g</w:t>
      </w:r>
      <w:r w:rsidR="0074172D" w:rsidRPr="74ACD026">
        <w:rPr>
          <w:rFonts w:ascii="Arial" w:eastAsia="Arial" w:hAnsi="Arial" w:cs="Arial"/>
        </w:rPr>
        <w:t>overnment</w:t>
      </w:r>
      <w:r w:rsidRPr="74ACD026">
        <w:rPr>
          <w:rFonts w:ascii="Arial" w:eastAsia="Arial" w:hAnsi="Arial" w:cs="Arial"/>
        </w:rPr>
        <w:t xml:space="preserve"> </w:t>
      </w:r>
      <w:r w:rsidR="0074172D">
        <w:rPr>
          <w:rFonts w:ascii="Arial" w:eastAsia="Arial" w:hAnsi="Arial" w:cs="Arial"/>
        </w:rPr>
        <w:t>o</w:t>
      </w:r>
      <w:r w:rsidRPr="74ACD026">
        <w:rPr>
          <w:rFonts w:ascii="Arial" w:eastAsia="Arial" w:hAnsi="Arial" w:cs="Arial"/>
        </w:rPr>
        <w:t>rganisations</w:t>
      </w:r>
      <w:r w:rsidR="0074172D">
        <w:rPr>
          <w:rFonts w:ascii="Arial" w:eastAsia="Arial" w:hAnsi="Arial" w:cs="Arial"/>
        </w:rPr>
        <w:t>, c</w:t>
      </w:r>
      <w:r w:rsidRPr="74ACD026">
        <w:rPr>
          <w:rFonts w:ascii="Arial" w:eastAsia="Arial" w:hAnsi="Arial" w:cs="Arial"/>
        </w:rPr>
        <w:t xml:space="preserve">ivil </w:t>
      </w:r>
      <w:r w:rsidR="0074172D">
        <w:rPr>
          <w:rFonts w:ascii="Arial" w:eastAsia="Arial" w:hAnsi="Arial" w:cs="Arial"/>
        </w:rPr>
        <w:t>s</w:t>
      </w:r>
      <w:r w:rsidRPr="74ACD026">
        <w:rPr>
          <w:rFonts w:ascii="Arial" w:eastAsia="Arial" w:hAnsi="Arial" w:cs="Arial"/>
        </w:rPr>
        <w:t xml:space="preserve">ociety </w:t>
      </w:r>
      <w:r w:rsidR="0074172D">
        <w:rPr>
          <w:rFonts w:ascii="Arial" w:eastAsia="Arial" w:hAnsi="Arial" w:cs="Arial"/>
        </w:rPr>
        <w:t>o</w:t>
      </w:r>
      <w:r w:rsidRPr="74ACD026">
        <w:rPr>
          <w:rFonts w:ascii="Arial" w:eastAsia="Arial" w:hAnsi="Arial" w:cs="Arial"/>
        </w:rPr>
        <w:t xml:space="preserve">rganisations and </w:t>
      </w:r>
      <w:r w:rsidR="0074172D">
        <w:rPr>
          <w:rFonts w:ascii="Arial" w:eastAsia="Arial" w:hAnsi="Arial" w:cs="Arial"/>
        </w:rPr>
        <w:t>c</w:t>
      </w:r>
      <w:r w:rsidRPr="74ACD026">
        <w:rPr>
          <w:rFonts w:ascii="Arial" w:eastAsia="Arial" w:hAnsi="Arial" w:cs="Arial"/>
        </w:rPr>
        <w:t xml:space="preserve">hurch </w:t>
      </w:r>
      <w:r w:rsidR="0074172D">
        <w:rPr>
          <w:rFonts w:ascii="Arial" w:eastAsia="Arial" w:hAnsi="Arial" w:cs="Arial"/>
        </w:rPr>
        <w:t>p</w:t>
      </w:r>
      <w:r w:rsidRPr="74ACD026">
        <w:rPr>
          <w:rFonts w:ascii="Arial" w:eastAsia="Arial" w:hAnsi="Arial" w:cs="Arial"/>
        </w:rPr>
        <w:t>artners will be important to progressing the SFRP. The</w:t>
      </w:r>
      <w:r w:rsidR="0074172D">
        <w:rPr>
          <w:rFonts w:ascii="Arial" w:eastAsia="Arial" w:hAnsi="Arial" w:cs="Arial"/>
        </w:rPr>
        <w:t xml:space="preserve">se </w:t>
      </w:r>
      <w:r w:rsidR="00ED03BE">
        <w:rPr>
          <w:rFonts w:ascii="Arial" w:eastAsia="Arial" w:hAnsi="Arial" w:cs="Arial"/>
        </w:rPr>
        <w:t>o</w:t>
      </w:r>
      <w:r w:rsidR="00ED03BE" w:rsidRPr="74ACD026">
        <w:rPr>
          <w:rFonts w:ascii="Arial" w:eastAsia="Arial" w:hAnsi="Arial" w:cs="Arial"/>
        </w:rPr>
        <w:t>rganisations already</w:t>
      </w:r>
      <w:r w:rsidRPr="74ACD026">
        <w:rPr>
          <w:rFonts w:ascii="Arial" w:eastAsia="Arial" w:hAnsi="Arial" w:cs="Arial"/>
        </w:rPr>
        <w:t xml:space="preserve"> have the relationships</w:t>
      </w:r>
      <w:r w:rsidR="0074172D">
        <w:rPr>
          <w:rFonts w:ascii="Arial" w:eastAsia="Arial" w:hAnsi="Arial" w:cs="Arial"/>
        </w:rPr>
        <w:t xml:space="preserve"> and</w:t>
      </w:r>
      <w:r w:rsidRPr="74ACD026">
        <w:rPr>
          <w:rFonts w:ascii="Arial" w:eastAsia="Arial" w:hAnsi="Arial" w:cs="Arial"/>
        </w:rPr>
        <w:t xml:space="preserve"> established systems that can be utilised to deliver projects at community level. </w:t>
      </w:r>
    </w:p>
    <w:p w14:paraId="2FDF903B" w14:textId="2EACE9D2" w:rsidR="00C316E4" w:rsidRDefault="00C316E4" w:rsidP="7FD909F6">
      <w:pPr>
        <w:rPr>
          <w:rFonts w:ascii="Arial" w:eastAsia="Arial" w:hAnsi="Arial" w:cs="Arial"/>
        </w:rPr>
      </w:pPr>
    </w:p>
    <w:p w14:paraId="3A92F495" w14:textId="77777777" w:rsidR="00C316E4" w:rsidRDefault="00C316E4" w:rsidP="7FD909F6">
      <w:pPr>
        <w:rPr>
          <w:rFonts w:ascii="Arial" w:eastAsia="Arial" w:hAnsi="Arial" w:cs="Arial"/>
        </w:rPr>
      </w:pPr>
    </w:p>
    <w:p w14:paraId="295E279F" w14:textId="77777777" w:rsidR="00C316E4" w:rsidRDefault="00C316E4" w:rsidP="00C316E4">
      <w:pPr>
        <w:pBdr>
          <w:top w:val="single" w:sz="36" w:space="1" w:color="45A7E1" w:themeColor="accent1"/>
          <w:left w:val="single" w:sz="36" w:space="4" w:color="45A7E1" w:themeColor="accent1"/>
          <w:bottom w:val="single" w:sz="36" w:space="1" w:color="45A7E1" w:themeColor="accent1"/>
          <w:right w:val="single" w:sz="36" w:space="4" w:color="45A7E1" w:themeColor="accent1"/>
        </w:pBdr>
        <w:jc w:val="left"/>
      </w:pPr>
      <w:r w:rsidRPr="005A53C9">
        <w:rPr>
          <w:b/>
          <w:bCs/>
        </w:rPr>
        <w:lastRenderedPageBreak/>
        <w:t xml:space="preserve">Recommendation 4: </w:t>
      </w:r>
      <w:r>
        <w:t xml:space="preserve">Continue to strengthen existing coordination mechanisms. Meanwhile, facilitate, with District authorities, the establishment of a partner coordination platform, meeting at least biannually, comprising, among others, of the Sustainable Development Program, Ok </w:t>
      </w:r>
      <w:proofErr w:type="spellStart"/>
      <w:r>
        <w:t>Tedi</w:t>
      </w:r>
      <w:proofErr w:type="spellEnd"/>
      <w:r>
        <w:t xml:space="preserve"> Development Foundation, faith groups and implementers of Australian funded development initiatives.</w:t>
      </w:r>
    </w:p>
    <w:p w14:paraId="15D2F849" w14:textId="6012631E" w:rsidR="00D419E1" w:rsidRDefault="00D419E1" w:rsidP="004123F9">
      <w:pPr>
        <w:pStyle w:val="Heading1"/>
        <w:numPr>
          <w:ilvl w:val="0"/>
          <w:numId w:val="24"/>
        </w:numPr>
      </w:pPr>
      <w:bookmarkStart w:id="32" w:name="_Toc108260000"/>
      <w:r>
        <w:lastRenderedPageBreak/>
        <w:t>Sustainability</w:t>
      </w:r>
      <w:bookmarkEnd w:id="32"/>
    </w:p>
    <w:p w14:paraId="3C714D7D" w14:textId="3B174750" w:rsidR="00065DFC" w:rsidRPr="00065DFC" w:rsidRDefault="00065DFC" w:rsidP="00065DFC">
      <w:pPr>
        <w:pStyle w:val="Heading2"/>
      </w:pPr>
      <w:bookmarkStart w:id="33" w:name="_Toc108260001"/>
      <w:r>
        <w:t>5.1 Overview</w:t>
      </w:r>
      <w:bookmarkEnd w:id="33"/>
    </w:p>
    <w:p w14:paraId="1C5D9CE0" w14:textId="709A3B64" w:rsidR="008C220D" w:rsidRDefault="008C220D" w:rsidP="008C220D">
      <w:r>
        <w:t>The Provincial and District authorities prioritise the sustainability of results</w:t>
      </w:r>
      <w:r w:rsidR="004A53CD">
        <w:t>. Meanwhile</w:t>
      </w:r>
      <w:r w:rsidR="008514A1">
        <w:t xml:space="preserve"> the </w:t>
      </w:r>
      <w:r>
        <w:t>SFRP is ambitiou</w:t>
      </w:r>
      <w:r w:rsidR="00C17FB8">
        <w:t>s; particularly with the</w:t>
      </w:r>
      <w:r w:rsidR="008514A1">
        <w:t xml:space="preserve"> aim </w:t>
      </w:r>
      <w:r w:rsidR="00C17FB8">
        <w:t>of</w:t>
      </w:r>
      <w:r>
        <w:t xml:space="preserve"> facilit</w:t>
      </w:r>
      <w:r w:rsidR="008514A1">
        <w:t>at</w:t>
      </w:r>
      <w:r w:rsidR="00C17FB8">
        <w:t>ing</w:t>
      </w:r>
      <w:r w:rsidR="008514A1">
        <w:t xml:space="preserve"> </w:t>
      </w:r>
      <w:r>
        <w:t>sustainable new economic activities and governance arrangements</w:t>
      </w:r>
      <w:r w:rsidR="00C17FB8">
        <w:t xml:space="preserve"> </w:t>
      </w:r>
      <w:r>
        <w:t xml:space="preserve">in a short period of time. </w:t>
      </w:r>
    </w:p>
    <w:p w14:paraId="0A1383AC" w14:textId="1AD0B57A" w:rsidR="008C220D" w:rsidRDefault="008C220D" w:rsidP="008C220D">
      <w:r>
        <w:t>After only one year of implementation, there is some, very limited, evidence of the program contributing to more resilient communities</w:t>
      </w:r>
      <w:r>
        <w:rPr>
          <w:rStyle w:val="FootnoteReference"/>
        </w:rPr>
        <w:footnoteReference w:id="14"/>
      </w:r>
      <w:r>
        <w:t xml:space="preserve">. However, the District is largely unable to monitor and respond to crises, much water infrastructure is </w:t>
      </w:r>
      <w:proofErr w:type="gramStart"/>
      <w:r>
        <w:t>deteriorating</w:t>
      </w:r>
      <w:proofErr w:type="gramEnd"/>
      <w:r>
        <w:t xml:space="preserve"> and food security has not yet improved.</w:t>
      </w:r>
      <w:r w:rsidR="00065DFC">
        <w:t xml:space="preserve"> It is very unlikely that formal and informal institutions will be able to maintain all components, without longer term support.</w:t>
      </w:r>
    </w:p>
    <w:p w14:paraId="1E8C18A3" w14:textId="67E55713" w:rsidR="001721BC" w:rsidRDefault="008C220D" w:rsidP="008C220D">
      <w:r>
        <w:t xml:space="preserve">We suggest that each component develop a framework to identify pathways to sustainability for identified </w:t>
      </w:r>
      <w:proofErr w:type="gramStart"/>
      <w:r>
        <w:t>outputs;</w:t>
      </w:r>
      <w:proofErr w:type="gramEnd"/>
      <w:r>
        <w:t xml:space="preserve"> such as those </w:t>
      </w:r>
      <w:r w:rsidR="001B426E">
        <w:t>discussed</w:t>
      </w:r>
      <w:r>
        <w:t xml:space="preserve"> in Section 5.1</w:t>
      </w:r>
      <w:r w:rsidR="008514A1">
        <w:t>. Value will be derived from consulting with partners on the prioritisation and feasibility of these pathways</w:t>
      </w:r>
      <w:r w:rsidR="00A047E7">
        <w:t xml:space="preserve"> during the formulation of the</w:t>
      </w:r>
      <w:r w:rsidR="00C17FB8">
        <w:t xml:space="preserve"> Food and Water Security </w:t>
      </w:r>
      <w:r w:rsidR="00A047E7">
        <w:t>Plans</w:t>
      </w:r>
      <w:r w:rsidR="008514A1">
        <w:t>.</w:t>
      </w:r>
      <w:r>
        <w:t xml:space="preserve"> </w:t>
      </w:r>
    </w:p>
    <w:p w14:paraId="6508CB50" w14:textId="34F0E281" w:rsidR="008C220D" w:rsidRDefault="008514A1" w:rsidP="008C220D">
      <w:r>
        <w:t>When formulating pathways, consideration can be given to the</w:t>
      </w:r>
      <w:r w:rsidR="008C220D">
        <w:t xml:space="preserve"> requirements of relationships, technical </w:t>
      </w:r>
      <w:proofErr w:type="gramStart"/>
      <w:r w:rsidR="008C220D">
        <w:t>capability</w:t>
      </w:r>
      <w:proofErr w:type="gramEnd"/>
      <w:r w:rsidR="008C220D">
        <w:t xml:space="preserve"> and finances. When considering financial sustainability, greater emphasis should be given to leverage not only District, but also Ward, SDP, Ok </w:t>
      </w:r>
      <w:proofErr w:type="spellStart"/>
      <w:r w:rsidR="008C220D">
        <w:t>Tedi</w:t>
      </w:r>
      <w:proofErr w:type="spellEnd"/>
      <w:r w:rsidR="008C220D">
        <w:t xml:space="preserve"> Development Foundation, District Service Improve Program</w:t>
      </w:r>
      <w:r w:rsidR="00E31E5A">
        <w:t xml:space="preserve">, private </w:t>
      </w:r>
      <w:proofErr w:type="gramStart"/>
      <w:r w:rsidR="00E31E5A">
        <w:t>sector</w:t>
      </w:r>
      <w:proofErr w:type="gramEnd"/>
      <w:r w:rsidR="008C220D">
        <w:t xml:space="preserve"> and household resources.</w:t>
      </w:r>
    </w:p>
    <w:p w14:paraId="182E305A" w14:textId="77777777" w:rsidR="00C316E4" w:rsidRDefault="00C316E4" w:rsidP="00C316E4">
      <w:pPr>
        <w:pBdr>
          <w:top w:val="single" w:sz="36" w:space="1" w:color="45A7E1" w:themeColor="accent1"/>
          <w:left w:val="single" w:sz="36" w:space="4" w:color="45A7E1" w:themeColor="accent1"/>
          <w:bottom w:val="single" w:sz="36" w:space="1" w:color="45A7E1" w:themeColor="accent1"/>
          <w:right w:val="single" w:sz="36" w:space="4" w:color="45A7E1" w:themeColor="accent1"/>
        </w:pBdr>
      </w:pPr>
      <w:r w:rsidRPr="005A53C9">
        <w:rPr>
          <w:b/>
          <w:bCs/>
        </w:rPr>
        <w:t xml:space="preserve">Recommendation 5: </w:t>
      </w:r>
      <w:r>
        <w:t>Identify pathways to sustainability for identified outputs, that leverages and improves the position and capabilities of different levels of Government, the private sector and civil society.</w:t>
      </w:r>
    </w:p>
    <w:p w14:paraId="12B991D0" w14:textId="60A0CD2A" w:rsidR="00C26EED" w:rsidRDefault="00C26EED" w:rsidP="00C26EED">
      <w:pPr>
        <w:pStyle w:val="Heading2"/>
      </w:pPr>
      <w:bookmarkStart w:id="34" w:name="_Toc108260002"/>
      <w:r>
        <w:t>5.</w:t>
      </w:r>
      <w:r w:rsidR="00065DFC">
        <w:t>2</w:t>
      </w:r>
      <w:r>
        <w:t xml:space="preserve"> What areas are likely to be sustained in the long term</w:t>
      </w:r>
      <w:r w:rsidR="00F62F69">
        <w:t xml:space="preserve"> by formal and informal institutions?</w:t>
      </w:r>
      <w:bookmarkEnd w:id="34"/>
    </w:p>
    <w:p w14:paraId="19330064" w14:textId="7AB8C744" w:rsidR="00D21530" w:rsidRDefault="00DF721B" w:rsidP="00C26EED">
      <w:r>
        <w:t xml:space="preserve">There is potential for sustainability in </w:t>
      </w:r>
      <w:r w:rsidR="00C17FB8">
        <w:t xml:space="preserve">new </w:t>
      </w:r>
      <w:r>
        <w:t xml:space="preserve">governance </w:t>
      </w:r>
      <w:r w:rsidR="00B4348A">
        <w:t>practices</w:t>
      </w:r>
      <w:r w:rsidR="00C17FB8">
        <w:t>,</w:t>
      </w:r>
      <w:r w:rsidR="00B4348A">
        <w:t xml:space="preserve"> if</w:t>
      </w:r>
      <w:r>
        <w:t xml:space="preserve"> these are formulated in </w:t>
      </w:r>
      <w:r w:rsidR="001B426E">
        <w:t xml:space="preserve">ways that </w:t>
      </w:r>
      <w:r>
        <w:t xml:space="preserve">recognise i) the absorptive capacity of local institutions and ii) leverage </w:t>
      </w:r>
      <w:r w:rsidR="00573B11">
        <w:t xml:space="preserve">internal (such as the WASH Committee leveraging District Development Authority funds) and </w:t>
      </w:r>
      <w:r>
        <w:t>external financing</w:t>
      </w:r>
      <w:r w:rsidR="00D21530">
        <w:t xml:space="preserve"> and technical resources</w:t>
      </w:r>
      <w:r>
        <w:t xml:space="preserve"> (including the Ranger </w:t>
      </w:r>
      <w:r w:rsidR="007B07CE">
        <w:t>program</w:t>
      </w:r>
      <w:r>
        <w:t xml:space="preserve">). </w:t>
      </w:r>
      <w:r w:rsidR="001B426E">
        <w:t>Long term support will likely be required.</w:t>
      </w:r>
    </w:p>
    <w:p w14:paraId="41C35945" w14:textId="0B2F9067" w:rsidR="00F62F69" w:rsidRDefault="00DF721B" w:rsidP="00C26EED">
      <w:r>
        <w:t xml:space="preserve">At the Ward level, innovations include the WASH Committees and the soon to be formulated Ward Development Plans. </w:t>
      </w:r>
      <w:r w:rsidR="00F62F69">
        <w:t xml:space="preserve">Where they exist, the Wards’ WASH Committees seem to meet when the implementing partner visits. Ongoing mentoring support will be likely be required. The Committees are more likely to be sustained once there are </w:t>
      </w:r>
      <w:r w:rsidR="003A4669">
        <w:t xml:space="preserve">financial and </w:t>
      </w:r>
      <w:r w:rsidR="00F62F69">
        <w:t xml:space="preserve">reputational </w:t>
      </w:r>
      <w:r w:rsidR="000513D7">
        <w:t>incentives</w:t>
      </w:r>
      <w:r w:rsidR="000950D4">
        <w:t xml:space="preserve"> for, and skills to support,</w:t>
      </w:r>
      <w:r w:rsidR="00F62F69">
        <w:t xml:space="preserve"> ongoing Committee meetings</w:t>
      </w:r>
      <w:r w:rsidR="000950D4">
        <w:t>.</w:t>
      </w:r>
      <w:r w:rsidR="00E81B48">
        <w:t xml:space="preserve"> </w:t>
      </w:r>
      <w:r w:rsidR="000950D4">
        <w:t>These incentives and skills will</w:t>
      </w:r>
      <w:r w:rsidR="00F62F69">
        <w:t xml:space="preserve"> be more firmly established once i) the District WASH Plan and Ward Development Plan</w:t>
      </w:r>
      <w:r w:rsidR="000950D4">
        <w:t>s</w:t>
      </w:r>
      <w:r w:rsidR="00F62F69">
        <w:t xml:space="preserve"> are financed </w:t>
      </w:r>
      <w:r w:rsidR="00F62F69">
        <w:lastRenderedPageBreak/>
        <w:t xml:space="preserve">and ii) there is sufficient engagement between different governance institutions. </w:t>
      </w:r>
      <w:r w:rsidR="004E1F12">
        <w:t xml:space="preserve">Other promising indications of sustainability in WASH include the updating of the Western Province Health Authority Organisational chart and the utilisation of the WASH survey, by District authorities, to secure funding for urban WASH improvements. </w:t>
      </w:r>
    </w:p>
    <w:p w14:paraId="4DFE57DB" w14:textId="3DAAC881" w:rsidR="00DF721B" w:rsidRDefault="00F62F69" w:rsidP="00C26EED">
      <w:r>
        <w:t>In many communities this will be the first time that Ward Development Plans have been formulated. T</w:t>
      </w:r>
      <w:r w:rsidR="00DF721B">
        <w:t xml:space="preserve">he </w:t>
      </w:r>
      <w:r w:rsidR="00482E30">
        <w:t xml:space="preserve">formulation </w:t>
      </w:r>
      <w:r w:rsidR="00DF721B">
        <w:t>of the Plans</w:t>
      </w:r>
      <w:r w:rsidR="005B090A">
        <w:t>,</w:t>
      </w:r>
      <w:r w:rsidR="00DF721B">
        <w:t xml:space="preserve"> provide opportunity to leverage </w:t>
      </w:r>
      <w:r w:rsidR="00C17FB8">
        <w:t>DPLGA</w:t>
      </w:r>
      <w:r w:rsidR="00DF721B">
        <w:t xml:space="preserve"> processes </w:t>
      </w:r>
      <w:r w:rsidR="00715BA6">
        <w:t>and</w:t>
      </w:r>
      <w:r w:rsidR="00DF721B">
        <w:t xml:space="preserve"> experience. It will also be useful to formulate Plans to allow for continued momentum, and quick visible results. </w:t>
      </w:r>
      <w:r w:rsidR="00B4348A">
        <w:t xml:space="preserve">The upcoming election </w:t>
      </w:r>
      <w:r w:rsidR="00D64EF7">
        <w:t xml:space="preserve">may </w:t>
      </w:r>
      <w:r w:rsidR="00B4348A">
        <w:t xml:space="preserve">provide opportunity to </w:t>
      </w:r>
      <w:r w:rsidR="00D64EF7">
        <w:t>facilitate</w:t>
      </w:r>
      <w:r w:rsidR="00B4348A">
        <w:t>, with Wards and District, an induction program for elected officials to promote the sustainability of new practices in governance.</w:t>
      </w:r>
    </w:p>
    <w:p w14:paraId="0D3C6554" w14:textId="1C27C229" w:rsidR="00482E30" w:rsidRDefault="00D21530" w:rsidP="00C26EED">
      <w:r>
        <w:t>At the District level, the</w:t>
      </w:r>
      <w:r w:rsidR="00715BA6">
        <w:t xml:space="preserve">re will be value in carefully considering implementation </w:t>
      </w:r>
      <w:r w:rsidR="00353321">
        <w:t xml:space="preserve">and financial </w:t>
      </w:r>
      <w:r w:rsidR="00715BA6">
        <w:t>capacity in formulating the</w:t>
      </w:r>
      <w:r>
        <w:t xml:space="preserve"> Food Security Plans and Water Security Plans</w:t>
      </w:r>
      <w:r w:rsidR="00715BA6">
        <w:t xml:space="preserve">. </w:t>
      </w:r>
      <w:r w:rsidR="00B4348A">
        <w:t xml:space="preserve">Overly ambitious Plans could be beyond the </w:t>
      </w:r>
      <w:r w:rsidR="00715BA6">
        <w:t xml:space="preserve">means of the </w:t>
      </w:r>
      <w:r w:rsidR="00ED03BE">
        <w:t>district</w:t>
      </w:r>
      <w:r w:rsidR="00715BA6">
        <w:t xml:space="preserve"> to fund</w:t>
      </w:r>
      <w:r w:rsidR="00FD6C6E">
        <w:t>,</w:t>
      </w:r>
      <w:r w:rsidR="00715BA6">
        <w:t xml:space="preserve"> and other stakeholders to implement.</w:t>
      </w:r>
      <w:r w:rsidR="00482E30">
        <w:t xml:space="preserve"> The Water Security Plan </w:t>
      </w:r>
      <w:r w:rsidR="005B090A">
        <w:t>provides opportunity to utilise</w:t>
      </w:r>
      <w:r w:rsidR="00482E30">
        <w:t xml:space="preserve"> the results of the hydrogeological survey for sustainab</w:t>
      </w:r>
      <w:r w:rsidR="005B090A">
        <w:t>le improvements in access to water</w:t>
      </w:r>
      <w:r w:rsidR="00482E30">
        <w:t>.</w:t>
      </w:r>
    </w:p>
    <w:p w14:paraId="47175388" w14:textId="22372B51" w:rsidR="008C220D" w:rsidRDefault="00715BA6" w:rsidP="00C26EED">
      <w:r>
        <w:t xml:space="preserve">The SFRP considers </w:t>
      </w:r>
      <w:r w:rsidR="00E80B3D">
        <w:t>DAL</w:t>
      </w:r>
      <w:r>
        <w:t xml:space="preserve"> and </w:t>
      </w:r>
      <w:r w:rsidR="00E80B3D">
        <w:t>NFA</w:t>
      </w:r>
      <w:r w:rsidR="00482E30">
        <w:t xml:space="preserve"> as partners critical to implementation, and therefore the sustainability of new practices. However</w:t>
      </w:r>
      <w:r w:rsidR="00F62F69">
        <w:t>,</w:t>
      </w:r>
      <w:r w:rsidR="00482E30">
        <w:t xml:space="preserve"> these </w:t>
      </w:r>
      <w:r w:rsidR="005B090A">
        <w:t>institutions</w:t>
      </w:r>
      <w:r w:rsidR="00482E30">
        <w:t xml:space="preserve"> do not </w:t>
      </w:r>
      <w:r w:rsidR="00D64EF7">
        <w:t xml:space="preserve">seem to </w:t>
      </w:r>
      <w:r w:rsidR="00482E30">
        <w:t xml:space="preserve">have a widespread footprint in the </w:t>
      </w:r>
      <w:proofErr w:type="gramStart"/>
      <w:r w:rsidR="00482E30">
        <w:t>District</w:t>
      </w:r>
      <w:r w:rsidR="00F62F69">
        <w:t>;</w:t>
      </w:r>
      <w:proofErr w:type="gramEnd"/>
      <w:r w:rsidR="00482E30">
        <w:t xml:space="preserve"> which hampers the delivery of associated SFRP outputs and </w:t>
      </w:r>
      <w:r w:rsidR="005B090A">
        <w:t xml:space="preserve">the </w:t>
      </w:r>
      <w:r w:rsidR="00482E30">
        <w:t>sustainab</w:t>
      </w:r>
      <w:r w:rsidR="005B090A">
        <w:t>ility of</w:t>
      </w:r>
      <w:r w:rsidR="00482E30">
        <w:t xml:space="preserve"> new practices.</w:t>
      </w:r>
      <w:r w:rsidR="005B090A">
        <w:t xml:space="preserve"> </w:t>
      </w:r>
    </w:p>
    <w:p w14:paraId="2F05C929" w14:textId="0BEC1F5F" w:rsidR="00F53F22" w:rsidRDefault="00F53F22" w:rsidP="00C26EED">
      <w:r>
        <w:t>Outside of villages adjacent to Daru and the border areas, substantial challenges to transformational change in sustainable livelihoods arise from the cost and time associated with the transportation of goods.</w:t>
      </w:r>
      <w:r w:rsidR="00B4348A">
        <w:t xml:space="preserve"> This is one of many challenges to</w:t>
      </w:r>
      <w:r w:rsidR="00353321">
        <w:t xml:space="preserve"> facilitating the</w:t>
      </w:r>
      <w:r w:rsidR="00B4348A">
        <w:t xml:space="preserve"> introduc</w:t>
      </w:r>
      <w:r w:rsidR="00353321">
        <w:t>tion of</w:t>
      </w:r>
      <w:r w:rsidR="00B4348A">
        <w:t xml:space="preserve"> new livelihoods activities. </w:t>
      </w:r>
      <w:r>
        <w:t xml:space="preserve">There may be no quick fixes to this challenge, and sustainable solutions in the medium term may rely solely on bolstering the competitiveness, </w:t>
      </w:r>
      <w:proofErr w:type="gramStart"/>
      <w:r>
        <w:t>inclusivity</w:t>
      </w:r>
      <w:proofErr w:type="gramEnd"/>
      <w:r>
        <w:t xml:space="preserve"> and sustainability of existing livelihood activities. </w:t>
      </w:r>
    </w:p>
    <w:p w14:paraId="7C3FB454" w14:textId="04AFEA43" w:rsidR="004A53CD" w:rsidRPr="00F43A57" w:rsidRDefault="00ED03BE" w:rsidP="00C26EED">
      <w:r>
        <w:t>Several</w:t>
      </w:r>
      <w:r w:rsidR="004A53CD">
        <w:t xml:space="preserve"> </w:t>
      </w:r>
      <w:r w:rsidR="00B4289D">
        <w:t xml:space="preserve">of </w:t>
      </w:r>
      <w:r w:rsidR="004A53CD">
        <w:t>the new economic activities envisioned to be introduced under the SFRP, come with substantial risks to environmental and commercial sustainability. Where new livelihood activities are to be introduced, carefully brokered partnerships with the private sector</w:t>
      </w:r>
      <w:r w:rsidR="000950D4">
        <w:t xml:space="preserve">, perhaps from outside the </w:t>
      </w:r>
      <w:r w:rsidR="00264919">
        <w:t>SFD</w:t>
      </w:r>
      <w:r w:rsidR="000950D4">
        <w:t>,</w:t>
      </w:r>
      <w:r w:rsidR="004A53CD">
        <w:t xml:space="preserve"> may provide avenues to sustainability. However, trust can be </w:t>
      </w:r>
      <w:proofErr w:type="gramStart"/>
      <w:r w:rsidR="004A53CD">
        <w:t>built</w:t>
      </w:r>
      <w:proofErr w:type="gramEnd"/>
      <w:r w:rsidR="004A53CD">
        <w:t xml:space="preserve"> and value delivered </w:t>
      </w:r>
      <w:r w:rsidR="00D64EF7">
        <w:t xml:space="preserve">more quickly, </w:t>
      </w:r>
      <w:r w:rsidR="004A53CD">
        <w:t xml:space="preserve">through facilitating improvements in the commercial and environmental </w:t>
      </w:r>
      <w:r w:rsidR="004A53CD" w:rsidRPr="00F43A57">
        <w:t xml:space="preserve">sustainability of existing economic activities. </w:t>
      </w:r>
    </w:p>
    <w:p w14:paraId="02D5D60F" w14:textId="5B55DB41" w:rsidR="00C26EED" w:rsidRPr="00C26EED" w:rsidRDefault="00482E30" w:rsidP="00C26EED">
      <w:r w:rsidRPr="00F43A57">
        <w:t>The</w:t>
      </w:r>
      <w:r w:rsidR="00C26EED" w:rsidRPr="00F43A57">
        <w:t xml:space="preserve"> Ranger program </w:t>
      </w:r>
      <w:r w:rsidRPr="00F43A57">
        <w:t>is unlikely to</w:t>
      </w:r>
      <w:r w:rsidR="00C26EED" w:rsidRPr="00F43A57">
        <w:t xml:space="preserve"> be sustained</w:t>
      </w:r>
      <w:r w:rsidR="002E7DBA" w:rsidRPr="00F43A57">
        <w:t xml:space="preserve"> under its current model</w:t>
      </w:r>
      <w:r w:rsidR="00C26EED" w:rsidRPr="00F43A57">
        <w:t xml:space="preserve"> in the long term</w:t>
      </w:r>
      <w:r w:rsidRPr="00F43A57">
        <w:t>,</w:t>
      </w:r>
      <w:r w:rsidR="00C26EED" w:rsidRPr="00F43A57">
        <w:t xml:space="preserve"> without donor support. </w:t>
      </w:r>
      <w:r w:rsidRPr="00F43A57">
        <w:t>Rangers allow</w:t>
      </w:r>
      <w:r>
        <w:t xml:space="preserve"> for </w:t>
      </w:r>
      <w:r w:rsidR="00C26EED">
        <w:t>food and water security</w:t>
      </w:r>
      <w:r>
        <w:t xml:space="preserve"> to be </w:t>
      </w:r>
      <w:proofErr w:type="gramStart"/>
      <w:r>
        <w:t>monitored,</w:t>
      </w:r>
      <w:r w:rsidR="00C26EED">
        <w:t xml:space="preserve"> </w:t>
      </w:r>
      <w:r w:rsidR="00A047E7">
        <w:t>and</w:t>
      </w:r>
      <w:proofErr w:type="gramEnd"/>
      <w:r w:rsidR="00A047E7">
        <w:t xml:space="preserve"> could</w:t>
      </w:r>
      <w:r w:rsidR="00C26EED">
        <w:t xml:space="preserve"> provid</w:t>
      </w:r>
      <w:r w:rsidR="00A047E7">
        <w:t>e</w:t>
      </w:r>
      <w:r w:rsidR="00C26EED">
        <w:t xml:space="preserve"> seed </w:t>
      </w:r>
      <w:r w:rsidR="00A047E7">
        <w:t>resourcing</w:t>
      </w:r>
      <w:r w:rsidR="00C26EED">
        <w:t xml:space="preserve"> to the delivery of the District’s plans while the District enhances its ability to formulate and implement policy.</w:t>
      </w:r>
      <w:r w:rsidR="002E7DBA">
        <w:t xml:space="preserve"> </w:t>
      </w:r>
      <w:proofErr w:type="gramStart"/>
      <w:r w:rsidR="00CE1367">
        <w:t>However</w:t>
      </w:r>
      <w:proofErr w:type="gramEnd"/>
      <w:r w:rsidR="00CE1367">
        <w:t xml:space="preserve"> expectations should be balanced against the capability of the Rangers. Further, t</w:t>
      </w:r>
      <w:r w:rsidR="002E7DBA">
        <w:t xml:space="preserve">here is the risk of the Rangers </w:t>
      </w:r>
      <w:r w:rsidR="00353321">
        <w:t>operating in</w:t>
      </w:r>
      <w:r w:rsidR="002E7DBA">
        <w:t xml:space="preserve"> parallel structures at the Ward level, and there will be value in increasingly aligning the work of the Rangers to the activities contained in the Ward Development Plans, the Food and Water Security Plans and the District WASH Plan. </w:t>
      </w:r>
    </w:p>
    <w:p w14:paraId="604C1D53" w14:textId="3937B96E" w:rsidR="00D419E1" w:rsidRPr="00D419E1" w:rsidRDefault="00D419E1" w:rsidP="00D419E1"/>
    <w:p w14:paraId="2463E7B2" w14:textId="53CED8D1" w:rsidR="00D419E1" w:rsidRDefault="00D419E1" w:rsidP="009B003B">
      <w:pPr>
        <w:pStyle w:val="Heading1"/>
        <w:numPr>
          <w:ilvl w:val="0"/>
          <w:numId w:val="24"/>
        </w:numPr>
      </w:pPr>
      <w:bookmarkStart w:id="35" w:name="_Toc108260003"/>
      <w:r>
        <w:lastRenderedPageBreak/>
        <w:t>Gender</w:t>
      </w:r>
      <w:bookmarkEnd w:id="35"/>
    </w:p>
    <w:p w14:paraId="4160BF6A" w14:textId="2F9000E1" w:rsidR="00065DFC" w:rsidRPr="00065DFC" w:rsidRDefault="00065DFC" w:rsidP="00065DFC">
      <w:pPr>
        <w:pStyle w:val="Heading2"/>
      </w:pPr>
      <w:bookmarkStart w:id="36" w:name="_Toc108260004"/>
      <w:r>
        <w:t>6.1 Overview</w:t>
      </w:r>
      <w:bookmarkEnd w:id="36"/>
    </w:p>
    <w:p w14:paraId="623A3FD9" w14:textId="09EAC232" w:rsidR="00607D38" w:rsidRDefault="00F133DB" w:rsidP="00F133DB">
      <w:r w:rsidRPr="00065182">
        <w:t xml:space="preserve">Australia’s </w:t>
      </w:r>
      <w:r w:rsidR="00332D77" w:rsidRPr="00E94E47">
        <w:t>GEWES</w:t>
      </w:r>
      <w:r w:rsidRPr="6CDB7118">
        <w:rPr>
          <w:i/>
          <w:iCs/>
        </w:rPr>
        <w:t xml:space="preserve"> </w:t>
      </w:r>
      <w:r w:rsidRPr="00F133DB">
        <w:rPr>
          <w:lang w:val="en-US"/>
        </w:rPr>
        <w:t>establishes three priorities</w:t>
      </w:r>
      <w:r w:rsidR="00AB522A">
        <w:rPr>
          <w:lang w:val="en-US"/>
        </w:rPr>
        <w:t xml:space="preserve">: </w:t>
      </w:r>
      <w:r>
        <w:rPr>
          <w:lang w:val="en-US"/>
        </w:rPr>
        <w:t xml:space="preserve">i) enhancing women’s voice in decision-making, leadership and peace building ii) promoting women’s economic empowerment and iii) ending violence against women and girls. </w:t>
      </w:r>
      <w:r w:rsidR="0FDA15DF">
        <w:t xml:space="preserve">In the SFD, gender inequality </w:t>
      </w:r>
      <w:r w:rsidR="00DE4048">
        <w:t>is</w:t>
      </w:r>
      <w:r w:rsidR="0FDA15DF">
        <w:t xml:space="preserve"> glaring.  For example, World Vision’s research found that women only make up 17 % of decision makers in South Fly and anecdotal evidence suggests that the incidence of gender-based violence is very high. </w:t>
      </w:r>
    </w:p>
    <w:p w14:paraId="77B173E3" w14:textId="7405FC1A" w:rsidR="00607D38" w:rsidRDefault="00194392" w:rsidP="00A10CB3">
      <w:pPr>
        <w:pStyle w:val="Heading2"/>
        <w:rPr>
          <w:szCs w:val="28"/>
        </w:rPr>
      </w:pPr>
      <w:bookmarkStart w:id="37" w:name="_Toc108260005"/>
      <w:r>
        <w:t>6</w:t>
      </w:r>
      <w:r w:rsidR="0BDE1AC5" w:rsidRPr="00AC5397">
        <w:t>.</w:t>
      </w:r>
      <w:r w:rsidR="00065DFC">
        <w:t>2</w:t>
      </w:r>
      <w:r w:rsidR="0BDE1AC5" w:rsidRPr="00AC5397">
        <w:t xml:space="preserve"> Progression against gender to date, forming stronger linkages</w:t>
      </w:r>
      <w:r w:rsidR="00E25FDF">
        <w:t>,</w:t>
      </w:r>
      <w:r w:rsidR="0BDE1AC5" w:rsidRPr="00AC5397">
        <w:t xml:space="preserve"> leveraging opportunities</w:t>
      </w:r>
      <w:r w:rsidR="00E25FDF">
        <w:t xml:space="preserve"> and unintended consequences</w:t>
      </w:r>
      <w:bookmarkEnd w:id="37"/>
    </w:p>
    <w:p w14:paraId="5EA650DF" w14:textId="05E8B010" w:rsidR="007F5851" w:rsidRDefault="00DE4048" w:rsidP="00F133DB">
      <w:r>
        <w:t>Progress</w:t>
      </w:r>
      <w:r w:rsidR="0FDA15DF">
        <w:t xml:space="preserve"> is being made</w:t>
      </w:r>
      <w:r w:rsidR="00D64EF7">
        <w:t>, but this is</w:t>
      </w:r>
      <w:r w:rsidR="00B50ADA">
        <w:t xml:space="preserve"> very</w:t>
      </w:r>
      <w:r w:rsidR="00D64EF7">
        <w:t xml:space="preserve"> uneven across the three pillars</w:t>
      </w:r>
      <w:r w:rsidR="0FDA15DF">
        <w:t xml:space="preserve">. </w:t>
      </w:r>
      <w:r w:rsidR="00D64EF7">
        <w:t>Given</w:t>
      </w:r>
      <w:r w:rsidR="0FDA15DF">
        <w:t xml:space="preserve"> the donor landscape in the SFD and gender equality and social inclusion outcomes, more can be done across the three pillars of the GEWES. </w:t>
      </w:r>
    </w:p>
    <w:p w14:paraId="245B7538" w14:textId="77777777" w:rsidR="00C316E4" w:rsidRDefault="00C316E4" w:rsidP="00C316E4">
      <w:pPr>
        <w:pBdr>
          <w:top w:val="single" w:sz="36" w:space="1" w:color="45A7E1" w:themeColor="accent1"/>
          <w:left w:val="single" w:sz="36" w:space="4" w:color="45A7E1" w:themeColor="accent1"/>
          <w:bottom w:val="single" w:sz="36" w:space="1" w:color="45A7E1" w:themeColor="accent1"/>
          <w:right w:val="single" w:sz="36" w:space="4" w:color="45A7E1" w:themeColor="accent1"/>
        </w:pBdr>
      </w:pPr>
      <w:r w:rsidRPr="005A53C9">
        <w:rPr>
          <w:b/>
          <w:bCs/>
        </w:rPr>
        <w:t xml:space="preserve">Recommendation 6: </w:t>
      </w:r>
      <w:r>
        <w:t>Increase emphasis on facilitating gender equality</w:t>
      </w:r>
      <w:r w:rsidRPr="005A53C9">
        <w:rPr>
          <w:b/>
          <w:bCs/>
        </w:rPr>
        <w:t xml:space="preserve"> </w:t>
      </w:r>
      <w:r>
        <w:t xml:space="preserve">through enhancing </w:t>
      </w:r>
      <w:proofErr w:type="spellStart"/>
      <w:r>
        <w:t>i</w:t>
      </w:r>
      <w:proofErr w:type="spellEnd"/>
      <w:r>
        <w:t>) women’s access to training opportunities and decision-making forums, ii) increasing consultation with women’s groups to determine acceptable economic enhancement activities and iii) strengthen women’s access to family sexual violence services and referral pathways.</w:t>
      </w:r>
    </w:p>
    <w:p w14:paraId="178F8316" w14:textId="5D71E624" w:rsidR="007F5851" w:rsidRDefault="74ACD026" w:rsidP="007F5851">
      <w:pPr>
        <w:pStyle w:val="FigureImageTablehead"/>
      </w:pPr>
      <w:r>
        <w:t>Women in leadership</w:t>
      </w:r>
    </w:p>
    <w:p w14:paraId="1590C077" w14:textId="4625147B" w:rsidR="00425FA3" w:rsidRDefault="00425FA3" w:rsidP="007F5851">
      <w:r>
        <w:t xml:space="preserve">We found that gender norms regarding women in leadership are being challenged. </w:t>
      </w:r>
      <w:r w:rsidR="6CDB7118">
        <w:t>There are promising examples of women in leadership being progressed through the equal representation of men and women in the 13 WASH committees. There are early signs of this influencing the composition of other local Committees.</w:t>
      </w:r>
      <w:r>
        <w:t xml:space="preserve"> </w:t>
      </w:r>
      <w:r w:rsidR="00A10CB3">
        <w:t>Further, t</w:t>
      </w:r>
      <w:r>
        <w:t xml:space="preserve">he engagement of female Rangers </w:t>
      </w:r>
      <w:r w:rsidR="00FD690E">
        <w:t>is building</w:t>
      </w:r>
      <w:r>
        <w:t xml:space="preserve"> skills and leadership experience among women. </w:t>
      </w:r>
      <w:r w:rsidR="00E73AAE">
        <w:t xml:space="preserve">As the Ward Development Plans provide a critical entry point for modelling equity, </w:t>
      </w:r>
      <w:r w:rsidR="00E73AAE" w:rsidRPr="00E73AAE">
        <w:t xml:space="preserve">support </w:t>
      </w:r>
      <w:r w:rsidR="00E73AAE">
        <w:t xml:space="preserve">should be provided so that women as well as men participate. </w:t>
      </w:r>
    </w:p>
    <w:p w14:paraId="0B574F7A" w14:textId="257B96AB" w:rsidR="670C0377" w:rsidRDefault="0BDE1AC5" w:rsidP="007F5851">
      <w:r>
        <w:t xml:space="preserve">More can be done in women’s access to training and consultation, such as those relating to the Ward Profiles and Plans. </w:t>
      </w:r>
      <w:r w:rsidR="00E81B48">
        <w:t xml:space="preserve">Implementing partners could </w:t>
      </w:r>
      <w:r w:rsidR="00454867">
        <w:t xml:space="preserve">also </w:t>
      </w:r>
      <w:r w:rsidR="00E81B48">
        <w:t>make more use of the Council</w:t>
      </w:r>
      <w:r w:rsidR="00454867">
        <w:t>s</w:t>
      </w:r>
      <w:r w:rsidR="00E81B48">
        <w:t xml:space="preserve"> of Women, which operate at </w:t>
      </w:r>
      <w:r w:rsidR="007F5851">
        <w:t>the level of Local Level Government</w:t>
      </w:r>
      <w:r w:rsidR="00E81B48">
        <w:t xml:space="preserve">. </w:t>
      </w:r>
      <w:r>
        <w:t xml:space="preserve">Given the role of women in food and water security in households, the formulation of the Food and Water Security Plans should provide opportunities for promoting women’s leadership </w:t>
      </w:r>
      <w:r w:rsidR="00425FA3">
        <w:t>during</w:t>
      </w:r>
      <w:r>
        <w:t xml:space="preserve"> consultations</w:t>
      </w:r>
      <w:r w:rsidR="00425FA3">
        <w:t>,</w:t>
      </w:r>
      <w:r>
        <w:t xml:space="preserve"> or </w:t>
      </w:r>
      <w:r w:rsidR="00425FA3">
        <w:t xml:space="preserve">regarding </w:t>
      </w:r>
      <w:r>
        <w:t xml:space="preserve">baselines </w:t>
      </w:r>
      <w:r w:rsidR="00425FA3">
        <w:t>for</w:t>
      </w:r>
      <w:r>
        <w:t xml:space="preserve"> livelihoods. </w:t>
      </w:r>
    </w:p>
    <w:p w14:paraId="0C7508F3" w14:textId="279A9A00" w:rsidR="00945E25" w:rsidRDefault="670C0377" w:rsidP="00194392">
      <w:pPr>
        <w:pStyle w:val="FigureImageTablehead"/>
        <w:rPr>
          <w:bCs/>
          <w:szCs w:val="28"/>
          <w:lang w:val="en-US"/>
        </w:rPr>
      </w:pPr>
      <w:r w:rsidRPr="670C0377">
        <w:rPr>
          <w:lang w:val="en-US"/>
        </w:rPr>
        <w:t xml:space="preserve">Women and </w:t>
      </w:r>
      <w:r w:rsidR="00BE3E21">
        <w:rPr>
          <w:lang w:val="en-US"/>
        </w:rPr>
        <w:t>e</w:t>
      </w:r>
      <w:r w:rsidRPr="670C0377">
        <w:rPr>
          <w:lang w:val="en-US"/>
        </w:rPr>
        <w:t>conomic empowerment</w:t>
      </w:r>
    </w:p>
    <w:p w14:paraId="496D75A2" w14:textId="77777777" w:rsidR="00425FA3" w:rsidRDefault="00425FA3" w:rsidP="007F5851">
      <w:pPr>
        <w:rPr>
          <w:lang w:val="en-US"/>
        </w:rPr>
      </w:pPr>
      <w:r>
        <w:rPr>
          <w:lang w:val="en-US"/>
        </w:rPr>
        <w:t>There has been limited progress towards facilitating gender inclusive economic empowerment. Partly this is because activities in FLAG are behind schedule.</w:t>
      </w:r>
    </w:p>
    <w:p w14:paraId="237FCD7B" w14:textId="0EF3BB42" w:rsidR="00A10CB3" w:rsidRDefault="5347EA8D" w:rsidP="00D64EF7">
      <w:pPr>
        <w:rPr>
          <w:lang w:val="en-US"/>
        </w:rPr>
      </w:pPr>
      <w:r w:rsidRPr="5347EA8D">
        <w:rPr>
          <w:lang w:val="en-US"/>
        </w:rPr>
        <w:lastRenderedPageBreak/>
        <w:t xml:space="preserve">At output level the business literacy skills training was delivered to 20 men and 20 women from 11 wards. At intermediate outcome level, there is no evidence to show how the learnings have been applied by participants. </w:t>
      </w:r>
    </w:p>
    <w:p w14:paraId="3782FFEC" w14:textId="7EB05B9F" w:rsidR="0026792B" w:rsidRDefault="6533E49A" w:rsidP="00D64EF7">
      <w:r w:rsidRPr="6533E49A">
        <w:rPr>
          <w:lang w:val="en-US" w:eastAsia="en-US"/>
        </w:rPr>
        <w:t>There is the chance that new economic activities, hamper progress in women’s economic empowerment. For example, men may be more able to access the new economic activities</w:t>
      </w:r>
      <w:r w:rsidR="00D152E2">
        <w:rPr>
          <w:lang w:val="en-US" w:eastAsia="en-US"/>
        </w:rPr>
        <w:t>, while women focus on household chores and subsistence farming</w:t>
      </w:r>
      <w:r w:rsidRPr="6533E49A">
        <w:rPr>
          <w:lang w:val="en-US" w:eastAsia="en-US"/>
        </w:rPr>
        <w:t>.</w:t>
      </w:r>
      <w:r w:rsidR="00D152E2">
        <w:rPr>
          <w:lang w:val="en-US" w:eastAsia="en-US"/>
        </w:rPr>
        <w:t xml:space="preserve"> </w:t>
      </w:r>
      <w:r w:rsidRPr="6533E49A">
        <w:rPr>
          <w:lang w:val="en-US" w:eastAsia="en-US"/>
        </w:rPr>
        <w:t xml:space="preserve">Or there might be unintended consequences for the women who do participate, as access to income can be a trigger for </w:t>
      </w:r>
      <w:r w:rsidR="007F5851" w:rsidRPr="6533E49A">
        <w:rPr>
          <w:lang w:val="en-US" w:eastAsia="en-US"/>
        </w:rPr>
        <w:t>gender</w:t>
      </w:r>
      <w:r w:rsidR="007F5851">
        <w:rPr>
          <w:lang w:val="en-US" w:eastAsia="en-US"/>
        </w:rPr>
        <w:t>-based</w:t>
      </w:r>
      <w:r w:rsidRPr="6533E49A">
        <w:rPr>
          <w:lang w:val="en-US" w:eastAsia="en-US"/>
        </w:rPr>
        <w:t xml:space="preserve"> violence.</w:t>
      </w:r>
      <w:r>
        <w:t xml:space="preserve"> For each of the food and livelihoods activities being progressed, employing a gender risk assessment tool could help with managing unintended consequences</w:t>
      </w:r>
      <w:r w:rsidR="00D152E2">
        <w:t>.</w:t>
      </w:r>
      <w:r>
        <w:t xml:space="preserve"> In any case, women’s participation in economic activities should inform how the SFRP engages with communities and how these activities are facilitated. </w:t>
      </w:r>
    </w:p>
    <w:p w14:paraId="0ECEE726" w14:textId="1D52A4F3" w:rsidR="0093611F" w:rsidRDefault="5347EA8D" w:rsidP="00D64EF7">
      <w:r>
        <w:t xml:space="preserve">Women </w:t>
      </w:r>
      <w:r w:rsidR="00A10CB3">
        <w:t>stated that they</w:t>
      </w:r>
      <w:r>
        <w:t xml:space="preserve"> mainly participat</w:t>
      </w:r>
      <w:r w:rsidR="00A10CB3">
        <w:t>e</w:t>
      </w:r>
      <w:r>
        <w:t xml:space="preserve"> in economic activities for survival</w:t>
      </w:r>
      <w:r w:rsidR="0026792B">
        <w:t>,</w:t>
      </w:r>
      <w:r>
        <w:t xml:space="preserve"> while men </w:t>
      </w:r>
      <w:r w:rsidR="00A10CB3">
        <w:t>engage in</w:t>
      </w:r>
      <w:r>
        <w:t xml:space="preserve"> higher value crops</w:t>
      </w:r>
      <w:r w:rsidR="00A10CB3">
        <w:t xml:space="preserve">, </w:t>
      </w:r>
      <w:proofErr w:type="gramStart"/>
      <w:r w:rsidR="00A10CB3">
        <w:t>fishing</w:t>
      </w:r>
      <w:proofErr w:type="gramEnd"/>
      <w:r>
        <w:t xml:space="preserve"> and livestock.</w:t>
      </w:r>
      <w:r w:rsidR="00A10CB3">
        <w:t xml:space="preserve"> Women</w:t>
      </w:r>
      <w:r>
        <w:t xml:space="preserve"> from inland communities </w:t>
      </w:r>
      <w:r w:rsidR="00A10CB3">
        <w:t xml:space="preserve">reported that </w:t>
      </w:r>
      <w:r>
        <w:t xml:space="preserve">they could farm </w:t>
      </w:r>
      <w:proofErr w:type="gramStart"/>
      <w:r>
        <w:t>cocoa</w:t>
      </w:r>
      <w:r w:rsidR="0026792B">
        <w:t>,</w:t>
      </w:r>
      <w:r>
        <w:t xml:space="preserve"> but</w:t>
      </w:r>
      <w:proofErr w:type="gramEnd"/>
      <w:r w:rsidR="0026792B">
        <w:t xml:space="preserve"> noted that</w:t>
      </w:r>
      <w:r>
        <w:t xml:space="preserve"> men</w:t>
      </w:r>
      <w:r w:rsidR="00E2133C">
        <w:t xml:space="preserve"> </w:t>
      </w:r>
      <w:r>
        <w:t xml:space="preserve">control </w:t>
      </w:r>
      <w:r w:rsidR="00E2133C">
        <w:t xml:space="preserve">the </w:t>
      </w:r>
      <w:r>
        <w:t xml:space="preserve">income from cash crops. </w:t>
      </w:r>
      <w:r w:rsidR="0026792B">
        <w:t xml:space="preserve">Women </w:t>
      </w:r>
      <w:r>
        <w:t xml:space="preserve">prefer to grow vegetables such as cabbages, corn, capsicum, onions for consumption or to sell. </w:t>
      </w:r>
      <w:r w:rsidR="00A10CB3">
        <w:t>Women are</w:t>
      </w:r>
      <w:r>
        <w:t xml:space="preserve"> </w:t>
      </w:r>
      <w:r w:rsidR="00A10CB3">
        <w:t>also engaged in</w:t>
      </w:r>
      <w:r>
        <w:t xml:space="preserve"> handicrafts (brooms, mats, baskets)</w:t>
      </w:r>
      <w:r w:rsidR="00A10CB3">
        <w:t>,</w:t>
      </w:r>
      <w:r>
        <w:t xml:space="preserve"> which they sell to coastal communities</w:t>
      </w:r>
      <w:r w:rsidR="0093611F">
        <w:t xml:space="preserve">. </w:t>
      </w:r>
    </w:p>
    <w:p w14:paraId="6D2A48FE" w14:textId="44712C59" w:rsidR="00945E25" w:rsidRDefault="74ACD026" w:rsidP="00E25FDF">
      <w:r>
        <w:t>Women in coastal communities mentioned that fishing and mud-crab projects were feasible</w:t>
      </w:r>
      <w:r w:rsidR="00A10CB3">
        <w:t>,</w:t>
      </w:r>
      <w:r>
        <w:t xml:space="preserve"> but they would need further assistance to </w:t>
      </w:r>
      <w:r w:rsidR="00A10CB3">
        <w:t>engage in commercial scale production</w:t>
      </w:r>
      <w:r>
        <w:t xml:space="preserve">. </w:t>
      </w:r>
      <w:r w:rsidR="00A10CB3">
        <w:t xml:space="preserve">It was reported that this should </w:t>
      </w:r>
      <w:r>
        <w:t>include business and financial literacy training</w:t>
      </w:r>
      <w:r w:rsidR="00A10CB3">
        <w:t>,</w:t>
      </w:r>
      <w:r>
        <w:t xml:space="preserve"> and training on handling live products correctly, storage, </w:t>
      </w:r>
      <w:proofErr w:type="gramStart"/>
      <w:r>
        <w:t>transport</w:t>
      </w:r>
      <w:proofErr w:type="gramEnd"/>
      <w:r>
        <w:t xml:space="preserve"> and market access. None of the women </w:t>
      </w:r>
      <w:r w:rsidR="000535EE">
        <w:t>consulted</w:t>
      </w:r>
      <w:r>
        <w:t xml:space="preserve"> </w:t>
      </w:r>
      <w:r w:rsidR="000535EE">
        <w:t xml:space="preserve">were </w:t>
      </w:r>
      <w:r>
        <w:t xml:space="preserve">running a </w:t>
      </w:r>
      <w:r w:rsidR="007F5851">
        <w:t>s</w:t>
      </w:r>
      <w:r>
        <w:t xml:space="preserve">mall </w:t>
      </w:r>
      <w:r w:rsidR="007F5851">
        <w:t>or</w:t>
      </w:r>
      <w:r>
        <w:t xml:space="preserve"> </w:t>
      </w:r>
      <w:r w:rsidR="007F5851">
        <w:t>m</w:t>
      </w:r>
      <w:r>
        <w:t>edium</w:t>
      </w:r>
      <w:r w:rsidR="007F5851">
        <w:t xml:space="preserve"> sized</w:t>
      </w:r>
      <w:r>
        <w:t xml:space="preserve"> </w:t>
      </w:r>
      <w:r w:rsidR="007F5851">
        <w:t>e</w:t>
      </w:r>
      <w:r>
        <w:t xml:space="preserve">nterprise. Women are concerned about long supply chains. Many women highlighted a need for long term mentoring and coaching in business, and </w:t>
      </w:r>
      <w:r w:rsidR="00A10CB3">
        <w:t xml:space="preserve">in </w:t>
      </w:r>
      <w:r>
        <w:t xml:space="preserve">transitioning from the informal to the formal sector. </w:t>
      </w:r>
    </w:p>
    <w:p w14:paraId="45E72BC4" w14:textId="675DFE89" w:rsidR="00945E25" w:rsidRPr="00945E25" w:rsidRDefault="670C0377" w:rsidP="00194392">
      <w:pPr>
        <w:pStyle w:val="FigureImageTablehead"/>
        <w:rPr>
          <w:rFonts w:ascii="Arial" w:eastAsia="Arial" w:hAnsi="Arial" w:cs="Arial"/>
        </w:rPr>
      </w:pPr>
      <w:r>
        <w:t>Gender based violence</w:t>
      </w:r>
    </w:p>
    <w:p w14:paraId="16D517BD" w14:textId="7D120ABD" w:rsidR="00A966D4" w:rsidRDefault="00A966D4" w:rsidP="6533E49A">
      <w:pPr>
        <w:rPr>
          <w:rStyle w:val="cf01"/>
          <w:rFonts w:asciiTheme="minorHAnsi" w:hAnsiTheme="minorHAnsi" w:cstheme="minorBidi"/>
          <w:sz w:val="22"/>
          <w:szCs w:val="22"/>
        </w:rPr>
      </w:pPr>
      <w:r>
        <w:rPr>
          <w:bdr w:val="none" w:sz="0" w:space="0" w:color="auto" w:frame="1"/>
        </w:rPr>
        <w:t>We were informed</w:t>
      </w:r>
      <w:r w:rsidR="00DE4048">
        <w:rPr>
          <w:bdr w:val="none" w:sz="0" w:space="0" w:color="auto" w:frame="1"/>
        </w:rPr>
        <w:t xml:space="preserve"> by staff of the Family Support Centre, at Daru Hospital,</w:t>
      </w:r>
      <w:r>
        <w:rPr>
          <w:bdr w:val="none" w:sz="0" w:space="0" w:color="auto" w:frame="1"/>
        </w:rPr>
        <w:t xml:space="preserve"> that</w:t>
      </w:r>
      <w:r w:rsidR="00792BDB">
        <w:rPr>
          <w:bdr w:val="none" w:sz="0" w:space="0" w:color="auto" w:frame="1"/>
        </w:rPr>
        <w:t xml:space="preserve"> rates of</w:t>
      </w:r>
      <w:r>
        <w:rPr>
          <w:bdr w:val="none" w:sz="0" w:space="0" w:color="auto" w:frame="1"/>
        </w:rPr>
        <w:t xml:space="preserve"> </w:t>
      </w:r>
      <w:r w:rsidR="007F5851">
        <w:rPr>
          <w:bdr w:val="none" w:sz="0" w:space="0" w:color="auto" w:frame="1"/>
        </w:rPr>
        <w:t>i</w:t>
      </w:r>
      <w:r>
        <w:rPr>
          <w:bdr w:val="none" w:sz="0" w:space="0" w:color="auto" w:frame="1"/>
        </w:rPr>
        <w:t xml:space="preserve">ntimate </w:t>
      </w:r>
      <w:r w:rsidR="007F5851">
        <w:rPr>
          <w:bdr w:val="none" w:sz="0" w:space="0" w:color="auto" w:frame="1"/>
        </w:rPr>
        <w:t>p</w:t>
      </w:r>
      <w:r>
        <w:rPr>
          <w:bdr w:val="none" w:sz="0" w:space="0" w:color="auto" w:frame="1"/>
        </w:rPr>
        <w:t xml:space="preserve">artner </w:t>
      </w:r>
      <w:r w:rsidR="007F5851">
        <w:rPr>
          <w:bdr w:val="none" w:sz="0" w:space="0" w:color="auto" w:frame="1"/>
        </w:rPr>
        <w:t>v</w:t>
      </w:r>
      <w:r>
        <w:rPr>
          <w:bdr w:val="none" w:sz="0" w:space="0" w:color="auto" w:frame="1"/>
        </w:rPr>
        <w:t xml:space="preserve">iolence </w:t>
      </w:r>
      <w:r w:rsidR="00792BDB">
        <w:rPr>
          <w:bdr w:val="none" w:sz="0" w:space="0" w:color="auto" w:frame="1"/>
        </w:rPr>
        <w:t>are</w:t>
      </w:r>
      <w:r>
        <w:rPr>
          <w:bdr w:val="none" w:sz="0" w:space="0" w:color="auto" w:frame="1"/>
        </w:rPr>
        <w:t xml:space="preserve"> very high i</w:t>
      </w:r>
      <w:r w:rsidRPr="00F7763F">
        <w:rPr>
          <w:bdr w:val="none" w:sz="0" w:space="0" w:color="auto" w:frame="1"/>
        </w:rPr>
        <w:t>n Western Province</w:t>
      </w:r>
      <w:r>
        <w:rPr>
          <w:bdr w:val="none" w:sz="0" w:space="0" w:color="auto" w:frame="1"/>
        </w:rPr>
        <w:t xml:space="preserve">. </w:t>
      </w:r>
      <w:r w:rsidR="00E25FDF" w:rsidRPr="6533E49A">
        <w:rPr>
          <w:rStyle w:val="cf01"/>
          <w:rFonts w:asciiTheme="minorHAnsi" w:hAnsiTheme="minorHAnsi" w:cstheme="minorBidi"/>
          <w:sz w:val="22"/>
          <w:szCs w:val="22"/>
        </w:rPr>
        <w:t>Despite this</w:t>
      </w:r>
      <w:r w:rsidR="007F5851">
        <w:rPr>
          <w:rStyle w:val="cf01"/>
          <w:rFonts w:asciiTheme="minorHAnsi" w:hAnsiTheme="minorHAnsi" w:cstheme="minorBidi"/>
          <w:sz w:val="22"/>
          <w:szCs w:val="22"/>
        </w:rPr>
        <w:t>,</w:t>
      </w:r>
      <w:r w:rsidR="00E25FDF" w:rsidRPr="6533E49A">
        <w:rPr>
          <w:rStyle w:val="cf01"/>
          <w:rFonts w:asciiTheme="minorHAnsi" w:hAnsiTheme="minorHAnsi" w:cstheme="minorBidi"/>
          <w:sz w:val="22"/>
          <w:szCs w:val="22"/>
        </w:rPr>
        <w:t xml:space="preserve"> w</w:t>
      </w:r>
      <w:r w:rsidRPr="6533E49A">
        <w:rPr>
          <w:rStyle w:val="cf01"/>
          <w:rFonts w:asciiTheme="minorHAnsi" w:hAnsiTheme="minorHAnsi" w:cstheme="minorBidi"/>
          <w:sz w:val="22"/>
          <w:szCs w:val="22"/>
        </w:rPr>
        <w:t>e saw no evidence of the SFRP preventing gender-based violence and supporting survivors of violence at the community level.</w:t>
      </w:r>
      <w:r w:rsidR="008377E3" w:rsidRPr="6533E49A">
        <w:rPr>
          <w:rStyle w:val="cf01"/>
          <w:rFonts w:asciiTheme="minorHAnsi" w:hAnsiTheme="minorHAnsi" w:cstheme="minorBidi"/>
          <w:sz w:val="22"/>
          <w:szCs w:val="22"/>
        </w:rPr>
        <w:t xml:space="preserve"> There is a need to work collaboratively with Australia’s Justice Services and Stability for Development Program.</w:t>
      </w:r>
      <w:r w:rsidR="007F5851">
        <w:rPr>
          <w:rStyle w:val="cf01"/>
          <w:rFonts w:asciiTheme="minorHAnsi" w:hAnsiTheme="minorHAnsi" w:cstheme="minorBidi"/>
          <w:sz w:val="22"/>
          <w:szCs w:val="22"/>
        </w:rPr>
        <w:t xml:space="preserve"> </w:t>
      </w:r>
      <w:r w:rsidR="007F5851">
        <w:rPr>
          <w:bdr w:val="none" w:sz="0" w:space="0" w:color="auto" w:frame="1"/>
        </w:rPr>
        <w:t xml:space="preserve">There is no institutionalised data base on gender-based violence, a gap </w:t>
      </w:r>
      <w:proofErr w:type="gramStart"/>
      <w:r w:rsidR="007F5851">
        <w:rPr>
          <w:bdr w:val="none" w:sz="0" w:space="0" w:color="auto" w:frame="1"/>
        </w:rPr>
        <w:t>in itself which</w:t>
      </w:r>
      <w:proofErr w:type="gramEnd"/>
      <w:r w:rsidR="007F5851">
        <w:rPr>
          <w:bdr w:val="none" w:sz="0" w:space="0" w:color="auto" w:frame="1"/>
        </w:rPr>
        <w:t xml:space="preserve"> poses risks for survivors.</w:t>
      </w:r>
    </w:p>
    <w:p w14:paraId="7808D0FF" w14:textId="08F916C0" w:rsidR="00E2133C" w:rsidRPr="00E25FDF" w:rsidRDefault="4DAA23EE" w:rsidP="6533E49A">
      <w:pPr>
        <w:rPr>
          <w:rStyle w:val="cf01"/>
          <w:rFonts w:asciiTheme="minorHAnsi" w:hAnsiTheme="minorHAnsi" w:cstheme="minorBidi"/>
          <w:sz w:val="22"/>
          <w:szCs w:val="22"/>
        </w:rPr>
      </w:pPr>
      <w:r w:rsidRPr="4DAA23EE">
        <w:rPr>
          <w:rStyle w:val="cf01"/>
          <w:rFonts w:asciiTheme="minorHAnsi" w:hAnsiTheme="minorHAnsi" w:cstheme="minorBidi"/>
          <w:sz w:val="22"/>
          <w:szCs w:val="22"/>
        </w:rPr>
        <w:t xml:space="preserve">Violence seems to be an impediment for women and girls’ economic empowerment and women in leadership in the SFD. </w:t>
      </w:r>
      <w:r w:rsidRPr="4DAA23EE">
        <w:rPr>
          <w:rFonts w:ascii="Arial" w:eastAsia="Arial" w:hAnsi="Arial" w:cs="Arial"/>
        </w:rPr>
        <w:t xml:space="preserve">Where the SFRP progresses economic activities, in-built protective elements to prevent gender-based violence or support survivors of violence are required. This was requested by women in certain communities. </w:t>
      </w:r>
      <w:r w:rsidRPr="4DAA23EE">
        <w:rPr>
          <w:rStyle w:val="cf01"/>
          <w:rFonts w:asciiTheme="minorHAnsi" w:eastAsia="Arial" w:hAnsiTheme="minorHAnsi" w:cstheme="minorBidi"/>
          <w:sz w:val="22"/>
          <w:szCs w:val="22"/>
        </w:rPr>
        <w:t xml:space="preserve">Shortages of food and water weakens livelihoods and can force people to adopt new survival skills. As this responsibility falls on women, new strategies may be harmful to them. </w:t>
      </w:r>
    </w:p>
    <w:p w14:paraId="3925078A" w14:textId="6C5E25E5" w:rsidR="00DE6CA0" w:rsidRPr="000848C0" w:rsidRDefault="6533E49A" w:rsidP="6533E49A">
      <w:pPr>
        <w:rPr>
          <w:rFonts w:eastAsiaTheme="minorEastAsia" w:cstheme="minorBidi"/>
          <w:color w:val="201F1E"/>
        </w:rPr>
      </w:pPr>
      <w:r w:rsidRPr="6533E49A">
        <w:rPr>
          <w:rStyle w:val="cf01"/>
          <w:rFonts w:asciiTheme="minorHAnsi" w:eastAsia="Arial" w:hAnsiTheme="minorHAnsi" w:cstheme="minorBidi"/>
          <w:sz w:val="22"/>
          <w:szCs w:val="22"/>
        </w:rPr>
        <w:t xml:space="preserve">The SFRP can support partners to strengthen service provision for survivors of violence. </w:t>
      </w:r>
      <w:r>
        <w:t>The referral pathway is incomplete as there are no community run safe houses</w:t>
      </w:r>
      <w:r w:rsidR="00674939">
        <w:t>. T</w:t>
      </w:r>
      <w:r>
        <w:t xml:space="preserve">he referral pathway could be strengthened by the SFRP by working through established institutions, alongside other interventions. One implementing partner has historically been part of the referral pathway. Both INLOC and World Vision apply a ‘zero tolerance’ approach to violence and discipline any staff who perpetrates </w:t>
      </w:r>
      <w:proofErr w:type="gramStart"/>
      <w:r>
        <w:t>violence, and</w:t>
      </w:r>
      <w:proofErr w:type="gramEnd"/>
      <w:r>
        <w:t xml:space="preserve"> provide support for staff who experience violence.</w:t>
      </w:r>
    </w:p>
    <w:p w14:paraId="55A0B026" w14:textId="0CFA24B6" w:rsidR="00DE6CA0" w:rsidRPr="00DE6CA0" w:rsidRDefault="36277179" w:rsidP="36277179">
      <w:pPr>
        <w:rPr>
          <w:rFonts w:eastAsiaTheme="minorEastAsia" w:cstheme="minorBidi"/>
          <w:color w:val="201F1E"/>
        </w:rPr>
      </w:pPr>
      <w:r>
        <w:lastRenderedPageBreak/>
        <w:t xml:space="preserve">Australia provides training to Family and Sexual Violence Action Committees, through the Justice Services and Stability for Development Program. Mentoring and coordination support is also provided to these Committees, including strengthening linkages to other areas of the referral pathway. </w:t>
      </w:r>
      <w:r w:rsidRPr="36277179">
        <w:rPr>
          <w:rFonts w:eastAsiaTheme="minorEastAsia" w:cstheme="minorBidi"/>
          <w:color w:val="201F1E"/>
        </w:rPr>
        <w:t>Church partners (Caritas, United Church, ADRA) are working in partnership with UN Women on capacity building on the Referral pathway. This provides opportunities for partnership with SFRP implementing partners.  These partners are applying the Theology of Gender Equality</w:t>
      </w:r>
      <w:r w:rsidR="00976AE8">
        <w:rPr>
          <w:rFonts w:eastAsiaTheme="minorEastAsia" w:cstheme="minorBidi"/>
          <w:color w:val="201F1E"/>
        </w:rPr>
        <w:t xml:space="preserve"> in their gender equality and social inclusion </w:t>
      </w:r>
      <w:r w:rsidRPr="36277179">
        <w:rPr>
          <w:rFonts w:eastAsiaTheme="minorEastAsia" w:cstheme="minorBidi"/>
          <w:color w:val="201F1E"/>
        </w:rPr>
        <w:t xml:space="preserve">work. An </w:t>
      </w:r>
      <w:r w:rsidR="00674939">
        <w:rPr>
          <w:rFonts w:eastAsiaTheme="minorEastAsia" w:cstheme="minorBidi"/>
          <w:color w:val="201F1E"/>
        </w:rPr>
        <w:t xml:space="preserve">international </w:t>
      </w:r>
      <w:r w:rsidR="005A53C9">
        <w:rPr>
          <w:rFonts w:eastAsiaTheme="minorEastAsia" w:cstheme="minorBidi"/>
          <w:color w:val="201F1E"/>
        </w:rPr>
        <w:t>non-governmental</w:t>
      </w:r>
      <w:r w:rsidR="00674939">
        <w:rPr>
          <w:rFonts w:eastAsiaTheme="minorEastAsia" w:cstheme="minorBidi"/>
          <w:color w:val="201F1E"/>
        </w:rPr>
        <w:t xml:space="preserve"> organisation</w:t>
      </w:r>
      <w:r w:rsidRPr="36277179">
        <w:rPr>
          <w:rFonts w:eastAsiaTheme="minorEastAsia" w:cstheme="minorBidi"/>
          <w:color w:val="201F1E"/>
        </w:rPr>
        <w:t>, FHI360</w:t>
      </w:r>
      <w:r w:rsidR="00674939">
        <w:rPr>
          <w:rFonts w:eastAsiaTheme="minorEastAsia" w:cstheme="minorBidi"/>
          <w:color w:val="201F1E"/>
        </w:rPr>
        <w:t>,</w:t>
      </w:r>
      <w:r w:rsidRPr="36277179">
        <w:rPr>
          <w:rFonts w:eastAsiaTheme="minorEastAsia" w:cstheme="minorBidi"/>
          <w:color w:val="201F1E"/>
        </w:rPr>
        <w:t xml:space="preserve"> is also supporting the Family and Sexual Violence Action Committee with training on the referral pathway and data collection. </w:t>
      </w:r>
    </w:p>
    <w:p w14:paraId="3FBECC70" w14:textId="54BC7BC9" w:rsidR="00F640D8" w:rsidRPr="00DC7C6B" w:rsidRDefault="0717EB4E" w:rsidP="0717EB4E">
      <w:pPr>
        <w:pStyle w:val="Heading2"/>
        <w:rPr>
          <w:rStyle w:val="cf01"/>
          <w:rFonts w:ascii="Arial" w:eastAsia="Arial" w:hAnsi="Arial" w:cs="Arial"/>
          <w:sz w:val="22"/>
          <w:szCs w:val="22"/>
        </w:rPr>
      </w:pPr>
      <w:bookmarkStart w:id="38" w:name="_Toc108260006"/>
      <w:r w:rsidRPr="0717EB4E">
        <w:rPr>
          <w:rStyle w:val="cf01"/>
          <w:rFonts w:ascii="Poppins" w:hAnsi="Poppins" w:cs="Poppins"/>
          <w:sz w:val="32"/>
          <w:szCs w:val="32"/>
        </w:rPr>
        <w:t>6.3 Has sufficient effort/resourcing been made?</w:t>
      </w:r>
      <w:bookmarkEnd w:id="38"/>
    </w:p>
    <w:p w14:paraId="4487C201" w14:textId="40639596" w:rsidR="00F640D8" w:rsidRPr="00DC7C6B" w:rsidRDefault="399A8FDA" w:rsidP="399A8FDA">
      <w:pPr>
        <w:rPr>
          <w:rStyle w:val="cf01"/>
          <w:rFonts w:ascii="Arial" w:eastAsia="Arial" w:hAnsi="Arial" w:cs="Arial"/>
          <w:b/>
          <w:bCs/>
          <w:sz w:val="22"/>
          <w:szCs w:val="22"/>
        </w:rPr>
      </w:pPr>
      <w:r w:rsidRPr="399A8FDA">
        <w:rPr>
          <w:rStyle w:val="cf01"/>
          <w:rFonts w:ascii="Arial" w:eastAsia="Arial" w:hAnsi="Arial" w:cs="Arial"/>
          <w:sz w:val="22"/>
          <w:szCs w:val="22"/>
        </w:rPr>
        <w:t xml:space="preserve">While there has been some progress across two of the </w:t>
      </w:r>
      <w:r w:rsidR="005A53C9">
        <w:rPr>
          <w:rStyle w:val="cf01"/>
          <w:rFonts w:ascii="Arial" w:eastAsia="Arial" w:hAnsi="Arial" w:cs="Arial"/>
          <w:sz w:val="22"/>
          <w:szCs w:val="22"/>
        </w:rPr>
        <w:t>pi</w:t>
      </w:r>
      <w:r w:rsidR="006E7FA0">
        <w:rPr>
          <w:rStyle w:val="cf01"/>
          <w:rFonts w:ascii="Arial" w:eastAsia="Arial" w:hAnsi="Arial" w:cs="Arial"/>
          <w:sz w:val="22"/>
          <w:szCs w:val="22"/>
        </w:rPr>
        <w:t>l</w:t>
      </w:r>
      <w:r w:rsidR="005A53C9">
        <w:rPr>
          <w:rStyle w:val="cf01"/>
          <w:rFonts w:ascii="Arial" w:eastAsia="Arial" w:hAnsi="Arial" w:cs="Arial"/>
          <w:sz w:val="22"/>
          <w:szCs w:val="22"/>
        </w:rPr>
        <w:t>lars</w:t>
      </w:r>
      <w:r w:rsidRPr="399A8FDA">
        <w:rPr>
          <w:rStyle w:val="cf01"/>
          <w:rFonts w:ascii="Arial" w:eastAsia="Arial" w:hAnsi="Arial" w:cs="Arial"/>
          <w:sz w:val="22"/>
          <w:szCs w:val="22"/>
        </w:rPr>
        <w:t xml:space="preserve"> of the GEWES, the SFRP has no outcomes related solely to women or people with disability. Only one intermediate outcome relates to men and women (Intermediate Outcome 2.3: Access to local buyers)</w:t>
      </w:r>
      <w:r w:rsidRPr="399A8FDA">
        <w:rPr>
          <w:rStyle w:val="cf01"/>
          <w:rFonts w:ascii="Arial" w:eastAsia="Arial" w:hAnsi="Arial" w:cs="Arial"/>
          <w:b/>
          <w:bCs/>
          <w:sz w:val="22"/>
          <w:szCs w:val="22"/>
        </w:rPr>
        <w:t xml:space="preserve">. </w:t>
      </w:r>
      <w:r w:rsidRPr="399A8FDA">
        <w:rPr>
          <w:rStyle w:val="cf01"/>
          <w:rFonts w:ascii="Arial" w:eastAsia="Arial" w:hAnsi="Arial" w:cs="Arial"/>
          <w:sz w:val="22"/>
          <w:szCs w:val="22"/>
        </w:rPr>
        <w:t>Women are however included in five (of 11) output indicators in FLAG. The MEF for WASH is almost silent on gender; this only assumes that women and vulnerable groups are accurately targeted. These shortcomings in the formulation of the SFRP and the MEF should be addressed, and more effort be directed towards collecting gender and disability disaggregated data. More attention can also be given to conducting gender analyses, which can inform</w:t>
      </w:r>
      <w:r w:rsidR="00A220A6">
        <w:rPr>
          <w:rStyle w:val="cf01"/>
          <w:rFonts w:ascii="Arial" w:eastAsia="Arial" w:hAnsi="Arial" w:cs="Arial"/>
          <w:sz w:val="22"/>
          <w:szCs w:val="22"/>
        </w:rPr>
        <w:t xml:space="preserve"> current and</w:t>
      </w:r>
      <w:r w:rsidRPr="399A8FDA">
        <w:rPr>
          <w:rStyle w:val="cf01"/>
          <w:rFonts w:ascii="Arial" w:eastAsia="Arial" w:hAnsi="Arial" w:cs="Arial"/>
          <w:sz w:val="22"/>
          <w:szCs w:val="22"/>
        </w:rPr>
        <w:t xml:space="preserve"> future programming. This analysis can also inform the redesign of the MEF.  </w:t>
      </w:r>
    </w:p>
    <w:p w14:paraId="6BC26D4F" w14:textId="0EFF71A0" w:rsidR="00A84A91" w:rsidRDefault="0717EB4E" w:rsidP="000848C0">
      <w:r>
        <w:t>Where partner organisations are unable to support gender-based violence programmatically, the trainings on DFAT’s Child Protection Policy and Preventing Sexual Exploitation and Harassment should be delivered. While this is included one of the component’s risk registries, Rangers stated that they have not been made aware of these policies.</w:t>
      </w:r>
    </w:p>
    <w:p w14:paraId="195BB3FC" w14:textId="68C051F6" w:rsidR="000848C0" w:rsidRDefault="7BB196EC" w:rsidP="000848C0">
      <w:r>
        <w:t>The needs of people with disability have not been addressed sufficiently to date, across components. Women with disability are further disadvantaged in communities</w:t>
      </w:r>
      <w:r w:rsidR="00F474EA">
        <w:t>,</w:t>
      </w:r>
      <w:r>
        <w:t xml:space="preserve"> if their needs are not assessed, </w:t>
      </w:r>
      <w:proofErr w:type="gramStart"/>
      <w:r>
        <w:t>addressed</w:t>
      </w:r>
      <w:proofErr w:type="gramEnd"/>
      <w:r>
        <w:t xml:space="preserve"> or met. In communities visited, people with hearing and vision impairments, and physical and unseen disabilities, made their way to meetings and did not participate. While we engaged with men and women separately, on reflection a more inclusive approach would have yielded further insight. It will be useful for the Rangers to conduct a stocktake of the incidence of disability, to support future programming. </w:t>
      </w:r>
    </w:p>
    <w:p w14:paraId="7D3E1F0A" w14:textId="77777777" w:rsidR="00C316E4" w:rsidRDefault="00C316E4" w:rsidP="00C316E4">
      <w:pPr>
        <w:pBdr>
          <w:top w:val="single" w:sz="36" w:space="1" w:color="45A7E1" w:themeColor="accent1"/>
          <w:left w:val="single" w:sz="36" w:space="4" w:color="45A7E1" w:themeColor="accent1"/>
          <w:bottom w:val="single" w:sz="36" w:space="1" w:color="45A7E1" w:themeColor="accent1"/>
          <w:right w:val="single" w:sz="36" w:space="4" w:color="45A7E1" w:themeColor="accent1"/>
        </w:pBdr>
      </w:pPr>
      <w:r w:rsidRPr="36277179">
        <w:rPr>
          <w:rFonts w:ascii="Arial" w:eastAsia="Arial" w:hAnsi="Arial" w:cs="Arial"/>
          <w:b/>
          <w:bCs/>
        </w:rPr>
        <w:t xml:space="preserve">Recommendation 7: </w:t>
      </w:r>
      <w:r>
        <w:rPr>
          <w:rFonts w:ascii="Arial" w:eastAsia="Arial" w:hAnsi="Arial" w:cs="Arial"/>
        </w:rPr>
        <w:t>Resource a</w:t>
      </w:r>
      <w:r w:rsidRPr="36277179">
        <w:rPr>
          <w:rFonts w:ascii="Arial" w:eastAsia="Arial" w:hAnsi="Arial" w:cs="Arial"/>
        </w:rPr>
        <w:t xml:space="preserve"> </w:t>
      </w:r>
      <w:r>
        <w:rPr>
          <w:rFonts w:ascii="Arial" w:eastAsia="Arial" w:hAnsi="Arial" w:cs="Arial"/>
        </w:rPr>
        <w:t xml:space="preserve">gender equality and social inclusion function within the </w:t>
      </w:r>
      <w:proofErr w:type="gramStart"/>
      <w:r>
        <w:rPr>
          <w:rFonts w:ascii="Arial" w:eastAsia="Arial" w:hAnsi="Arial" w:cs="Arial"/>
        </w:rPr>
        <w:t>SFRP, and</w:t>
      </w:r>
      <w:proofErr w:type="gramEnd"/>
      <w:r w:rsidRPr="36277179">
        <w:rPr>
          <w:rFonts w:ascii="Arial" w:eastAsia="Arial" w:hAnsi="Arial" w:cs="Arial"/>
        </w:rPr>
        <w:t xml:space="preserve"> conduct a gender analysis</w:t>
      </w:r>
      <w:r>
        <w:rPr>
          <w:rFonts w:ascii="Arial" w:eastAsia="Arial" w:hAnsi="Arial" w:cs="Arial"/>
        </w:rPr>
        <w:t xml:space="preserve"> and a disability analysis</w:t>
      </w:r>
      <w:r w:rsidRPr="36277179">
        <w:rPr>
          <w:rFonts w:ascii="Arial" w:eastAsia="Arial" w:hAnsi="Arial" w:cs="Arial"/>
        </w:rPr>
        <w:t xml:space="preserve"> to inform </w:t>
      </w:r>
      <w:r>
        <w:rPr>
          <w:rFonts w:ascii="Arial" w:eastAsia="Arial" w:hAnsi="Arial" w:cs="Arial"/>
        </w:rPr>
        <w:t xml:space="preserve">current and </w:t>
      </w:r>
      <w:r w:rsidRPr="36277179">
        <w:rPr>
          <w:rFonts w:ascii="Arial" w:eastAsia="Arial" w:hAnsi="Arial" w:cs="Arial"/>
        </w:rPr>
        <w:t>future programming in Western Province</w:t>
      </w:r>
      <w:r>
        <w:rPr>
          <w:rFonts w:ascii="Arial" w:eastAsia="Arial" w:hAnsi="Arial" w:cs="Arial"/>
        </w:rPr>
        <w:t>.</w:t>
      </w:r>
    </w:p>
    <w:p w14:paraId="60C42E8A" w14:textId="7C60BB70" w:rsidR="000848C0" w:rsidRPr="000848C0" w:rsidRDefault="00A84A91" w:rsidP="00802049">
      <w:pPr>
        <w:sectPr w:rsidR="000848C0" w:rsidRPr="000848C0" w:rsidSect="00C316E4">
          <w:pgSz w:w="11905" w:h="17337"/>
          <w:pgMar w:top="1917" w:right="1297" w:bottom="993" w:left="1417" w:header="709" w:footer="418" w:gutter="0"/>
          <w:pgNumType w:start="1"/>
          <w:cols w:space="720"/>
          <w:noEndnote/>
        </w:sectPr>
      </w:pPr>
      <w:r>
        <w:t>A gender specialist</w:t>
      </w:r>
      <w:r w:rsidR="00674939">
        <w:t xml:space="preserve"> can</w:t>
      </w:r>
      <w:r w:rsidR="36277179">
        <w:t xml:space="preserve"> lead a gender analysis o</w:t>
      </w:r>
      <w:r w:rsidR="00674939">
        <w:t>f</w:t>
      </w:r>
      <w:r w:rsidR="36277179">
        <w:t xml:space="preserve"> the </w:t>
      </w:r>
      <w:r>
        <w:t>South Fly District. This can inform</w:t>
      </w:r>
      <w:r w:rsidR="00674939">
        <w:t xml:space="preserve"> </w:t>
      </w:r>
      <w:r>
        <w:t>current and future</w:t>
      </w:r>
      <w:r w:rsidR="00F474EA">
        <w:t xml:space="preserve"> programming</w:t>
      </w:r>
      <w:r>
        <w:t>, including the Western Province Partnership</w:t>
      </w:r>
      <w:r w:rsidR="00674939">
        <w:t xml:space="preserve">. </w:t>
      </w:r>
      <w:r w:rsidR="36277179">
        <w:t xml:space="preserve"> DFAT applies a twin-track approach to achieve gender equality. The first track requires action to address gender inequalities where they are particularly challenging or where progress is slow. The second track requires integrating gender equality across all areas and sectors. This approach establishes a target that at least 80 per cent of investments, regardless of their objectives, will effectively address gender issues in implementation.</w:t>
      </w:r>
    </w:p>
    <w:p w14:paraId="1E274C36" w14:textId="790529A1" w:rsidR="009B6F4E" w:rsidRDefault="670C0377" w:rsidP="00E25FDF">
      <w:pPr>
        <w:pStyle w:val="Heading1"/>
        <w:spacing w:after="100" w:line="191" w:lineRule="atLeast"/>
        <w:jc w:val="left"/>
        <w:rPr>
          <w:b w:val="0"/>
          <w:bCs/>
          <w:lang w:val="en-US" w:eastAsia="en-US"/>
        </w:rPr>
      </w:pPr>
      <w:bookmarkStart w:id="39" w:name="_Toc108260007"/>
      <w:r>
        <w:lastRenderedPageBreak/>
        <w:t>7. Concluding remarks</w:t>
      </w:r>
      <w:bookmarkEnd w:id="39"/>
    </w:p>
    <w:p w14:paraId="2405988C" w14:textId="52ECACD7" w:rsidR="005751A6" w:rsidRDefault="005751A6" w:rsidP="005751A6">
      <w:r w:rsidRPr="007374F1">
        <w:t>Stakeholders welcomed the independent review</w:t>
      </w:r>
      <w:r>
        <w:t>, and there is intent</w:t>
      </w:r>
      <w:r w:rsidRPr="007374F1">
        <w:t xml:space="preserve"> to learn. </w:t>
      </w:r>
      <w:r w:rsidR="00ED57DD">
        <w:t xml:space="preserve">Emerging lessons </w:t>
      </w:r>
      <w:r w:rsidR="00D11ED0">
        <w:t>are</w:t>
      </w:r>
      <w:r>
        <w:t xml:space="preserve"> relevant to i) programming in rural communities in Papua New Guinea, ii) responding to crises and iii) aid delivery models. </w:t>
      </w:r>
    </w:p>
    <w:p w14:paraId="79148A2B" w14:textId="68402E18" w:rsidR="005751A6" w:rsidRDefault="00EC29C0" w:rsidP="670C0377">
      <w:r>
        <w:t>The</w:t>
      </w:r>
      <w:r w:rsidR="00D11ED0">
        <w:t xml:space="preserve"> SFRP is ambitious in its intent to improve food and water security in such a short period of time. Meanwhile the </w:t>
      </w:r>
      <w:r>
        <w:t>South Fly District is an expensive and risky place to implement a development program</w:t>
      </w:r>
      <w:r w:rsidR="00D11ED0">
        <w:t xml:space="preserve">. </w:t>
      </w:r>
      <w:r>
        <w:t>Despite this, the SFRP is making</w:t>
      </w:r>
      <w:r w:rsidR="005751A6" w:rsidRPr="007374F1">
        <w:t xml:space="preserve"> </w:t>
      </w:r>
      <w:r w:rsidR="00D11ED0">
        <w:t xml:space="preserve">progress </w:t>
      </w:r>
      <w:r w:rsidR="005751A6" w:rsidRPr="007374F1">
        <w:t xml:space="preserve">towards increasing food and water </w:t>
      </w:r>
      <w:r>
        <w:t>security</w:t>
      </w:r>
      <w:r w:rsidR="001E7158">
        <w:t xml:space="preserve">. </w:t>
      </w:r>
      <w:r w:rsidR="00BE3E21">
        <w:t>The recommendations</w:t>
      </w:r>
      <w:r w:rsidR="00EF72CF">
        <w:t>,</w:t>
      </w:r>
      <w:r w:rsidR="00BE3E21">
        <w:t xml:space="preserve"> presented </w:t>
      </w:r>
      <w:r w:rsidR="002E015D">
        <w:t>here</w:t>
      </w:r>
      <w:r w:rsidR="00CE47AD">
        <w:t>under</w:t>
      </w:r>
      <w:r w:rsidR="00EF72CF">
        <w:t>,</w:t>
      </w:r>
      <w:r w:rsidR="00BE3E21">
        <w:t xml:space="preserve"> </w:t>
      </w:r>
      <w:r w:rsidR="00336611">
        <w:t>aim to</w:t>
      </w:r>
      <w:r w:rsidR="00CE47AD">
        <w:t xml:space="preserve"> further the achievement of the SFRP’s objectives</w:t>
      </w:r>
      <w:r w:rsidR="002E015D">
        <w:t>.</w:t>
      </w:r>
    </w:p>
    <w:p w14:paraId="339065F6" w14:textId="0768D55C" w:rsidR="005751A6" w:rsidRPr="005751A6" w:rsidRDefault="00184641" w:rsidP="00A220A6">
      <w:pPr>
        <w:pStyle w:val="Heading2"/>
      </w:pPr>
      <w:bookmarkStart w:id="40" w:name="_Toc108260008"/>
      <w:r>
        <w:t>7.1 Consolidated recommendations</w:t>
      </w:r>
      <w:bookmarkEnd w:id="40"/>
    </w:p>
    <w:p w14:paraId="4C3CD535" w14:textId="77777777" w:rsidR="00A220A6" w:rsidRDefault="00A220A6" w:rsidP="005E15E5">
      <w:pPr>
        <w:pStyle w:val="ListParagraph"/>
        <w:numPr>
          <w:ilvl w:val="0"/>
          <w:numId w:val="45"/>
        </w:numPr>
      </w:pPr>
      <w:r>
        <w:t>Implementing partners and DFAT should</w:t>
      </w:r>
      <w:r w:rsidRPr="007374F1">
        <w:t xml:space="preserve"> </w:t>
      </w:r>
      <w:r>
        <w:t>consider how best to improve</w:t>
      </w:r>
      <w:r w:rsidRPr="007374F1">
        <w:t xml:space="preserve"> </w:t>
      </w:r>
      <w:r>
        <w:t>engagement with, and reporting to, District authorities and communities</w:t>
      </w:r>
      <w:r w:rsidRPr="007374F1">
        <w:t xml:space="preserve">, while furthering the practice of adaptive management </w:t>
      </w:r>
      <w:r>
        <w:t>for gains in</w:t>
      </w:r>
      <w:r w:rsidRPr="007374F1">
        <w:t xml:space="preserve"> efficiency and effectiveness.</w:t>
      </w:r>
      <w:r>
        <w:t xml:space="preserve"> </w:t>
      </w:r>
    </w:p>
    <w:p w14:paraId="54CC2B7E" w14:textId="77777777" w:rsidR="00A220A6" w:rsidRDefault="00A220A6" w:rsidP="005E15E5">
      <w:pPr>
        <w:pStyle w:val="ListParagraph"/>
        <w:numPr>
          <w:ilvl w:val="0"/>
          <w:numId w:val="45"/>
        </w:numPr>
      </w:pPr>
      <w:r>
        <w:t xml:space="preserve">Should the ambitions of the plan remain, an increase in resourcing is justified. This should be directed, largely, to i) the implementation of activities in food, </w:t>
      </w:r>
      <w:proofErr w:type="gramStart"/>
      <w:r>
        <w:t>livelihoods</w:t>
      </w:r>
      <w:proofErr w:type="gramEnd"/>
      <w:r>
        <w:t xml:space="preserve"> and governance, ii) the Australia Papua New Guinea sub–National Program’s administration and engagement function in Daru iii) a bolstered monitoring and quality assurance function and iv) activities to contribute to or progress gender equality.</w:t>
      </w:r>
    </w:p>
    <w:p w14:paraId="37AD676D" w14:textId="77777777" w:rsidR="00A220A6" w:rsidRDefault="00A220A6" w:rsidP="005E15E5">
      <w:pPr>
        <w:pStyle w:val="ListParagraph"/>
        <w:numPr>
          <w:ilvl w:val="0"/>
          <w:numId w:val="45"/>
        </w:numPr>
      </w:pPr>
      <w:r>
        <w:t xml:space="preserve">The Rangers should be more actively engaged in agricultural extension services and water, </w:t>
      </w:r>
      <w:proofErr w:type="gramStart"/>
      <w:r>
        <w:t>sanitation</w:t>
      </w:r>
      <w:proofErr w:type="gramEnd"/>
      <w:r>
        <w:t xml:space="preserve"> and hygiene infrastructure delivery, in the short term. Value will also be found in INLOC recruiting Papua New Guinean male and female advisers.    </w:t>
      </w:r>
    </w:p>
    <w:p w14:paraId="12659498" w14:textId="77777777" w:rsidR="00A220A6" w:rsidRDefault="00A220A6" w:rsidP="005E15E5">
      <w:pPr>
        <w:pStyle w:val="ListParagraph"/>
        <w:numPr>
          <w:ilvl w:val="0"/>
          <w:numId w:val="45"/>
        </w:numPr>
      </w:pPr>
      <w:r>
        <w:t xml:space="preserve">Continue to strengthen existing coordination mechanisms. Meanwhile, facilitate, with District authorities, the establishment of a partner coordination platform, meeting at least biannually, comprising, among others, of the Sustainable Development Program, Ok </w:t>
      </w:r>
      <w:proofErr w:type="spellStart"/>
      <w:r>
        <w:t>Tedi</w:t>
      </w:r>
      <w:proofErr w:type="spellEnd"/>
      <w:r>
        <w:t xml:space="preserve"> Development Foundation, faith groups and implementers of Australian funded development initiatives.</w:t>
      </w:r>
    </w:p>
    <w:p w14:paraId="5E025672" w14:textId="77777777" w:rsidR="00A220A6" w:rsidRDefault="00A220A6" w:rsidP="005E15E5">
      <w:pPr>
        <w:pStyle w:val="ListParagraph"/>
        <w:numPr>
          <w:ilvl w:val="0"/>
          <w:numId w:val="45"/>
        </w:numPr>
      </w:pPr>
      <w:r>
        <w:t>Identify pathways to sustainability for identified outputs, that leverages and improves the position and capabilities of different levels of Government, the private sector and civil society.</w:t>
      </w:r>
    </w:p>
    <w:p w14:paraId="1ABB3B58" w14:textId="77777777" w:rsidR="00A220A6" w:rsidRDefault="00A220A6" w:rsidP="005E15E5">
      <w:pPr>
        <w:pStyle w:val="ListParagraph"/>
        <w:numPr>
          <w:ilvl w:val="0"/>
          <w:numId w:val="45"/>
        </w:numPr>
      </w:pPr>
      <w:r>
        <w:t>Increase emphasis on facilitating gender equality</w:t>
      </w:r>
      <w:r w:rsidRPr="0717EB4E">
        <w:rPr>
          <w:b/>
          <w:bCs/>
        </w:rPr>
        <w:t xml:space="preserve"> </w:t>
      </w:r>
      <w:r>
        <w:t>through enhancing i) women’s access to training opportunities and decision-making forums, ii) increasing consultation with women’s groups to determine acceptable economic enhancement activities and iii) strengthen women’s access to family sexual violence services and referral pathways.</w:t>
      </w:r>
    </w:p>
    <w:p w14:paraId="1BE04FF9" w14:textId="31F91B2E" w:rsidR="00A220A6" w:rsidRDefault="00A220A6" w:rsidP="005E15E5">
      <w:pPr>
        <w:pStyle w:val="ListParagraph"/>
        <w:numPr>
          <w:ilvl w:val="0"/>
          <w:numId w:val="45"/>
        </w:numPr>
      </w:pPr>
      <w:r>
        <w:rPr>
          <w:rFonts w:ascii="Arial" w:eastAsia="Arial" w:hAnsi="Arial" w:cs="Arial"/>
        </w:rPr>
        <w:t>Resource a</w:t>
      </w:r>
      <w:r w:rsidRPr="36277179">
        <w:rPr>
          <w:rFonts w:ascii="Arial" w:eastAsia="Arial" w:hAnsi="Arial" w:cs="Arial"/>
        </w:rPr>
        <w:t xml:space="preserve"> </w:t>
      </w:r>
      <w:r>
        <w:rPr>
          <w:rFonts w:ascii="Arial" w:eastAsia="Arial" w:hAnsi="Arial" w:cs="Arial"/>
        </w:rPr>
        <w:t xml:space="preserve">gender equality and social inclusion </w:t>
      </w:r>
      <w:r w:rsidR="0000490F">
        <w:rPr>
          <w:rFonts w:ascii="Arial" w:eastAsia="Arial" w:hAnsi="Arial" w:cs="Arial"/>
        </w:rPr>
        <w:t>function</w:t>
      </w:r>
      <w:r>
        <w:rPr>
          <w:rFonts w:ascii="Arial" w:eastAsia="Arial" w:hAnsi="Arial" w:cs="Arial"/>
        </w:rPr>
        <w:t xml:space="preserve"> within the </w:t>
      </w:r>
      <w:proofErr w:type="gramStart"/>
      <w:r>
        <w:rPr>
          <w:rFonts w:ascii="Arial" w:eastAsia="Arial" w:hAnsi="Arial" w:cs="Arial"/>
        </w:rPr>
        <w:t>SFRP, and</w:t>
      </w:r>
      <w:proofErr w:type="gramEnd"/>
      <w:r w:rsidRPr="36277179">
        <w:rPr>
          <w:rFonts w:ascii="Arial" w:eastAsia="Arial" w:hAnsi="Arial" w:cs="Arial"/>
        </w:rPr>
        <w:t xml:space="preserve"> conduct a gender analysis</w:t>
      </w:r>
      <w:r>
        <w:rPr>
          <w:rFonts w:ascii="Arial" w:eastAsia="Arial" w:hAnsi="Arial" w:cs="Arial"/>
        </w:rPr>
        <w:t xml:space="preserve"> and a disability analysis</w:t>
      </w:r>
      <w:r w:rsidRPr="36277179">
        <w:rPr>
          <w:rFonts w:ascii="Arial" w:eastAsia="Arial" w:hAnsi="Arial" w:cs="Arial"/>
        </w:rPr>
        <w:t xml:space="preserve"> to inform </w:t>
      </w:r>
      <w:r>
        <w:rPr>
          <w:rFonts w:ascii="Arial" w:eastAsia="Arial" w:hAnsi="Arial" w:cs="Arial"/>
        </w:rPr>
        <w:t xml:space="preserve">current and </w:t>
      </w:r>
      <w:r w:rsidRPr="36277179">
        <w:rPr>
          <w:rFonts w:ascii="Arial" w:eastAsia="Arial" w:hAnsi="Arial" w:cs="Arial"/>
        </w:rPr>
        <w:t>future programming in Western Province.</w:t>
      </w:r>
    </w:p>
    <w:p w14:paraId="67E4F416" w14:textId="211040D0" w:rsidR="006951A8" w:rsidRDefault="006951A8" w:rsidP="00986A3A">
      <w:pPr>
        <w:pStyle w:val="Caption"/>
        <w:sectPr w:rsidR="006951A8" w:rsidSect="00C316E4">
          <w:type w:val="continuous"/>
          <w:pgSz w:w="11900" w:h="16840" w:code="9"/>
          <w:pgMar w:top="1440" w:right="1440" w:bottom="1440" w:left="1440" w:header="709" w:footer="709" w:gutter="0"/>
          <w:cols w:space="708"/>
          <w:titlePg/>
          <w:docGrid w:linePitch="360"/>
        </w:sectPr>
      </w:pPr>
    </w:p>
    <w:p w14:paraId="3C272C31" w14:textId="77777777" w:rsidR="00A2087D" w:rsidRDefault="006951A8" w:rsidP="00A2087D">
      <w:pPr>
        <w:pStyle w:val="Heading1"/>
        <w:rPr>
          <w:lang w:val="en-AU"/>
        </w:rPr>
      </w:pPr>
      <w:bookmarkStart w:id="41" w:name="_Toc108260009"/>
      <w:r>
        <w:lastRenderedPageBreak/>
        <w:t xml:space="preserve">Annex 1: </w:t>
      </w:r>
      <w:r w:rsidR="00A2087D">
        <w:t>Review of the South Fly Resilience Plan – Terms of Reference</w:t>
      </w:r>
      <w:bookmarkEnd w:id="41"/>
    </w:p>
    <w:p w14:paraId="2872755E" w14:textId="73C3DDF6" w:rsidR="00A2087D" w:rsidRDefault="00A2087D" w:rsidP="00A2087D">
      <w:pPr>
        <w:pStyle w:val="FigureImageTablehead"/>
        <w:rPr>
          <w:lang w:val="en-AU"/>
        </w:rPr>
      </w:pPr>
      <w:r>
        <w:rPr>
          <w:lang w:val="en-AU"/>
        </w:rPr>
        <w:t xml:space="preserve">Introduction </w:t>
      </w:r>
    </w:p>
    <w:p w14:paraId="4A0D6646" w14:textId="322E3591" w:rsidR="00A2087D" w:rsidRPr="00A331C7" w:rsidRDefault="00A2087D" w:rsidP="00F027CF">
      <w:pPr>
        <w:pStyle w:val="BodyText"/>
      </w:pPr>
      <w:r w:rsidRPr="00A331C7">
        <w:t xml:space="preserve">The governments of Papua New Guinea (PNG) and Australia are progressing a new </w:t>
      </w:r>
      <w:r w:rsidRPr="00A331C7">
        <w:rPr>
          <w:iCs/>
        </w:rPr>
        <w:t>Comprehensive Strategic and Economic Partnership</w:t>
      </w:r>
      <w:r w:rsidRPr="00A331C7">
        <w:t xml:space="preserve"> (CSEP) to shape the future bilateral relationship. The Australian government is seeking to deepen its engagement in key regions of the country through the lens of ‘place’ rather than sector-based approach. The development of the CSEP provides an opportunity to deepen engagement and coordination in mutually agreed priority regions and economic corridors. The idea of economic corridors was first described in the PNG’s Government’s Strategic Development Plan 2010-2030, reaffirmed in its Mid-Term Development Plan III (2018-2022), and then recently captured in Prime Minister </w:t>
      </w:r>
      <w:proofErr w:type="spellStart"/>
      <w:r w:rsidRPr="00A331C7">
        <w:t>Marape’s</w:t>
      </w:r>
      <w:proofErr w:type="spellEnd"/>
      <w:r w:rsidRPr="00A331C7">
        <w:t xml:space="preserve"> 2019 Manifesto. </w:t>
      </w:r>
    </w:p>
    <w:p w14:paraId="7F195E12" w14:textId="77777777" w:rsidR="00A2087D" w:rsidRPr="00A331C7" w:rsidRDefault="00A2087D" w:rsidP="00F027CF">
      <w:pPr>
        <w:pStyle w:val="BodyText"/>
      </w:pPr>
      <w:r w:rsidRPr="00A331C7">
        <w:t xml:space="preserve">PNG’s COVID-19 response has focused strongly on its international border control, including within Western Province. This has highlighted the importance of this region, particularly the South Fly District and its border with Indonesia and Australia’s Torres Strait.  The Australian Government’s new Partnerships for Recovery: Development Strategy for COVID-19 brings a whole-of-government approach to health security, </w:t>
      </w:r>
      <w:proofErr w:type="gramStart"/>
      <w:r w:rsidRPr="00A331C7">
        <w:t>stability</w:t>
      </w:r>
      <w:proofErr w:type="gramEnd"/>
      <w:r w:rsidRPr="00A331C7">
        <w:t xml:space="preserve"> and economic recovery.  It provides a strong policy platform to reshape Australia’s approach and engagement in Western Province. The South Fly Resilience Plan (SFRP) is a key component of Australia’s investment in the region and presents opportunities for learning to inform the design of the Western Province place-based approach, linked in with the broader Sub-national Program design.</w:t>
      </w:r>
    </w:p>
    <w:p w14:paraId="0B3AE628" w14:textId="77777777" w:rsidR="00A2087D" w:rsidRPr="00A331C7" w:rsidRDefault="00A2087D" w:rsidP="00F027CF">
      <w:pPr>
        <w:pStyle w:val="BodyText"/>
        <w:rPr>
          <w:rFonts w:cstheme="minorHAnsi"/>
          <w:szCs w:val="20"/>
        </w:rPr>
      </w:pPr>
      <w:r w:rsidRPr="00A331C7">
        <w:rPr>
          <w:rFonts w:cstheme="minorHAnsi"/>
          <w:szCs w:val="20"/>
        </w:rPr>
        <w:t xml:space="preserve">The South Fly Resilience Program (SFRP) was developed to meet the challenges of COVID-19 and set out a program of work from January 2021 to June 2024 focusing on support to three strategic components including: </w:t>
      </w:r>
    </w:p>
    <w:p w14:paraId="6D9C4BB1" w14:textId="77777777" w:rsidR="00A2087D" w:rsidRPr="00A331C7" w:rsidRDefault="00A2087D" w:rsidP="00F027CF">
      <w:pPr>
        <w:pStyle w:val="BodyText"/>
        <w:rPr>
          <w:rFonts w:cstheme="minorHAnsi"/>
          <w:szCs w:val="20"/>
        </w:rPr>
      </w:pPr>
      <w:r w:rsidRPr="00A331C7">
        <w:rPr>
          <w:rFonts w:cstheme="minorHAnsi"/>
          <w:szCs w:val="20"/>
        </w:rPr>
        <w:t xml:space="preserve">Water, </w:t>
      </w:r>
      <w:proofErr w:type="gramStart"/>
      <w:r w:rsidRPr="00A331C7">
        <w:rPr>
          <w:rFonts w:cstheme="minorHAnsi"/>
          <w:szCs w:val="20"/>
        </w:rPr>
        <w:t>sanitation</w:t>
      </w:r>
      <w:proofErr w:type="gramEnd"/>
      <w:r w:rsidRPr="00A331C7">
        <w:rPr>
          <w:rFonts w:cstheme="minorHAnsi"/>
          <w:szCs w:val="20"/>
        </w:rPr>
        <w:t xml:space="preserve"> and hygiene (WASH),</w:t>
      </w:r>
    </w:p>
    <w:p w14:paraId="2010CA3A" w14:textId="77777777" w:rsidR="00A2087D" w:rsidRPr="00A331C7" w:rsidRDefault="00A2087D" w:rsidP="00F027CF">
      <w:pPr>
        <w:pStyle w:val="BodyText"/>
        <w:rPr>
          <w:rFonts w:cstheme="minorHAnsi"/>
          <w:szCs w:val="20"/>
        </w:rPr>
      </w:pPr>
      <w:r w:rsidRPr="00A331C7">
        <w:rPr>
          <w:rFonts w:cstheme="minorHAnsi"/>
          <w:szCs w:val="20"/>
        </w:rPr>
        <w:t>food security and livelihoods and</w:t>
      </w:r>
    </w:p>
    <w:p w14:paraId="3F2ACF8A" w14:textId="77777777" w:rsidR="00A2087D" w:rsidRPr="00A331C7" w:rsidRDefault="00A2087D" w:rsidP="00F027CF">
      <w:pPr>
        <w:pStyle w:val="BodyText"/>
        <w:rPr>
          <w:rFonts w:cstheme="minorHAnsi"/>
          <w:szCs w:val="20"/>
        </w:rPr>
      </w:pPr>
      <w:r w:rsidRPr="00A331C7">
        <w:rPr>
          <w:rFonts w:cstheme="minorHAnsi"/>
          <w:szCs w:val="20"/>
        </w:rPr>
        <w:t xml:space="preserve">a transport fuel voucher system to access essential services. </w:t>
      </w:r>
    </w:p>
    <w:p w14:paraId="6868AB03" w14:textId="77777777" w:rsidR="00A2087D" w:rsidRPr="00A331C7" w:rsidRDefault="00A2087D" w:rsidP="00F027CF">
      <w:pPr>
        <w:pStyle w:val="BodyText"/>
        <w:rPr>
          <w:rFonts w:cstheme="minorHAnsi"/>
          <w:szCs w:val="20"/>
        </w:rPr>
      </w:pPr>
      <w:r w:rsidRPr="00A331C7">
        <w:rPr>
          <w:rFonts w:cstheme="minorHAnsi"/>
          <w:szCs w:val="20"/>
        </w:rPr>
        <w:t xml:space="preserve">DFAT have contracted Abt Associates through the PNG-Australia Governance Partnership (PAGP) to manage the implementation of the SFRP. Implementation is executed under a contractual arrangement with implementing partners including World Vision International (components 1 and 3), the Reef and Rainforest Research Centre (RRRC), its sub-contractor Inloc International (component 2), and strategic partnerships with other relevant DFAT investments such as the new PNG-Australia transition to Health Program (component 3). </w:t>
      </w:r>
    </w:p>
    <w:p w14:paraId="12756FAE" w14:textId="77777777" w:rsidR="00A2087D" w:rsidRPr="00A331C7" w:rsidRDefault="00A2087D" w:rsidP="00F027CF">
      <w:pPr>
        <w:pStyle w:val="BodyText"/>
        <w:rPr>
          <w:rFonts w:cstheme="minorHAnsi"/>
          <w:szCs w:val="20"/>
        </w:rPr>
      </w:pPr>
      <w:r w:rsidRPr="00A331C7">
        <w:rPr>
          <w:rFonts w:cstheme="minorHAnsi"/>
          <w:szCs w:val="20"/>
        </w:rPr>
        <w:t xml:space="preserve">The expected outcomes of the SFRP are as follows: </w:t>
      </w:r>
    </w:p>
    <w:p w14:paraId="3E4A14AB" w14:textId="77777777" w:rsidR="00A2087D" w:rsidRPr="00A331C7" w:rsidRDefault="00A2087D" w:rsidP="00F027CF">
      <w:pPr>
        <w:pStyle w:val="BodyText"/>
        <w:numPr>
          <w:ilvl w:val="0"/>
          <w:numId w:val="46"/>
        </w:numPr>
        <w:rPr>
          <w:rFonts w:cstheme="minorHAnsi"/>
          <w:szCs w:val="20"/>
        </w:rPr>
      </w:pPr>
      <w:r w:rsidRPr="00A331C7">
        <w:rPr>
          <w:rFonts w:cstheme="minorHAnsi"/>
          <w:szCs w:val="20"/>
        </w:rPr>
        <w:t xml:space="preserve">Strengthened resilience to water-related disasters in the South Fly District </w:t>
      </w:r>
    </w:p>
    <w:p w14:paraId="3B07AF46" w14:textId="77777777" w:rsidR="00A2087D" w:rsidRPr="00A331C7" w:rsidRDefault="00A2087D" w:rsidP="00F027CF">
      <w:pPr>
        <w:pStyle w:val="BodyText"/>
        <w:numPr>
          <w:ilvl w:val="0"/>
          <w:numId w:val="46"/>
        </w:numPr>
        <w:rPr>
          <w:rFonts w:cstheme="minorHAnsi"/>
          <w:szCs w:val="20"/>
        </w:rPr>
      </w:pPr>
      <w:r w:rsidRPr="00A331C7">
        <w:rPr>
          <w:rFonts w:cstheme="minorHAnsi"/>
          <w:szCs w:val="20"/>
        </w:rPr>
        <w:t>Targeted communities in South Fly have sustainable livelihoods and improved income</w:t>
      </w:r>
    </w:p>
    <w:p w14:paraId="30DBF163" w14:textId="77777777" w:rsidR="00A2087D" w:rsidRPr="00A331C7" w:rsidRDefault="00A2087D" w:rsidP="00F027CF">
      <w:pPr>
        <w:pStyle w:val="BodyText"/>
        <w:numPr>
          <w:ilvl w:val="0"/>
          <w:numId w:val="46"/>
        </w:numPr>
        <w:rPr>
          <w:rFonts w:cstheme="minorHAnsi"/>
          <w:szCs w:val="20"/>
        </w:rPr>
      </w:pPr>
      <w:r w:rsidRPr="00A331C7">
        <w:rPr>
          <w:rFonts w:cstheme="minorHAnsi"/>
          <w:szCs w:val="20"/>
        </w:rPr>
        <w:t xml:space="preserve">Improved access to essential services for emergency patients, </w:t>
      </w:r>
      <w:proofErr w:type="gramStart"/>
      <w:r w:rsidRPr="00A331C7">
        <w:rPr>
          <w:rFonts w:cstheme="minorHAnsi"/>
          <w:szCs w:val="20"/>
        </w:rPr>
        <w:t>mothers</w:t>
      </w:r>
      <w:proofErr w:type="gramEnd"/>
      <w:r w:rsidRPr="00A331C7">
        <w:rPr>
          <w:rFonts w:cstheme="minorHAnsi"/>
          <w:szCs w:val="20"/>
        </w:rPr>
        <w:t xml:space="preserve"> and babies. </w:t>
      </w:r>
    </w:p>
    <w:p w14:paraId="78A128BC" w14:textId="77777777" w:rsidR="00F027CF" w:rsidRDefault="00F027CF" w:rsidP="00A2087D">
      <w:pPr>
        <w:pStyle w:val="FigureImageTablehead"/>
        <w:rPr>
          <w:lang w:val="en-AU"/>
        </w:rPr>
      </w:pPr>
    </w:p>
    <w:p w14:paraId="00C83E75" w14:textId="52EA1129" w:rsidR="00A2087D" w:rsidRPr="003E1D01" w:rsidRDefault="00A2087D" w:rsidP="00A2087D">
      <w:pPr>
        <w:pStyle w:val="FigureImageTablehead"/>
      </w:pPr>
      <w:r>
        <w:rPr>
          <w:lang w:val="en-AU"/>
        </w:rPr>
        <w:lastRenderedPageBreak/>
        <w:t xml:space="preserve">Context of Work </w:t>
      </w:r>
    </w:p>
    <w:p w14:paraId="1D10B9AA" w14:textId="77777777" w:rsidR="00A2087D" w:rsidRPr="00A331C7" w:rsidRDefault="00A2087D" w:rsidP="00F027CF">
      <w:pPr>
        <w:pStyle w:val="BodyText"/>
        <w:rPr>
          <w:lang w:val="en-AU"/>
        </w:rPr>
      </w:pPr>
      <w:r w:rsidRPr="00A331C7">
        <w:rPr>
          <w:lang w:val="en-AU"/>
        </w:rPr>
        <w:t xml:space="preserve">The strategic design framework of the PNG Subnational Design is expected to start in January 2022 and end in March 2026 (with option to extend). A more strongly place-based approach has been accepted as the feature of the Australian support in PNG for the medium term. An enabling facility will allow DFAT to implement place-based programs including existing Bougainville Partnership and Kokoda Initiative Partnership, and for Western Province program. To build on learnings of existing programming, the Australian High Commission has outlined a review of the South Fly Resilience Plan to inform the design of the future Western Province program.  </w:t>
      </w:r>
    </w:p>
    <w:p w14:paraId="25AF7A37" w14:textId="0957FAE6" w:rsidR="00A2087D" w:rsidRPr="003E1D01" w:rsidRDefault="00A2087D" w:rsidP="00A15964">
      <w:pPr>
        <w:pStyle w:val="FigureImageTablehead"/>
        <w:rPr>
          <w:lang w:val="en-AU"/>
        </w:rPr>
      </w:pPr>
      <w:r>
        <w:rPr>
          <w:lang w:val="en-AU"/>
        </w:rPr>
        <w:t xml:space="preserve">Scope of Work and Deliverables </w:t>
      </w:r>
    </w:p>
    <w:p w14:paraId="57F04B96" w14:textId="6803DDD3" w:rsidR="00A2087D" w:rsidRPr="00A331C7" w:rsidRDefault="00A2087D" w:rsidP="00F027CF">
      <w:pPr>
        <w:pStyle w:val="BodyText"/>
      </w:pPr>
      <w:r w:rsidRPr="00A331C7">
        <w:t>In October 2021, QTAG delivered an Analytical Review Paper on opportunities and threats to</w:t>
      </w:r>
      <w:r w:rsidR="00A15964">
        <w:t xml:space="preserve"> </w:t>
      </w:r>
      <w:r w:rsidRPr="00A331C7">
        <w:t xml:space="preserve">continued development efforts in Western Province. This will form key grounding to the following stages of the review process. </w:t>
      </w:r>
    </w:p>
    <w:p w14:paraId="38909325" w14:textId="77777777" w:rsidR="00A2087D" w:rsidRPr="00A331C7" w:rsidRDefault="00A2087D" w:rsidP="00F027CF">
      <w:pPr>
        <w:pStyle w:val="BodyText"/>
      </w:pPr>
      <w:r w:rsidRPr="00A331C7">
        <w:t xml:space="preserve">An independent review of the SFRP will be conducted to gather learnings around activities and outputs after 18 months of implementation. The review will focus on examining whether the underpinning assumptions are holding within the SFRP design </w:t>
      </w:r>
      <w:proofErr w:type="gramStart"/>
      <w:r w:rsidRPr="00A331C7">
        <w:t>in order to</w:t>
      </w:r>
      <w:proofErr w:type="gramEnd"/>
      <w:r w:rsidRPr="00A331C7">
        <w:t xml:space="preserve"> inform the Western Province design. The review will be based on the principles of efficiency, effectiveness, coherence, </w:t>
      </w:r>
      <w:proofErr w:type="gramStart"/>
      <w:r w:rsidRPr="00A331C7">
        <w:t>sustainability</w:t>
      </w:r>
      <w:proofErr w:type="gramEnd"/>
      <w:r w:rsidRPr="00A331C7">
        <w:t xml:space="preserve"> and gender equality. Guiding evaluation questions have been devised to delineate what is in scope for this review and are presented in this ToR. This review will look to build a strong basis for the mid-term evaluation in 2024, whilst taking into consideration the relatively early stage of implementation.  </w:t>
      </w:r>
    </w:p>
    <w:p w14:paraId="1D69C5EA" w14:textId="2AD85A1F" w:rsidR="00A2087D" w:rsidRDefault="00A2087D" w:rsidP="00A15964">
      <w:pPr>
        <w:pStyle w:val="FigureImageTablehead"/>
        <w:rPr>
          <w:lang w:val="en-AU"/>
        </w:rPr>
      </w:pPr>
      <w:r>
        <w:rPr>
          <w:lang w:val="en-AU"/>
        </w:rPr>
        <w:t xml:space="preserve">Timeline </w:t>
      </w:r>
    </w:p>
    <w:tbl>
      <w:tblPr>
        <w:tblStyle w:val="TableGrid"/>
        <w:tblW w:w="9091" w:type="dxa"/>
        <w:tblBorders>
          <w:top w:val="single" w:sz="18" w:space="0" w:color="0A1F50" w:themeColor="text2"/>
          <w:left w:val="single" w:sz="18" w:space="0" w:color="0A1F50" w:themeColor="text2"/>
          <w:bottom w:val="single" w:sz="18" w:space="0" w:color="0A1F50" w:themeColor="text2"/>
          <w:right w:val="single" w:sz="18" w:space="0" w:color="0A1F50" w:themeColor="text2"/>
          <w:insideH w:val="single" w:sz="18" w:space="0" w:color="0A1F50" w:themeColor="text2"/>
          <w:insideV w:val="single" w:sz="18" w:space="0" w:color="0A1F50" w:themeColor="text2"/>
        </w:tblBorders>
        <w:tblLook w:val="04A0" w:firstRow="1" w:lastRow="0" w:firstColumn="1" w:lastColumn="0" w:noHBand="0" w:noVBand="1"/>
      </w:tblPr>
      <w:tblGrid>
        <w:gridCol w:w="1284"/>
        <w:gridCol w:w="5911"/>
        <w:gridCol w:w="1896"/>
      </w:tblGrid>
      <w:tr w:rsidR="00A2087D" w:rsidRPr="00E02FC0" w14:paraId="6E7D8B1D" w14:textId="77777777" w:rsidTr="009A202C">
        <w:trPr>
          <w:trHeight w:val="424"/>
        </w:trPr>
        <w:tc>
          <w:tcPr>
            <w:tcW w:w="1284" w:type="dxa"/>
            <w:shd w:val="clear" w:color="auto" w:fill="0A1F50" w:themeFill="text2"/>
          </w:tcPr>
          <w:p w14:paraId="7DDA62D1" w14:textId="7A3D95CF" w:rsidR="00A2087D" w:rsidRPr="001E7008" w:rsidRDefault="00A2087D" w:rsidP="00C316E4">
            <w:pPr>
              <w:pStyle w:val="Default"/>
              <w:spacing w:before="120" w:after="120"/>
              <w:jc w:val="center"/>
              <w:rPr>
                <w:rFonts w:asciiTheme="minorHAnsi" w:hAnsiTheme="minorHAnsi" w:cstheme="minorHAnsi"/>
                <w:b/>
                <w:bCs/>
                <w:color w:val="FFFFFF" w:themeColor="background1"/>
                <w:sz w:val="22"/>
                <w:szCs w:val="22"/>
              </w:rPr>
            </w:pPr>
            <w:r w:rsidRPr="001E7008">
              <w:rPr>
                <w:rFonts w:asciiTheme="minorHAnsi" w:hAnsiTheme="minorHAnsi" w:cstheme="minorHAnsi"/>
                <w:b/>
                <w:bCs/>
                <w:color w:val="FFFFFF" w:themeColor="background1"/>
                <w:sz w:val="22"/>
                <w:szCs w:val="22"/>
              </w:rPr>
              <w:t>Phase</w:t>
            </w:r>
          </w:p>
        </w:tc>
        <w:tc>
          <w:tcPr>
            <w:tcW w:w="5911" w:type="dxa"/>
            <w:shd w:val="clear" w:color="auto" w:fill="0A1F50" w:themeFill="text2"/>
          </w:tcPr>
          <w:p w14:paraId="3E0DF0B3" w14:textId="77777777" w:rsidR="00A2087D" w:rsidRPr="001E7008" w:rsidRDefault="00A2087D" w:rsidP="00C316E4">
            <w:pPr>
              <w:pStyle w:val="Default"/>
              <w:spacing w:before="120" w:after="120"/>
              <w:jc w:val="center"/>
              <w:rPr>
                <w:rFonts w:asciiTheme="minorHAnsi" w:hAnsiTheme="minorHAnsi" w:cstheme="minorHAnsi"/>
                <w:b/>
                <w:bCs/>
                <w:color w:val="FFFFFF" w:themeColor="background1"/>
                <w:sz w:val="22"/>
                <w:szCs w:val="22"/>
              </w:rPr>
            </w:pPr>
            <w:r w:rsidRPr="001E7008">
              <w:rPr>
                <w:rFonts w:asciiTheme="minorHAnsi" w:hAnsiTheme="minorHAnsi" w:cstheme="minorHAnsi"/>
                <w:b/>
                <w:bCs/>
                <w:color w:val="FFFFFF" w:themeColor="background1"/>
                <w:sz w:val="22"/>
                <w:szCs w:val="22"/>
              </w:rPr>
              <w:t>Tasks</w:t>
            </w:r>
          </w:p>
        </w:tc>
        <w:tc>
          <w:tcPr>
            <w:tcW w:w="1896" w:type="dxa"/>
            <w:shd w:val="clear" w:color="auto" w:fill="0A1F50" w:themeFill="text2"/>
          </w:tcPr>
          <w:p w14:paraId="37D7D7C6" w14:textId="27A920C9" w:rsidR="00A2087D" w:rsidRPr="001E7008" w:rsidRDefault="00A2087D" w:rsidP="00C316E4">
            <w:pPr>
              <w:pStyle w:val="Default"/>
              <w:spacing w:before="120" w:after="120"/>
              <w:jc w:val="center"/>
              <w:rPr>
                <w:rFonts w:asciiTheme="minorHAnsi" w:hAnsiTheme="minorHAnsi" w:cstheme="minorHAnsi"/>
                <w:b/>
                <w:bCs/>
                <w:color w:val="FFFFFF" w:themeColor="background1"/>
                <w:sz w:val="22"/>
                <w:szCs w:val="22"/>
              </w:rPr>
            </w:pPr>
            <w:r w:rsidRPr="001E7008">
              <w:rPr>
                <w:rFonts w:asciiTheme="minorHAnsi" w:hAnsiTheme="minorHAnsi" w:cstheme="minorHAnsi"/>
                <w:b/>
                <w:bCs/>
                <w:color w:val="FFFFFF" w:themeColor="background1"/>
                <w:sz w:val="22"/>
                <w:szCs w:val="22"/>
              </w:rPr>
              <w:t>Indicative dates</w:t>
            </w:r>
          </w:p>
        </w:tc>
      </w:tr>
      <w:tr w:rsidR="00A2087D" w:rsidRPr="00E02FC0" w14:paraId="46671AC8" w14:textId="77777777" w:rsidTr="009A202C">
        <w:trPr>
          <w:trHeight w:val="859"/>
        </w:trPr>
        <w:tc>
          <w:tcPr>
            <w:tcW w:w="1284" w:type="dxa"/>
          </w:tcPr>
          <w:p w14:paraId="614EBC9D" w14:textId="77777777" w:rsidR="00A2087D" w:rsidRPr="00CE1C7C" w:rsidRDefault="00A2087D" w:rsidP="009A202C">
            <w:pPr>
              <w:pStyle w:val="Default"/>
              <w:spacing w:before="120" w:after="120"/>
              <w:rPr>
                <w:rFonts w:asciiTheme="minorHAnsi" w:hAnsiTheme="minorHAnsi" w:cstheme="minorHAnsi"/>
                <w:b/>
                <w:bCs/>
                <w:color w:val="auto"/>
                <w:sz w:val="20"/>
                <w:szCs w:val="20"/>
              </w:rPr>
            </w:pPr>
            <w:r w:rsidRPr="00CE1C7C">
              <w:rPr>
                <w:rFonts w:asciiTheme="minorHAnsi" w:hAnsiTheme="minorHAnsi" w:cstheme="minorHAnsi"/>
                <w:b/>
                <w:bCs/>
                <w:color w:val="auto"/>
                <w:sz w:val="20"/>
                <w:szCs w:val="20"/>
              </w:rPr>
              <w:t xml:space="preserve">Phase 0 </w:t>
            </w:r>
          </w:p>
        </w:tc>
        <w:tc>
          <w:tcPr>
            <w:tcW w:w="5911" w:type="dxa"/>
          </w:tcPr>
          <w:p w14:paraId="24A6AE3A" w14:textId="77777777" w:rsidR="00A2087D" w:rsidRPr="00CE1C7C" w:rsidRDefault="00A2087D" w:rsidP="009A202C">
            <w:pPr>
              <w:pStyle w:val="Default"/>
              <w:spacing w:before="120" w:after="120"/>
              <w:rPr>
                <w:rFonts w:asciiTheme="minorHAnsi" w:hAnsiTheme="minorHAnsi" w:cstheme="minorHAnsi"/>
                <w:color w:val="auto"/>
                <w:sz w:val="20"/>
                <w:szCs w:val="20"/>
              </w:rPr>
            </w:pPr>
            <w:r w:rsidRPr="00CE1C7C">
              <w:rPr>
                <w:rFonts w:asciiTheme="minorHAnsi" w:hAnsiTheme="minorHAnsi" w:cstheme="minorHAnsi"/>
                <w:color w:val="auto"/>
                <w:sz w:val="20"/>
                <w:szCs w:val="20"/>
              </w:rPr>
              <w:t xml:space="preserve">Identification and confirmation of team, including deeper understanding of role to be played by successful managing contractor in the design process. </w:t>
            </w:r>
          </w:p>
        </w:tc>
        <w:tc>
          <w:tcPr>
            <w:tcW w:w="1896" w:type="dxa"/>
          </w:tcPr>
          <w:p w14:paraId="29769CB8" w14:textId="77777777" w:rsidR="00A2087D" w:rsidRPr="00CE1C7C" w:rsidRDefault="00A2087D" w:rsidP="009A202C">
            <w:pPr>
              <w:pStyle w:val="Default"/>
              <w:spacing w:before="120" w:after="120"/>
              <w:rPr>
                <w:rFonts w:asciiTheme="minorHAnsi" w:hAnsiTheme="minorHAnsi" w:cstheme="minorHAnsi"/>
                <w:color w:val="auto"/>
                <w:sz w:val="20"/>
                <w:szCs w:val="20"/>
              </w:rPr>
            </w:pPr>
            <w:r>
              <w:rPr>
                <w:rFonts w:asciiTheme="minorHAnsi" w:hAnsiTheme="minorHAnsi" w:cstheme="minorHAnsi"/>
                <w:color w:val="auto"/>
                <w:sz w:val="20"/>
                <w:szCs w:val="20"/>
              </w:rPr>
              <w:t xml:space="preserve">March 2022 </w:t>
            </w:r>
            <w:r w:rsidRPr="00CE1C7C">
              <w:rPr>
                <w:rFonts w:asciiTheme="minorHAnsi" w:hAnsiTheme="minorHAnsi" w:cstheme="minorHAnsi"/>
                <w:color w:val="auto"/>
                <w:sz w:val="20"/>
                <w:szCs w:val="20"/>
              </w:rPr>
              <w:t xml:space="preserve"> </w:t>
            </w:r>
          </w:p>
        </w:tc>
      </w:tr>
      <w:tr w:rsidR="00A2087D" w:rsidRPr="00E02FC0" w14:paraId="50560E49" w14:textId="77777777" w:rsidTr="009A202C">
        <w:trPr>
          <w:trHeight w:val="424"/>
        </w:trPr>
        <w:tc>
          <w:tcPr>
            <w:tcW w:w="1284" w:type="dxa"/>
          </w:tcPr>
          <w:p w14:paraId="7C7B3F9F" w14:textId="77777777" w:rsidR="00A2087D" w:rsidRPr="00CE1C7C" w:rsidRDefault="00A2087D" w:rsidP="009A202C">
            <w:pPr>
              <w:pStyle w:val="Default"/>
              <w:spacing w:before="120" w:after="120"/>
              <w:rPr>
                <w:rFonts w:asciiTheme="minorHAnsi" w:hAnsiTheme="minorHAnsi" w:cstheme="minorHAnsi"/>
                <w:b/>
                <w:bCs/>
                <w:color w:val="auto"/>
                <w:sz w:val="20"/>
                <w:szCs w:val="20"/>
              </w:rPr>
            </w:pPr>
            <w:r w:rsidRPr="00CE1C7C">
              <w:rPr>
                <w:rFonts w:asciiTheme="minorHAnsi" w:hAnsiTheme="minorHAnsi" w:cstheme="minorHAnsi"/>
                <w:b/>
                <w:bCs/>
                <w:color w:val="auto"/>
                <w:sz w:val="20"/>
                <w:szCs w:val="20"/>
              </w:rPr>
              <w:t xml:space="preserve">Phase </w:t>
            </w:r>
            <w:r>
              <w:rPr>
                <w:rFonts w:asciiTheme="minorHAnsi" w:hAnsiTheme="minorHAnsi" w:cstheme="minorHAnsi"/>
                <w:b/>
                <w:bCs/>
                <w:color w:val="auto"/>
                <w:sz w:val="20"/>
                <w:szCs w:val="20"/>
              </w:rPr>
              <w:t>1</w:t>
            </w:r>
            <w:r w:rsidRPr="00CE1C7C">
              <w:rPr>
                <w:rFonts w:asciiTheme="minorHAnsi" w:hAnsiTheme="minorHAnsi" w:cstheme="minorHAnsi"/>
                <w:b/>
                <w:bCs/>
                <w:color w:val="auto"/>
                <w:sz w:val="20"/>
                <w:szCs w:val="20"/>
              </w:rPr>
              <w:t xml:space="preserve"> </w:t>
            </w:r>
          </w:p>
        </w:tc>
        <w:tc>
          <w:tcPr>
            <w:tcW w:w="5911" w:type="dxa"/>
          </w:tcPr>
          <w:p w14:paraId="1F44B638" w14:textId="77777777" w:rsidR="00A2087D" w:rsidRDefault="00A2087D" w:rsidP="009A202C">
            <w:pPr>
              <w:pStyle w:val="Default"/>
              <w:spacing w:before="120" w:after="120"/>
              <w:rPr>
                <w:rFonts w:asciiTheme="minorHAnsi" w:hAnsiTheme="minorHAnsi" w:cstheme="minorHAnsi"/>
                <w:color w:val="auto"/>
                <w:sz w:val="20"/>
                <w:szCs w:val="20"/>
              </w:rPr>
            </w:pPr>
            <w:r>
              <w:rPr>
                <w:rFonts w:asciiTheme="minorHAnsi" w:hAnsiTheme="minorHAnsi" w:cstheme="minorHAnsi"/>
                <w:color w:val="auto"/>
                <w:sz w:val="20"/>
                <w:szCs w:val="20"/>
              </w:rPr>
              <w:t xml:space="preserve">Initial document review, preliminary (online) discussions with review team, AHC. </w:t>
            </w:r>
          </w:p>
          <w:p w14:paraId="2A0F34C6" w14:textId="77777777" w:rsidR="00A2087D" w:rsidRPr="00CE1C7C" w:rsidRDefault="00A2087D" w:rsidP="009A202C">
            <w:pPr>
              <w:pStyle w:val="Default"/>
              <w:spacing w:before="120" w:after="120"/>
              <w:rPr>
                <w:rFonts w:asciiTheme="minorHAnsi" w:hAnsiTheme="minorHAnsi" w:cstheme="minorHAnsi"/>
                <w:color w:val="auto"/>
                <w:sz w:val="20"/>
                <w:szCs w:val="20"/>
              </w:rPr>
            </w:pPr>
            <w:r>
              <w:rPr>
                <w:rFonts w:asciiTheme="minorHAnsi" w:hAnsiTheme="minorHAnsi" w:cstheme="minorHAnsi"/>
                <w:color w:val="auto"/>
                <w:sz w:val="20"/>
                <w:szCs w:val="20"/>
              </w:rPr>
              <w:t xml:space="preserve">Planning for fieldwork, identification of key stakeholders </w:t>
            </w:r>
          </w:p>
        </w:tc>
        <w:tc>
          <w:tcPr>
            <w:tcW w:w="1896" w:type="dxa"/>
          </w:tcPr>
          <w:p w14:paraId="24684CC6" w14:textId="77777777" w:rsidR="00A2087D" w:rsidRPr="00CE1C7C" w:rsidRDefault="00A2087D" w:rsidP="009A202C">
            <w:pPr>
              <w:pStyle w:val="Default"/>
              <w:spacing w:before="120" w:after="120"/>
              <w:rPr>
                <w:rFonts w:asciiTheme="minorHAnsi" w:hAnsiTheme="minorHAnsi" w:cstheme="minorHAnsi"/>
                <w:color w:val="auto"/>
                <w:sz w:val="20"/>
                <w:szCs w:val="20"/>
              </w:rPr>
            </w:pPr>
            <w:r>
              <w:rPr>
                <w:rFonts w:asciiTheme="minorHAnsi" w:hAnsiTheme="minorHAnsi" w:cstheme="minorHAnsi"/>
                <w:color w:val="auto"/>
                <w:sz w:val="20"/>
                <w:szCs w:val="20"/>
              </w:rPr>
              <w:t xml:space="preserve">Late March / early April 2022 </w:t>
            </w:r>
          </w:p>
        </w:tc>
      </w:tr>
      <w:tr w:rsidR="00A2087D" w:rsidRPr="00E02FC0" w14:paraId="36016798" w14:textId="77777777" w:rsidTr="009A202C">
        <w:trPr>
          <w:trHeight w:val="424"/>
        </w:trPr>
        <w:tc>
          <w:tcPr>
            <w:tcW w:w="1284" w:type="dxa"/>
          </w:tcPr>
          <w:p w14:paraId="106EF5DE" w14:textId="77777777" w:rsidR="00A2087D" w:rsidRPr="00CE1C7C" w:rsidRDefault="00A2087D" w:rsidP="009A202C">
            <w:pPr>
              <w:pStyle w:val="Default"/>
              <w:spacing w:before="120" w:after="120"/>
              <w:rPr>
                <w:rFonts w:asciiTheme="minorHAnsi" w:hAnsiTheme="minorHAnsi" w:cstheme="minorHAnsi"/>
                <w:b/>
                <w:bCs/>
                <w:color w:val="auto"/>
                <w:sz w:val="20"/>
                <w:szCs w:val="20"/>
              </w:rPr>
            </w:pPr>
            <w:r>
              <w:rPr>
                <w:rFonts w:asciiTheme="minorHAnsi" w:hAnsiTheme="minorHAnsi" w:cstheme="minorHAnsi"/>
                <w:b/>
                <w:bCs/>
                <w:color w:val="auto"/>
                <w:sz w:val="20"/>
                <w:szCs w:val="20"/>
              </w:rPr>
              <w:t>Phase 2</w:t>
            </w:r>
          </w:p>
        </w:tc>
        <w:tc>
          <w:tcPr>
            <w:tcW w:w="5911" w:type="dxa"/>
          </w:tcPr>
          <w:p w14:paraId="0BDAF5FB" w14:textId="77777777" w:rsidR="00A2087D" w:rsidRPr="00CE1C7C" w:rsidRDefault="00A2087D" w:rsidP="009A202C">
            <w:pPr>
              <w:pStyle w:val="Default"/>
              <w:spacing w:before="120" w:after="120"/>
              <w:rPr>
                <w:rFonts w:asciiTheme="minorHAnsi" w:hAnsiTheme="minorHAnsi" w:cstheme="minorHAnsi"/>
                <w:color w:val="auto"/>
                <w:sz w:val="20"/>
                <w:szCs w:val="20"/>
              </w:rPr>
            </w:pPr>
            <w:r>
              <w:rPr>
                <w:rFonts w:asciiTheme="minorHAnsi" w:hAnsiTheme="minorHAnsi" w:cstheme="minorHAnsi"/>
                <w:color w:val="auto"/>
                <w:sz w:val="20"/>
                <w:szCs w:val="20"/>
              </w:rPr>
              <w:t xml:space="preserve">Fieldwork to Port Moresby and Western Province to conduct key stakeholder consultations </w:t>
            </w:r>
          </w:p>
        </w:tc>
        <w:tc>
          <w:tcPr>
            <w:tcW w:w="1896" w:type="dxa"/>
          </w:tcPr>
          <w:p w14:paraId="6A1B57BA" w14:textId="77777777" w:rsidR="00A2087D" w:rsidRPr="00CE1C7C" w:rsidRDefault="00A2087D" w:rsidP="009A202C">
            <w:pPr>
              <w:pStyle w:val="Default"/>
              <w:spacing w:before="120" w:after="120"/>
              <w:rPr>
                <w:rFonts w:asciiTheme="minorHAnsi" w:hAnsiTheme="minorHAnsi" w:cstheme="minorHAnsi"/>
                <w:color w:val="auto"/>
                <w:sz w:val="20"/>
                <w:szCs w:val="20"/>
              </w:rPr>
            </w:pPr>
            <w:r>
              <w:rPr>
                <w:rFonts w:asciiTheme="minorHAnsi" w:hAnsiTheme="minorHAnsi" w:cstheme="minorHAnsi"/>
                <w:color w:val="auto"/>
                <w:sz w:val="20"/>
                <w:szCs w:val="20"/>
              </w:rPr>
              <w:t>Late April 2022</w:t>
            </w:r>
          </w:p>
        </w:tc>
      </w:tr>
      <w:tr w:rsidR="00A2087D" w:rsidRPr="00E02FC0" w14:paraId="7ADAB5C0" w14:textId="77777777" w:rsidTr="009A202C">
        <w:trPr>
          <w:trHeight w:val="637"/>
        </w:trPr>
        <w:tc>
          <w:tcPr>
            <w:tcW w:w="1284" w:type="dxa"/>
          </w:tcPr>
          <w:p w14:paraId="6EEFF0B5" w14:textId="77777777" w:rsidR="00A2087D" w:rsidRPr="00CE1C7C" w:rsidRDefault="00A2087D" w:rsidP="009A202C">
            <w:pPr>
              <w:pStyle w:val="Default"/>
              <w:spacing w:before="120" w:after="120"/>
              <w:rPr>
                <w:rFonts w:asciiTheme="minorHAnsi" w:hAnsiTheme="minorHAnsi" w:cstheme="minorHAnsi"/>
                <w:b/>
                <w:bCs/>
                <w:color w:val="auto"/>
                <w:sz w:val="20"/>
                <w:szCs w:val="20"/>
              </w:rPr>
            </w:pPr>
            <w:r w:rsidRPr="00CE1C7C">
              <w:rPr>
                <w:rFonts w:asciiTheme="minorHAnsi" w:hAnsiTheme="minorHAnsi" w:cstheme="minorHAnsi"/>
                <w:b/>
                <w:bCs/>
                <w:color w:val="auto"/>
                <w:sz w:val="20"/>
                <w:szCs w:val="20"/>
              </w:rPr>
              <w:t xml:space="preserve">Phase 3 </w:t>
            </w:r>
          </w:p>
        </w:tc>
        <w:tc>
          <w:tcPr>
            <w:tcW w:w="5911" w:type="dxa"/>
          </w:tcPr>
          <w:p w14:paraId="05F23C54" w14:textId="77777777" w:rsidR="00A2087D" w:rsidRPr="00CE1C7C" w:rsidRDefault="00A2087D" w:rsidP="009A202C">
            <w:pPr>
              <w:pStyle w:val="Default"/>
              <w:spacing w:before="120" w:after="120"/>
              <w:rPr>
                <w:rFonts w:asciiTheme="minorHAnsi" w:hAnsiTheme="minorHAnsi" w:cstheme="minorHAnsi"/>
                <w:color w:val="auto"/>
                <w:sz w:val="20"/>
                <w:szCs w:val="20"/>
              </w:rPr>
            </w:pPr>
            <w:r>
              <w:rPr>
                <w:rFonts w:asciiTheme="minorHAnsi" w:hAnsiTheme="minorHAnsi" w:cstheme="minorHAnsi"/>
                <w:color w:val="auto"/>
                <w:sz w:val="20"/>
                <w:szCs w:val="20"/>
              </w:rPr>
              <w:t xml:space="preserve">Analysis of information, further remote consultations (if required) and drafting process </w:t>
            </w:r>
          </w:p>
        </w:tc>
        <w:tc>
          <w:tcPr>
            <w:tcW w:w="1896" w:type="dxa"/>
          </w:tcPr>
          <w:p w14:paraId="39011DA3" w14:textId="77777777" w:rsidR="00A2087D" w:rsidRPr="00CE1C7C" w:rsidRDefault="00A2087D" w:rsidP="009A202C">
            <w:pPr>
              <w:pStyle w:val="Default"/>
              <w:spacing w:before="120" w:after="120"/>
              <w:rPr>
                <w:rFonts w:asciiTheme="minorHAnsi" w:hAnsiTheme="minorHAnsi" w:cstheme="minorHAnsi"/>
                <w:color w:val="auto"/>
                <w:sz w:val="20"/>
                <w:szCs w:val="20"/>
              </w:rPr>
            </w:pPr>
            <w:r>
              <w:rPr>
                <w:rFonts w:asciiTheme="minorHAnsi" w:hAnsiTheme="minorHAnsi" w:cstheme="minorHAnsi"/>
                <w:color w:val="auto"/>
                <w:sz w:val="20"/>
                <w:szCs w:val="20"/>
              </w:rPr>
              <w:t>May 2022</w:t>
            </w:r>
          </w:p>
        </w:tc>
      </w:tr>
      <w:tr w:rsidR="00A2087D" w:rsidRPr="00E02FC0" w14:paraId="272CEB81" w14:textId="77777777" w:rsidTr="009A202C">
        <w:trPr>
          <w:trHeight w:val="646"/>
        </w:trPr>
        <w:tc>
          <w:tcPr>
            <w:tcW w:w="1284" w:type="dxa"/>
          </w:tcPr>
          <w:p w14:paraId="337B8827" w14:textId="77777777" w:rsidR="00A2087D" w:rsidRPr="00CE1C7C" w:rsidRDefault="00A2087D" w:rsidP="009A202C">
            <w:pPr>
              <w:pStyle w:val="Default"/>
              <w:spacing w:before="120" w:after="120"/>
              <w:rPr>
                <w:rFonts w:asciiTheme="minorHAnsi" w:hAnsiTheme="minorHAnsi" w:cstheme="minorHAnsi"/>
                <w:b/>
                <w:bCs/>
                <w:color w:val="auto"/>
                <w:sz w:val="20"/>
                <w:szCs w:val="20"/>
              </w:rPr>
            </w:pPr>
            <w:r w:rsidRPr="00CE1C7C">
              <w:rPr>
                <w:rFonts w:asciiTheme="minorHAnsi" w:hAnsiTheme="minorHAnsi" w:cstheme="minorHAnsi"/>
                <w:b/>
                <w:bCs/>
                <w:color w:val="auto"/>
                <w:sz w:val="20"/>
                <w:szCs w:val="20"/>
              </w:rPr>
              <w:t>Phase 4</w:t>
            </w:r>
          </w:p>
        </w:tc>
        <w:tc>
          <w:tcPr>
            <w:tcW w:w="5911" w:type="dxa"/>
          </w:tcPr>
          <w:p w14:paraId="25230E52" w14:textId="77777777" w:rsidR="00A2087D" w:rsidRPr="00CE1C7C" w:rsidRDefault="00A2087D" w:rsidP="009A202C">
            <w:pPr>
              <w:pStyle w:val="Default"/>
              <w:spacing w:before="120" w:after="120"/>
              <w:rPr>
                <w:rFonts w:asciiTheme="minorHAnsi" w:hAnsiTheme="minorHAnsi" w:cstheme="minorHAnsi"/>
                <w:color w:val="auto"/>
                <w:sz w:val="20"/>
                <w:szCs w:val="20"/>
              </w:rPr>
            </w:pPr>
            <w:r>
              <w:rPr>
                <w:rFonts w:asciiTheme="minorHAnsi" w:hAnsiTheme="minorHAnsi" w:cstheme="minorHAnsi"/>
                <w:color w:val="auto"/>
                <w:sz w:val="20"/>
                <w:szCs w:val="20"/>
              </w:rPr>
              <w:t xml:space="preserve">Delivery of first draft to the AHC for feedback and revision </w:t>
            </w:r>
          </w:p>
        </w:tc>
        <w:tc>
          <w:tcPr>
            <w:tcW w:w="1896" w:type="dxa"/>
          </w:tcPr>
          <w:p w14:paraId="4CE92493" w14:textId="77777777" w:rsidR="00A2087D" w:rsidRPr="00CE1C7C" w:rsidRDefault="00A2087D" w:rsidP="009A202C">
            <w:pPr>
              <w:pStyle w:val="Default"/>
              <w:spacing w:before="120" w:after="120"/>
              <w:rPr>
                <w:rFonts w:asciiTheme="minorHAnsi" w:hAnsiTheme="minorHAnsi" w:cstheme="minorHAnsi"/>
                <w:color w:val="auto"/>
                <w:sz w:val="20"/>
                <w:szCs w:val="20"/>
              </w:rPr>
            </w:pPr>
            <w:r>
              <w:rPr>
                <w:rFonts w:asciiTheme="minorHAnsi" w:hAnsiTheme="minorHAnsi" w:cstheme="minorHAnsi"/>
                <w:color w:val="auto"/>
                <w:sz w:val="20"/>
                <w:szCs w:val="20"/>
              </w:rPr>
              <w:t xml:space="preserve">Late May / early June 2022 </w:t>
            </w:r>
          </w:p>
        </w:tc>
      </w:tr>
      <w:tr w:rsidR="00A2087D" w:rsidRPr="00E02FC0" w14:paraId="6BC725E2" w14:textId="77777777" w:rsidTr="009A202C">
        <w:trPr>
          <w:trHeight w:val="646"/>
        </w:trPr>
        <w:tc>
          <w:tcPr>
            <w:tcW w:w="1284" w:type="dxa"/>
          </w:tcPr>
          <w:p w14:paraId="01536E03" w14:textId="77777777" w:rsidR="00A2087D" w:rsidRPr="00CE1C7C" w:rsidRDefault="00A2087D" w:rsidP="009A202C">
            <w:pPr>
              <w:pStyle w:val="Default"/>
              <w:spacing w:before="120" w:after="120"/>
              <w:rPr>
                <w:rFonts w:asciiTheme="minorHAnsi" w:hAnsiTheme="minorHAnsi" w:cstheme="minorHAnsi"/>
                <w:b/>
                <w:bCs/>
                <w:color w:val="auto"/>
                <w:sz w:val="20"/>
                <w:szCs w:val="20"/>
              </w:rPr>
            </w:pPr>
            <w:r>
              <w:rPr>
                <w:rFonts w:asciiTheme="minorHAnsi" w:hAnsiTheme="minorHAnsi" w:cstheme="minorHAnsi"/>
                <w:b/>
                <w:bCs/>
                <w:color w:val="auto"/>
                <w:sz w:val="20"/>
                <w:szCs w:val="20"/>
              </w:rPr>
              <w:t>Phase 6</w:t>
            </w:r>
          </w:p>
        </w:tc>
        <w:tc>
          <w:tcPr>
            <w:tcW w:w="5911" w:type="dxa"/>
          </w:tcPr>
          <w:p w14:paraId="78B01AC4" w14:textId="77777777" w:rsidR="00A2087D" w:rsidRDefault="00A2087D" w:rsidP="009A202C">
            <w:pPr>
              <w:pStyle w:val="Default"/>
              <w:spacing w:before="120" w:after="120"/>
              <w:rPr>
                <w:rFonts w:asciiTheme="minorHAnsi" w:hAnsiTheme="minorHAnsi" w:cstheme="minorHAnsi"/>
                <w:color w:val="auto"/>
                <w:sz w:val="20"/>
                <w:szCs w:val="20"/>
              </w:rPr>
            </w:pPr>
            <w:r>
              <w:rPr>
                <w:rFonts w:asciiTheme="minorHAnsi" w:hAnsiTheme="minorHAnsi" w:cstheme="minorHAnsi"/>
                <w:color w:val="auto"/>
                <w:sz w:val="20"/>
                <w:szCs w:val="20"/>
              </w:rPr>
              <w:t>Delivery of final draft to the AHC</w:t>
            </w:r>
          </w:p>
        </w:tc>
        <w:tc>
          <w:tcPr>
            <w:tcW w:w="1896" w:type="dxa"/>
          </w:tcPr>
          <w:p w14:paraId="16FFBB75" w14:textId="77777777" w:rsidR="00A2087D" w:rsidRDefault="00A2087D" w:rsidP="009A202C">
            <w:pPr>
              <w:pStyle w:val="Default"/>
              <w:spacing w:before="120" w:after="120"/>
              <w:rPr>
                <w:rFonts w:asciiTheme="minorHAnsi" w:hAnsiTheme="minorHAnsi" w:cstheme="minorHAnsi"/>
                <w:color w:val="auto"/>
                <w:sz w:val="20"/>
                <w:szCs w:val="20"/>
              </w:rPr>
            </w:pPr>
            <w:r>
              <w:rPr>
                <w:rFonts w:asciiTheme="minorHAnsi" w:hAnsiTheme="minorHAnsi" w:cstheme="minorHAnsi"/>
                <w:color w:val="auto"/>
                <w:sz w:val="20"/>
                <w:szCs w:val="20"/>
              </w:rPr>
              <w:t xml:space="preserve">June 2022 </w:t>
            </w:r>
          </w:p>
        </w:tc>
      </w:tr>
    </w:tbl>
    <w:p w14:paraId="520539A6" w14:textId="248E9F10" w:rsidR="00A2087D" w:rsidRPr="00F4038D" w:rsidRDefault="00A2087D" w:rsidP="00A2087D">
      <w:pPr>
        <w:pStyle w:val="FigureImageTablehead"/>
        <w:rPr>
          <w:lang w:val="en-AU"/>
        </w:rPr>
      </w:pPr>
      <w:r w:rsidRPr="00F4038D">
        <w:rPr>
          <w:lang w:val="en-AU"/>
        </w:rPr>
        <w:t xml:space="preserve">Specified Skills and Experience of Team </w:t>
      </w:r>
    </w:p>
    <w:p w14:paraId="5B469C74" w14:textId="77777777" w:rsidR="00A2087D" w:rsidRPr="00F027CF" w:rsidRDefault="00A2087D" w:rsidP="00A15964">
      <w:pPr>
        <w:rPr>
          <w:rFonts w:ascii="Arial" w:hAnsi="Arial" w:cs="Arial"/>
          <w:lang w:val="en-US"/>
        </w:rPr>
      </w:pPr>
      <w:r w:rsidRPr="00F027CF">
        <w:rPr>
          <w:rFonts w:ascii="Arial" w:hAnsi="Arial" w:cs="Arial"/>
          <w:lang w:val="en-US"/>
        </w:rPr>
        <w:t xml:space="preserve">The team should collectively possess the following skills and experience: </w:t>
      </w:r>
    </w:p>
    <w:p w14:paraId="3EED014E" w14:textId="77777777" w:rsidR="00A2087D" w:rsidRPr="00F027CF" w:rsidRDefault="00A2087D" w:rsidP="00A15964">
      <w:pPr>
        <w:pStyle w:val="ListParagraph"/>
        <w:numPr>
          <w:ilvl w:val="0"/>
          <w:numId w:val="30"/>
        </w:numPr>
        <w:pBdr>
          <w:bottom w:val="single" w:sz="4" w:space="1" w:color="FFFFFF" w:themeColor="background1"/>
        </w:pBdr>
        <w:spacing w:after="0"/>
        <w:contextualSpacing/>
        <w:rPr>
          <w:rFonts w:ascii="Arial" w:hAnsi="Arial" w:cs="Arial"/>
        </w:rPr>
      </w:pPr>
      <w:r w:rsidRPr="00F027CF">
        <w:rPr>
          <w:rFonts w:ascii="Arial" w:hAnsi="Arial" w:cs="Arial"/>
        </w:rPr>
        <w:lastRenderedPageBreak/>
        <w:t>Demonstrated ability to draw on international best practice in accountability and governance programming to inform the design.</w:t>
      </w:r>
    </w:p>
    <w:p w14:paraId="2557EE25" w14:textId="77777777" w:rsidR="00A2087D" w:rsidRPr="00F027CF" w:rsidRDefault="00A2087D" w:rsidP="00A15964">
      <w:pPr>
        <w:pStyle w:val="ListParagraph"/>
        <w:numPr>
          <w:ilvl w:val="0"/>
          <w:numId w:val="30"/>
        </w:numPr>
        <w:pBdr>
          <w:bottom w:val="single" w:sz="4" w:space="1" w:color="FFFFFF" w:themeColor="background1"/>
        </w:pBdr>
        <w:spacing w:after="0"/>
        <w:contextualSpacing/>
        <w:rPr>
          <w:rFonts w:ascii="Arial" w:hAnsi="Arial" w:cs="Arial"/>
        </w:rPr>
      </w:pPr>
      <w:r w:rsidRPr="00F027CF">
        <w:rPr>
          <w:rFonts w:ascii="Arial" w:hAnsi="Arial" w:cs="Arial"/>
        </w:rPr>
        <w:t>Excellent communication skills, particularly in a cross-cultural setting, and the ability to clearly explain design and monitoring and evaluation principles.</w:t>
      </w:r>
    </w:p>
    <w:p w14:paraId="3957CEFE" w14:textId="77777777" w:rsidR="00A2087D" w:rsidRPr="00F027CF" w:rsidRDefault="00A2087D" w:rsidP="00A15964">
      <w:pPr>
        <w:pStyle w:val="ListParagraph"/>
        <w:numPr>
          <w:ilvl w:val="0"/>
          <w:numId w:val="30"/>
        </w:numPr>
        <w:pBdr>
          <w:bottom w:val="single" w:sz="4" w:space="1" w:color="FFFFFF" w:themeColor="background1"/>
        </w:pBdr>
        <w:spacing w:after="0"/>
        <w:contextualSpacing/>
        <w:rPr>
          <w:rFonts w:ascii="Arial" w:hAnsi="Arial" w:cs="Arial"/>
        </w:rPr>
      </w:pPr>
      <w:r w:rsidRPr="00F027CF">
        <w:rPr>
          <w:rFonts w:ascii="Arial" w:hAnsi="Arial" w:cs="Arial"/>
        </w:rPr>
        <w:t>A sound knowledge of Australian Aid Program policies on design, M&amp;</w:t>
      </w:r>
      <w:proofErr w:type="gramStart"/>
      <w:r w:rsidRPr="00F027CF">
        <w:rPr>
          <w:rFonts w:ascii="Arial" w:hAnsi="Arial" w:cs="Arial"/>
        </w:rPr>
        <w:t>E</w:t>
      </w:r>
      <w:proofErr w:type="gramEnd"/>
      <w:r w:rsidRPr="00F027CF">
        <w:rPr>
          <w:rFonts w:ascii="Arial" w:hAnsi="Arial" w:cs="Arial"/>
        </w:rPr>
        <w:t xml:space="preserve"> and reporting processes for aid delivery.</w:t>
      </w:r>
    </w:p>
    <w:p w14:paraId="78ACC009" w14:textId="77777777" w:rsidR="00A2087D" w:rsidRPr="00F027CF" w:rsidRDefault="00A2087D" w:rsidP="00A15964">
      <w:pPr>
        <w:pStyle w:val="ListParagraph"/>
        <w:numPr>
          <w:ilvl w:val="0"/>
          <w:numId w:val="30"/>
        </w:numPr>
        <w:pBdr>
          <w:bottom w:val="single" w:sz="4" w:space="1" w:color="FFFFFF" w:themeColor="background1"/>
        </w:pBdr>
        <w:spacing w:after="0"/>
        <w:contextualSpacing/>
        <w:rPr>
          <w:rFonts w:ascii="Arial" w:hAnsi="Arial" w:cs="Arial"/>
        </w:rPr>
      </w:pPr>
      <w:r w:rsidRPr="00F027CF">
        <w:rPr>
          <w:rFonts w:ascii="Arial" w:hAnsi="Arial" w:cs="Arial"/>
        </w:rPr>
        <w:t xml:space="preserve">Technical expertise in governance, economic </w:t>
      </w:r>
      <w:proofErr w:type="gramStart"/>
      <w:r w:rsidRPr="00F027CF">
        <w:rPr>
          <w:rFonts w:ascii="Arial" w:hAnsi="Arial" w:cs="Arial"/>
        </w:rPr>
        <w:t>development</w:t>
      </w:r>
      <w:proofErr w:type="gramEnd"/>
      <w:r w:rsidRPr="00F027CF">
        <w:rPr>
          <w:rFonts w:ascii="Arial" w:hAnsi="Arial" w:cs="Arial"/>
        </w:rPr>
        <w:t xml:space="preserve"> and related fields </w:t>
      </w:r>
    </w:p>
    <w:p w14:paraId="16500A57" w14:textId="77777777" w:rsidR="00A2087D" w:rsidRPr="00F027CF" w:rsidRDefault="00A2087D" w:rsidP="00A15964">
      <w:pPr>
        <w:pStyle w:val="ListParagraph"/>
        <w:numPr>
          <w:ilvl w:val="0"/>
          <w:numId w:val="30"/>
        </w:numPr>
        <w:pBdr>
          <w:bottom w:val="single" w:sz="4" w:space="1" w:color="FFFFFF" w:themeColor="background1"/>
        </w:pBdr>
        <w:spacing w:after="0"/>
        <w:contextualSpacing/>
        <w:rPr>
          <w:rFonts w:ascii="Arial" w:hAnsi="Arial" w:cs="Arial"/>
        </w:rPr>
      </w:pPr>
      <w:r w:rsidRPr="00F027CF">
        <w:rPr>
          <w:rFonts w:ascii="Arial" w:hAnsi="Arial" w:cs="Arial"/>
        </w:rPr>
        <w:t>Familiarity with cross cutting issues such as gender equality, climate change and disability inclusion.</w:t>
      </w:r>
    </w:p>
    <w:p w14:paraId="17A962D5" w14:textId="77777777" w:rsidR="00A2087D" w:rsidRPr="00F027CF" w:rsidRDefault="00A2087D" w:rsidP="00A15964">
      <w:pPr>
        <w:pStyle w:val="ListParagraph"/>
        <w:numPr>
          <w:ilvl w:val="0"/>
          <w:numId w:val="30"/>
        </w:numPr>
        <w:pBdr>
          <w:bottom w:val="single" w:sz="4" w:space="1" w:color="FFFFFF" w:themeColor="background1"/>
        </w:pBdr>
        <w:spacing w:after="0"/>
        <w:contextualSpacing/>
        <w:rPr>
          <w:rFonts w:ascii="Arial" w:hAnsi="Arial" w:cs="Arial"/>
          <w:lang w:val="en-US"/>
        </w:rPr>
      </w:pPr>
      <w:r w:rsidRPr="00F027CF">
        <w:rPr>
          <w:rFonts w:ascii="Arial" w:hAnsi="Arial" w:cs="Arial"/>
        </w:rPr>
        <w:t>A good understanding of</w:t>
      </w:r>
      <w:r w:rsidRPr="00F027CF">
        <w:rPr>
          <w:rFonts w:ascii="Arial" w:hAnsi="Arial" w:cs="Arial"/>
          <w:lang w:val="en-US"/>
        </w:rPr>
        <w:t xml:space="preserve"> PNG’s social and political context.</w:t>
      </w:r>
    </w:p>
    <w:p w14:paraId="584133D5" w14:textId="77777777" w:rsidR="00A2087D" w:rsidRPr="00F027CF" w:rsidRDefault="00A2087D" w:rsidP="00A15964">
      <w:pPr>
        <w:pStyle w:val="Default"/>
        <w:spacing w:before="120" w:after="120"/>
        <w:jc w:val="both"/>
        <w:rPr>
          <w:color w:val="auto"/>
          <w:sz w:val="22"/>
          <w:szCs w:val="22"/>
        </w:rPr>
      </w:pPr>
      <w:r w:rsidRPr="00F027CF">
        <w:rPr>
          <w:color w:val="auto"/>
          <w:sz w:val="22"/>
          <w:szCs w:val="22"/>
        </w:rPr>
        <w:t xml:space="preserve">A team will be made up of: </w:t>
      </w:r>
    </w:p>
    <w:p w14:paraId="586E63E5" w14:textId="77777777" w:rsidR="00A2087D" w:rsidRPr="00F027CF" w:rsidRDefault="00A2087D" w:rsidP="00A15964">
      <w:pPr>
        <w:pStyle w:val="Default"/>
        <w:numPr>
          <w:ilvl w:val="0"/>
          <w:numId w:val="29"/>
        </w:numPr>
        <w:spacing w:before="120" w:after="120"/>
        <w:jc w:val="both"/>
        <w:rPr>
          <w:color w:val="auto"/>
          <w:sz w:val="22"/>
          <w:szCs w:val="22"/>
        </w:rPr>
      </w:pPr>
      <w:r w:rsidRPr="00F027CF">
        <w:rPr>
          <w:color w:val="auto"/>
          <w:sz w:val="22"/>
          <w:szCs w:val="22"/>
        </w:rPr>
        <w:t xml:space="preserve">An international-based team leader with extensive experience in design and M&amp;E processes. </w:t>
      </w:r>
    </w:p>
    <w:p w14:paraId="1DFB2927" w14:textId="77777777" w:rsidR="00A2087D" w:rsidRPr="00F027CF" w:rsidRDefault="00A2087D" w:rsidP="00A15964">
      <w:pPr>
        <w:pStyle w:val="Default"/>
        <w:numPr>
          <w:ilvl w:val="0"/>
          <w:numId w:val="29"/>
        </w:numPr>
        <w:spacing w:before="120" w:after="120"/>
        <w:jc w:val="both"/>
        <w:rPr>
          <w:color w:val="auto"/>
          <w:sz w:val="22"/>
          <w:szCs w:val="22"/>
        </w:rPr>
      </w:pPr>
      <w:r w:rsidRPr="00F027CF">
        <w:rPr>
          <w:color w:val="auto"/>
          <w:sz w:val="22"/>
          <w:szCs w:val="22"/>
        </w:rPr>
        <w:t xml:space="preserve">A PNG based deputy team leader with experience in managing complex consultative processes in PNG and preferably with the Australia Aid program in PNG. </w:t>
      </w:r>
    </w:p>
    <w:p w14:paraId="4766724B" w14:textId="77777777" w:rsidR="00A2087D" w:rsidRPr="00F027CF" w:rsidRDefault="00A2087D" w:rsidP="00A15964">
      <w:pPr>
        <w:pStyle w:val="Default"/>
        <w:numPr>
          <w:ilvl w:val="0"/>
          <w:numId w:val="29"/>
        </w:numPr>
        <w:spacing w:before="120" w:after="120"/>
        <w:jc w:val="both"/>
        <w:rPr>
          <w:color w:val="auto"/>
          <w:sz w:val="22"/>
          <w:szCs w:val="22"/>
        </w:rPr>
      </w:pPr>
      <w:r w:rsidRPr="00F027CF">
        <w:rPr>
          <w:color w:val="auto"/>
          <w:sz w:val="22"/>
          <w:szCs w:val="22"/>
        </w:rPr>
        <w:t xml:space="preserve">An individual identified by AHC as key Western Province Coordinator – either from AHC or from affiliated implementing partner </w:t>
      </w:r>
    </w:p>
    <w:p w14:paraId="403B78C5" w14:textId="77777777" w:rsidR="00A2087D" w:rsidRPr="00F027CF" w:rsidRDefault="00A2087D" w:rsidP="00A15964">
      <w:pPr>
        <w:pStyle w:val="Default"/>
        <w:spacing w:before="120" w:after="120"/>
        <w:jc w:val="both"/>
        <w:rPr>
          <w:color w:val="auto"/>
          <w:sz w:val="22"/>
          <w:szCs w:val="22"/>
        </w:rPr>
      </w:pPr>
      <w:r w:rsidRPr="00F027CF">
        <w:rPr>
          <w:color w:val="auto"/>
          <w:sz w:val="22"/>
          <w:szCs w:val="22"/>
        </w:rPr>
        <w:t xml:space="preserve">Other team members will include a panel of experts will be available for the team to draw on. Usage of these resources will be at the discretion of the team leader. This will include: </w:t>
      </w:r>
    </w:p>
    <w:p w14:paraId="4494E905" w14:textId="77777777" w:rsidR="00A2087D" w:rsidRPr="00F027CF" w:rsidRDefault="00A2087D" w:rsidP="00A15964">
      <w:pPr>
        <w:pStyle w:val="Default"/>
        <w:numPr>
          <w:ilvl w:val="0"/>
          <w:numId w:val="31"/>
        </w:numPr>
        <w:spacing w:before="120" w:after="120"/>
        <w:jc w:val="both"/>
        <w:rPr>
          <w:color w:val="auto"/>
          <w:sz w:val="22"/>
          <w:szCs w:val="22"/>
        </w:rPr>
      </w:pPr>
      <w:r w:rsidRPr="00F027CF">
        <w:rPr>
          <w:color w:val="auto"/>
          <w:sz w:val="22"/>
          <w:szCs w:val="22"/>
        </w:rPr>
        <w:t xml:space="preserve">An international M&amp;E and accountability specialist who will act as Quality Assurance </w:t>
      </w:r>
    </w:p>
    <w:p w14:paraId="1FBC3B49" w14:textId="77777777" w:rsidR="00A2087D" w:rsidRPr="00F027CF" w:rsidRDefault="00A2087D" w:rsidP="00A15964">
      <w:pPr>
        <w:pStyle w:val="Default"/>
        <w:numPr>
          <w:ilvl w:val="0"/>
          <w:numId w:val="31"/>
        </w:numPr>
        <w:spacing w:before="120" w:after="120"/>
        <w:jc w:val="both"/>
        <w:rPr>
          <w:color w:val="auto"/>
          <w:sz w:val="22"/>
          <w:szCs w:val="22"/>
        </w:rPr>
      </w:pPr>
      <w:r w:rsidRPr="00F027CF">
        <w:rPr>
          <w:color w:val="auto"/>
          <w:sz w:val="22"/>
          <w:szCs w:val="22"/>
        </w:rPr>
        <w:t xml:space="preserve">QTAG Program Manager &amp; Program Assistant, who will help facilitate in management of the team </w:t>
      </w:r>
    </w:p>
    <w:p w14:paraId="133B2A87" w14:textId="77777777" w:rsidR="00A2087D" w:rsidRPr="00F027CF" w:rsidRDefault="00A2087D" w:rsidP="00A15964">
      <w:pPr>
        <w:pStyle w:val="Default"/>
        <w:spacing w:before="120" w:after="120"/>
        <w:jc w:val="both"/>
        <w:rPr>
          <w:color w:val="auto"/>
          <w:sz w:val="22"/>
          <w:szCs w:val="22"/>
        </w:rPr>
      </w:pPr>
      <w:r w:rsidRPr="00F027CF">
        <w:rPr>
          <w:color w:val="auto"/>
          <w:sz w:val="22"/>
          <w:szCs w:val="22"/>
        </w:rPr>
        <w:t xml:space="preserve">The team will work collaboratively with the identified managing contractor who will implement the Western Province design. The managing contractor is planned to be announced in December 2021, with intended commencement date of March 2022. </w:t>
      </w:r>
    </w:p>
    <w:p w14:paraId="5FDB29B3" w14:textId="6B7A3093" w:rsidR="00A2087D" w:rsidRPr="00F4038D" w:rsidRDefault="00A2087D" w:rsidP="00A2087D">
      <w:pPr>
        <w:pStyle w:val="FigureImageTablehead"/>
        <w:rPr>
          <w:lang w:val="en-AU"/>
        </w:rPr>
      </w:pPr>
      <w:r w:rsidRPr="00F4038D">
        <w:rPr>
          <w:lang w:val="en-AU"/>
        </w:rPr>
        <w:t>Implication of Contextual Risks</w:t>
      </w:r>
    </w:p>
    <w:p w14:paraId="3D057F35" w14:textId="5505A39B" w:rsidR="00D11ED0" w:rsidRPr="00D11ED0" w:rsidRDefault="00D11ED0" w:rsidP="00D11ED0">
      <w:pPr>
        <w:pStyle w:val="Heading4"/>
        <w:rPr>
          <w:rFonts w:ascii="Roboto" w:hAnsi="Roboto"/>
          <w:color w:val="auto"/>
          <w:sz w:val="20"/>
          <w:szCs w:val="20"/>
        </w:rPr>
      </w:pPr>
      <w:r>
        <w:rPr>
          <w:rFonts w:ascii="Roboto" w:hAnsi="Roboto"/>
          <w:color w:val="auto"/>
          <w:sz w:val="20"/>
          <w:szCs w:val="20"/>
        </w:rPr>
        <w:t>COVID 19</w:t>
      </w:r>
    </w:p>
    <w:p w14:paraId="04F33241" w14:textId="51080DC7" w:rsidR="00A2087D" w:rsidRPr="00886F1E" w:rsidRDefault="00A2087D" w:rsidP="00F027CF">
      <w:pPr>
        <w:pStyle w:val="BodyText"/>
      </w:pPr>
      <w:r w:rsidRPr="00886F1E">
        <w:t xml:space="preserve">At the time of writing, quarantine restrictions have been lifted for international vaccinated travellers however case numbers are rising. Safety and security of QTAG team members both international and based in PNG are of highest priority and as such this piece of work will remain flexibly as to whether it is done remotely or with in-country travel. Those who are present in PNG (team members, AHC and partners) are currently able meet face-to-face however health and safety protocols will be developed and adhered to with updates with any changes to the context. All international team members will be required to be double vaccinated (if not triple dependent on their personal health advice) to consult with partners as part of this design process. All PNG team members will be strongly encouraged to be double vaccinated, and if they are </w:t>
      </w:r>
      <w:proofErr w:type="gramStart"/>
      <w:r w:rsidRPr="00886F1E">
        <w:t>unvaccinated</w:t>
      </w:r>
      <w:proofErr w:type="gramEnd"/>
      <w:r w:rsidRPr="00886F1E">
        <w:t xml:space="preserve"> they will be unable to visit certain parts of Western Province (in particular the Treaty Villages) in order to minimise COVID-19 risk to vulnerable communities. </w:t>
      </w:r>
    </w:p>
    <w:p w14:paraId="00DB93E6" w14:textId="77777777" w:rsidR="00A2087D" w:rsidRPr="00A15964" w:rsidRDefault="00A2087D" w:rsidP="00A2087D">
      <w:pPr>
        <w:pStyle w:val="Heading4"/>
        <w:rPr>
          <w:rFonts w:ascii="Roboto" w:hAnsi="Roboto"/>
          <w:color w:val="auto"/>
          <w:sz w:val="20"/>
          <w:szCs w:val="20"/>
        </w:rPr>
      </w:pPr>
      <w:r w:rsidRPr="00A15964">
        <w:rPr>
          <w:rFonts w:ascii="Roboto" w:hAnsi="Roboto"/>
          <w:color w:val="auto"/>
          <w:sz w:val="20"/>
          <w:szCs w:val="20"/>
        </w:rPr>
        <w:t xml:space="preserve">PNG Election and Potential Unrest </w:t>
      </w:r>
    </w:p>
    <w:p w14:paraId="02C59F72" w14:textId="7761E202" w:rsidR="00A2087D" w:rsidRPr="00886F1E" w:rsidRDefault="00A2087D" w:rsidP="00F027CF">
      <w:pPr>
        <w:pStyle w:val="BodyText"/>
      </w:pPr>
      <w:r w:rsidRPr="00886F1E">
        <w:t xml:space="preserve">The PNG national elections are arranged to be held in June 2022 and comes with a higher likelihood of violence and COVID-19 transmission. This is likely to have impact on access to </w:t>
      </w:r>
      <w:r w:rsidRPr="00886F1E">
        <w:lastRenderedPageBreak/>
        <w:t xml:space="preserve">some partners in Western Province, hence the planned commencement of consultation work to take place in April 2022. </w:t>
      </w:r>
    </w:p>
    <w:p w14:paraId="7282976D" w14:textId="49A667CB" w:rsidR="00A2087D" w:rsidRPr="00F4038D" w:rsidRDefault="00A2087D" w:rsidP="00A15964">
      <w:pPr>
        <w:pStyle w:val="FigureImageTablehead"/>
      </w:pPr>
      <w:r w:rsidRPr="00F4038D">
        <w:t>Evaluation Foci &amp; Questions</w:t>
      </w:r>
    </w:p>
    <w:p w14:paraId="372BF23F" w14:textId="77777777" w:rsidR="00A2087D" w:rsidRPr="00F027CF" w:rsidRDefault="00A2087D" w:rsidP="00A2087D">
      <w:pPr>
        <w:pStyle w:val="OPMBodytext"/>
        <w:rPr>
          <w:rFonts w:cs="Arial"/>
          <w:sz w:val="22"/>
          <w:szCs w:val="22"/>
        </w:rPr>
      </w:pPr>
      <w:r w:rsidRPr="00F027CF">
        <w:rPr>
          <w:rFonts w:cs="Arial"/>
          <w:sz w:val="22"/>
          <w:szCs w:val="22"/>
        </w:rPr>
        <w:t xml:space="preserve">Noting the relatively short implementation period, the review team will focus on five key areas for analysis: </w:t>
      </w:r>
    </w:p>
    <w:p w14:paraId="2BF93B19" w14:textId="77777777" w:rsidR="00A2087D" w:rsidRPr="00F027CF" w:rsidRDefault="00A2087D" w:rsidP="00A2087D">
      <w:pPr>
        <w:pStyle w:val="OPMBodytext"/>
        <w:numPr>
          <w:ilvl w:val="0"/>
          <w:numId w:val="39"/>
        </w:numPr>
        <w:rPr>
          <w:rFonts w:cs="Arial"/>
          <w:sz w:val="22"/>
          <w:szCs w:val="22"/>
        </w:rPr>
      </w:pPr>
      <w:r w:rsidRPr="00F027CF">
        <w:rPr>
          <w:rFonts w:cs="Arial"/>
          <w:sz w:val="22"/>
          <w:szCs w:val="22"/>
        </w:rPr>
        <w:t>Effectiveness: what evidence can be provided at this stage of implementation as an update on achievements against component intermediate outcomes?</w:t>
      </w:r>
    </w:p>
    <w:p w14:paraId="135CEA41" w14:textId="77777777" w:rsidR="00A2087D" w:rsidRPr="00F027CF" w:rsidRDefault="00A2087D" w:rsidP="00A2087D">
      <w:pPr>
        <w:pStyle w:val="OPMBodytext"/>
        <w:numPr>
          <w:ilvl w:val="1"/>
          <w:numId w:val="39"/>
        </w:numPr>
        <w:rPr>
          <w:rFonts w:cs="Arial"/>
          <w:sz w:val="22"/>
          <w:szCs w:val="22"/>
        </w:rPr>
      </w:pPr>
      <w:r w:rsidRPr="00F027CF">
        <w:rPr>
          <w:rFonts w:cs="Arial"/>
          <w:sz w:val="22"/>
          <w:szCs w:val="22"/>
        </w:rPr>
        <w:t>Sections 2.2 and 2.3</w:t>
      </w:r>
    </w:p>
    <w:p w14:paraId="6E936D9E" w14:textId="77777777" w:rsidR="00A2087D" w:rsidRPr="00F027CF" w:rsidRDefault="00A2087D" w:rsidP="00A2087D">
      <w:pPr>
        <w:pStyle w:val="OPMBodytext"/>
        <w:numPr>
          <w:ilvl w:val="0"/>
          <w:numId w:val="39"/>
        </w:numPr>
        <w:rPr>
          <w:rFonts w:cs="Arial"/>
          <w:sz w:val="22"/>
          <w:szCs w:val="22"/>
        </w:rPr>
      </w:pPr>
      <w:r w:rsidRPr="00F027CF">
        <w:rPr>
          <w:rFonts w:cs="Arial"/>
          <w:sz w:val="22"/>
          <w:szCs w:val="22"/>
        </w:rPr>
        <w:t xml:space="preserve">Efficiency: in what ways were activities and outputs, in relation to the inputs delivered in a cost-efficient way? </w:t>
      </w:r>
    </w:p>
    <w:p w14:paraId="28E13478" w14:textId="77777777" w:rsidR="00A2087D" w:rsidRPr="00F027CF" w:rsidRDefault="00A2087D" w:rsidP="00A2087D">
      <w:pPr>
        <w:pStyle w:val="OPMBodytext"/>
        <w:numPr>
          <w:ilvl w:val="1"/>
          <w:numId w:val="39"/>
        </w:numPr>
        <w:rPr>
          <w:rFonts w:cs="Arial"/>
          <w:sz w:val="22"/>
          <w:szCs w:val="22"/>
        </w:rPr>
      </w:pPr>
      <w:r w:rsidRPr="00F027CF">
        <w:rPr>
          <w:rFonts w:cs="Arial"/>
          <w:sz w:val="22"/>
          <w:szCs w:val="22"/>
        </w:rPr>
        <w:t>Sections 3.2 and 3.3</w:t>
      </w:r>
    </w:p>
    <w:p w14:paraId="62A6B2FD" w14:textId="77777777" w:rsidR="00A2087D" w:rsidRPr="00F027CF" w:rsidRDefault="00A2087D" w:rsidP="00A2087D">
      <w:pPr>
        <w:pStyle w:val="OPMBodytext"/>
        <w:numPr>
          <w:ilvl w:val="0"/>
          <w:numId w:val="39"/>
        </w:numPr>
        <w:rPr>
          <w:rFonts w:cs="Arial"/>
          <w:sz w:val="22"/>
          <w:szCs w:val="22"/>
        </w:rPr>
      </w:pPr>
      <w:r w:rsidRPr="00F027CF">
        <w:rPr>
          <w:rFonts w:cs="Arial"/>
          <w:sz w:val="22"/>
          <w:szCs w:val="22"/>
        </w:rPr>
        <w:t>Coherence: in what ways is the implementation of the SFRP coherent with Australia’s priorities in South Fly?</w:t>
      </w:r>
    </w:p>
    <w:p w14:paraId="302D741F" w14:textId="77777777" w:rsidR="00A2087D" w:rsidRPr="00F027CF" w:rsidRDefault="00A2087D" w:rsidP="00A2087D">
      <w:pPr>
        <w:pStyle w:val="OPMBodytext"/>
        <w:numPr>
          <w:ilvl w:val="1"/>
          <w:numId w:val="39"/>
        </w:numPr>
        <w:rPr>
          <w:rFonts w:cs="Arial"/>
          <w:sz w:val="22"/>
          <w:szCs w:val="22"/>
        </w:rPr>
      </w:pPr>
      <w:r w:rsidRPr="00F027CF">
        <w:rPr>
          <w:rFonts w:cs="Arial"/>
          <w:sz w:val="22"/>
          <w:szCs w:val="22"/>
        </w:rPr>
        <w:t>Section 4.1</w:t>
      </w:r>
    </w:p>
    <w:p w14:paraId="5ACC856E" w14:textId="77777777" w:rsidR="00A2087D" w:rsidRPr="00F027CF" w:rsidRDefault="00A2087D" w:rsidP="00A2087D">
      <w:pPr>
        <w:pStyle w:val="OPMBodytext"/>
        <w:numPr>
          <w:ilvl w:val="0"/>
          <w:numId w:val="39"/>
        </w:numPr>
        <w:rPr>
          <w:rFonts w:cs="Arial"/>
          <w:sz w:val="22"/>
          <w:szCs w:val="22"/>
        </w:rPr>
      </w:pPr>
      <w:r w:rsidRPr="00F027CF">
        <w:rPr>
          <w:rFonts w:cs="Arial"/>
          <w:sz w:val="22"/>
          <w:szCs w:val="22"/>
        </w:rPr>
        <w:t xml:space="preserve">Sustainability: what areas of the program are more likely to be sustainable in the longer term? </w:t>
      </w:r>
    </w:p>
    <w:p w14:paraId="7327A154" w14:textId="77777777" w:rsidR="00A2087D" w:rsidRPr="00F027CF" w:rsidRDefault="00A2087D" w:rsidP="00A2087D">
      <w:pPr>
        <w:pStyle w:val="OPMBodytext"/>
        <w:numPr>
          <w:ilvl w:val="1"/>
          <w:numId w:val="39"/>
        </w:numPr>
        <w:rPr>
          <w:rFonts w:cs="Arial"/>
          <w:sz w:val="22"/>
          <w:szCs w:val="22"/>
        </w:rPr>
      </w:pPr>
      <w:r w:rsidRPr="00F027CF">
        <w:rPr>
          <w:rFonts w:cs="Arial"/>
          <w:sz w:val="22"/>
          <w:szCs w:val="22"/>
        </w:rPr>
        <w:t>Section 5.1</w:t>
      </w:r>
    </w:p>
    <w:p w14:paraId="52650196" w14:textId="77777777" w:rsidR="00A2087D" w:rsidRPr="00F027CF" w:rsidRDefault="00A2087D" w:rsidP="00A2087D">
      <w:pPr>
        <w:pStyle w:val="OPMBodytext"/>
        <w:numPr>
          <w:ilvl w:val="0"/>
          <w:numId w:val="39"/>
        </w:numPr>
        <w:rPr>
          <w:rFonts w:cs="Arial"/>
          <w:sz w:val="22"/>
          <w:szCs w:val="22"/>
        </w:rPr>
      </w:pPr>
      <w:r w:rsidRPr="00F027CF">
        <w:rPr>
          <w:rFonts w:cs="Arial"/>
          <w:sz w:val="22"/>
          <w:szCs w:val="22"/>
        </w:rPr>
        <w:t>Gender Equality: to what extent has gender equality and the three components of the gender strategy been progressed to date?</w:t>
      </w:r>
    </w:p>
    <w:p w14:paraId="07FAAAE4" w14:textId="2797079F" w:rsidR="00A2087D" w:rsidRPr="00F027CF" w:rsidRDefault="00A2087D" w:rsidP="00A2087D">
      <w:pPr>
        <w:pStyle w:val="OPMBodytext"/>
        <w:numPr>
          <w:ilvl w:val="1"/>
          <w:numId w:val="39"/>
        </w:numPr>
        <w:rPr>
          <w:rFonts w:cs="Arial"/>
          <w:sz w:val="22"/>
          <w:szCs w:val="22"/>
        </w:rPr>
      </w:pPr>
      <w:r w:rsidRPr="00F027CF">
        <w:rPr>
          <w:rFonts w:cs="Arial"/>
          <w:sz w:val="22"/>
          <w:szCs w:val="22"/>
        </w:rPr>
        <w:t>Section 6.2</w:t>
      </w:r>
    </w:p>
    <w:p w14:paraId="367AA6AC" w14:textId="77777777" w:rsidR="00A2087D" w:rsidRPr="00427060" w:rsidRDefault="00A2087D" w:rsidP="00A2087D">
      <w:pPr>
        <w:pStyle w:val="FigureImageTablehead"/>
      </w:pPr>
      <w:r w:rsidRPr="00427060">
        <w:t xml:space="preserve">Effectiveness:  </w:t>
      </w:r>
    </w:p>
    <w:p w14:paraId="1A58F705" w14:textId="77777777" w:rsidR="00A2087D" w:rsidRPr="00F027CF" w:rsidRDefault="00A2087D" w:rsidP="00A2087D">
      <w:pPr>
        <w:pStyle w:val="OPMBodytext"/>
        <w:numPr>
          <w:ilvl w:val="0"/>
          <w:numId w:val="39"/>
        </w:numPr>
        <w:rPr>
          <w:sz w:val="22"/>
          <w:szCs w:val="22"/>
        </w:rPr>
      </w:pPr>
      <w:r w:rsidRPr="00F027CF">
        <w:rPr>
          <w:sz w:val="22"/>
          <w:szCs w:val="22"/>
        </w:rPr>
        <w:t xml:space="preserve">In what ways are activities and outputs being delivered in a manner that is sensitive to gender and the socio-cultural local context?  </w:t>
      </w:r>
    </w:p>
    <w:p w14:paraId="620928D2" w14:textId="77777777" w:rsidR="00A2087D" w:rsidRPr="00F027CF" w:rsidRDefault="00A2087D" w:rsidP="00A2087D">
      <w:pPr>
        <w:pStyle w:val="OPMBodytext"/>
        <w:numPr>
          <w:ilvl w:val="1"/>
          <w:numId w:val="39"/>
        </w:numPr>
        <w:rPr>
          <w:sz w:val="22"/>
          <w:szCs w:val="22"/>
        </w:rPr>
      </w:pPr>
      <w:r w:rsidRPr="00F027CF">
        <w:rPr>
          <w:sz w:val="22"/>
          <w:szCs w:val="22"/>
        </w:rPr>
        <w:t>Section 2.4</w:t>
      </w:r>
    </w:p>
    <w:p w14:paraId="146FEE5D" w14:textId="77777777" w:rsidR="00A2087D" w:rsidRPr="00F027CF" w:rsidRDefault="00A2087D" w:rsidP="00A2087D">
      <w:pPr>
        <w:pStyle w:val="OPMBodytext"/>
        <w:numPr>
          <w:ilvl w:val="0"/>
          <w:numId w:val="39"/>
        </w:numPr>
        <w:rPr>
          <w:sz w:val="22"/>
          <w:szCs w:val="22"/>
        </w:rPr>
      </w:pPr>
      <w:r w:rsidRPr="00F027CF">
        <w:rPr>
          <w:sz w:val="22"/>
          <w:szCs w:val="22"/>
        </w:rPr>
        <w:t>To what extent are the intermediate outcomes likely to be achieved in the medium to long term and what are the major factors influencing this?</w:t>
      </w:r>
      <w:r w:rsidRPr="00F027CF">
        <w:rPr>
          <w:b/>
          <w:bCs/>
          <w:sz w:val="22"/>
          <w:szCs w:val="22"/>
        </w:rPr>
        <w:t xml:space="preserve"> </w:t>
      </w:r>
    </w:p>
    <w:p w14:paraId="251812BE" w14:textId="77777777" w:rsidR="00A2087D" w:rsidRPr="00F027CF" w:rsidRDefault="00A2087D" w:rsidP="00A2087D">
      <w:pPr>
        <w:pStyle w:val="OPMBodytext"/>
        <w:numPr>
          <w:ilvl w:val="1"/>
          <w:numId w:val="39"/>
        </w:numPr>
        <w:rPr>
          <w:sz w:val="22"/>
          <w:szCs w:val="22"/>
        </w:rPr>
      </w:pPr>
      <w:r w:rsidRPr="00F027CF">
        <w:rPr>
          <w:sz w:val="22"/>
          <w:szCs w:val="22"/>
        </w:rPr>
        <w:t>Sections 2.2 and 2.3</w:t>
      </w:r>
    </w:p>
    <w:p w14:paraId="2793DC44" w14:textId="77777777" w:rsidR="00A2087D" w:rsidRPr="00427060" w:rsidRDefault="00A2087D" w:rsidP="00A2087D">
      <w:pPr>
        <w:pStyle w:val="FigureImageTablehead"/>
      </w:pPr>
      <w:r w:rsidRPr="00427060">
        <w:t xml:space="preserve">Efficiency </w:t>
      </w:r>
    </w:p>
    <w:p w14:paraId="6E75DCFD" w14:textId="77777777" w:rsidR="00A2087D" w:rsidRPr="00F027CF" w:rsidRDefault="00A2087D" w:rsidP="00A2087D">
      <w:pPr>
        <w:pStyle w:val="OPMBodytext"/>
        <w:numPr>
          <w:ilvl w:val="0"/>
          <w:numId w:val="39"/>
        </w:numPr>
        <w:rPr>
          <w:sz w:val="22"/>
          <w:szCs w:val="22"/>
        </w:rPr>
      </w:pPr>
      <w:r w:rsidRPr="00F027CF">
        <w:rPr>
          <w:sz w:val="22"/>
          <w:szCs w:val="22"/>
        </w:rPr>
        <w:t xml:space="preserve">Are the resources allocated to the administration and implementation of the plan appropriate to achieve the program’s outcomes? What lessons can be learned regarding financial sustainability moving forward? </w:t>
      </w:r>
    </w:p>
    <w:p w14:paraId="3AABD045" w14:textId="77777777" w:rsidR="00A2087D" w:rsidRPr="00F027CF" w:rsidRDefault="00A2087D" w:rsidP="00A2087D">
      <w:pPr>
        <w:pStyle w:val="OPMBodytext"/>
        <w:numPr>
          <w:ilvl w:val="1"/>
          <w:numId w:val="39"/>
        </w:numPr>
        <w:rPr>
          <w:sz w:val="22"/>
          <w:szCs w:val="22"/>
        </w:rPr>
      </w:pPr>
      <w:r w:rsidRPr="00F027CF">
        <w:rPr>
          <w:sz w:val="22"/>
          <w:szCs w:val="22"/>
        </w:rPr>
        <w:t>Sections 3.1 and 5.1</w:t>
      </w:r>
    </w:p>
    <w:p w14:paraId="6C61B25E" w14:textId="77777777" w:rsidR="00A2087D" w:rsidRPr="00F027CF" w:rsidRDefault="00A2087D" w:rsidP="00A2087D">
      <w:pPr>
        <w:pStyle w:val="OPMBodytext"/>
        <w:numPr>
          <w:ilvl w:val="0"/>
          <w:numId w:val="39"/>
        </w:numPr>
        <w:rPr>
          <w:sz w:val="22"/>
          <w:szCs w:val="22"/>
        </w:rPr>
      </w:pPr>
      <w:r w:rsidRPr="00F027CF">
        <w:rPr>
          <w:sz w:val="22"/>
          <w:szCs w:val="22"/>
        </w:rPr>
        <w:t xml:space="preserve">Are the modalities used to deliver the activities appropriate (given consideration of the complex operating environment)? Are there other options where efficiencies could be gained?  </w:t>
      </w:r>
    </w:p>
    <w:p w14:paraId="7B04AF0A" w14:textId="77777777" w:rsidR="00A2087D" w:rsidRPr="00F027CF" w:rsidRDefault="00A2087D" w:rsidP="00A2087D">
      <w:pPr>
        <w:pStyle w:val="OPMBodytext"/>
        <w:numPr>
          <w:ilvl w:val="1"/>
          <w:numId w:val="39"/>
        </w:numPr>
        <w:rPr>
          <w:sz w:val="22"/>
          <w:szCs w:val="22"/>
        </w:rPr>
      </w:pPr>
      <w:r w:rsidRPr="00F027CF">
        <w:rPr>
          <w:sz w:val="22"/>
          <w:szCs w:val="22"/>
        </w:rPr>
        <w:t>Sections 3.2 and 3.3</w:t>
      </w:r>
    </w:p>
    <w:p w14:paraId="7DBC0C3D" w14:textId="77777777" w:rsidR="00A2087D" w:rsidRDefault="00A2087D" w:rsidP="00A2087D">
      <w:pPr>
        <w:pStyle w:val="FigureImageTablehead"/>
      </w:pPr>
      <w:r w:rsidRPr="00427060">
        <w:t>Coherence</w:t>
      </w:r>
    </w:p>
    <w:p w14:paraId="322E78DF" w14:textId="77777777" w:rsidR="00A2087D" w:rsidRPr="00F027CF" w:rsidRDefault="00A2087D" w:rsidP="00A2087D">
      <w:pPr>
        <w:pStyle w:val="OPMBodytext"/>
        <w:numPr>
          <w:ilvl w:val="0"/>
          <w:numId w:val="39"/>
        </w:numPr>
        <w:rPr>
          <w:sz w:val="22"/>
          <w:szCs w:val="22"/>
        </w:rPr>
      </w:pPr>
      <w:r w:rsidRPr="00F027CF">
        <w:rPr>
          <w:sz w:val="22"/>
          <w:szCs w:val="22"/>
        </w:rPr>
        <w:lastRenderedPageBreak/>
        <w:t xml:space="preserve">Are there synergies and interlinkages between the program and other parts of Australia’s development program and bilateral partnership operating in Western Province? How well have these opportunities been capitalised on?   </w:t>
      </w:r>
    </w:p>
    <w:p w14:paraId="3BDFCE77" w14:textId="77777777" w:rsidR="00A2087D" w:rsidRPr="00F027CF" w:rsidRDefault="00A2087D" w:rsidP="00A2087D">
      <w:pPr>
        <w:pStyle w:val="OPMBodytext"/>
        <w:numPr>
          <w:ilvl w:val="1"/>
          <w:numId w:val="39"/>
        </w:numPr>
        <w:rPr>
          <w:sz w:val="22"/>
          <w:szCs w:val="22"/>
        </w:rPr>
      </w:pPr>
      <w:r w:rsidRPr="00F027CF">
        <w:rPr>
          <w:sz w:val="22"/>
          <w:szCs w:val="22"/>
        </w:rPr>
        <w:t>Section 4.2</w:t>
      </w:r>
    </w:p>
    <w:p w14:paraId="140081B3" w14:textId="77777777" w:rsidR="00A2087D" w:rsidRPr="00F027CF" w:rsidRDefault="00A2087D" w:rsidP="00A2087D">
      <w:pPr>
        <w:pStyle w:val="OPMBodytext"/>
        <w:numPr>
          <w:ilvl w:val="0"/>
          <w:numId w:val="39"/>
        </w:numPr>
        <w:rPr>
          <w:sz w:val="22"/>
          <w:szCs w:val="22"/>
        </w:rPr>
      </w:pPr>
      <w:r w:rsidRPr="00F027CF">
        <w:rPr>
          <w:sz w:val="22"/>
          <w:szCs w:val="22"/>
        </w:rPr>
        <w:t xml:space="preserve">How effectively has the program complemented, </w:t>
      </w:r>
      <w:proofErr w:type="gramStart"/>
      <w:r w:rsidRPr="00F027CF">
        <w:rPr>
          <w:sz w:val="22"/>
          <w:szCs w:val="22"/>
        </w:rPr>
        <w:t>harmonised</w:t>
      </w:r>
      <w:proofErr w:type="gramEnd"/>
      <w:r w:rsidRPr="00F027CF">
        <w:rPr>
          <w:sz w:val="22"/>
          <w:szCs w:val="22"/>
        </w:rPr>
        <w:t xml:space="preserve"> and coordinated with key actors and interventions in Western Province? </w:t>
      </w:r>
    </w:p>
    <w:p w14:paraId="727C7B07" w14:textId="77777777" w:rsidR="00A2087D" w:rsidRPr="00F027CF" w:rsidRDefault="00A2087D" w:rsidP="00A2087D">
      <w:pPr>
        <w:pStyle w:val="OPMBodytext"/>
        <w:numPr>
          <w:ilvl w:val="1"/>
          <w:numId w:val="39"/>
        </w:numPr>
        <w:rPr>
          <w:sz w:val="22"/>
          <w:szCs w:val="22"/>
        </w:rPr>
      </w:pPr>
      <w:r w:rsidRPr="00F027CF">
        <w:rPr>
          <w:sz w:val="22"/>
          <w:szCs w:val="22"/>
        </w:rPr>
        <w:t>Section 4.3</w:t>
      </w:r>
    </w:p>
    <w:p w14:paraId="2C88B4EE" w14:textId="77777777" w:rsidR="00A2087D" w:rsidRPr="00427060" w:rsidRDefault="00A2087D" w:rsidP="00A2087D">
      <w:pPr>
        <w:pStyle w:val="FigureImageTablehead"/>
      </w:pPr>
      <w:r w:rsidRPr="00427060">
        <w:t xml:space="preserve">Sustainability </w:t>
      </w:r>
    </w:p>
    <w:p w14:paraId="1391CBD5" w14:textId="77777777" w:rsidR="00A2087D" w:rsidRPr="00F027CF" w:rsidRDefault="00A2087D" w:rsidP="00A2087D">
      <w:pPr>
        <w:pStyle w:val="OPMBodytext"/>
        <w:numPr>
          <w:ilvl w:val="0"/>
          <w:numId w:val="39"/>
        </w:numPr>
        <w:rPr>
          <w:rFonts w:asciiTheme="minorHAnsi" w:hAnsiTheme="minorHAnsi" w:cstheme="minorHAnsi"/>
          <w:sz w:val="22"/>
          <w:szCs w:val="22"/>
        </w:rPr>
      </w:pPr>
      <w:r w:rsidRPr="00F027CF">
        <w:rPr>
          <w:rFonts w:asciiTheme="minorHAnsi" w:hAnsiTheme="minorHAnsi" w:cstheme="minorHAnsi"/>
          <w:sz w:val="22"/>
          <w:szCs w:val="22"/>
        </w:rPr>
        <w:t xml:space="preserve">To what extent has the program contributed to more resilient communities? </w:t>
      </w:r>
    </w:p>
    <w:p w14:paraId="5B4554C9" w14:textId="77777777" w:rsidR="00A2087D" w:rsidRPr="00F027CF" w:rsidRDefault="00A2087D" w:rsidP="00A2087D">
      <w:pPr>
        <w:pStyle w:val="OPMBodytext"/>
        <w:numPr>
          <w:ilvl w:val="1"/>
          <w:numId w:val="39"/>
        </w:numPr>
        <w:rPr>
          <w:rFonts w:asciiTheme="minorHAnsi" w:hAnsiTheme="minorHAnsi" w:cstheme="minorHAnsi"/>
          <w:sz w:val="22"/>
          <w:szCs w:val="22"/>
        </w:rPr>
      </w:pPr>
      <w:r w:rsidRPr="00F027CF">
        <w:rPr>
          <w:rFonts w:asciiTheme="minorHAnsi" w:hAnsiTheme="minorHAnsi" w:cstheme="minorHAnsi"/>
          <w:sz w:val="22"/>
          <w:szCs w:val="22"/>
        </w:rPr>
        <w:t>Section 5.1</w:t>
      </w:r>
    </w:p>
    <w:p w14:paraId="0DD29BE2" w14:textId="77777777" w:rsidR="00A2087D" w:rsidRPr="00F027CF" w:rsidRDefault="00A2087D" w:rsidP="00A2087D">
      <w:pPr>
        <w:pStyle w:val="OPMBodytext"/>
        <w:numPr>
          <w:ilvl w:val="0"/>
          <w:numId w:val="39"/>
        </w:numPr>
        <w:rPr>
          <w:rFonts w:asciiTheme="minorHAnsi" w:hAnsiTheme="minorHAnsi" w:cstheme="minorHAnsi"/>
          <w:sz w:val="22"/>
          <w:szCs w:val="22"/>
        </w:rPr>
      </w:pPr>
      <w:r w:rsidRPr="00F027CF">
        <w:rPr>
          <w:rFonts w:asciiTheme="minorHAnsi" w:hAnsiTheme="minorHAnsi" w:cstheme="minorHAnsi"/>
          <w:sz w:val="22"/>
          <w:szCs w:val="22"/>
        </w:rPr>
        <w:t xml:space="preserve">How well is the program strengthening local institutions, both formal and informal? </w:t>
      </w:r>
    </w:p>
    <w:p w14:paraId="63B2E00D" w14:textId="77777777" w:rsidR="00A2087D" w:rsidRPr="00F027CF" w:rsidRDefault="00A2087D" w:rsidP="00A2087D">
      <w:pPr>
        <w:pStyle w:val="OPMBodytext"/>
        <w:numPr>
          <w:ilvl w:val="1"/>
          <w:numId w:val="39"/>
        </w:numPr>
        <w:rPr>
          <w:rFonts w:asciiTheme="minorHAnsi" w:hAnsiTheme="minorHAnsi" w:cstheme="minorHAnsi"/>
          <w:sz w:val="22"/>
          <w:szCs w:val="22"/>
        </w:rPr>
      </w:pPr>
      <w:r w:rsidRPr="00F027CF">
        <w:rPr>
          <w:rFonts w:asciiTheme="minorHAnsi" w:hAnsiTheme="minorHAnsi" w:cstheme="minorHAnsi"/>
          <w:sz w:val="22"/>
          <w:szCs w:val="22"/>
        </w:rPr>
        <w:t>Chapter 2 and Section 5.1</w:t>
      </w:r>
    </w:p>
    <w:p w14:paraId="604A4057" w14:textId="77777777" w:rsidR="00A2087D" w:rsidRPr="00F027CF" w:rsidRDefault="00A2087D" w:rsidP="0717EB4E">
      <w:pPr>
        <w:pStyle w:val="OPMBodytext"/>
        <w:numPr>
          <w:ilvl w:val="0"/>
          <w:numId w:val="39"/>
        </w:numPr>
        <w:rPr>
          <w:rFonts w:asciiTheme="minorHAnsi" w:hAnsiTheme="minorHAnsi" w:cstheme="minorHAnsi"/>
          <w:sz w:val="22"/>
          <w:szCs w:val="22"/>
        </w:rPr>
      </w:pPr>
      <w:r w:rsidRPr="00F027CF">
        <w:rPr>
          <w:rFonts w:asciiTheme="minorHAnsi" w:hAnsiTheme="minorHAnsi" w:cstheme="minorHAnsi"/>
          <w:sz w:val="22"/>
          <w:szCs w:val="22"/>
        </w:rPr>
        <w:t>To what extent are informal and formal institutions likely to be able to maintain all components</w:t>
      </w:r>
      <w:r w:rsidRPr="00F027CF">
        <w:rPr>
          <w:rStyle w:val="FootnoteReference"/>
          <w:rFonts w:asciiTheme="minorHAnsi" w:hAnsiTheme="minorHAnsi" w:cstheme="minorHAnsi"/>
          <w:sz w:val="22"/>
          <w:szCs w:val="22"/>
        </w:rPr>
        <w:footnoteReference w:id="15"/>
      </w:r>
      <w:r w:rsidRPr="00F027CF">
        <w:rPr>
          <w:rFonts w:asciiTheme="minorHAnsi" w:hAnsiTheme="minorHAnsi" w:cstheme="minorHAnsi"/>
          <w:sz w:val="22"/>
          <w:szCs w:val="22"/>
        </w:rPr>
        <w:t xml:space="preserve"> without support?     </w:t>
      </w:r>
    </w:p>
    <w:p w14:paraId="1B933FD8" w14:textId="77777777" w:rsidR="00A2087D" w:rsidRPr="00F027CF" w:rsidRDefault="00A2087D" w:rsidP="00A2087D">
      <w:pPr>
        <w:pStyle w:val="OPMBodytext"/>
        <w:numPr>
          <w:ilvl w:val="1"/>
          <w:numId w:val="39"/>
        </w:numPr>
        <w:rPr>
          <w:rFonts w:asciiTheme="minorHAnsi" w:hAnsiTheme="minorHAnsi" w:cstheme="minorHAnsi"/>
          <w:sz w:val="22"/>
          <w:szCs w:val="22"/>
        </w:rPr>
      </w:pPr>
      <w:r w:rsidRPr="00F027CF">
        <w:rPr>
          <w:rFonts w:asciiTheme="minorHAnsi" w:hAnsiTheme="minorHAnsi" w:cstheme="minorHAnsi"/>
          <w:sz w:val="22"/>
          <w:szCs w:val="22"/>
        </w:rPr>
        <w:t>Section 5.1</w:t>
      </w:r>
    </w:p>
    <w:p w14:paraId="7B050D11" w14:textId="77777777" w:rsidR="00A2087D" w:rsidRPr="00427060" w:rsidRDefault="00A2087D" w:rsidP="00A2087D">
      <w:pPr>
        <w:pStyle w:val="FigureImageTablehead"/>
      </w:pPr>
      <w:r w:rsidRPr="00427060">
        <w:t xml:space="preserve">Gender Equality </w:t>
      </w:r>
    </w:p>
    <w:p w14:paraId="0BD34FF2" w14:textId="77777777" w:rsidR="00A2087D" w:rsidRPr="00F027CF" w:rsidRDefault="00A2087D" w:rsidP="00A2087D">
      <w:pPr>
        <w:pStyle w:val="OPMBodytext"/>
        <w:numPr>
          <w:ilvl w:val="0"/>
          <w:numId w:val="39"/>
        </w:numPr>
        <w:rPr>
          <w:sz w:val="22"/>
          <w:szCs w:val="22"/>
        </w:rPr>
      </w:pPr>
      <w:r w:rsidRPr="00F027CF">
        <w:rPr>
          <w:sz w:val="22"/>
          <w:szCs w:val="22"/>
        </w:rPr>
        <w:t>What gender equality outcomes have been progressed to date in line with the three components of the gender strategy, and has this met stakeholder expectations?</w:t>
      </w:r>
    </w:p>
    <w:p w14:paraId="44AEB9AD" w14:textId="77777777" w:rsidR="00A2087D" w:rsidRPr="00F027CF" w:rsidRDefault="00A2087D" w:rsidP="00A2087D">
      <w:pPr>
        <w:pStyle w:val="OPMBodytext"/>
        <w:numPr>
          <w:ilvl w:val="1"/>
          <w:numId w:val="39"/>
        </w:numPr>
        <w:rPr>
          <w:sz w:val="22"/>
          <w:szCs w:val="22"/>
        </w:rPr>
      </w:pPr>
      <w:r w:rsidRPr="00F027CF">
        <w:rPr>
          <w:sz w:val="22"/>
          <w:szCs w:val="22"/>
        </w:rPr>
        <w:t>Section 6.2</w:t>
      </w:r>
    </w:p>
    <w:p w14:paraId="7E15F59D" w14:textId="77777777" w:rsidR="00A2087D" w:rsidRPr="00F027CF" w:rsidRDefault="00A2087D" w:rsidP="00A2087D">
      <w:pPr>
        <w:pStyle w:val="OPMBodytext"/>
        <w:numPr>
          <w:ilvl w:val="0"/>
          <w:numId w:val="39"/>
        </w:numPr>
        <w:rPr>
          <w:sz w:val="22"/>
          <w:szCs w:val="22"/>
        </w:rPr>
      </w:pPr>
      <w:r w:rsidRPr="00F027CF">
        <w:rPr>
          <w:sz w:val="22"/>
          <w:szCs w:val="22"/>
        </w:rPr>
        <w:t>Have opportunities been identified to form stronger linkages, leverage opportunities, or establish meaningful reforms in relation to women’s economic empowerment?</w:t>
      </w:r>
    </w:p>
    <w:p w14:paraId="2B7C8B16" w14:textId="77777777" w:rsidR="00A2087D" w:rsidRPr="00F027CF" w:rsidRDefault="00A2087D" w:rsidP="00A2087D">
      <w:pPr>
        <w:pStyle w:val="OPMBodytext"/>
        <w:numPr>
          <w:ilvl w:val="1"/>
          <w:numId w:val="39"/>
        </w:numPr>
        <w:rPr>
          <w:sz w:val="22"/>
          <w:szCs w:val="22"/>
        </w:rPr>
      </w:pPr>
      <w:r w:rsidRPr="00F027CF">
        <w:rPr>
          <w:sz w:val="22"/>
          <w:szCs w:val="22"/>
        </w:rPr>
        <w:t>Section 6.2</w:t>
      </w:r>
    </w:p>
    <w:p w14:paraId="63F098FE" w14:textId="77777777" w:rsidR="00A2087D" w:rsidRPr="00F027CF" w:rsidRDefault="00A2087D" w:rsidP="00A2087D">
      <w:pPr>
        <w:pStyle w:val="OPMBodytext"/>
        <w:numPr>
          <w:ilvl w:val="0"/>
          <w:numId w:val="39"/>
        </w:numPr>
        <w:rPr>
          <w:rStyle w:val="cf01"/>
          <w:rFonts w:ascii="Arial" w:hAnsi="Arial" w:cs="Times New Roman"/>
          <w:sz w:val="22"/>
          <w:szCs w:val="22"/>
        </w:rPr>
      </w:pPr>
      <w:r w:rsidRPr="00F027CF">
        <w:rPr>
          <w:rStyle w:val="cf01"/>
          <w:rFonts w:ascii="Arial" w:hAnsi="Arial" w:cs="Times New Roman"/>
          <w:sz w:val="22"/>
          <w:szCs w:val="22"/>
        </w:rPr>
        <w:t xml:space="preserve">Have there been any intended and unintended consequences (good and bad) with regards to gender equality? </w:t>
      </w:r>
    </w:p>
    <w:p w14:paraId="202A257D" w14:textId="77777777" w:rsidR="00A2087D" w:rsidRPr="00F027CF" w:rsidRDefault="00A2087D" w:rsidP="00A2087D">
      <w:pPr>
        <w:pStyle w:val="OPMBodytext"/>
        <w:numPr>
          <w:ilvl w:val="1"/>
          <w:numId w:val="39"/>
        </w:numPr>
        <w:rPr>
          <w:rStyle w:val="cf01"/>
          <w:rFonts w:ascii="Arial" w:hAnsi="Arial" w:cs="Times New Roman"/>
          <w:sz w:val="22"/>
          <w:szCs w:val="22"/>
        </w:rPr>
      </w:pPr>
      <w:r w:rsidRPr="00F027CF">
        <w:rPr>
          <w:rStyle w:val="cf01"/>
          <w:rFonts w:ascii="Arial" w:hAnsi="Arial" w:cs="Times New Roman"/>
          <w:sz w:val="22"/>
          <w:szCs w:val="22"/>
        </w:rPr>
        <w:t>Section 6.2</w:t>
      </w:r>
    </w:p>
    <w:p w14:paraId="0BECDE64" w14:textId="77777777" w:rsidR="00A2087D" w:rsidRPr="00F027CF" w:rsidRDefault="00A2087D" w:rsidP="00A2087D">
      <w:pPr>
        <w:pStyle w:val="OPMBodytext"/>
        <w:numPr>
          <w:ilvl w:val="0"/>
          <w:numId w:val="39"/>
        </w:numPr>
        <w:rPr>
          <w:rStyle w:val="cf01"/>
          <w:rFonts w:ascii="Arial" w:hAnsi="Arial" w:cs="Times New Roman"/>
          <w:sz w:val="22"/>
          <w:szCs w:val="22"/>
        </w:rPr>
      </w:pPr>
      <w:r w:rsidRPr="00F027CF">
        <w:rPr>
          <w:rStyle w:val="cf01"/>
          <w:rFonts w:ascii="Arial" w:hAnsi="Arial" w:cs="Times New Roman"/>
          <w:sz w:val="22"/>
          <w:szCs w:val="22"/>
        </w:rPr>
        <w:t xml:space="preserve">Has sufficient effort/resourcing has been made (was it sufficiently prioritised, and if not, why not)? </w:t>
      </w:r>
    </w:p>
    <w:p w14:paraId="191C5BBA" w14:textId="77777777" w:rsidR="00A2087D" w:rsidRPr="00F027CF" w:rsidRDefault="00A2087D" w:rsidP="00A2087D">
      <w:pPr>
        <w:pStyle w:val="OPMBodytext"/>
        <w:numPr>
          <w:ilvl w:val="1"/>
          <w:numId w:val="39"/>
        </w:numPr>
        <w:rPr>
          <w:sz w:val="22"/>
          <w:szCs w:val="22"/>
        </w:rPr>
      </w:pPr>
      <w:r w:rsidRPr="00F027CF">
        <w:rPr>
          <w:rStyle w:val="cf01"/>
          <w:rFonts w:ascii="Arial" w:hAnsi="Arial" w:cs="Times New Roman"/>
          <w:sz w:val="22"/>
          <w:szCs w:val="22"/>
        </w:rPr>
        <w:t>Section 6.3</w:t>
      </w:r>
    </w:p>
    <w:p w14:paraId="63FF06CD" w14:textId="77777777" w:rsidR="006951A8" w:rsidRDefault="006951A8" w:rsidP="006951A8">
      <w:pPr>
        <w:sectPr w:rsidR="006951A8" w:rsidSect="00C316E4">
          <w:pgSz w:w="11900" w:h="16840" w:code="9"/>
          <w:pgMar w:top="1440" w:right="1440" w:bottom="1440" w:left="1440" w:header="709" w:footer="709" w:gutter="0"/>
          <w:cols w:space="708"/>
          <w:titlePg/>
          <w:docGrid w:linePitch="360"/>
        </w:sectPr>
      </w:pPr>
    </w:p>
    <w:p w14:paraId="47AC4D1E" w14:textId="506CBFE1" w:rsidR="006951A8" w:rsidRDefault="006951A8" w:rsidP="006951A8">
      <w:pPr>
        <w:pStyle w:val="Heading1"/>
      </w:pPr>
      <w:bookmarkStart w:id="42" w:name="_Toc108260010"/>
      <w:r>
        <w:lastRenderedPageBreak/>
        <w:t>Annex 2: SFRP’s results framework</w:t>
      </w:r>
      <w:bookmarkEnd w:id="42"/>
    </w:p>
    <w:p w14:paraId="19BD7309" w14:textId="77777777" w:rsidR="00195401" w:rsidRDefault="006951A8" w:rsidP="006951A8">
      <w:pPr>
        <w:sectPr w:rsidR="00195401" w:rsidSect="00C316E4">
          <w:pgSz w:w="16840" w:h="11900" w:orient="landscape" w:code="9"/>
          <w:pgMar w:top="1440" w:right="1440" w:bottom="1440" w:left="1440" w:header="709" w:footer="709" w:gutter="0"/>
          <w:cols w:space="708"/>
          <w:titlePg/>
          <w:docGrid w:linePitch="360"/>
        </w:sectPr>
      </w:pPr>
      <w:r w:rsidRPr="006951A8">
        <w:rPr>
          <w:noProof/>
        </w:rPr>
        <w:drawing>
          <wp:inline distT="0" distB="0" distL="0" distR="0" wp14:anchorId="6905B14B" wp14:editId="17CA9F4A">
            <wp:extent cx="8648345" cy="4890052"/>
            <wp:effectExtent l="0" t="0" r="0" b="0"/>
            <wp:docPr id="5" name="Picture 5" descr="SFRP's results framewor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FRP's results framework &#10;"/>
                    <pic:cNvPicPr/>
                  </pic:nvPicPr>
                  <pic:blipFill>
                    <a:blip r:embed="rId30"/>
                    <a:stretch>
                      <a:fillRect/>
                    </a:stretch>
                  </pic:blipFill>
                  <pic:spPr>
                    <a:xfrm>
                      <a:off x="0" y="0"/>
                      <a:ext cx="8648345" cy="4890052"/>
                    </a:xfrm>
                    <a:prstGeom prst="rect">
                      <a:avLst/>
                    </a:prstGeom>
                  </pic:spPr>
                </pic:pic>
              </a:graphicData>
            </a:graphic>
          </wp:inline>
        </w:drawing>
      </w:r>
    </w:p>
    <w:p w14:paraId="7FE51E83" w14:textId="402F5A3D" w:rsidR="00195401" w:rsidRDefault="00195401" w:rsidP="00195401">
      <w:pPr>
        <w:pStyle w:val="Heading1"/>
      </w:pPr>
      <w:bookmarkStart w:id="43" w:name="_Toc108260011"/>
      <w:r>
        <w:lastRenderedPageBreak/>
        <w:t>Annex 3: Stakeholders consulted</w:t>
      </w:r>
      <w:r w:rsidR="00C13777">
        <w:rPr>
          <w:rStyle w:val="FootnoteReference"/>
        </w:rPr>
        <w:footnoteReference w:id="16"/>
      </w:r>
      <w:bookmarkEnd w:id="43"/>
    </w:p>
    <w:tbl>
      <w:tblPr>
        <w:tblStyle w:val="TableGrid"/>
        <w:tblW w:w="0" w:type="auto"/>
        <w:tblBorders>
          <w:top w:val="single" w:sz="18" w:space="0" w:color="0B1F51"/>
          <w:left w:val="single" w:sz="18" w:space="0" w:color="0B1F51"/>
          <w:bottom w:val="single" w:sz="18" w:space="0" w:color="0B1F51"/>
          <w:right w:val="single" w:sz="18" w:space="0" w:color="0B1F51"/>
          <w:insideH w:val="single" w:sz="18" w:space="0" w:color="0B1F51"/>
          <w:insideV w:val="single" w:sz="18" w:space="0" w:color="0B1F51"/>
        </w:tblBorders>
        <w:tblLook w:val="04A0" w:firstRow="1" w:lastRow="0" w:firstColumn="1" w:lastColumn="0" w:noHBand="0" w:noVBand="1"/>
      </w:tblPr>
      <w:tblGrid>
        <w:gridCol w:w="6717"/>
        <w:gridCol w:w="2257"/>
      </w:tblGrid>
      <w:tr w:rsidR="00B43E76" w14:paraId="0BA06D6B" w14:textId="77777777" w:rsidTr="399A8FDA">
        <w:tc>
          <w:tcPr>
            <w:tcW w:w="6771" w:type="dxa"/>
            <w:shd w:val="clear" w:color="auto" w:fill="0A1F50" w:themeFill="text2"/>
          </w:tcPr>
          <w:p w14:paraId="400A1219" w14:textId="251CB625" w:rsidR="00B43E76" w:rsidRPr="002036BF" w:rsidRDefault="00B43E76" w:rsidP="00685E36">
            <w:pPr>
              <w:pStyle w:val="BodyText"/>
              <w:rPr>
                <w:b/>
                <w:bCs/>
              </w:rPr>
            </w:pPr>
            <w:r>
              <w:rPr>
                <w:b/>
                <w:bCs/>
              </w:rPr>
              <w:t>Organisation</w:t>
            </w:r>
          </w:p>
        </w:tc>
        <w:tc>
          <w:tcPr>
            <w:tcW w:w="2268" w:type="dxa"/>
            <w:shd w:val="clear" w:color="auto" w:fill="0A1F50" w:themeFill="text2"/>
          </w:tcPr>
          <w:p w14:paraId="5D652099" w14:textId="747D1CFB" w:rsidR="00B43E76" w:rsidRPr="002036BF" w:rsidRDefault="00B43E76" w:rsidP="00685E36">
            <w:pPr>
              <w:pStyle w:val="BodyText"/>
              <w:rPr>
                <w:b/>
                <w:bCs/>
              </w:rPr>
            </w:pPr>
            <w:r>
              <w:rPr>
                <w:b/>
                <w:bCs/>
              </w:rPr>
              <w:t>Numbers involved</w:t>
            </w:r>
            <w:r w:rsidRPr="002036BF">
              <w:rPr>
                <w:b/>
                <w:bCs/>
              </w:rPr>
              <w:t xml:space="preserve"> </w:t>
            </w:r>
          </w:p>
        </w:tc>
      </w:tr>
      <w:tr w:rsidR="00B43E76" w14:paraId="7DA87F63" w14:textId="77777777" w:rsidTr="399A8FDA">
        <w:tc>
          <w:tcPr>
            <w:tcW w:w="6771" w:type="dxa"/>
            <w:shd w:val="clear" w:color="auto" w:fill="DAE4EC" w:themeFill="background2"/>
          </w:tcPr>
          <w:p w14:paraId="1EB593ED" w14:textId="21B5F046" w:rsidR="00B43E76" w:rsidRDefault="00B43E76" w:rsidP="00442B84">
            <w:pPr>
              <w:pStyle w:val="BodyText"/>
            </w:pPr>
            <w:r>
              <w:t>Pre departure briefing (DFAT)</w:t>
            </w:r>
          </w:p>
        </w:tc>
        <w:tc>
          <w:tcPr>
            <w:tcW w:w="2268" w:type="dxa"/>
            <w:shd w:val="clear" w:color="auto" w:fill="DAE4EC" w:themeFill="background2"/>
          </w:tcPr>
          <w:p w14:paraId="36F8B0EF" w14:textId="5BCF76A2" w:rsidR="00B43E76" w:rsidRDefault="00B43E76" w:rsidP="00442B84">
            <w:pPr>
              <w:pStyle w:val="BodyText"/>
            </w:pPr>
            <w:r>
              <w:t>2</w:t>
            </w:r>
          </w:p>
        </w:tc>
      </w:tr>
      <w:tr w:rsidR="00B43E76" w14:paraId="174F92F5" w14:textId="77777777" w:rsidTr="399A8FDA">
        <w:tc>
          <w:tcPr>
            <w:tcW w:w="6771" w:type="dxa"/>
            <w:shd w:val="clear" w:color="auto" w:fill="DAE4EC" w:themeFill="background2"/>
          </w:tcPr>
          <w:p w14:paraId="641CEE4C" w14:textId="5CB444F9" w:rsidR="00B43E76" w:rsidRDefault="00B43E76" w:rsidP="00442B84">
            <w:pPr>
              <w:pStyle w:val="BodyText"/>
            </w:pPr>
            <w:r>
              <w:t>Australian High Commission, Sub National Team</w:t>
            </w:r>
          </w:p>
        </w:tc>
        <w:tc>
          <w:tcPr>
            <w:tcW w:w="2268" w:type="dxa"/>
            <w:shd w:val="clear" w:color="auto" w:fill="DAE4EC" w:themeFill="background2"/>
          </w:tcPr>
          <w:p w14:paraId="44EEC6DB" w14:textId="4B3FB813" w:rsidR="00B43E76" w:rsidRDefault="00B43E76" w:rsidP="00442B84">
            <w:pPr>
              <w:pStyle w:val="BodyText"/>
            </w:pPr>
            <w:r>
              <w:t>4</w:t>
            </w:r>
          </w:p>
        </w:tc>
      </w:tr>
      <w:tr w:rsidR="00B43E76" w14:paraId="0FFEAF02" w14:textId="77777777" w:rsidTr="399A8FDA">
        <w:tc>
          <w:tcPr>
            <w:tcW w:w="6771" w:type="dxa"/>
            <w:shd w:val="clear" w:color="auto" w:fill="DAE4EC" w:themeFill="background2"/>
          </w:tcPr>
          <w:p w14:paraId="12D6C28C" w14:textId="0AC6EBDD" w:rsidR="00B43E76" w:rsidRDefault="00B43E76" w:rsidP="00442B84">
            <w:pPr>
              <w:pStyle w:val="BodyText"/>
            </w:pPr>
            <w:r>
              <w:t>Australian High Commission, Counsel General, Governance</w:t>
            </w:r>
          </w:p>
        </w:tc>
        <w:tc>
          <w:tcPr>
            <w:tcW w:w="2268" w:type="dxa"/>
            <w:shd w:val="clear" w:color="auto" w:fill="DAE4EC" w:themeFill="background2"/>
          </w:tcPr>
          <w:p w14:paraId="53F242EF" w14:textId="608AE352" w:rsidR="00B43E76" w:rsidRDefault="00B43E76" w:rsidP="00442B84">
            <w:pPr>
              <w:pStyle w:val="BodyText"/>
            </w:pPr>
            <w:r>
              <w:t>1</w:t>
            </w:r>
          </w:p>
        </w:tc>
      </w:tr>
      <w:tr w:rsidR="00B43E76" w14:paraId="347B9932" w14:textId="77777777" w:rsidTr="399A8FDA">
        <w:tc>
          <w:tcPr>
            <w:tcW w:w="6771" w:type="dxa"/>
            <w:shd w:val="clear" w:color="auto" w:fill="DAE4EC" w:themeFill="background2"/>
          </w:tcPr>
          <w:p w14:paraId="1DB210E6" w14:textId="0C5323E0" w:rsidR="00B43E76" w:rsidRDefault="00B43E76" w:rsidP="00442B84">
            <w:pPr>
              <w:pStyle w:val="BodyText"/>
            </w:pPr>
            <w:r>
              <w:t>Australian High Commission, Infrastructure Team</w:t>
            </w:r>
          </w:p>
        </w:tc>
        <w:tc>
          <w:tcPr>
            <w:tcW w:w="2268" w:type="dxa"/>
            <w:shd w:val="clear" w:color="auto" w:fill="DAE4EC" w:themeFill="background2"/>
          </w:tcPr>
          <w:p w14:paraId="533F0A51" w14:textId="4EDBC7C0" w:rsidR="00B43E76" w:rsidRDefault="00B43E76" w:rsidP="00442B84">
            <w:pPr>
              <w:pStyle w:val="BodyText"/>
            </w:pPr>
            <w:r>
              <w:t>2</w:t>
            </w:r>
          </w:p>
        </w:tc>
      </w:tr>
      <w:tr w:rsidR="00B43E76" w14:paraId="3D6AE2DE" w14:textId="77777777" w:rsidTr="399A8FDA">
        <w:tc>
          <w:tcPr>
            <w:tcW w:w="6771" w:type="dxa"/>
            <w:shd w:val="clear" w:color="auto" w:fill="DAE4EC" w:themeFill="background2"/>
          </w:tcPr>
          <w:p w14:paraId="4F4AC384" w14:textId="3FA71C99" w:rsidR="00B43E76" w:rsidRDefault="00B43E76" w:rsidP="00442B84">
            <w:pPr>
              <w:pStyle w:val="BodyText"/>
            </w:pPr>
            <w:r>
              <w:t>Australian High Commission, Health Team</w:t>
            </w:r>
          </w:p>
        </w:tc>
        <w:tc>
          <w:tcPr>
            <w:tcW w:w="2268" w:type="dxa"/>
            <w:shd w:val="clear" w:color="auto" w:fill="DAE4EC" w:themeFill="background2"/>
          </w:tcPr>
          <w:p w14:paraId="023B7101" w14:textId="032C2032" w:rsidR="00B43E76" w:rsidRDefault="00B43E76" w:rsidP="00442B84">
            <w:pPr>
              <w:pStyle w:val="BodyText"/>
            </w:pPr>
            <w:r>
              <w:t>1</w:t>
            </w:r>
          </w:p>
        </w:tc>
      </w:tr>
      <w:tr w:rsidR="00D878DF" w14:paraId="6FC1F6A7" w14:textId="77777777" w:rsidTr="399A8FDA">
        <w:tc>
          <w:tcPr>
            <w:tcW w:w="6771" w:type="dxa"/>
            <w:shd w:val="clear" w:color="auto" w:fill="DAE4EC" w:themeFill="background2"/>
          </w:tcPr>
          <w:p w14:paraId="2B2786CB" w14:textId="6BE8B235" w:rsidR="00D878DF" w:rsidRDefault="00D878DF" w:rsidP="00442B84">
            <w:pPr>
              <w:pStyle w:val="BodyText"/>
            </w:pPr>
            <w:r>
              <w:t xml:space="preserve">Australian High Commission, </w:t>
            </w:r>
            <w:proofErr w:type="gramStart"/>
            <w:r>
              <w:t>Law</w:t>
            </w:r>
            <w:proofErr w:type="gramEnd"/>
            <w:r>
              <w:t xml:space="preserve"> and Justice Team</w:t>
            </w:r>
          </w:p>
        </w:tc>
        <w:tc>
          <w:tcPr>
            <w:tcW w:w="2268" w:type="dxa"/>
            <w:shd w:val="clear" w:color="auto" w:fill="DAE4EC" w:themeFill="background2"/>
          </w:tcPr>
          <w:p w14:paraId="266AF190" w14:textId="1FDCA9A5" w:rsidR="00D878DF" w:rsidRDefault="00C13777" w:rsidP="00442B84">
            <w:pPr>
              <w:pStyle w:val="BodyText"/>
            </w:pPr>
            <w:r>
              <w:t>2</w:t>
            </w:r>
          </w:p>
        </w:tc>
      </w:tr>
      <w:tr w:rsidR="00B43E76" w14:paraId="5285EC43" w14:textId="77777777" w:rsidTr="399A8FDA">
        <w:tc>
          <w:tcPr>
            <w:tcW w:w="6771" w:type="dxa"/>
            <w:shd w:val="clear" w:color="auto" w:fill="DAE4EC" w:themeFill="background2"/>
          </w:tcPr>
          <w:p w14:paraId="19A85F4A" w14:textId="4B91D3EE" w:rsidR="00B43E76" w:rsidRDefault="00B43E76" w:rsidP="00442B84">
            <w:pPr>
              <w:pStyle w:val="BodyText"/>
            </w:pPr>
            <w:r>
              <w:t>World Vision, Port Moresby</w:t>
            </w:r>
          </w:p>
        </w:tc>
        <w:tc>
          <w:tcPr>
            <w:tcW w:w="2268" w:type="dxa"/>
            <w:shd w:val="clear" w:color="auto" w:fill="DAE4EC" w:themeFill="background2"/>
          </w:tcPr>
          <w:p w14:paraId="6B5C646F" w14:textId="098EDA72" w:rsidR="00B43E76" w:rsidRDefault="00B43E76" w:rsidP="00442B84">
            <w:pPr>
              <w:pStyle w:val="BodyText"/>
            </w:pPr>
            <w:r>
              <w:t>2</w:t>
            </w:r>
          </w:p>
        </w:tc>
      </w:tr>
      <w:tr w:rsidR="00B43E76" w14:paraId="3088B410" w14:textId="77777777" w:rsidTr="399A8FDA">
        <w:tc>
          <w:tcPr>
            <w:tcW w:w="6771" w:type="dxa"/>
            <w:shd w:val="clear" w:color="auto" w:fill="DAE4EC" w:themeFill="background2"/>
          </w:tcPr>
          <w:p w14:paraId="26430853" w14:textId="1D6AB7CE" w:rsidR="00B43E76" w:rsidRDefault="00B43E76" w:rsidP="00442B84">
            <w:pPr>
              <w:pStyle w:val="BodyText"/>
            </w:pPr>
            <w:r>
              <w:t>Abt Associates, Australia Papua New Guinea Subnational Program</w:t>
            </w:r>
          </w:p>
        </w:tc>
        <w:tc>
          <w:tcPr>
            <w:tcW w:w="2268" w:type="dxa"/>
            <w:shd w:val="clear" w:color="auto" w:fill="DAE4EC" w:themeFill="background2"/>
          </w:tcPr>
          <w:p w14:paraId="74A31C7C" w14:textId="1DACCF06" w:rsidR="00B43E76" w:rsidRDefault="00B43E76" w:rsidP="00442B84">
            <w:pPr>
              <w:pStyle w:val="BodyText"/>
            </w:pPr>
            <w:r>
              <w:t>4</w:t>
            </w:r>
          </w:p>
        </w:tc>
      </w:tr>
      <w:tr w:rsidR="00B43E76" w14:paraId="4918BC59" w14:textId="77777777" w:rsidTr="399A8FDA">
        <w:tc>
          <w:tcPr>
            <w:tcW w:w="6771" w:type="dxa"/>
            <w:shd w:val="clear" w:color="auto" w:fill="DAE4EC" w:themeFill="background2"/>
          </w:tcPr>
          <w:p w14:paraId="13B4B518" w14:textId="2B28D0C7" w:rsidR="00B43E76" w:rsidRDefault="00B43E76" w:rsidP="00442B84">
            <w:pPr>
              <w:pStyle w:val="BodyText"/>
            </w:pPr>
            <w:r>
              <w:t>Trans World Logistics &amp; Inchcape</w:t>
            </w:r>
          </w:p>
        </w:tc>
        <w:tc>
          <w:tcPr>
            <w:tcW w:w="2268" w:type="dxa"/>
            <w:shd w:val="clear" w:color="auto" w:fill="DAE4EC" w:themeFill="background2"/>
          </w:tcPr>
          <w:p w14:paraId="16940F39" w14:textId="402D1C8B" w:rsidR="00B43E76" w:rsidRDefault="00B43E76" w:rsidP="00442B84">
            <w:pPr>
              <w:pStyle w:val="BodyText"/>
            </w:pPr>
            <w:r>
              <w:t>3</w:t>
            </w:r>
          </w:p>
        </w:tc>
      </w:tr>
      <w:tr w:rsidR="00D878DF" w14:paraId="47D63C4B" w14:textId="77777777" w:rsidTr="399A8FDA">
        <w:tc>
          <w:tcPr>
            <w:tcW w:w="6771" w:type="dxa"/>
            <w:shd w:val="clear" w:color="auto" w:fill="DAE4EC" w:themeFill="background2"/>
          </w:tcPr>
          <w:p w14:paraId="227BBE7B" w14:textId="0F669BD9" w:rsidR="00D878DF" w:rsidRDefault="00D878DF" w:rsidP="00D878DF">
            <w:pPr>
              <w:pStyle w:val="BodyText"/>
            </w:pPr>
            <w:r>
              <w:t>Reef and Rainforest Research Centre</w:t>
            </w:r>
          </w:p>
        </w:tc>
        <w:tc>
          <w:tcPr>
            <w:tcW w:w="2268" w:type="dxa"/>
            <w:shd w:val="clear" w:color="auto" w:fill="DAE4EC" w:themeFill="background2"/>
          </w:tcPr>
          <w:p w14:paraId="00473C05" w14:textId="143368A0" w:rsidR="00D878DF" w:rsidRDefault="00D878DF" w:rsidP="00D878DF">
            <w:pPr>
              <w:pStyle w:val="BodyText"/>
            </w:pPr>
            <w:r>
              <w:t>3</w:t>
            </w:r>
          </w:p>
        </w:tc>
      </w:tr>
      <w:tr w:rsidR="00D878DF" w14:paraId="4643DCCE" w14:textId="77777777" w:rsidTr="399A8FDA">
        <w:tc>
          <w:tcPr>
            <w:tcW w:w="6771" w:type="dxa"/>
            <w:shd w:val="clear" w:color="auto" w:fill="DAE4EC" w:themeFill="background2"/>
          </w:tcPr>
          <w:p w14:paraId="2BCD7294" w14:textId="4E39C1AC" w:rsidR="00D878DF" w:rsidRDefault="00D878DF" w:rsidP="00D878DF">
            <w:pPr>
              <w:pStyle w:val="BodyText"/>
            </w:pPr>
            <w:r>
              <w:t>Fly River Provincial Administrator</w:t>
            </w:r>
          </w:p>
        </w:tc>
        <w:tc>
          <w:tcPr>
            <w:tcW w:w="2268" w:type="dxa"/>
            <w:shd w:val="clear" w:color="auto" w:fill="DAE4EC" w:themeFill="background2"/>
          </w:tcPr>
          <w:p w14:paraId="03B15CDB" w14:textId="18C7B310" w:rsidR="00D878DF" w:rsidRDefault="00D878DF" w:rsidP="00D878DF">
            <w:pPr>
              <w:pStyle w:val="BodyText"/>
            </w:pPr>
            <w:r>
              <w:t>1</w:t>
            </w:r>
          </w:p>
        </w:tc>
      </w:tr>
      <w:tr w:rsidR="00D878DF" w14:paraId="5FDC58E8" w14:textId="77777777" w:rsidTr="399A8FDA">
        <w:tc>
          <w:tcPr>
            <w:tcW w:w="6771" w:type="dxa"/>
            <w:shd w:val="clear" w:color="auto" w:fill="DAE4EC" w:themeFill="background2"/>
          </w:tcPr>
          <w:p w14:paraId="1088259A" w14:textId="18586CA1" w:rsidR="00D878DF" w:rsidRDefault="00264919" w:rsidP="00D878DF">
            <w:pPr>
              <w:pStyle w:val="BodyText"/>
            </w:pPr>
            <w:r>
              <w:t>SFD</w:t>
            </w:r>
            <w:r w:rsidR="00D878DF">
              <w:t xml:space="preserve"> Administ</w:t>
            </w:r>
            <w:r w:rsidR="00B4769B">
              <w:t>rator and Officers</w:t>
            </w:r>
          </w:p>
        </w:tc>
        <w:tc>
          <w:tcPr>
            <w:tcW w:w="2268" w:type="dxa"/>
            <w:shd w:val="clear" w:color="auto" w:fill="DAE4EC" w:themeFill="background2"/>
          </w:tcPr>
          <w:p w14:paraId="5217386C" w14:textId="2FE65E64" w:rsidR="00D878DF" w:rsidRDefault="00D878DF" w:rsidP="00D878DF">
            <w:pPr>
              <w:pStyle w:val="BodyText"/>
            </w:pPr>
            <w:r>
              <w:t>5</w:t>
            </w:r>
          </w:p>
        </w:tc>
      </w:tr>
      <w:tr w:rsidR="00D878DF" w14:paraId="4294E7FD" w14:textId="77777777" w:rsidTr="399A8FDA">
        <w:tc>
          <w:tcPr>
            <w:tcW w:w="6771" w:type="dxa"/>
            <w:shd w:val="clear" w:color="auto" w:fill="DAE4EC" w:themeFill="background2"/>
          </w:tcPr>
          <w:p w14:paraId="08B07266" w14:textId="6B26A4B5" w:rsidR="00D878DF" w:rsidRDefault="00264919" w:rsidP="00D878DF">
            <w:pPr>
              <w:pStyle w:val="BodyText"/>
            </w:pPr>
            <w:r>
              <w:t>SFD</w:t>
            </w:r>
            <w:r w:rsidR="00D878DF">
              <w:t xml:space="preserve"> WASH Committee</w:t>
            </w:r>
          </w:p>
        </w:tc>
        <w:tc>
          <w:tcPr>
            <w:tcW w:w="2268" w:type="dxa"/>
            <w:shd w:val="clear" w:color="auto" w:fill="DAE4EC" w:themeFill="background2"/>
          </w:tcPr>
          <w:p w14:paraId="74217510" w14:textId="773EFFB3" w:rsidR="00D878DF" w:rsidRDefault="00D878DF" w:rsidP="00D878DF">
            <w:pPr>
              <w:pStyle w:val="BodyText"/>
            </w:pPr>
            <w:r>
              <w:t>6</w:t>
            </w:r>
          </w:p>
        </w:tc>
      </w:tr>
      <w:tr w:rsidR="00D878DF" w14:paraId="6967C567" w14:textId="77777777" w:rsidTr="399A8FDA">
        <w:tc>
          <w:tcPr>
            <w:tcW w:w="6771" w:type="dxa"/>
            <w:shd w:val="clear" w:color="auto" w:fill="DAE4EC" w:themeFill="background2"/>
          </w:tcPr>
          <w:p w14:paraId="681FA631" w14:textId="6DFDFB76" w:rsidR="00D878DF" w:rsidRDefault="00264919" w:rsidP="00D878DF">
            <w:pPr>
              <w:pStyle w:val="BodyText"/>
            </w:pPr>
            <w:r>
              <w:t>SFD</w:t>
            </w:r>
            <w:r w:rsidR="00D878DF">
              <w:t xml:space="preserve"> LLG Presidents and Managers</w:t>
            </w:r>
          </w:p>
        </w:tc>
        <w:tc>
          <w:tcPr>
            <w:tcW w:w="2268" w:type="dxa"/>
            <w:shd w:val="clear" w:color="auto" w:fill="DAE4EC" w:themeFill="background2"/>
          </w:tcPr>
          <w:p w14:paraId="2137814A" w14:textId="6FBF4DF2" w:rsidR="00D878DF" w:rsidRDefault="00D878DF" w:rsidP="00D878DF">
            <w:pPr>
              <w:pStyle w:val="BodyText"/>
            </w:pPr>
            <w:r>
              <w:t>8</w:t>
            </w:r>
          </w:p>
        </w:tc>
      </w:tr>
      <w:tr w:rsidR="00D878DF" w14:paraId="126151AB" w14:textId="77777777" w:rsidTr="399A8FDA">
        <w:tc>
          <w:tcPr>
            <w:tcW w:w="6771" w:type="dxa"/>
            <w:shd w:val="clear" w:color="auto" w:fill="DAE4EC" w:themeFill="background2"/>
          </w:tcPr>
          <w:p w14:paraId="3CBDFD70" w14:textId="72C27EDE" w:rsidR="00D878DF" w:rsidRDefault="00D878DF" w:rsidP="00D878DF">
            <w:pPr>
              <w:pStyle w:val="BodyText"/>
            </w:pPr>
            <w:r>
              <w:t>INLOC Advisers</w:t>
            </w:r>
          </w:p>
        </w:tc>
        <w:tc>
          <w:tcPr>
            <w:tcW w:w="2268" w:type="dxa"/>
            <w:shd w:val="clear" w:color="auto" w:fill="DAE4EC" w:themeFill="background2"/>
          </w:tcPr>
          <w:p w14:paraId="5FB08814" w14:textId="07AF8333" w:rsidR="00D878DF" w:rsidRDefault="00D878DF" w:rsidP="00D878DF">
            <w:pPr>
              <w:pStyle w:val="BodyText"/>
            </w:pPr>
            <w:r>
              <w:t>4</w:t>
            </w:r>
          </w:p>
        </w:tc>
      </w:tr>
      <w:tr w:rsidR="00D878DF" w14:paraId="68D6D152" w14:textId="77777777" w:rsidTr="399A8FDA">
        <w:tc>
          <w:tcPr>
            <w:tcW w:w="6771" w:type="dxa"/>
            <w:shd w:val="clear" w:color="auto" w:fill="DAE4EC" w:themeFill="background2"/>
          </w:tcPr>
          <w:p w14:paraId="7312D5F0" w14:textId="23E8ACBE" w:rsidR="00D878DF" w:rsidRDefault="00D878DF" w:rsidP="00D878DF">
            <w:pPr>
              <w:pStyle w:val="BodyText"/>
            </w:pPr>
            <w:r>
              <w:t>World Vision (</w:t>
            </w:r>
            <w:r w:rsidR="00264919">
              <w:t>SFD</w:t>
            </w:r>
            <w:r>
              <w:t>)</w:t>
            </w:r>
          </w:p>
        </w:tc>
        <w:tc>
          <w:tcPr>
            <w:tcW w:w="2268" w:type="dxa"/>
            <w:shd w:val="clear" w:color="auto" w:fill="DAE4EC" w:themeFill="background2"/>
          </w:tcPr>
          <w:p w14:paraId="34A63F4A" w14:textId="5008AAE8" w:rsidR="00D878DF" w:rsidRDefault="00D878DF" w:rsidP="00D878DF">
            <w:pPr>
              <w:pStyle w:val="BodyText"/>
            </w:pPr>
            <w:r>
              <w:t>1</w:t>
            </w:r>
          </w:p>
        </w:tc>
      </w:tr>
      <w:tr w:rsidR="00D878DF" w14:paraId="46E06913" w14:textId="77777777" w:rsidTr="399A8FDA">
        <w:tc>
          <w:tcPr>
            <w:tcW w:w="6771" w:type="dxa"/>
            <w:shd w:val="clear" w:color="auto" w:fill="DAE4EC" w:themeFill="background2"/>
          </w:tcPr>
          <w:p w14:paraId="50C6DD50" w14:textId="77915B9F" w:rsidR="00D878DF" w:rsidRDefault="00D878DF" w:rsidP="00D878DF">
            <w:pPr>
              <w:pStyle w:val="BodyText"/>
            </w:pPr>
            <w:r>
              <w:t>INLOC Rangers</w:t>
            </w:r>
          </w:p>
        </w:tc>
        <w:tc>
          <w:tcPr>
            <w:tcW w:w="2268" w:type="dxa"/>
            <w:shd w:val="clear" w:color="auto" w:fill="DAE4EC" w:themeFill="background2"/>
          </w:tcPr>
          <w:p w14:paraId="782537F3" w14:textId="5C917167" w:rsidR="00D878DF" w:rsidRDefault="670C0377" w:rsidP="00D878DF">
            <w:pPr>
              <w:pStyle w:val="BodyText"/>
            </w:pPr>
            <w:r>
              <w:t>8</w:t>
            </w:r>
          </w:p>
        </w:tc>
      </w:tr>
      <w:tr w:rsidR="00D878DF" w14:paraId="604E3A84" w14:textId="77777777" w:rsidTr="399A8FDA">
        <w:tc>
          <w:tcPr>
            <w:tcW w:w="6771" w:type="dxa"/>
            <w:shd w:val="clear" w:color="auto" w:fill="DAE4EC" w:themeFill="background2"/>
          </w:tcPr>
          <w:p w14:paraId="02051903" w14:textId="776EC7E2" w:rsidR="00D878DF" w:rsidRDefault="00D878DF" w:rsidP="00D878DF">
            <w:pPr>
              <w:pStyle w:val="BodyText"/>
            </w:pPr>
            <w:r>
              <w:t>Kibuli village</w:t>
            </w:r>
          </w:p>
        </w:tc>
        <w:tc>
          <w:tcPr>
            <w:tcW w:w="2268" w:type="dxa"/>
            <w:shd w:val="clear" w:color="auto" w:fill="DAE4EC" w:themeFill="background2"/>
          </w:tcPr>
          <w:p w14:paraId="189D2983" w14:textId="17D21E75" w:rsidR="00D878DF" w:rsidRDefault="0023486A" w:rsidP="00D878DF">
            <w:pPr>
              <w:pStyle w:val="BodyText"/>
            </w:pPr>
            <w:r>
              <w:t xml:space="preserve">Circa </w:t>
            </w:r>
            <w:r w:rsidR="00D878DF">
              <w:t>80</w:t>
            </w:r>
          </w:p>
        </w:tc>
      </w:tr>
      <w:tr w:rsidR="00D878DF" w14:paraId="51B604E5" w14:textId="77777777" w:rsidTr="399A8FDA">
        <w:tc>
          <w:tcPr>
            <w:tcW w:w="6771" w:type="dxa"/>
            <w:shd w:val="clear" w:color="auto" w:fill="DAE4EC" w:themeFill="background2"/>
          </w:tcPr>
          <w:p w14:paraId="65296E97" w14:textId="0B4D989B" w:rsidR="00D878DF" w:rsidRDefault="00D878DF" w:rsidP="00D878DF">
            <w:pPr>
              <w:pStyle w:val="BodyText"/>
            </w:pPr>
            <w:proofErr w:type="spellStart"/>
            <w:r>
              <w:t>Mabuduwan</w:t>
            </w:r>
            <w:proofErr w:type="spellEnd"/>
            <w:r>
              <w:t xml:space="preserve"> village</w:t>
            </w:r>
          </w:p>
        </w:tc>
        <w:tc>
          <w:tcPr>
            <w:tcW w:w="2268" w:type="dxa"/>
            <w:shd w:val="clear" w:color="auto" w:fill="DAE4EC" w:themeFill="background2"/>
          </w:tcPr>
          <w:p w14:paraId="0184762B" w14:textId="39F6258E" w:rsidR="00D878DF" w:rsidRDefault="0023486A" w:rsidP="00D878DF">
            <w:pPr>
              <w:pStyle w:val="BodyText"/>
            </w:pPr>
            <w:r>
              <w:t xml:space="preserve">Circa </w:t>
            </w:r>
            <w:r w:rsidR="00D878DF">
              <w:t>50</w:t>
            </w:r>
          </w:p>
        </w:tc>
      </w:tr>
      <w:tr w:rsidR="00D878DF" w14:paraId="79FB6963" w14:textId="77777777" w:rsidTr="399A8FDA">
        <w:tc>
          <w:tcPr>
            <w:tcW w:w="6771" w:type="dxa"/>
            <w:shd w:val="clear" w:color="auto" w:fill="DAE4EC" w:themeFill="background2"/>
          </w:tcPr>
          <w:p w14:paraId="36646DDD" w14:textId="53D98948" w:rsidR="00D878DF" w:rsidRDefault="00D878DF" w:rsidP="00D878DF">
            <w:pPr>
              <w:pStyle w:val="BodyText"/>
            </w:pPr>
            <w:proofErr w:type="spellStart"/>
            <w:r>
              <w:t>Buzi</w:t>
            </w:r>
            <w:proofErr w:type="spellEnd"/>
            <w:r>
              <w:t xml:space="preserve"> village </w:t>
            </w:r>
          </w:p>
        </w:tc>
        <w:tc>
          <w:tcPr>
            <w:tcW w:w="2268" w:type="dxa"/>
            <w:shd w:val="clear" w:color="auto" w:fill="DAE4EC" w:themeFill="background2"/>
          </w:tcPr>
          <w:p w14:paraId="45D791A6" w14:textId="6023543E" w:rsidR="00D878DF" w:rsidRDefault="0023486A" w:rsidP="00D878DF">
            <w:pPr>
              <w:pStyle w:val="BodyText"/>
            </w:pPr>
            <w:r>
              <w:t xml:space="preserve">Circa </w:t>
            </w:r>
            <w:r w:rsidR="00E73826">
              <w:t>50</w:t>
            </w:r>
          </w:p>
        </w:tc>
      </w:tr>
      <w:tr w:rsidR="00D878DF" w14:paraId="3E36A001" w14:textId="77777777" w:rsidTr="399A8FDA">
        <w:tc>
          <w:tcPr>
            <w:tcW w:w="6771" w:type="dxa"/>
            <w:shd w:val="clear" w:color="auto" w:fill="DAE4EC" w:themeFill="background2"/>
          </w:tcPr>
          <w:p w14:paraId="3BBA5222" w14:textId="1F9936D7" w:rsidR="00D878DF" w:rsidRDefault="00D878DF" w:rsidP="00D878DF">
            <w:pPr>
              <w:pStyle w:val="BodyText"/>
            </w:pPr>
            <w:proofErr w:type="spellStart"/>
            <w:r>
              <w:t>Sigabuduri</w:t>
            </w:r>
            <w:proofErr w:type="spellEnd"/>
            <w:r>
              <w:t xml:space="preserve"> village</w:t>
            </w:r>
          </w:p>
        </w:tc>
        <w:tc>
          <w:tcPr>
            <w:tcW w:w="2268" w:type="dxa"/>
            <w:shd w:val="clear" w:color="auto" w:fill="DAE4EC" w:themeFill="background2"/>
          </w:tcPr>
          <w:p w14:paraId="75EDC8A0" w14:textId="4E5BA6C7" w:rsidR="00D878DF" w:rsidRDefault="0023486A" w:rsidP="00D878DF">
            <w:pPr>
              <w:pStyle w:val="BodyText"/>
            </w:pPr>
            <w:r>
              <w:t xml:space="preserve">Circa </w:t>
            </w:r>
            <w:r w:rsidR="00E73826">
              <w:t>100</w:t>
            </w:r>
          </w:p>
        </w:tc>
      </w:tr>
      <w:tr w:rsidR="00E73826" w14:paraId="607FD4F8" w14:textId="77777777" w:rsidTr="399A8FDA">
        <w:tc>
          <w:tcPr>
            <w:tcW w:w="6771" w:type="dxa"/>
            <w:shd w:val="clear" w:color="auto" w:fill="DAE4EC" w:themeFill="background2"/>
          </w:tcPr>
          <w:p w14:paraId="1F769427" w14:textId="61E39B37" w:rsidR="00E73826" w:rsidRDefault="00E73826" w:rsidP="00D878DF">
            <w:pPr>
              <w:pStyle w:val="BodyText"/>
            </w:pPr>
            <w:r>
              <w:t xml:space="preserve">Old </w:t>
            </w:r>
            <w:proofErr w:type="spellStart"/>
            <w:r>
              <w:t>Mawatta</w:t>
            </w:r>
            <w:proofErr w:type="spellEnd"/>
            <w:r>
              <w:t xml:space="preserve"> village</w:t>
            </w:r>
          </w:p>
        </w:tc>
        <w:tc>
          <w:tcPr>
            <w:tcW w:w="2268" w:type="dxa"/>
            <w:shd w:val="clear" w:color="auto" w:fill="DAE4EC" w:themeFill="background2"/>
          </w:tcPr>
          <w:p w14:paraId="231E67C6" w14:textId="32FE96F8" w:rsidR="00E73826" w:rsidRDefault="0023486A" w:rsidP="00D878DF">
            <w:pPr>
              <w:pStyle w:val="BodyText"/>
            </w:pPr>
            <w:r>
              <w:t xml:space="preserve">Circa </w:t>
            </w:r>
            <w:r w:rsidR="00E73826">
              <w:t>30</w:t>
            </w:r>
          </w:p>
        </w:tc>
      </w:tr>
      <w:tr w:rsidR="00E73826" w14:paraId="446492F5" w14:textId="77777777" w:rsidTr="399A8FDA">
        <w:tc>
          <w:tcPr>
            <w:tcW w:w="6771" w:type="dxa"/>
            <w:shd w:val="clear" w:color="auto" w:fill="DAE4EC" w:themeFill="background2"/>
          </w:tcPr>
          <w:p w14:paraId="0696C04D" w14:textId="181AD098" w:rsidR="00E73826" w:rsidRDefault="00E73826" w:rsidP="00D878DF">
            <w:pPr>
              <w:pStyle w:val="BodyText"/>
            </w:pPr>
            <w:proofErr w:type="spellStart"/>
            <w:r>
              <w:lastRenderedPageBreak/>
              <w:t>Parama</w:t>
            </w:r>
            <w:proofErr w:type="spellEnd"/>
            <w:r>
              <w:t xml:space="preserve"> village</w:t>
            </w:r>
          </w:p>
        </w:tc>
        <w:tc>
          <w:tcPr>
            <w:tcW w:w="2268" w:type="dxa"/>
            <w:shd w:val="clear" w:color="auto" w:fill="DAE4EC" w:themeFill="background2"/>
          </w:tcPr>
          <w:p w14:paraId="605BFF78" w14:textId="75F2AB91" w:rsidR="00E73826" w:rsidRDefault="0023486A" w:rsidP="00D878DF">
            <w:pPr>
              <w:pStyle w:val="BodyText"/>
            </w:pPr>
            <w:r>
              <w:t xml:space="preserve">Circa </w:t>
            </w:r>
            <w:r w:rsidR="00E73826">
              <w:t>60</w:t>
            </w:r>
          </w:p>
        </w:tc>
      </w:tr>
      <w:tr w:rsidR="00E73826" w14:paraId="1EAB7CA6" w14:textId="77777777" w:rsidTr="399A8FDA">
        <w:tc>
          <w:tcPr>
            <w:tcW w:w="6771" w:type="dxa"/>
            <w:shd w:val="clear" w:color="auto" w:fill="DAE4EC" w:themeFill="background2"/>
          </w:tcPr>
          <w:p w14:paraId="313E358C" w14:textId="01B9B2C4" w:rsidR="00E73826" w:rsidRDefault="00E73826" w:rsidP="00D878DF">
            <w:pPr>
              <w:pStyle w:val="BodyText"/>
            </w:pPr>
            <w:proofErr w:type="spellStart"/>
            <w:r>
              <w:t>Katatai</w:t>
            </w:r>
            <w:proofErr w:type="spellEnd"/>
            <w:r>
              <w:t xml:space="preserve"> village</w:t>
            </w:r>
          </w:p>
        </w:tc>
        <w:tc>
          <w:tcPr>
            <w:tcW w:w="2268" w:type="dxa"/>
            <w:shd w:val="clear" w:color="auto" w:fill="DAE4EC" w:themeFill="background2"/>
          </w:tcPr>
          <w:p w14:paraId="3A991AF2" w14:textId="233EE985" w:rsidR="00E73826" w:rsidRDefault="0023486A" w:rsidP="00D878DF">
            <w:pPr>
              <w:pStyle w:val="BodyText"/>
            </w:pPr>
            <w:r>
              <w:t xml:space="preserve">Circa </w:t>
            </w:r>
            <w:r w:rsidR="00E73826">
              <w:t>40</w:t>
            </w:r>
          </w:p>
        </w:tc>
      </w:tr>
      <w:tr w:rsidR="00BD1D10" w14:paraId="4996017D" w14:textId="77777777" w:rsidTr="399A8FDA">
        <w:tc>
          <w:tcPr>
            <w:tcW w:w="6771" w:type="dxa"/>
            <w:shd w:val="clear" w:color="auto" w:fill="DAE4EC" w:themeFill="background2"/>
          </w:tcPr>
          <w:p w14:paraId="2F1B441B" w14:textId="6872CDAD" w:rsidR="00BD1D10" w:rsidRDefault="00BD1D10" w:rsidP="00D878DF">
            <w:pPr>
              <w:pStyle w:val="BodyText"/>
            </w:pPr>
            <w:r>
              <w:t>Aide Memoire presentation</w:t>
            </w:r>
          </w:p>
        </w:tc>
        <w:tc>
          <w:tcPr>
            <w:tcW w:w="2268" w:type="dxa"/>
            <w:shd w:val="clear" w:color="auto" w:fill="DAE4EC" w:themeFill="background2"/>
          </w:tcPr>
          <w:p w14:paraId="44108A4A" w14:textId="4FB191C6" w:rsidR="00BD1D10" w:rsidRDefault="0023486A" w:rsidP="00D878DF">
            <w:pPr>
              <w:pStyle w:val="BodyText"/>
            </w:pPr>
            <w:r>
              <w:t xml:space="preserve">Circa </w:t>
            </w:r>
            <w:r w:rsidR="00BD1D10">
              <w:t>20</w:t>
            </w:r>
          </w:p>
        </w:tc>
      </w:tr>
      <w:tr w:rsidR="007E6C58" w14:paraId="3D56D641" w14:textId="77777777" w:rsidTr="399A8FDA">
        <w:tc>
          <w:tcPr>
            <w:tcW w:w="6771" w:type="dxa"/>
            <w:shd w:val="clear" w:color="auto" w:fill="DAE4EC" w:themeFill="background2"/>
          </w:tcPr>
          <w:p w14:paraId="5677D15E" w14:textId="67E1D174" w:rsidR="007E6C58" w:rsidRDefault="00A71A38" w:rsidP="00D878DF">
            <w:pPr>
              <w:pStyle w:val="BodyText"/>
            </w:pPr>
            <w:r>
              <w:t>AST Oceanics</w:t>
            </w:r>
          </w:p>
        </w:tc>
        <w:tc>
          <w:tcPr>
            <w:tcW w:w="2268" w:type="dxa"/>
            <w:shd w:val="clear" w:color="auto" w:fill="DAE4EC" w:themeFill="background2"/>
          </w:tcPr>
          <w:p w14:paraId="4DA7E707" w14:textId="5D2D40E1" w:rsidR="007E6C58" w:rsidRDefault="00A71A38" w:rsidP="00D878DF">
            <w:pPr>
              <w:pStyle w:val="BodyText"/>
            </w:pPr>
            <w:r>
              <w:t>1</w:t>
            </w:r>
          </w:p>
        </w:tc>
      </w:tr>
      <w:tr w:rsidR="00A71A38" w14:paraId="57C8E33B" w14:textId="77777777" w:rsidTr="399A8FDA">
        <w:tc>
          <w:tcPr>
            <w:tcW w:w="6771" w:type="dxa"/>
            <w:shd w:val="clear" w:color="auto" w:fill="DAE4EC" w:themeFill="background2"/>
          </w:tcPr>
          <w:p w14:paraId="0D2AC427" w14:textId="1F913461" w:rsidR="00A71A38" w:rsidRDefault="00C13777" w:rsidP="00D878DF">
            <w:pPr>
              <w:pStyle w:val="BodyText"/>
            </w:pPr>
            <w:r>
              <w:t>Department of Provincial and Local Level Government Affairs</w:t>
            </w:r>
          </w:p>
        </w:tc>
        <w:tc>
          <w:tcPr>
            <w:tcW w:w="2268" w:type="dxa"/>
            <w:shd w:val="clear" w:color="auto" w:fill="DAE4EC" w:themeFill="background2"/>
          </w:tcPr>
          <w:p w14:paraId="3CB3C63D" w14:textId="4A733B91" w:rsidR="00A71A38" w:rsidRDefault="00C13777" w:rsidP="00D878DF">
            <w:pPr>
              <w:pStyle w:val="BodyText"/>
            </w:pPr>
            <w:r>
              <w:t>1</w:t>
            </w:r>
          </w:p>
        </w:tc>
      </w:tr>
      <w:tr w:rsidR="36277179" w14:paraId="3A321BC0" w14:textId="77777777" w:rsidTr="399A8FDA">
        <w:tc>
          <w:tcPr>
            <w:tcW w:w="6717" w:type="dxa"/>
            <w:shd w:val="clear" w:color="auto" w:fill="DAE4EC" w:themeFill="background2"/>
          </w:tcPr>
          <w:p w14:paraId="7A6EBAA3" w14:textId="7CEC880B" w:rsidR="36277179" w:rsidRDefault="36277179" w:rsidP="00F474EA">
            <w:pPr>
              <w:pStyle w:val="BodyText"/>
              <w:rPr>
                <w:rFonts w:eastAsia="Arial"/>
              </w:rPr>
            </w:pPr>
            <w:r w:rsidRPr="36277179">
              <w:rPr>
                <w:rFonts w:eastAsia="Arial"/>
              </w:rPr>
              <w:t xml:space="preserve">Family Support Centre-Daru Hospital </w:t>
            </w:r>
          </w:p>
        </w:tc>
        <w:tc>
          <w:tcPr>
            <w:tcW w:w="2257" w:type="dxa"/>
            <w:shd w:val="clear" w:color="auto" w:fill="DAE4EC" w:themeFill="background2"/>
          </w:tcPr>
          <w:p w14:paraId="07874DB1" w14:textId="153DBE03" w:rsidR="36277179" w:rsidRDefault="36277179" w:rsidP="00F474EA">
            <w:pPr>
              <w:pStyle w:val="BodyText"/>
              <w:rPr>
                <w:rFonts w:eastAsia="Arial"/>
              </w:rPr>
            </w:pPr>
            <w:r w:rsidRPr="36277179">
              <w:rPr>
                <w:rFonts w:eastAsia="Arial"/>
              </w:rPr>
              <w:t>1</w:t>
            </w:r>
          </w:p>
        </w:tc>
      </w:tr>
      <w:tr w:rsidR="36277179" w14:paraId="16FB2819" w14:textId="77777777" w:rsidTr="399A8FDA">
        <w:tc>
          <w:tcPr>
            <w:tcW w:w="6717" w:type="dxa"/>
            <w:shd w:val="clear" w:color="auto" w:fill="DAE4EC" w:themeFill="background2"/>
          </w:tcPr>
          <w:p w14:paraId="3A8FCB31" w14:textId="6A9BED2B" w:rsidR="36277179" w:rsidRDefault="399A8FDA" w:rsidP="00F474EA">
            <w:pPr>
              <w:pStyle w:val="BodyText"/>
              <w:rPr>
                <w:rFonts w:eastAsia="Arial"/>
              </w:rPr>
            </w:pPr>
            <w:r w:rsidRPr="399A8FDA">
              <w:rPr>
                <w:rFonts w:eastAsia="Arial"/>
              </w:rPr>
              <w:t xml:space="preserve">Justice Services and Stability for Development –Daru </w:t>
            </w:r>
          </w:p>
        </w:tc>
        <w:tc>
          <w:tcPr>
            <w:tcW w:w="2257" w:type="dxa"/>
            <w:shd w:val="clear" w:color="auto" w:fill="DAE4EC" w:themeFill="background2"/>
          </w:tcPr>
          <w:p w14:paraId="0915FF0E" w14:textId="65D84C14" w:rsidR="36277179" w:rsidRDefault="36277179" w:rsidP="00F474EA">
            <w:pPr>
              <w:pStyle w:val="BodyText"/>
              <w:rPr>
                <w:rFonts w:eastAsia="Arial"/>
              </w:rPr>
            </w:pPr>
            <w:r w:rsidRPr="36277179">
              <w:rPr>
                <w:rFonts w:eastAsia="Arial"/>
              </w:rPr>
              <w:t xml:space="preserve">1 by phone </w:t>
            </w:r>
          </w:p>
        </w:tc>
      </w:tr>
      <w:tr w:rsidR="36277179" w14:paraId="3D7F83EC" w14:textId="77777777" w:rsidTr="399A8FDA">
        <w:tc>
          <w:tcPr>
            <w:tcW w:w="6717" w:type="dxa"/>
            <w:shd w:val="clear" w:color="auto" w:fill="DAE4EC" w:themeFill="background2"/>
          </w:tcPr>
          <w:p w14:paraId="4AD04C26" w14:textId="2ACB0E9C" w:rsidR="36277179" w:rsidRDefault="36277179" w:rsidP="00F474EA">
            <w:pPr>
              <w:pStyle w:val="BodyText"/>
              <w:rPr>
                <w:rFonts w:eastAsia="Arial"/>
              </w:rPr>
            </w:pPr>
            <w:r w:rsidRPr="36277179">
              <w:rPr>
                <w:rFonts w:eastAsia="Arial"/>
              </w:rPr>
              <w:t xml:space="preserve">Save the Children </w:t>
            </w:r>
          </w:p>
        </w:tc>
        <w:tc>
          <w:tcPr>
            <w:tcW w:w="2257" w:type="dxa"/>
            <w:shd w:val="clear" w:color="auto" w:fill="DAE4EC" w:themeFill="background2"/>
          </w:tcPr>
          <w:p w14:paraId="3CD2E963" w14:textId="3FEE0275" w:rsidR="36277179" w:rsidRDefault="36277179" w:rsidP="00F474EA">
            <w:pPr>
              <w:pStyle w:val="BodyText"/>
              <w:rPr>
                <w:rFonts w:eastAsia="Arial"/>
              </w:rPr>
            </w:pPr>
            <w:r w:rsidRPr="36277179">
              <w:rPr>
                <w:rFonts w:eastAsia="Arial"/>
              </w:rPr>
              <w:t>1</w:t>
            </w:r>
          </w:p>
        </w:tc>
      </w:tr>
      <w:tr w:rsidR="36277179" w14:paraId="58F72E44" w14:textId="77777777" w:rsidTr="399A8FDA">
        <w:tc>
          <w:tcPr>
            <w:tcW w:w="6717" w:type="dxa"/>
            <w:shd w:val="clear" w:color="auto" w:fill="DAE4EC" w:themeFill="background2"/>
          </w:tcPr>
          <w:p w14:paraId="25D13353" w14:textId="1DB482A3" w:rsidR="36277179" w:rsidRDefault="36277179" w:rsidP="00F474EA">
            <w:pPr>
              <w:pStyle w:val="BodyText"/>
              <w:rPr>
                <w:rFonts w:eastAsia="Arial"/>
              </w:rPr>
            </w:pPr>
            <w:r w:rsidRPr="36277179">
              <w:rPr>
                <w:rFonts w:eastAsia="Arial"/>
              </w:rPr>
              <w:t xml:space="preserve">Caritas Australia </w:t>
            </w:r>
          </w:p>
        </w:tc>
        <w:tc>
          <w:tcPr>
            <w:tcW w:w="2257" w:type="dxa"/>
            <w:shd w:val="clear" w:color="auto" w:fill="DAE4EC" w:themeFill="background2"/>
          </w:tcPr>
          <w:p w14:paraId="07F029AB" w14:textId="6AC10A6D" w:rsidR="36277179" w:rsidRDefault="36277179" w:rsidP="00F474EA">
            <w:pPr>
              <w:pStyle w:val="BodyText"/>
              <w:rPr>
                <w:rFonts w:eastAsia="Arial"/>
              </w:rPr>
            </w:pPr>
            <w:r w:rsidRPr="36277179">
              <w:rPr>
                <w:rFonts w:eastAsia="Arial"/>
              </w:rPr>
              <w:t xml:space="preserve">1 by phone </w:t>
            </w:r>
          </w:p>
        </w:tc>
      </w:tr>
    </w:tbl>
    <w:p w14:paraId="47EC79EA" w14:textId="027BFCB8" w:rsidR="36277179" w:rsidRDefault="36277179"/>
    <w:p w14:paraId="76579A0A" w14:textId="77777777" w:rsidR="00195401" w:rsidRPr="006951A8" w:rsidRDefault="00195401" w:rsidP="006951A8"/>
    <w:sectPr w:rsidR="00195401" w:rsidRPr="006951A8" w:rsidSect="00C316E4">
      <w:pgSz w:w="11900"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0ED06" w14:textId="77777777" w:rsidR="003C3C70" w:rsidRDefault="003C3C70" w:rsidP="009B6F4E">
      <w:r>
        <w:separator/>
      </w:r>
    </w:p>
    <w:p w14:paraId="52A1A578" w14:textId="77777777" w:rsidR="003C3C70" w:rsidRDefault="003C3C70" w:rsidP="009B6F4E"/>
  </w:endnote>
  <w:endnote w:type="continuationSeparator" w:id="0">
    <w:p w14:paraId="5A9F2506" w14:textId="77777777" w:rsidR="003C3C70" w:rsidRDefault="003C3C70" w:rsidP="009B6F4E">
      <w:r>
        <w:continuationSeparator/>
      </w:r>
    </w:p>
    <w:p w14:paraId="265C4D7E" w14:textId="77777777" w:rsidR="003C3C70" w:rsidRDefault="003C3C70" w:rsidP="009B6F4E"/>
  </w:endnote>
  <w:endnote w:type="continuationNotice" w:id="1">
    <w:p w14:paraId="60A7E940" w14:textId="77777777" w:rsidR="003C3C70" w:rsidRDefault="003C3C70" w:rsidP="009B6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Poppins ExtraBold">
    <w:charset w:val="00"/>
    <w:family w:val="auto"/>
    <w:pitch w:val="variable"/>
    <w:sig w:usb0="00008007" w:usb1="00000000" w:usb2="00000000" w:usb3="00000000" w:csb0="00000093" w:csb1="00000000"/>
  </w:font>
  <w:font w:name="Roboto">
    <w:charset w:val="00"/>
    <w:family w:val="auto"/>
    <w:pitch w:val="variable"/>
    <w:sig w:usb0="E00002FF" w:usb1="5000205B" w:usb2="00000020" w:usb3="00000000" w:csb0="0000019F" w:csb1="00000000"/>
  </w:font>
  <w:font w:name="Roboto Light">
    <w:charset w:val="00"/>
    <w:family w:val="auto"/>
    <w:pitch w:val="variable"/>
    <w:sig w:usb0="E00002FF" w:usb1="5000205B" w:usb2="00000020" w:usb3="00000000" w:csb0="0000019F" w:csb1="00000000"/>
  </w:font>
  <w:font w:name="Helvetica">
    <w:panose1 w:val="020B0604020202020204"/>
    <w:charset w:val="00"/>
    <w:family w:val="auto"/>
    <w:pitch w:val="variable"/>
    <w:sig w:usb0="E00002FF" w:usb1="5000785B" w:usb2="00000000" w:usb3="00000000" w:csb0="0000019F" w:csb1="00000000"/>
  </w:font>
  <w:font w:name="Poppins Light">
    <w:charset w:val="00"/>
    <w:family w:val="auto"/>
    <w:pitch w:val="variable"/>
    <w:sig w:usb0="00008007" w:usb1="00000000" w:usb2="00000000" w:usb3="00000000" w:csb0="00000093"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DF320" w14:textId="38E0F429" w:rsidR="006951A8" w:rsidRDefault="006951A8" w:rsidP="00685E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6BA8E9C" w14:textId="77777777" w:rsidR="006951A8" w:rsidRDefault="006951A8" w:rsidP="006951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7788" w14:textId="77777777" w:rsidR="00DB154E" w:rsidRPr="006509DA" w:rsidRDefault="00DB154E" w:rsidP="00300E94">
    <w:pPr>
      <w:pStyle w:val="Footer"/>
      <w:jc w:val="right"/>
    </w:pPr>
    <w:r w:rsidRPr="00A61331">
      <w:t>QTAG is supported by the Australian Government and implemented by Oxford Policy Management Australi</w:t>
    </w:r>
    <w:r w:rsidRPr="00BC5391">
      <w:rPr>
        <w:szCs w:val="16"/>
      </w:rPr>
      <w:t>a</w:t>
    </w:r>
    <w:r>
      <w:rPr>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CB67" w14:textId="77777777" w:rsidR="00CC3FD0" w:rsidRDefault="00CC3FD0" w:rsidP="00CC3FD0">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5B64D" w14:textId="77777777" w:rsidR="00CC3FD0" w:rsidRDefault="00CC3FD0" w:rsidP="00CC3FD0">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0070174"/>
      <w:docPartObj>
        <w:docPartGallery w:val="Page Numbers (Bottom of Page)"/>
        <w:docPartUnique/>
      </w:docPartObj>
    </w:sdtPr>
    <w:sdtEndPr>
      <w:rPr>
        <w:rStyle w:val="PageNumber"/>
      </w:rPr>
    </w:sdtEndPr>
    <w:sdtContent>
      <w:p w14:paraId="7B073013" w14:textId="798930EA" w:rsidR="006951A8" w:rsidRDefault="006951A8" w:rsidP="00685E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96E1A7D" w14:textId="77777777" w:rsidR="00CC3FD0" w:rsidRPr="006509DA" w:rsidRDefault="00CC3FD0" w:rsidP="006951A8">
    <w:pPr>
      <w:pStyle w:val="Footer"/>
      <w:ind w:right="360"/>
      <w:jc w:val="right"/>
    </w:pPr>
    <w:r w:rsidRPr="00A61331">
      <w:t>QTAG is supported by the Australian Government and implemented by Oxford Policy Management Australi</w:t>
    </w:r>
    <w:r w:rsidRPr="00BC5391">
      <w:rPr>
        <w:szCs w:val="16"/>
      </w:rPr>
      <w:t>a</w:t>
    </w:r>
    <w:r>
      <w:rPr>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CAFDF" w14:textId="77777777" w:rsidR="00CC3FD0" w:rsidRPr="006509DA" w:rsidRDefault="00CC3FD0" w:rsidP="00CC3FD0">
    <w:pPr>
      <w:pStyle w:val="Footer"/>
      <w:jc w:val="right"/>
    </w:pPr>
    <w:r w:rsidRPr="00A61331">
      <w:t>QTAG is supported by the Australian Government and implemented by Oxford Policy Management Australi</w:t>
    </w:r>
    <w:r w:rsidRPr="00BC5391">
      <w:rPr>
        <w:szCs w:val="16"/>
      </w:rPr>
      <w:t>a</w:t>
    </w:r>
    <w:r>
      <w:rPr>
        <w:szCs w:val="16"/>
      </w:rPr>
      <w:t xml:space="preserve"> </w:t>
    </w:r>
  </w:p>
  <w:p w14:paraId="3A33D6BA" w14:textId="77777777" w:rsidR="00CC3FD0" w:rsidRDefault="00CC3FD0" w:rsidP="00CC3FD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336B5" w14:textId="77777777" w:rsidR="003C3C70" w:rsidRDefault="003C3C70" w:rsidP="009B6F4E">
      <w:r>
        <w:separator/>
      </w:r>
    </w:p>
  </w:footnote>
  <w:footnote w:type="continuationSeparator" w:id="0">
    <w:p w14:paraId="7569263C" w14:textId="77777777" w:rsidR="003C3C70" w:rsidRDefault="003C3C70" w:rsidP="009B6F4E"/>
  </w:footnote>
  <w:footnote w:type="continuationNotice" w:id="1">
    <w:p w14:paraId="60BF894B" w14:textId="77777777" w:rsidR="003C3C70" w:rsidRDefault="003C3C70" w:rsidP="009B6F4E"/>
    <w:p w14:paraId="2F02F2CA" w14:textId="77777777" w:rsidR="003C3C70" w:rsidRDefault="003C3C70" w:rsidP="009B6F4E"/>
  </w:footnote>
  <w:footnote w:id="2">
    <w:p w14:paraId="60875352" w14:textId="1D84F7ED" w:rsidR="007771EB" w:rsidRDefault="007771EB">
      <w:pPr>
        <w:pStyle w:val="FootnoteText"/>
      </w:pPr>
      <w:r>
        <w:rPr>
          <w:rStyle w:val="FootnoteReference"/>
        </w:rPr>
        <w:footnoteRef/>
      </w:r>
      <w:r>
        <w:t xml:space="preserve"> Census, 2011, online, available at: </w:t>
      </w:r>
      <w:hyperlink r:id="rId1" w:history="1">
        <w:r w:rsidR="005C2F56" w:rsidRPr="00F2122D">
          <w:rPr>
            <w:rStyle w:val="Hyperlink"/>
          </w:rPr>
          <w:t>https://png-data.sprep.org/dataset/2011-census-report</w:t>
        </w:r>
      </w:hyperlink>
      <w:r w:rsidR="005C2F56">
        <w:t xml:space="preserve"> </w:t>
      </w:r>
    </w:p>
  </w:footnote>
  <w:footnote w:id="3">
    <w:p w14:paraId="76239975" w14:textId="2063F481" w:rsidR="003F503A" w:rsidRDefault="003F503A" w:rsidP="00300E3E">
      <w:pPr>
        <w:pStyle w:val="FootnoteText"/>
        <w:spacing w:after="0"/>
      </w:pPr>
      <w:r>
        <w:rPr>
          <w:rStyle w:val="FootnoteReference"/>
        </w:rPr>
        <w:footnoteRef/>
      </w:r>
      <w:r>
        <w:t xml:space="preserve"> The New Way Forward, Western Province Development Plan 2018-2022, Office of the Governor, Western Province, Papua New Guinea</w:t>
      </w:r>
    </w:p>
  </w:footnote>
  <w:footnote w:id="4">
    <w:p w14:paraId="159F7428" w14:textId="0C39E720" w:rsidR="003F503A" w:rsidRDefault="003F503A" w:rsidP="00300E3E">
      <w:pPr>
        <w:pStyle w:val="FootnoteText"/>
        <w:spacing w:after="0"/>
      </w:pPr>
      <w:r>
        <w:rPr>
          <w:rStyle w:val="FootnoteReference"/>
        </w:rPr>
        <w:footnoteRef/>
      </w:r>
      <w:r>
        <w:t xml:space="preserve"> Analytical Review Paper on Western Province Papua New Guinea, October 2021</w:t>
      </w:r>
    </w:p>
  </w:footnote>
  <w:footnote w:id="5">
    <w:p w14:paraId="322ACF6A" w14:textId="334A5ED0" w:rsidR="000B02F2" w:rsidRDefault="000B02F2" w:rsidP="00300E3E">
      <w:pPr>
        <w:pStyle w:val="FootnoteText"/>
        <w:spacing w:after="0"/>
      </w:pPr>
      <w:r>
        <w:rPr>
          <w:rStyle w:val="FootnoteReference"/>
        </w:rPr>
        <w:footnoteRef/>
      </w:r>
      <w:r>
        <w:t xml:space="preserve"> </w:t>
      </w:r>
      <w:r w:rsidR="00727C44">
        <w:t xml:space="preserve">Busilacchi, S., J. Butler, I. Van Putten, Y. </w:t>
      </w:r>
      <w:proofErr w:type="gramStart"/>
      <w:r w:rsidR="00727C44">
        <w:t>Maru</w:t>
      </w:r>
      <w:proofErr w:type="gramEnd"/>
      <w:r w:rsidR="00727C44">
        <w:t xml:space="preserve"> and J. Posu, 2018, Asymmetrical development across transboundary regions: The case of the Torres Strait Treaty Region, online, available at: </w:t>
      </w:r>
      <w:hyperlink r:id="rId2" w:history="1">
        <w:r w:rsidR="00727C44" w:rsidRPr="00F2122D">
          <w:rPr>
            <w:rStyle w:val="Hyperlink"/>
          </w:rPr>
          <w:t>https://www.mdpi.com/2071-1050/10/11/4200/pdf</w:t>
        </w:r>
      </w:hyperlink>
      <w:r w:rsidR="00727C44">
        <w:t xml:space="preserve"> </w:t>
      </w:r>
    </w:p>
  </w:footnote>
  <w:footnote w:id="6">
    <w:p w14:paraId="4010EA72" w14:textId="710CD07A" w:rsidR="005768DA" w:rsidRDefault="005768DA" w:rsidP="00300E3E">
      <w:pPr>
        <w:pStyle w:val="FootnoteText"/>
        <w:spacing w:after="0"/>
      </w:pPr>
      <w:r>
        <w:rPr>
          <w:rStyle w:val="FootnoteReference"/>
        </w:rPr>
        <w:footnoteRef/>
      </w:r>
      <w:r>
        <w:t xml:space="preserve"> Analytical Review Paper on Western Province Papua New Guinea, October 2021</w:t>
      </w:r>
    </w:p>
  </w:footnote>
  <w:footnote w:id="7">
    <w:p w14:paraId="313CFA8D" w14:textId="20EC9EFD" w:rsidR="00543AB7" w:rsidRDefault="00543AB7" w:rsidP="00300E3E">
      <w:pPr>
        <w:pStyle w:val="FootnoteText"/>
        <w:spacing w:after="0"/>
      </w:pPr>
      <w:r>
        <w:rPr>
          <w:rStyle w:val="FootnoteReference"/>
        </w:rPr>
        <w:footnoteRef/>
      </w:r>
      <w:r>
        <w:t xml:space="preserve"> The World Bank, Papua New Guinea High Frequency Survey on COVID 19, online, available at: </w:t>
      </w:r>
      <w:hyperlink r:id="rId3" w:history="1">
        <w:r w:rsidRPr="00F2122D">
          <w:rPr>
            <w:rStyle w:val="Hyperlink"/>
          </w:rPr>
          <w:t>https://www.unicef.org/png/media/2061/file/WB-UNICEF-PNG-HFPS.pdf</w:t>
        </w:r>
      </w:hyperlink>
      <w:r>
        <w:t xml:space="preserve"> </w:t>
      </w:r>
    </w:p>
  </w:footnote>
  <w:footnote w:id="8">
    <w:p w14:paraId="40225AA1" w14:textId="41990F97" w:rsidR="001746EA" w:rsidRPr="001746EA" w:rsidRDefault="001746EA" w:rsidP="00300E3E">
      <w:pPr>
        <w:autoSpaceDE w:val="0"/>
        <w:autoSpaceDN w:val="0"/>
        <w:adjustRightInd w:val="0"/>
        <w:spacing w:after="0" w:line="240" w:lineRule="auto"/>
        <w:rPr>
          <w:sz w:val="18"/>
          <w:szCs w:val="18"/>
          <w:lang w:eastAsia="en-US"/>
        </w:rPr>
      </w:pPr>
      <w:r>
        <w:rPr>
          <w:rStyle w:val="FootnoteReference"/>
        </w:rPr>
        <w:footnoteRef/>
      </w:r>
      <w:r>
        <w:t xml:space="preserve"> </w:t>
      </w:r>
      <w:r w:rsidRPr="001746EA">
        <w:rPr>
          <w:sz w:val="18"/>
          <w:szCs w:val="18"/>
          <w:lang w:eastAsia="en-US"/>
        </w:rPr>
        <w:t>Butler, J.R.A., Busilacchi, S., Bohensky, E.L. and Exon, D. 2019. Building Resilience in Treaty Villages,</w:t>
      </w:r>
      <w:r>
        <w:rPr>
          <w:sz w:val="18"/>
          <w:szCs w:val="18"/>
          <w:lang w:eastAsia="en-US"/>
        </w:rPr>
        <w:t xml:space="preserve"> </w:t>
      </w:r>
      <w:r w:rsidRPr="001746EA">
        <w:rPr>
          <w:sz w:val="18"/>
          <w:szCs w:val="18"/>
          <w:lang w:eastAsia="en-US"/>
        </w:rPr>
        <w:t>South Fly District, Papua New Guinea: Program Evaluation. Report to the Reef and Rainforest</w:t>
      </w:r>
      <w:r>
        <w:rPr>
          <w:sz w:val="18"/>
          <w:szCs w:val="18"/>
          <w:lang w:eastAsia="en-US"/>
        </w:rPr>
        <w:t xml:space="preserve"> </w:t>
      </w:r>
      <w:r w:rsidRPr="001746EA">
        <w:rPr>
          <w:sz w:val="18"/>
          <w:szCs w:val="18"/>
          <w:lang w:eastAsia="en-US"/>
        </w:rPr>
        <w:t>Research Centre, Cairns. 49 pp.</w:t>
      </w:r>
    </w:p>
  </w:footnote>
  <w:footnote w:id="9">
    <w:p w14:paraId="1D37C117" w14:textId="04F05ED3" w:rsidR="0048381B" w:rsidRDefault="0048381B">
      <w:pPr>
        <w:pStyle w:val="FootnoteText"/>
      </w:pPr>
      <w:r>
        <w:rPr>
          <w:rStyle w:val="FootnoteReference"/>
        </w:rPr>
        <w:footnoteRef/>
      </w:r>
      <w:r>
        <w:t xml:space="preserve"> Our assessment of how activities and outputs and outputs are being delivered in ways sensitive to the </w:t>
      </w:r>
      <w:r w:rsidR="00EA2183">
        <w:t xml:space="preserve">positions, </w:t>
      </w:r>
      <w:r>
        <w:t xml:space="preserve">needs and expectations of men and women is included in Section 6. </w:t>
      </w:r>
    </w:p>
  </w:footnote>
  <w:footnote w:id="10">
    <w:p w14:paraId="663A1082" w14:textId="164F0CDC" w:rsidR="00D419E1" w:rsidRDefault="00D419E1" w:rsidP="005E15E5">
      <w:pPr>
        <w:pStyle w:val="FootnoteText"/>
        <w:spacing w:after="0"/>
      </w:pPr>
      <w:r>
        <w:rPr>
          <w:rStyle w:val="FootnoteReference"/>
        </w:rPr>
        <w:footnoteRef/>
      </w:r>
      <w:r w:rsidR="00A13192">
        <w:t xml:space="preserve"> DFAT (2020) Partnerships for Recovery: Australia’s COVID-19 Development Response, online, available at:</w:t>
      </w:r>
      <w:r>
        <w:t xml:space="preserve"> </w:t>
      </w:r>
      <w:hyperlink r:id="rId4" w:history="1">
        <w:r w:rsidRPr="004A20B9">
          <w:rPr>
            <w:rStyle w:val="Hyperlink"/>
          </w:rPr>
          <w:t>https://www.dfat.gov.au/development/australias-development-program/partnerships-recovery-australias-covid-19-development-response</w:t>
        </w:r>
      </w:hyperlink>
      <w:r>
        <w:t xml:space="preserve"> </w:t>
      </w:r>
    </w:p>
  </w:footnote>
  <w:footnote w:id="11">
    <w:p w14:paraId="5C9847D5" w14:textId="2DCECEC9" w:rsidR="00D419E1" w:rsidRDefault="00D419E1" w:rsidP="005E15E5">
      <w:pPr>
        <w:pStyle w:val="FootnoteText"/>
        <w:spacing w:after="0"/>
        <w:jc w:val="left"/>
      </w:pPr>
      <w:r>
        <w:rPr>
          <w:rStyle w:val="FootnoteReference"/>
        </w:rPr>
        <w:footnoteRef/>
      </w:r>
      <w:r>
        <w:t xml:space="preserve"> </w:t>
      </w:r>
      <w:r w:rsidR="00A13192">
        <w:t xml:space="preserve">DFAT (2020) Papua New Guinea COVID 19 Development Response Plan, online, available at: </w:t>
      </w:r>
      <w:hyperlink r:id="rId5" w:history="1">
        <w:r w:rsidR="00A13192" w:rsidRPr="00F2122D">
          <w:rPr>
            <w:rStyle w:val="Hyperlink"/>
          </w:rPr>
          <w:t>https://www.dfat.gov.au/development/australias-development-program/covid-19-development-response-plans/papua-new-guinea-covid-19-development-response-plan</w:t>
        </w:r>
      </w:hyperlink>
      <w:r>
        <w:t xml:space="preserve"> </w:t>
      </w:r>
    </w:p>
  </w:footnote>
  <w:footnote w:id="12">
    <w:p w14:paraId="382B8E9A" w14:textId="669C7727" w:rsidR="00A13192" w:rsidRDefault="00A13192" w:rsidP="005E15E5">
      <w:pPr>
        <w:pStyle w:val="FootnoteText"/>
        <w:spacing w:after="0"/>
      </w:pPr>
      <w:r>
        <w:rPr>
          <w:rStyle w:val="FootnoteReference"/>
        </w:rPr>
        <w:footnoteRef/>
      </w:r>
      <w:r>
        <w:t xml:space="preserve">DFAT (2020) Comprehensive Strategic and Economic Partnership, online, available at: </w:t>
      </w:r>
      <w:hyperlink r:id="rId6" w:history="1">
        <w:r w:rsidR="005E5142" w:rsidRPr="00F2122D">
          <w:rPr>
            <w:rStyle w:val="Hyperlink"/>
          </w:rPr>
          <w:t>https://www.dfat.gov.au/sites/default/files/papua-new-guinea-australia-comprehensive-strategic-and-economic-partnership-signed.pdf</w:t>
        </w:r>
      </w:hyperlink>
      <w:r>
        <w:t xml:space="preserve"> </w:t>
      </w:r>
    </w:p>
  </w:footnote>
  <w:footnote w:id="13">
    <w:p w14:paraId="726B69C7" w14:textId="2E8C972E" w:rsidR="00D07A7A" w:rsidRDefault="00D07A7A" w:rsidP="00B91903">
      <w:pPr>
        <w:pStyle w:val="FootnoteText"/>
        <w:spacing w:after="0"/>
        <w:jc w:val="left"/>
      </w:pPr>
      <w:r>
        <w:rPr>
          <w:rStyle w:val="FootnoteReference"/>
        </w:rPr>
        <w:footnoteRef/>
      </w:r>
      <w:r>
        <w:t xml:space="preserve"> DFAT (2016) Gender and Women’s Empowerment Strategy, online, available at: </w:t>
      </w:r>
      <w:hyperlink r:id="rId7" w:history="1">
        <w:r w:rsidRPr="005B4E0D">
          <w:rPr>
            <w:rStyle w:val="Hyperlink"/>
          </w:rPr>
          <w:t>https://www.dfat.gov.au/sites/default/files/gender-equality-and-womens-empowerment-strategy.pdf</w:t>
        </w:r>
      </w:hyperlink>
      <w:r>
        <w:t xml:space="preserve"> </w:t>
      </w:r>
    </w:p>
  </w:footnote>
  <w:footnote w:id="14">
    <w:p w14:paraId="0D5FF612" w14:textId="1AF7B7CA" w:rsidR="008C220D" w:rsidRDefault="008C220D">
      <w:pPr>
        <w:pStyle w:val="FootnoteText"/>
      </w:pPr>
      <w:r>
        <w:rPr>
          <w:rStyle w:val="FootnoteReference"/>
        </w:rPr>
        <w:footnoteRef/>
      </w:r>
      <w:r>
        <w:t xml:space="preserve"> This is further e</w:t>
      </w:r>
      <w:r w:rsidR="00363737">
        <w:t>laborated</w:t>
      </w:r>
      <w:r>
        <w:t xml:space="preserve"> in Sections 2 and 3. </w:t>
      </w:r>
    </w:p>
  </w:footnote>
  <w:footnote w:id="15">
    <w:p w14:paraId="6FF7A74A" w14:textId="7945BC9D" w:rsidR="00A2087D" w:rsidRPr="00C97BAD" w:rsidRDefault="0717EB4E" w:rsidP="00A2087D">
      <w:pPr>
        <w:pStyle w:val="FootnoteText"/>
        <w:rPr>
          <w:lang w:val="en-AU"/>
        </w:rPr>
      </w:pPr>
      <w:r w:rsidRPr="0717EB4E">
        <w:rPr>
          <w:lang w:val="en-AU"/>
        </w:rPr>
        <w:t xml:space="preserve">Gender Equality and women’s economic empowerment strategy (2016) </w:t>
      </w:r>
    </w:p>
  </w:footnote>
  <w:footnote w:id="16">
    <w:p w14:paraId="73A5ADE6" w14:textId="5804DAF8" w:rsidR="00C13777" w:rsidRDefault="00C13777">
      <w:pPr>
        <w:pStyle w:val="FootnoteText"/>
      </w:pPr>
      <w:r>
        <w:rPr>
          <w:rStyle w:val="FootnoteReference"/>
        </w:rPr>
        <w:footnoteRef/>
      </w:r>
      <w:r>
        <w:t xml:space="preserve"> In chronological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B8891" w14:textId="77777777" w:rsidR="00DB154E" w:rsidRPr="006509DA" w:rsidRDefault="009B6F4E" w:rsidP="009B6F4E">
    <w:pPr>
      <w:pStyle w:val="Header"/>
    </w:pPr>
    <w:r w:rsidRPr="006509DA">
      <mc:AlternateContent>
        <mc:Choice Requires="wps">
          <w:drawing>
            <wp:anchor distT="0" distB="0" distL="114300" distR="114300" simplePos="0" relativeHeight="251658240" behindDoc="0" locked="0" layoutInCell="0" allowOverlap="1" wp14:anchorId="69080FF7" wp14:editId="4DD4BF59">
              <wp:simplePos x="0" y="0"/>
              <wp:positionH relativeFrom="leftMargin">
                <wp:align>right</wp:align>
              </wp:positionH>
              <wp:positionV relativeFrom="topMargin">
                <wp:posOffset>285750</wp:posOffset>
              </wp:positionV>
              <wp:extent cx="914400" cy="180975"/>
              <wp:effectExtent l="0" t="0" r="0" b="9525"/>
              <wp:wrapNone/>
              <wp:docPr id="219" name="Text Box 2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0975"/>
                      </a:xfrm>
                      <a:prstGeom prst="rect">
                        <a:avLst/>
                      </a:prstGeom>
                      <a:solidFill>
                        <a:schemeClr val="tx2">
                          <a:lumMod val="90000"/>
                          <a:lumOff val="10000"/>
                        </a:schemeClr>
                      </a:solidFill>
                      <a:ln>
                        <a:noFill/>
                      </a:ln>
                    </wps:spPr>
                    <wps:txbx>
                      <w:txbxContent>
                        <w:p w14:paraId="4AF92382" w14:textId="77777777" w:rsidR="00DB154E" w:rsidRPr="00881EBF" w:rsidRDefault="00DB154E" w:rsidP="009B6F4E">
                          <w:pPr>
                            <w:rPr>
                              <w:color w:val="FFFFFF" w:themeColor="background1"/>
                              <w:sz w:val="20"/>
                              <w:szCs w:val="20"/>
                            </w:rPr>
                          </w:pPr>
                          <w:r w:rsidRPr="00881EBF">
                            <w:rPr>
                              <w:sz w:val="20"/>
                              <w:szCs w:val="20"/>
                            </w:rPr>
                            <w:fldChar w:fldCharType="begin"/>
                          </w:r>
                          <w:r w:rsidRPr="00881EBF">
                            <w:rPr>
                              <w:sz w:val="20"/>
                              <w:szCs w:val="20"/>
                            </w:rPr>
                            <w:instrText xml:space="preserve"> PAGE   \* MERGEFORMAT </w:instrText>
                          </w:r>
                          <w:r w:rsidRPr="00881EBF">
                            <w:rPr>
                              <w:sz w:val="20"/>
                              <w:szCs w:val="20"/>
                            </w:rPr>
                            <w:fldChar w:fldCharType="separate"/>
                          </w:r>
                          <w:r w:rsidR="006C159E" w:rsidRPr="00881EBF">
                            <w:rPr>
                              <w:noProof/>
                              <w:color w:val="FFFFFF" w:themeColor="background1"/>
                              <w:sz w:val="20"/>
                              <w:szCs w:val="20"/>
                            </w:rPr>
                            <w:t>3</w:t>
                          </w:r>
                          <w:r w:rsidRPr="00881EBF">
                            <w:rPr>
                              <w:noProof/>
                              <w:color w:val="FFFFFF" w:themeColor="background1"/>
                              <w:sz w:val="20"/>
                              <w:szCs w:val="20"/>
                            </w:rPr>
                            <w:fldChar w:fldCharType="end"/>
                          </w:r>
                        </w:p>
                      </w:txbxContent>
                    </wps:txbx>
                    <wps:bodyPr rot="0" vert="horz" wrap="square" lIns="91440" tIns="0" rIns="91440" bIns="0" anchor="ctr" anchorCtr="0" upright="1">
                      <a:noAutofit/>
                    </wps:bodyPr>
                  </wps:wsp>
                </a:graphicData>
              </a:graphic>
              <wp14:sizeRelH relativeFrom="leftMargin">
                <wp14:pctWidth>100000</wp14:pctWidth>
              </wp14:sizeRelH>
              <wp14:sizeRelV relativeFrom="page">
                <wp14:pctHeight>0</wp14:pctHeight>
              </wp14:sizeRelV>
            </wp:anchor>
          </w:drawing>
        </mc:Choice>
        <mc:Fallback>
          <w:pict>
            <v:shapetype w14:anchorId="69080FF7" id="_x0000_t202" coordsize="21600,21600" o:spt="202" path="m,l,21600r21600,l21600,xe">
              <v:stroke joinstyle="miter"/>
              <v:path gradientshapeok="t" o:connecttype="rect"/>
            </v:shapetype>
            <v:shape id="Text Box 219" o:spid="_x0000_s1027" type="#_x0000_t202" alt="&quot;&quot;" style="position:absolute;left:0;text-align:left;margin-left:20.8pt;margin-top:22.5pt;width:1in;height:14.25pt;z-index:251658240;visibility:visible;mso-wrap-style:square;mso-width-percent:1000;mso-height-percent:0;mso-wrap-distance-left:9pt;mso-wrap-distance-top:0;mso-wrap-distance-right:9pt;mso-wrap-distance-bottom:0;mso-position-horizontal:right;mso-position-horizontal-relative:left-margin-area;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2k2CAIAAP0DAAAOAAAAZHJzL2Uyb0RvYy54bWysU9uO0zAQfUfiHyy/0yTVAtuo6WrpahHS&#10;cpEWPsBxnMTC8Zix06R8PWOn7S7whsiDFZ+xz8ycOd7ezINhB4Veg614sco5U1ZCo21X8W9f719d&#10;c+aDsI0wYFXFj8rzm93LF9vJlWoNPZhGISMS68vJVbwPwZVZ5mWvBuFX4JSlYAs4iEBb7LIGxUTs&#10;g8nWef4mmwAbhyCV94TeLUG+S/xtq2T43LZeBWYqTrWFtGJa67hmu60oOxSu1/JUhviHKgahLSW9&#10;UN2JINiI+i+qQUsED21YSRgyaFstVeqBuinyP7p57IVTqRcSx7uLTP7/0cpPh0f3BVmY38FMA0xN&#10;ePcA8rtnFva9sJ26RYSpV6KhxEWULJucL09Xo9S+9JGknj5CQ0MWY4BENLc4RFWoT0bsNIDjRXQ1&#10;ByYJ3BRXVzlFJIWK63zz9nXKIMrzZYc+vFcwsPhTcaSZJnJxePAhFiPK85GYy4PRzb02Jm2ij9Te&#10;IDsIckCY1+mqGQeqdME2OX2LDwgmtyxwcYaJPrkxsqRkvyUwNqaxEBMutUQk6RMlWcQJcz1TMOpU&#10;Q3MkpRAWJ9LLoZ8e8CdnE7mw4v7HKFBxZj5YUjuJQ7ZNGxIJn6P1GRVWEkXFZUDOls0+LCYfHequ&#10;pxzLZC3c0mxanXR7qudUMXksdXh6D9HEz/fp1NOr3f0CAAD//wMAUEsDBBQABgAIAAAAIQAjoJ0g&#10;2QAAAAYBAAAPAAAAZHJzL2Rvd25yZXYueG1sTI/NTsNADITvSLzDykjc6AZI+AlxqojSB2jKgeM2&#10;6yYRWW+U3abh7XFPcPJYY818LtaLG9RMU+g9I9yvElDEjbc9twif++3dC6gQDVszeCaEHwqwLq+v&#10;CpNbf+YdzXVslYRwyA1CF+OYax2ajpwJKz8Si3f0kzNR1qnVdjJnCXeDfkiSJ+1Mz9LQmZHeO2q+&#10;65NDCPWrOW4+lvFrrjYJ826bVTQg3t4s1RuoSEv8O4YLvqBDKUwHf2Ib1IAgj0SENJN5cdNUxAHh&#10;+TEDXRb6P375CwAA//8DAFBLAQItABQABgAIAAAAIQC2gziS/gAAAOEBAAATAAAAAAAAAAAAAAAA&#10;AAAAAABbQ29udGVudF9UeXBlc10ueG1sUEsBAi0AFAAGAAgAAAAhADj9If/WAAAAlAEAAAsAAAAA&#10;AAAAAAAAAAAALwEAAF9yZWxzLy5yZWxzUEsBAi0AFAAGAAgAAAAhAK6vaTYIAgAA/QMAAA4AAAAA&#10;AAAAAAAAAAAALgIAAGRycy9lMm9Eb2MueG1sUEsBAi0AFAAGAAgAAAAhACOgnSDZAAAABgEAAA8A&#10;AAAAAAAAAAAAAAAAYgQAAGRycy9kb3ducmV2LnhtbFBLBQYAAAAABAAEAPMAAABoBQAAAAA=&#10;" o:allowincell="f" fillcolor="#0e2d75 [2911]" stroked="f">
              <v:textbox inset=",0,,0">
                <w:txbxContent>
                  <w:p w14:paraId="4AF92382" w14:textId="77777777" w:rsidR="00DB154E" w:rsidRPr="00881EBF" w:rsidRDefault="00DB154E" w:rsidP="009B6F4E">
                    <w:pPr>
                      <w:rPr>
                        <w:color w:val="FFFFFF" w:themeColor="background1"/>
                        <w:sz w:val="20"/>
                        <w:szCs w:val="20"/>
                      </w:rPr>
                    </w:pPr>
                    <w:r w:rsidRPr="00881EBF">
                      <w:rPr>
                        <w:sz w:val="20"/>
                        <w:szCs w:val="20"/>
                      </w:rPr>
                      <w:fldChar w:fldCharType="begin"/>
                    </w:r>
                    <w:r w:rsidRPr="00881EBF">
                      <w:rPr>
                        <w:sz w:val="20"/>
                        <w:szCs w:val="20"/>
                      </w:rPr>
                      <w:instrText xml:space="preserve"> PAGE   \* MERGEFORMAT </w:instrText>
                    </w:r>
                    <w:r w:rsidRPr="00881EBF">
                      <w:rPr>
                        <w:sz w:val="20"/>
                        <w:szCs w:val="20"/>
                      </w:rPr>
                      <w:fldChar w:fldCharType="separate"/>
                    </w:r>
                    <w:r w:rsidR="006C159E" w:rsidRPr="00881EBF">
                      <w:rPr>
                        <w:noProof/>
                        <w:color w:val="FFFFFF" w:themeColor="background1"/>
                        <w:sz w:val="20"/>
                        <w:szCs w:val="20"/>
                      </w:rPr>
                      <w:t>3</w:t>
                    </w:r>
                    <w:r w:rsidRPr="00881EBF">
                      <w:rPr>
                        <w:noProof/>
                        <w:color w:val="FFFFFF" w:themeColor="background1"/>
                        <w:sz w:val="20"/>
                        <w:szCs w:val="20"/>
                      </w:rPr>
                      <w:fldChar w:fldCharType="end"/>
                    </w:r>
                  </w:p>
                </w:txbxContent>
              </v:textbox>
              <w10:wrap anchorx="margin" anchory="margin"/>
            </v:shape>
          </w:pict>
        </mc:Fallback>
      </mc:AlternateContent>
    </w:r>
    <w:r w:rsidR="00DB154E" w:rsidRPr="006509DA">
      <mc:AlternateContent>
        <mc:Choice Requires="wps">
          <w:drawing>
            <wp:anchor distT="0" distB="0" distL="114300" distR="114300" simplePos="0" relativeHeight="251658241" behindDoc="0" locked="0" layoutInCell="0" allowOverlap="1" wp14:anchorId="0099CA04" wp14:editId="75BDA394">
              <wp:simplePos x="0" y="0"/>
              <wp:positionH relativeFrom="margin">
                <wp:align>left</wp:align>
              </wp:positionH>
              <wp:positionV relativeFrom="topMargin">
                <wp:align>center</wp:align>
              </wp:positionV>
              <wp:extent cx="5943600" cy="170815"/>
              <wp:effectExtent l="0" t="0" r="0" b="1905"/>
              <wp:wrapNone/>
              <wp:docPr id="218" name="Text Box 2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D66E9" w14:textId="7D61B61A" w:rsidR="00DB154E" w:rsidRPr="00881EBF" w:rsidRDefault="00A45048" w:rsidP="00322E1B">
                          <w:pPr>
                            <w:pStyle w:val="FigureImageTablesource"/>
                            <w:rPr>
                              <w:sz w:val="20"/>
                              <w:szCs w:val="20"/>
                            </w:rPr>
                          </w:pPr>
                          <w:r>
                            <w:rPr>
                              <w:sz w:val="20"/>
                              <w:szCs w:val="20"/>
                            </w:rPr>
                            <w:t xml:space="preserve">QTAG | </w:t>
                          </w:r>
                          <w:r w:rsidR="00D419E1">
                            <w:rPr>
                              <w:sz w:val="20"/>
                              <w:szCs w:val="20"/>
                            </w:rPr>
                            <w:t>Independent Review of the South Fly Resilience Plan</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0099CA04" id="Text Box 218" o:spid="_x0000_s1028" type="#_x0000_t202" alt="&quot;&quot;" style="position:absolute;left:0;text-align:left;margin-left:0;margin-top:0;width:468pt;height:13.45pt;z-index:251658241;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n2T3wEAAKIDAAAOAAAAZHJzL2Uyb0RvYy54bWysU8Fu2zAMvQ/YPwi6L7a7tGuNOEXXIsOA&#10;rhvQ9QMYWY6F2aJGKbGzrx+lOGm33YpdBJGUH997pBfXY9+JnSZv0FaymOVSaKuwNnZTyafvq3eX&#10;UvgAtoYOra7kXnt5vXz7ZjG4Up9hi12tSTCI9eXgKtmG4Mos86rVPfgZOm252CD1EDikTVYTDIze&#10;d9lZnl9kA1LtCJX2nrN3h6JcJvym0Sp8bRqvg+gqydxCOimd63hmywWUGwLXGjXRgFew6MFYbnqC&#10;uoMAYkvmH6jeKEKPTZgp7DNsGqN00sBqivwvNY8tOJ20sDnenWzy/w9WPewe3TcSYfyIIw8wifDu&#10;HtUPLyzetmA3+oYIh1ZDzY2LaFk2OF9On0arfekjyHr4gjUPGbYBE9DYUB9dYZ2C0XkA+5PpegxC&#10;cfL8av7+IueS4lrxIb8szlMLKI9fO/Lhk8ZexEsliYea0GF370NkA+XxSWxmcWW6Lg22s38k+GHM&#10;JPaR8IF6GNejMPUkLYpZY71nOYSHdeH15kuL9EuKgVelkv7nFkhL0X22bMlVMZ/H3UoBX+hldn3M&#10;glUMUUkVSIpDcBsOm7h1ZDYt9zjaf8MGrkzS9sxnIs6LkCRPSxs37WWcXj3/WsvfAAAA//8DAFBL&#10;AwQUAAYACAAAACEAXMz1P9sAAAAEAQAADwAAAGRycy9kb3ducmV2LnhtbEyPQUvDQBCF74L/YRnB&#10;m91YSzAxmyKCHqQqRmmv0+yYBLOzMbtt03/v6EUvA483vPe9Yjm5Xu1pDJ1nA5ezBBRx7W3HjYH3&#10;t/uLa1AhIlvsPZOBIwVYlqcnBebWH/iV9lVslIRwyNFAG+OQax3qlhyGmR+Ixfvwo8Mocmy0HfEg&#10;4a7X8yRJtcOOpaHFge5aqj+rnZOS9RMen5OVe6kfv7KHzaqpFovGmPOz6fYGVKQp/j3DD76gQylM&#10;W79jG1RvQIbE3ytedpWK3BqYpxnostD/4ctvAAAA//8DAFBLAQItABQABgAIAAAAIQC2gziS/gAA&#10;AOEBAAATAAAAAAAAAAAAAAAAAAAAAABbQ29udGVudF9UeXBlc10ueG1sUEsBAi0AFAAGAAgAAAAh&#10;ADj9If/WAAAAlAEAAAsAAAAAAAAAAAAAAAAALwEAAF9yZWxzLy5yZWxzUEsBAi0AFAAGAAgAAAAh&#10;AGaufZPfAQAAogMAAA4AAAAAAAAAAAAAAAAALgIAAGRycy9lMm9Eb2MueG1sUEsBAi0AFAAGAAgA&#10;AAAhAFzM9T/bAAAABAEAAA8AAAAAAAAAAAAAAAAAOQQAAGRycy9kb3ducmV2LnhtbFBLBQYAAAAA&#10;BAAEAPMAAABBBQAAAAA=&#10;" o:allowincell="f" filled="f" stroked="f">
              <v:textbox style="mso-fit-shape-to-text:t" inset=",0,,0">
                <w:txbxContent>
                  <w:p w14:paraId="2ABD66E9" w14:textId="7D61B61A" w:rsidR="00DB154E" w:rsidRPr="00881EBF" w:rsidRDefault="00A45048" w:rsidP="00322E1B">
                    <w:pPr>
                      <w:pStyle w:val="FigureImageTablesource"/>
                      <w:rPr>
                        <w:sz w:val="20"/>
                        <w:szCs w:val="20"/>
                      </w:rPr>
                    </w:pPr>
                    <w:r>
                      <w:rPr>
                        <w:sz w:val="20"/>
                        <w:szCs w:val="20"/>
                      </w:rPr>
                      <w:t xml:space="preserve">QTAG | </w:t>
                    </w:r>
                    <w:r w:rsidR="00D419E1">
                      <w:rPr>
                        <w:sz w:val="20"/>
                        <w:szCs w:val="20"/>
                      </w:rPr>
                      <w:t>Independent Review of the South Fly Resilience Plan</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7047" w14:textId="474C840C" w:rsidR="00505928" w:rsidRDefault="00024365" w:rsidP="00505928">
    <w:pPr>
      <w:pStyle w:val="Header"/>
      <w:tabs>
        <w:tab w:val="clear" w:pos="4513"/>
        <w:tab w:val="clear" w:pos="9026"/>
        <w:tab w:val="left" w:pos="3510"/>
      </w:tabs>
    </w:pPr>
    <w:r w:rsidRPr="00616DE7">
      <w:rPr>
        <w:rFonts w:ascii="Poppins ExtraBold" w:hAnsi="Poppins ExtraBold" w:cs="Poppins ExtraBold"/>
        <w:color w:val="0A1F50" w:themeColor="text2"/>
      </w:rPr>
      <mc:AlternateContent>
        <mc:Choice Requires="wps">
          <w:drawing>
            <wp:anchor distT="0" distB="0" distL="114300" distR="114300" simplePos="0" relativeHeight="251658244" behindDoc="0" locked="0" layoutInCell="1" allowOverlap="1" wp14:anchorId="1E26950E" wp14:editId="07395456">
              <wp:simplePos x="0" y="0"/>
              <wp:positionH relativeFrom="margin">
                <wp:posOffset>-103048</wp:posOffset>
              </wp:positionH>
              <wp:positionV relativeFrom="paragraph">
                <wp:posOffset>221615</wp:posOffset>
              </wp:positionV>
              <wp:extent cx="996950" cy="533400"/>
              <wp:effectExtent l="0" t="0" r="0" b="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533400"/>
                      </a:xfrm>
                      <a:prstGeom prst="rect">
                        <a:avLst/>
                      </a:prstGeom>
                      <a:solidFill>
                        <a:srgbClr val="FFFFFF"/>
                      </a:solidFill>
                      <a:ln w="9525">
                        <a:noFill/>
                        <a:miter lim="800000"/>
                        <a:headEnd/>
                        <a:tailEnd/>
                      </a:ln>
                    </wps:spPr>
                    <wps:txbx>
                      <w:txbxContent>
                        <w:p w14:paraId="0EA61B75" w14:textId="77777777" w:rsidR="00505928" w:rsidRPr="00616DE7" w:rsidRDefault="00505928" w:rsidP="00505928">
                          <w:pPr>
                            <w:pBdr>
                              <w:right w:val="single" w:sz="4" w:space="4" w:color="auto"/>
                            </w:pBdr>
                            <w:spacing w:after="0" w:line="240" w:lineRule="auto"/>
                            <w:rPr>
                              <w:sz w:val="40"/>
                              <w:szCs w:val="40"/>
                            </w:rPr>
                          </w:pPr>
                          <w:r w:rsidRPr="00616DE7">
                            <w:rPr>
                              <w:rFonts w:ascii="Poppins ExtraBold" w:hAnsi="Poppins ExtraBold" w:cs="Poppins ExtraBold"/>
                              <w:color w:val="0A1F50" w:themeColor="text2"/>
                              <w:sz w:val="40"/>
                              <w:szCs w:val="40"/>
                            </w:rPr>
                            <w:t>QTAG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26950E" id="_x0000_t202" coordsize="21600,21600" o:spt="202" path="m,l,21600r21600,l21600,xe">
              <v:stroke joinstyle="miter"/>
              <v:path gradientshapeok="t" o:connecttype="rect"/>
            </v:shapetype>
            <v:shape id="Text Box 2" o:spid="_x0000_s1029" type="#_x0000_t202" alt="&quot;&quot;" style="position:absolute;left:0;text-align:left;margin-left:-8.1pt;margin-top:17.45pt;width:78.5pt;height:42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ZuEAIAAPwDAAAOAAAAZHJzL2Uyb0RvYy54bWysU11v2yAUfZ+0/4B4X+ykSddYcaouXaZJ&#10;3YfU7QdgjGM0zGUXEjv79b3gNI26t2k8IC4XDueee1jdDp1hB4Vegy35dJJzpqyEWttdyX/+2L67&#10;4cwHYWthwKqSH5Xnt+u3b1a9K9QMWjC1QkYg1he9K3kbgiuyzMtWdcJPwClLyQawE4FC3GU1ip7Q&#10;O5PN8vw66wFrhyCV97R7Pyb5OuE3jZLhW9N4FZgpOXELacY0V3HO1itR7FC4VssTDfEPLDqhLT16&#10;hroXQbA96r+gOi0RPDRhIqHLoGm0VKkGqmaav6rmsRVOpVpIHO/OMvn/Byu/Hh7dd2Rh+AADNTAV&#10;4d0DyF+eWdi0wu7UHSL0rRI1PTyNkmW988XpapTaFz6CVP0XqKnJYh8gAQ0NdlEVqpMROjXgeBZd&#10;DYFJ2lwur5cLykhKLa6u5nlqSiaK58sOffikoGNxUXKkniZwcXjwIZIRxfOR+JYHo+utNiYFuKs2&#10;BtlBUP+3aST+r44Zy3pispgtErKFeD9Zo9OB/Gl0V/KbPI7RMVGMj7ZOR4LQZlwTE2NP6kRBRmnC&#10;UA1M1yWfxbtRrArqI8mFMNqRvg8tWsA/nPVkxZL733uBijPz2ZLky+l8Hr2bgvni/YwCvMxUlxlh&#10;JUGVPHA2Ljch+T3KYeGOWtPoJNsLkxNlslhS8/Qdoocv43Tq5dOunwAAAP//AwBQSwMEFAAGAAgA&#10;AAAhAEdVq87fAAAACgEAAA8AAABkcnMvZG93bnJldi54bWxMj8FOg0AQhu8mvsNmTLyYdqEiLcjS&#10;qInGa2sfYGCnQGRnCbst9O3dnuxtJvPln+8vtrPpxZlG11lWEC8jEMS11R03Cg4/n4sNCOeRNfaW&#10;ScGFHGzL+7sCc20n3tF57xsRQtjlqKD1fsildHVLBt3SDsThdrSjQR/WsZF6xCmEm16uoiiVBjsO&#10;H1oc6KOl+nd/MgqO39PTSzZVX/6w3iXpO3bryl6UenyY315BeJr9PwxX/aAOZXCq7Im1E72CRZyu&#10;AqrgOclAXIEkCl2qMMSbDGRZyNsK5R8AAAD//wMAUEsBAi0AFAAGAAgAAAAhALaDOJL+AAAA4QEA&#10;ABMAAAAAAAAAAAAAAAAAAAAAAFtDb250ZW50X1R5cGVzXS54bWxQSwECLQAUAAYACAAAACEAOP0h&#10;/9YAAACUAQAACwAAAAAAAAAAAAAAAAAvAQAAX3JlbHMvLnJlbHNQSwECLQAUAAYACAAAACEAozw2&#10;bhACAAD8AwAADgAAAAAAAAAAAAAAAAAuAgAAZHJzL2Uyb0RvYy54bWxQSwECLQAUAAYACAAAACEA&#10;R1Wrzt8AAAAKAQAADwAAAAAAAAAAAAAAAABqBAAAZHJzL2Rvd25yZXYueG1sUEsFBgAAAAAEAAQA&#10;8wAAAHYFAAAAAA==&#10;" stroked="f">
              <v:textbox>
                <w:txbxContent>
                  <w:p w14:paraId="0EA61B75" w14:textId="77777777" w:rsidR="00505928" w:rsidRPr="00616DE7" w:rsidRDefault="00505928" w:rsidP="00505928">
                    <w:pPr>
                      <w:pBdr>
                        <w:right w:val="single" w:sz="4" w:space="4" w:color="auto"/>
                      </w:pBdr>
                      <w:spacing w:after="0" w:line="240" w:lineRule="auto"/>
                      <w:rPr>
                        <w:sz w:val="40"/>
                        <w:szCs w:val="40"/>
                      </w:rPr>
                    </w:pPr>
                    <w:r w:rsidRPr="00616DE7">
                      <w:rPr>
                        <w:rFonts w:ascii="Poppins ExtraBold" w:hAnsi="Poppins ExtraBold" w:cs="Poppins ExtraBold"/>
                        <w:color w:val="0A1F50" w:themeColor="text2"/>
                        <w:sz w:val="40"/>
                        <w:szCs w:val="40"/>
                      </w:rPr>
                      <w:t>QTAG</w:t>
                    </w:r>
                  </w:p>
                </w:txbxContent>
              </v:textbox>
              <w10:wrap type="square" anchorx="margin"/>
            </v:shape>
          </w:pict>
        </mc:Fallback>
      </mc:AlternateContent>
    </w:r>
    <w:r w:rsidR="00505928">
      <w:tab/>
    </w:r>
  </w:p>
  <w:p w14:paraId="0A8945B0" w14:textId="3A861D3F" w:rsidR="00505928" w:rsidRDefault="00505928" w:rsidP="00024365">
    <w:pPr>
      <w:spacing w:after="0" w:line="240" w:lineRule="auto"/>
      <w:ind w:left="720" w:firstLine="720"/>
      <w:rPr>
        <w:rFonts w:ascii="Poppins ExtraBold" w:hAnsi="Poppins ExtraBold" w:cs="Poppins ExtraBold"/>
        <w:color w:val="0A1F50" w:themeColor="text2"/>
      </w:rPr>
    </w:pPr>
    <w:r w:rsidRPr="0066062D">
      <w:rPr>
        <w:rFonts w:ascii="Poppins Light" w:hAnsi="Poppins Light" w:cs="Poppins Light"/>
        <w:color w:val="0A1F50" w:themeColor="text2"/>
      </w:rPr>
      <w:t>Papua New Guinea</w:t>
    </w:r>
    <w:r>
      <w:rPr>
        <w:rFonts w:ascii="Poppins ExtraBold" w:hAnsi="Poppins ExtraBold" w:cs="Poppins ExtraBold"/>
        <w:color w:val="0A1F50" w:themeColor="text2"/>
      </w:rPr>
      <w:t xml:space="preserve"> </w:t>
    </w:r>
  </w:p>
  <w:p w14:paraId="4F432802" w14:textId="02AFD083" w:rsidR="00505928" w:rsidRPr="00674E30" w:rsidRDefault="00505928" w:rsidP="00024365">
    <w:pPr>
      <w:spacing w:after="0" w:line="240" w:lineRule="auto"/>
      <w:ind w:left="720" w:firstLine="720"/>
      <w:rPr>
        <w:rFonts w:ascii="Poppins ExtraBold" w:hAnsi="Poppins ExtraBold" w:cs="Poppins ExtraBold"/>
        <w:color w:val="0A1F50" w:themeColor="text2"/>
      </w:rPr>
    </w:pPr>
    <w:r w:rsidRPr="00674E30">
      <w:rPr>
        <w:rFonts w:ascii="Poppins ExtraBold" w:hAnsi="Poppins ExtraBold" w:cs="Poppins ExtraBold"/>
        <w:color w:val="0A1F50" w:themeColor="text2"/>
      </w:rPr>
      <w:t>Quality and Technical Assurance Group</w:t>
    </w:r>
  </w:p>
  <w:p w14:paraId="5E62C1F8" w14:textId="57432E1A" w:rsidR="00DB154E" w:rsidRDefault="00DB154E" w:rsidP="009B6F4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0EB9" w14:textId="77777777" w:rsidR="00E10EAF" w:rsidRPr="006509DA" w:rsidRDefault="009B6F4E" w:rsidP="009B6F4E">
    <w:pPr>
      <w:pStyle w:val="Header"/>
    </w:pPr>
    <w:r w:rsidRPr="006509DA">
      <mc:AlternateContent>
        <mc:Choice Requires="wps">
          <w:drawing>
            <wp:anchor distT="0" distB="0" distL="114300" distR="114300" simplePos="0" relativeHeight="251658242" behindDoc="1" locked="0" layoutInCell="0" allowOverlap="1" wp14:anchorId="76C43BA6" wp14:editId="6D6AF7BC">
              <wp:simplePos x="0" y="0"/>
              <wp:positionH relativeFrom="leftMargin">
                <wp:align>right</wp:align>
              </wp:positionH>
              <wp:positionV relativeFrom="topMargin">
                <wp:posOffset>285750</wp:posOffset>
              </wp:positionV>
              <wp:extent cx="914400" cy="161925"/>
              <wp:effectExtent l="0" t="0" r="19050" b="28575"/>
              <wp:wrapNone/>
              <wp:docPr id="9"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61925"/>
                      </a:xfrm>
                      <a:prstGeom prst="rect">
                        <a:avLst/>
                      </a:prstGeom>
                      <a:solidFill>
                        <a:srgbClr val="0B1F51"/>
                      </a:solidFill>
                      <a:ln>
                        <a:solidFill>
                          <a:srgbClr val="0B1F51"/>
                        </a:solidFill>
                      </a:ln>
                    </wps:spPr>
                    <wps:txbx>
                      <w:txbxContent>
                        <w:p w14:paraId="38BD3731" w14:textId="77777777" w:rsidR="00E10EAF" w:rsidRPr="006509DA" w:rsidRDefault="00E10EAF" w:rsidP="009B6F4E">
                          <w:pPr>
                            <w:rPr>
                              <w:color w:val="FFFFFF" w:themeColor="background1"/>
                            </w:rPr>
                          </w:pPr>
                          <w:r w:rsidRPr="006509DA">
                            <w:fldChar w:fldCharType="begin"/>
                          </w:r>
                          <w:r w:rsidRPr="006509DA">
                            <w:instrText xml:space="preserve"> PAGE   \* MERGEFORMAT </w:instrText>
                          </w:r>
                          <w:r w:rsidRPr="006509DA">
                            <w:fldChar w:fldCharType="separate"/>
                          </w:r>
                          <w:r w:rsidR="006C159E" w:rsidRPr="006C159E">
                            <w:rPr>
                              <w:noProof/>
                              <w:color w:val="FFFFFF" w:themeColor="background1"/>
                            </w:rPr>
                            <w:t>2</w:t>
                          </w:r>
                          <w:r w:rsidRPr="006509DA">
                            <w:rPr>
                              <w:noProof/>
                              <w:color w:val="FFFFFF" w:themeColor="background1"/>
                            </w:rPr>
                            <w:fldChar w:fldCharType="end"/>
                          </w:r>
                        </w:p>
                      </w:txbxContent>
                    </wps:txbx>
                    <wps:bodyPr rot="0" vert="horz" wrap="square" lIns="91440" tIns="0" rIns="91440" bIns="0" anchor="ctr" anchorCtr="0" upright="1">
                      <a:noAutofit/>
                    </wps:bodyPr>
                  </wps:wsp>
                </a:graphicData>
              </a:graphic>
              <wp14:sizeRelH relativeFrom="leftMargin">
                <wp14:pctWidth>100000</wp14:pctWidth>
              </wp14:sizeRelH>
              <wp14:sizeRelV relativeFrom="page">
                <wp14:pctHeight>0</wp14:pctHeight>
              </wp14:sizeRelV>
            </wp:anchor>
          </w:drawing>
        </mc:Choice>
        <mc:Fallback>
          <w:pict>
            <v:shapetype w14:anchorId="76C43BA6" id="_x0000_t202" coordsize="21600,21600" o:spt="202" path="m,l,21600r21600,l21600,xe">
              <v:stroke joinstyle="miter"/>
              <v:path gradientshapeok="t" o:connecttype="rect"/>
            </v:shapetype>
            <v:shape id="Text Box 9" o:spid="_x0000_s1030" type="#_x0000_t202" alt="&quot;&quot;" style="position:absolute;left:0;text-align:left;margin-left:20.8pt;margin-top:22.5pt;width:1in;height:12.75pt;z-index:-251658238;visibility:visible;mso-wrap-style:square;mso-width-percent:1000;mso-height-percent:0;mso-wrap-distance-left:9pt;mso-wrap-distance-top:0;mso-wrap-distance-right:9pt;mso-wrap-distance-bottom:0;mso-position-horizontal:right;mso-position-horizontal-relative:left-margin-area;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3vy8wEAAPMDAAAOAAAAZHJzL2Uyb0RvYy54bWysk8Fu2zAMhu8D9g6C7ovtrC1WI07Rpsgw&#10;oFsHdHsAWZZtYbKoUUrs7OlHyUladLdiF0GkpJ/kR2p1Mw2G7RV6DbbixSLnTFkJjbZdxX/+2H74&#10;xJkPwjbCgFUVPyjPb9bv361GV6ol9GAahYxErC9HV/E+BFdmmZe9GoRfgFOWDlvAQQQyscsaFCOp&#10;DyZb5vlVNgI2DkEq78l7Px/yddJvWyXDY9t6FZipOOUW0oppreOarVei7FC4XstjGuINWQxCWwp6&#10;lroXQbAd6n+kBi0RPLRhIWHIoG21VKkGqqbIX1Xz1AunUi0Ex7szJv//ZOW3/ZP7jixMdzBRA1MR&#10;3j2A/OWZhU0vbKduEWHslWgocBGRZaPz5fFpRO1LH0Xq8Ss01GSxC5CEphaHSIXqZKRODTicoasp&#10;MEnO6+LiIqcTSUfFVXG9vEwRRHl67NCHzwoGFjcVR+ppEhf7Bx9iMqI8XYmxPBjdbLUxycCu3hhk&#10;exH7f1dsL+f8X10z9m0vKXR8mnBEAjOLMNUT003FP8ZKIp0amgPxQZjnj/4LbXrAP5yNNHsV9793&#10;AhVn5oslxgkJDWsyCA2+9NYnr7CSJCouA3I2G5swj/bOoe56ijH308ItdaTVidZzPsfEabISxOMv&#10;iKP70k63nv/q+i8AAAD//wMAUEsDBBQABgAIAAAAIQC0EFIy3QAAAAYBAAAPAAAAZHJzL2Rvd25y&#10;ZXYueG1sTI/NTsNADITvSLzDykjc6AaUFhSyqRA/QnDgp+UBnKybBLLeaHfbBp4e9wQnjzXWzOdy&#10;OblB7SjE3rOB81kGirjxtufWwMf64ewKVEzIFgfPZOCbIiyr46MSC+v3/E67VWqVhHAs0ECX0lho&#10;HZuOHMaZH4nF2/jgMMkaWm0D7iXcDfoiyxbaYc/S0OFItx01X6utM/DzOr1tMDb6OdBiffd4P758&#10;1k/GnJ5MN9egEk3p7xgO+IIOlTDVfss2qsGAPJIM5HOZBzfPRdQGLrM56KrU//GrXwAAAP//AwBQ&#10;SwECLQAUAAYACAAAACEAtoM4kv4AAADhAQAAEwAAAAAAAAAAAAAAAAAAAAAAW0NvbnRlbnRfVHlw&#10;ZXNdLnhtbFBLAQItABQABgAIAAAAIQA4/SH/1gAAAJQBAAALAAAAAAAAAAAAAAAAAC8BAABfcmVs&#10;cy8ucmVsc1BLAQItABQABgAIAAAAIQA6C3vy8wEAAPMDAAAOAAAAAAAAAAAAAAAAAC4CAABkcnMv&#10;ZTJvRG9jLnhtbFBLAQItABQABgAIAAAAIQC0EFIy3QAAAAYBAAAPAAAAAAAAAAAAAAAAAE0EAABk&#10;cnMvZG93bnJldi54bWxQSwUGAAAAAAQABADzAAAAVwUAAAAA&#10;" o:allowincell="f" fillcolor="#0b1f51" strokecolor="#0b1f51">
              <v:textbox inset=",0,,0">
                <w:txbxContent>
                  <w:p w14:paraId="38BD3731" w14:textId="77777777" w:rsidR="00E10EAF" w:rsidRPr="006509DA" w:rsidRDefault="00E10EAF" w:rsidP="009B6F4E">
                    <w:pPr>
                      <w:rPr>
                        <w:color w:val="FFFFFF" w:themeColor="background1"/>
                      </w:rPr>
                    </w:pPr>
                    <w:r w:rsidRPr="006509DA">
                      <w:fldChar w:fldCharType="begin"/>
                    </w:r>
                    <w:r w:rsidRPr="006509DA">
                      <w:instrText xml:space="preserve"> PAGE   \* MERGEFORMAT </w:instrText>
                    </w:r>
                    <w:r w:rsidRPr="006509DA">
                      <w:fldChar w:fldCharType="separate"/>
                    </w:r>
                    <w:r w:rsidR="006C159E" w:rsidRPr="006C159E">
                      <w:rPr>
                        <w:noProof/>
                        <w:color w:val="FFFFFF" w:themeColor="background1"/>
                      </w:rPr>
                      <w:t>2</w:t>
                    </w:r>
                    <w:r w:rsidRPr="006509DA">
                      <w:rPr>
                        <w:noProof/>
                        <w:color w:val="FFFFFF" w:themeColor="background1"/>
                      </w:rPr>
                      <w:fldChar w:fldCharType="end"/>
                    </w:r>
                  </w:p>
                </w:txbxContent>
              </v:textbox>
              <w10:wrap anchorx="margin" anchory="margin"/>
            </v:shape>
          </w:pict>
        </mc:Fallback>
      </mc:AlternateContent>
    </w:r>
    <w:r w:rsidR="00E10EAF" w:rsidRPr="006509DA">
      <mc:AlternateContent>
        <mc:Choice Requires="wps">
          <w:drawing>
            <wp:anchor distT="0" distB="0" distL="114300" distR="114300" simplePos="0" relativeHeight="251658243" behindDoc="0" locked="0" layoutInCell="0" allowOverlap="1" wp14:anchorId="3879C5F1" wp14:editId="3BAED152">
              <wp:simplePos x="0" y="0"/>
              <wp:positionH relativeFrom="margin">
                <wp:align>left</wp:align>
              </wp:positionH>
              <wp:positionV relativeFrom="topMargin">
                <wp:align>center</wp:align>
              </wp:positionV>
              <wp:extent cx="5943600" cy="170815"/>
              <wp:effectExtent l="0" t="0" r="0" b="1905"/>
              <wp:wrapNone/>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F3091" w14:textId="4F34E1E2" w:rsidR="00E10EAF" w:rsidRPr="009B6F4E" w:rsidRDefault="00D419E1" w:rsidP="009B6F4E">
                          <w:pPr>
                            <w:rPr>
                              <w:sz w:val="20"/>
                              <w:szCs w:val="20"/>
                            </w:rPr>
                          </w:pPr>
                          <w:r>
                            <w:rPr>
                              <w:sz w:val="20"/>
                              <w:szCs w:val="20"/>
                            </w:rPr>
                            <w:t>QTAG | Independent Review of the South Fly Resilience Plan</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3879C5F1" id="Text Box 6" o:spid="_x0000_s1031" type="#_x0000_t202" alt="&quot;&quot;" style="position:absolute;left:0;text-align:left;margin-left:0;margin-top:0;width:468pt;height:13.45pt;z-index:251658243;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8g34QEAAKIDAAAOAAAAZHJzL2Uyb0RvYy54bWysU8Fu2zAMvQ/YPwi6L7a7tGuNOEXXIsOA&#10;rhvQ9QMUWY6F2aJGKrGzrx8lJ2m33YpdBJGUH997pBfXY9+JnUGy4CpZzHIpjNNQW7ep5NP31btL&#10;KSgoV6sOnKnk3pC8Xr59sxh8ac6gha42KBjEUTn4SrYh+DLLSLemVzQDbxwXG8BeBQ5xk9WoBkbv&#10;u+wszy+yAbD2CNoQcfZuKsplwm8ao8PXpiETRFdJ5hbSielcxzNbLlS5QeVbqw801CtY9Mo6bnqC&#10;ulNBiS3af6B6qxEImjDT0GfQNFabpIHVFPlfah5b5U3SwuaQP9lE/w9WP+we/TcUYfwIIw8wiSB/&#10;D/oHCQe3rXIbc4MIQ2tUzY2LaFk2eCoPn0arqaQIsh6+QM1DVtsACWhssI+usE7B6DyA/cl0Mwah&#10;OXl+NX9/kXNJc634kF8W56mFKo9fe6TwyUAv4qWSyENN6Gp3TyGyUeXxSWzmYGW7Lg22c38k+GHM&#10;JPaR8EQ9jOtR2LqS89g3illDvWc5CNO68HrzpQX8JcXAq1JJ+rlVaKToPju25KqYz+NupYAv+DK7&#10;PmaV0wxRSR1Qiim4DdMmbj3aTcs9jvbfsIErm7Q98zkQ50VIkg9LGzftZZxePf9ay98AAAD//wMA&#10;UEsDBBQABgAIAAAAIQBczPU/2wAAAAQBAAAPAAAAZHJzL2Rvd25yZXYueG1sTI9BS8NAEIXvgv9h&#10;GcGb3VhLMDGbIoIepCpGaa/T7JgEs7Mxu23Tf+/oRS8Djze8971iOble7WkMnWcDl7MEFHHtbceN&#10;gfe3+4trUCEiW+w9k4EjBViWpycF5tYf+JX2VWyUhHDI0UAb45BrHeqWHIaZH4jF+/CjwyhybLQd&#10;8SDhrtfzJEm1w46locWB7lqqP6udk5L1Ex6fk5V7qR+/sofNqqkWi8aY87Pp9gZUpCn+PcMPvqBD&#10;KUxbv2MbVG9AhsTfK152lYrcGpinGeiy0P/hy28AAAD//wMAUEsBAi0AFAAGAAgAAAAhALaDOJL+&#10;AAAA4QEAABMAAAAAAAAAAAAAAAAAAAAAAFtDb250ZW50X1R5cGVzXS54bWxQSwECLQAUAAYACAAA&#10;ACEAOP0h/9YAAACUAQAACwAAAAAAAAAAAAAAAAAvAQAAX3JlbHMvLnJlbHNQSwECLQAUAAYACAAA&#10;ACEAH9vIN+EBAACiAwAADgAAAAAAAAAAAAAAAAAuAgAAZHJzL2Uyb0RvYy54bWxQSwECLQAUAAYA&#10;CAAAACEAXMz1P9sAAAAEAQAADwAAAAAAAAAAAAAAAAA7BAAAZHJzL2Rvd25yZXYueG1sUEsFBgAA&#10;AAAEAAQA8wAAAEMFAAAAAA==&#10;" o:allowincell="f" filled="f" stroked="f">
              <v:textbox style="mso-fit-shape-to-text:t" inset=",0,,0">
                <w:txbxContent>
                  <w:p w14:paraId="395F3091" w14:textId="4F34E1E2" w:rsidR="00E10EAF" w:rsidRPr="009B6F4E" w:rsidRDefault="00D419E1" w:rsidP="009B6F4E">
                    <w:pPr>
                      <w:rPr>
                        <w:sz w:val="20"/>
                        <w:szCs w:val="20"/>
                      </w:rPr>
                    </w:pPr>
                    <w:r>
                      <w:rPr>
                        <w:sz w:val="20"/>
                        <w:szCs w:val="20"/>
                      </w:rPr>
                      <w:t>QTAG | Independent Review of the South Fly Resilience Plan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3CE2"/>
    <w:multiLevelType w:val="hybridMultilevel"/>
    <w:tmpl w:val="D5802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B0B38"/>
    <w:multiLevelType w:val="hybridMultilevel"/>
    <w:tmpl w:val="EBC0CBE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CD3891"/>
    <w:multiLevelType w:val="hybridMultilevel"/>
    <w:tmpl w:val="1F2050DC"/>
    <w:lvl w:ilvl="0" w:tplc="3D46F9F0">
      <w:start w:val="4"/>
      <w:numFmt w:val="decimal"/>
      <w:lvlText w:val="%1."/>
      <w:lvlJc w:val="left"/>
      <w:pPr>
        <w:ind w:left="720"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11703053"/>
    <w:multiLevelType w:val="hybridMultilevel"/>
    <w:tmpl w:val="A02E8E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EF2C64"/>
    <w:multiLevelType w:val="hybridMultilevel"/>
    <w:tmpl w:val="8C0AD5C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86E19"/>
    <w:multiLevelType w:val="hybridMultilevel"/>
    <w:tmpl w:val="C510ACCA"/>
    <w:lvl w:ilvl="0" w:tplc="1A8CDB6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3740A5"/>
    <w:multiLevelType w:val="hybridMultilevel"/>
    <w:tmpl w:val="8EC822A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2731BA"/>
    <w:multiLevelType w:val="hybridMultilevel"/>
    <w:tmpl w:val="BDDC2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35DEF"/>
    <w:multiLevelType w:val="hybridMultilevel"/>
    <w:tmpl w:val="B794475A"/>
    <w:lvl w:ilvl="0" w:tplc="0C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9230ED"/>
    <w:multiLevelType w:val="hybridMultilevel"/>
    <w:tmpl w:val="42E00A3A"/>
    <w:lvl w:ilvl="0" w:tplc="A7C26D1C">
      <w:start w:val="1"/>
      <w:numFmt w:val="lowerLetter"/>
      <w:lvlText w:val="%1."/>
      <w:lvlJc w:val="left"/>
      <w:pPr>
        <w:tabs>
          <w:tab w:val="num" w:pos="780"/>
        </w:tabs>
        <w:ind w:left="7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9630270"/>
    <w:multiLevelType w:val="hybridMultilevel"/>
    <w:tmpl w:val="859C42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A954B82"/>
    <w:multiLevelType w:val="hybridMultilevel"/>
    <w:tmpl w:val="10981B80"/>
    <w:lvl w:ilvl="0" w:tplc="7EFCF01E">
      <w:start w:val="1"/>
      <w:numFmt w:val="bullet"/>
      <w:pStyle w:val="BulletLis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12" w15:restartNumberingAfterBreak="0">
    <w:nsid w:val="2B5046E1"/>
    <w:multiLevelType w:val="hybridMultilevel"/>
    <w:tmpl w:val="EBCED2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C631C01"/>
    <w:multiLevelType w:val="hybridMultilevel"/>
    <w:tmpl w:val="D15C567A"/>
    <w:lvl w:ilvl="0" w:tplc="84123A02">
      <w:start w:val="1"/>
      <w:numFmt w:val="upperLetter"/>
      <w:pStyle w:val="Recommendationtext"/>
      <w:lvlText w:val="%1"/>
      <w:lvlJc w:val="left"/>
      <w:pPr>
        <w:ind w:left="1494" w:hanging="360"/>
      </w:pPr>
      <w:rPr>
        <w:rFonts w:ascii="Poppins" w:hAnsi="Poppins" w:cs="Poppins ExtraBold" w:hint="default"/>
        <w:b/>
        <w:i w:val="0"/>
        <w:color w:val="0A1F50" w:themeColor="text2"/>
        <w:sz w:val="18"/>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15:restartNumberingAfterBreak="0">
    <w:nsid w:val="31F65EC9"/>
    <w:multiLevelType w:val="hybridMultilevel"/>
    <w:tmpl w:val="34C23FD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274D48"/>
    <w:multiLevelType w:val="hybridMultilevel"/>
    <w:tmpl w:val="28DAAE8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A81537"/>
    <w:multiLevelType w:val="hybridMultilevel"/>
    <w:tmpl w:val="16540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945661"/>
    <w:multiLevelType w:val="hybridMultilevel"/>
    <w:tmpl w:val="28EE7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BD760A"/>
    <w:multiLevelType w:val="hybridMultilevel"/>
    <w:tmpl w:val="DA8A9632"/>
    <w:lvl w:ilvl="0" w:tplc="A65A47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6B0BEC"/>
    <w:multiLevelType w:val="hybridMultilevel"/>
    <w:tmpl w:val="2E783FDA"/>
    <w:lvl w:ilvl="0" w:tplc="0BB6BE5A">
      <w:start w:val="1"/>
      <w:numFmt w:val="lowerLetter"/>
      <w:lvlText w:val="%1."/>
      <w:lvlJc w:val="left"/>
      <w:pPr>
        <w:ind w:left="785" w:hanging="360"/>
      </w:pPr>
      <w:rPr>
        <w:rFonts w:ascii="Roboto" w:hAnsi="Robot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A2765D"/>
    <w:multiLevelType w:val="hybridMultilevel"/>
    <w:tmpl w:val="3ECA5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003FCA"/>
    <w:multiLevelType w:val="hybridMultilevel"/>
    <w:tmpl w:val="DE2E3712"/>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2" w15:restartNumberingAfterBreak="0">
    <w:nsid w:val="3F6C595A"/>
    <w:multiLevelType w:val="hybridMultilevel"/>
    <w:tmpl w:val="2030200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DB52A5"/>
    <w:multiLevelType w:val="hybridMultilevel"/>
    <w:tmpl w:val="59A8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150AFD"/>
    <w:multiLevelType w:val="hybridMultilevel"/>
    <w:tmpl w:val="719E3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EE2387"/>
    <w:multiLevelType w:val="hybridMultilevel"/>
    <w:tmpl w:val="5F98E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237281"/>
    <w:multiLevelType w:val="hybridMultilevel"/>
    <w:tmpl w:val="2D22F50E"/>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7" w15:restartNumberingAfterBreak="0">
    <w:nsid w:val="4C687DD1"/>
    <w:multiLevelType w:val="hybridMultilevel"/>
    <w:tmpl w:val="76981BA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E431A2B"/>
    <w:multiLevelType w:val="hybridMultilevel"/>
    <w:tmpl w:val="4B127D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B22610"/>
    <w:multiLevelType w:val="hybridMultilevel"/>
    <w:tmpl w:val="2AE040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AFB1EC6"/>
    <w:multiLevelType w:val="hybridMultilevel"/>
    <w:tmpl w:val="05643A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CA27110"/>
    <w:multiLevelType w:val="hybridMultilevel"/>
    <w:tmpl w:val="718C94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922160"/>
    <w:multiLevelType w:val="hybridMultilevel"/>
    <w:tmpl w:val="505C2D8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9D657C"/>
    <w:multiLevelType w:val="hybridMultilevel"/>
    <w:tmpl w:val="2E3C204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BE5382"/>
    <w:multiLevelType w:val="hybridMultilevel"/>
    <w:tmpl w:val="D8B66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F9728A"/>
    <w:multiLevelType w:val="multilevel"/>
    <w:tmpl w:val="3F68F9DA"/>
    <w:lvl w:ilvl="0">
      <w:start w:val="1"/>
      <w:numFmt w:val="decimal"/>
      <w:lvlText w:val="%1"/>
      <w:lvlJc w:val="left"/>
      <w:pPr>
        <w:ind w:left="490" w:hanging="490"/>
      </w:pPr>
      <w:rPr>
        <w:rFonts w:hint="default"/>
      </w:rPr>
    </w:lvl>
    <w:lvl w:ilvl="1">
      <w:start w:val="9"/>
      <w:numFmt w:val="decimal"/>
      <w:lvlText w:val="%1.%2"/>
      <w:lvlJc w:val="left"/>
      <w:pPr>
        <w:ind w:left="490" w:hanging="4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1ED572C"/>
    <w:multiLevelType w:val="multilevel"/>
    <w:tmpl w:val="1C2C166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3AC6996"/>
    <w:multiLevelType w:val="hybridMultilevel"/>
    <w:tmpl w:val="C1405F58"/>
    <w:lvl w:ilvl="0" w:tplc="08090019">
      <w:start w:val="1"/>
      <w:numFmt w:val="lowerLetter"/>
      <w:lvlText w:val="%1."/>
      <w:lvlJc w:val="left"/>
      <w:pPr>
        <w:ind w:left="785" w:hanging="360"/>
      </w:pPr>
      <w:rPr>
        <w:rFonts w:hint="default"/>
      </w:rPr>
    </w:lvl>
    <w:lvl w:ilvl="1" w:tplc="08090019" w:tentative="1">
      <w:start w:val="1"/>
      <w:numFmt w:val="lowerLetter"/>
      <w:lvlText w:val="%2."/>
      <w:lvlJc w:val="left"/>
      <w:pPr>
        <w:ind w:left="1003" w:hanging="360"/>
      </w:pPr>
    </w:lvl>
    <w:lvl w:ilvl="2" w:tplc="0809001B" w:tentative="1">
      <w:start w:val="1"/>
      <w:numFmt w:val="lowerRoman"/>
      <w:lvlText w:val="%3."/>
      <w:lvlJc w:val="right"/>
      <w:pPr>
        <w:ind w:left="1723" w:hanging="180"/>
      </w:pPr>
    </w:lvl>
    <w:lvl w:ilvl="3" w:tplc="0809000F" w:tentative="1">
      <w:start w:val="1"/>
      <w:numFmt w:val="decimal"/>
      <w:lvlText w:val="%4."/>
      <w:lvlJc w:val="left"/>
      <w:pPr>
        <w:ind w:left="2443" w:hanging="360"/>
      </w:pPr>
    </w:lvl>
    <w:lvl w:ilvl="4" w:tplc="08090019" w:tentative="1">
      <w:start w:val="1"/>
      <w:numFmt w:val="lowerLetter"/>
      <w:lvlText w:val="%5."/>
      <w:lvlJc w:val="left"/>
      <w:pPr>
        <w:ind w:left="3163" w:hanging="360"/>
      </w:pPr>
    </w:lvl>
    <w:lvl w:ilvl="5" w:tplc="0809001B" w:tentative="1">
      <w:start w:val="1"/>
      <w:numFmt w:val="lowerRoman"/>
      <w:lvlText w:val="%6."/>
      <w:lvlJc w:val="right"/>
      <w:pPr>
        <w:ind w:left="3883" w:hanging="180"/>
      </w:pPr>
    </w:lvl>
    <w:lvl w:ilvl="6" w:tplc="0809000F" w:tentative="1">
      <w:start w:val="1"/>
      <w:numFmt w:val="decimal"/>
      <w:lvlText w:val="%7."/>
      <w:lvlJc w:val="left"/>
      <w:pPr>
        <w:ind w:left="4603" w:hanging="360"/>
      </w:pPr>
    </w:lvl>
    <w:lvl w:ilvl="7" w:tplc="08090019" w:tentative="1">
      <w:start w:val="1"/>
      <w:numFmt w:val="lowerLetter"/>
      <w:lvlText w:val="%8."/>
      <w:lvlJc w:val="left"/>
      <w:pPr>
        <w:ind w:left="5323" w:hanging="360"/>
      </w:pPr>
    </w:lvl>
    <w:lvl w:ilvl="8" w:tplc="0809001B" w:tentative="1">
      <w:start w:val="1"/>
      <w:numFmt w:val="lowerRoman"/>
      <w:lvlText w:val="%9."/>
      <w:lvlJc w:val="right"/>
      <w:pPr>
        <w:ind w:left="6043" w:hanging="180"/>
      </w:pPr>
    </w:lvl>
  </w:abstractNum>
  <w:abstractNum w:abstractNumId="38" w15:restartNumberingAfterBreak="0">
    <w:nsid w:val="74082DDB"/>
    <w:multiLevelType w:val="hybridMultilevel"/>
    <w:tmpl w:val="E56609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409439E"/>
    <w:multiLevelType w:val="hybridMultilevel"/>
    <w:tmpl w:val="809E9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2A4F5C"/>
    <w:multiLevelType w:val="hybridMultilevel"/>
    <w:tmpl w:val="71E8652E"/>
    <w:lvl w:ilvl="0" w:tplc="1A8CDB6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AE471A"/>
    <w:multiLevelType w:val="hybridMultilevel"/>
    <w:tmpl w:val="E4BCAE6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B618AC"/>
    <w:multiLevelType w:val="hybridMultilevel"/>
    <w:tmpl w:val="901E4E9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E350385"/>
    <w:multiLevelType w:val="hybridMultilevel"/>
    <w:tmpl w:val="776CF2A2"/>
    <w:lvl w:ilvl="0" w:tplc="042C4B72">
      <w:start w:val="1"/>
      <w:numFmt w:val="decimal"/>
      <w:pStyle w:val="NumberList"/>
      <w:lvlText w:val="%1."/>
      <w:lvlJc w:val="left"/>
      <w:pPr>
        <w:ind w:left="1060" w:hanging="360"/>
      </w:pPr>
    </w:lvl>
    <w:lvl w:ilvl="1" w:tplc="9A9E4E52">
      <w:start w:val="1"/>
      <w:numFmt w:val="lowerLetter"/>
      <w:lvlText w:val="%2."/>
      <w:lvlJc w:val="left"/>
      <w:pPr>
        <w:ind w:left="1780" w:hanging="360"/>
      </w:pPr>
      <w:rPr>
        <w:b w:val="0"/>
      </w:rPr>
    </w:lvl>
    <w:lvl w:ilvl="2" w:tplc="203E714E">
      <w:start w:val="4"/>
      <w:numFmt w:val="bullet"/>
      <w:lvlText w:val="-"/>
      <w:lvlJc w:val="left"/>
      <w:pPr>
        <w:ind w:left="3040" w:hanging="720"/>
      </w:pPr>
      <w:rPr>
        <w:rFonts w:ascii="Roboto Light" w:eastAsiaTheme="minorHAnsi" w:hAnsi="Roboto Light" w:cs="Arial" w:hint="default"/>
      </w:r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4" w15:restartNumberingAfterBreak="0">
    <w:nsid w:val="7EA95B4B"/>
    <w:multiLevelType w:val="hybridMultilevel"/>
    <w:tmpl w:val="2C0ACD8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705102"/>
    <w:multiLevelType w:val="hybridMultilevel"/>
    <w:tmpl w:val="85C8B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3"/>
  </w:num>
  <w:num w:numId="3">
    <w:abstractNumId w:val="13"/>
  </w:num>
  <w:num w:numId="4">
    <w:abstractNumId w:val="20"/>
  </w:num>
  <w:num w:numId="5">
    <w:abstractNumId w:val="31"/>
  </w:num>
  <w:num w:numId="6">
    <w:abstractNumId w:val="5"/>
  </w:num>
  <w:num w:numId="7">
    <w:abstractNumId w:val="40"/>
  </w:num>
  <w:num w:numId="8">
    <w:abstractNumId w:val="17"/>
  </w:num>
  <w:num w:numId="9">
    <w:abstractNumId w:val="24"/>
  </w:num>
  <w:num w:numId="10">
    <w:abstractNumId w:val="39"/>
  </w:num>
  <w:num w:numId="11">
    <w:abstractNumId w:val="7"/>
  </w:num>
  <w:num w:numId="12">
    <w:abstractNumId w:val="18"/>
  </w:num>
  <w:num w:numId="13">
    <w:abstractNumId w:val="0"/>
  </w:num>
  <w:num w:numId="14">
    <w:abstractNumId w:val="34"/>
  </w:num>
  <w:num w:numId="15">
    <w:abstractNumId w:val="36"/>
  </w:num>
  <w:num w:numId="16">
    <w:abstractNumId w:val="22"/>
  </w:num>
  <w:num w:numId="17">
    <w:abstractNumId w:val="32"/>
  </w:num>
  <w:num w:numId="18">
    <w:abstractNumId w:val="15"/>
  </w:num>
  <w:num w:numId="19">
    <w:abstractNumId w:val="41"/>
  </w:num>
  <w:num w:numId="20">
    <w:abstractNumId w:val="6"/>
  </w:num>
  <w:num w:numId="21">
    <w:abstractNumId w:val="14"/>
  </w:num>
  <w:num w:numId="22">
    <w:abstractNumId w:val="4"/>
  </w:num>
  <w:num w:numId="23">
    <w:abstractNumId w:val="1"/>
  </w:num>
  <w:num w:numId="24">
    <w:abstractNumId w:val="2"/>
  </w:num>
  <w:num w:numId="25">
    <w:abstractNumId w:val="23"/>
  </w:num>
  <w:num w:numId="26">
    <w:abstractNumId w:val="44"/>
  </w:num>
  <w:num w:numId="27">
    <w:abstractNumId w:val="33"/>
  </w:num>
  <w:num w:numId="28">
    <w:abstractNumId w:val="28"/>
  </w:num>
  <w:num w:numId="29">
    <w:abstractNumId w:val="12"/>
  </w:num>
  <w:num w:numId="30">
    <w:abstractNumId w:val="21"/>
  </w:num>
  <w:num w:numId="31">
    <w:abstractNumId w:val="10"/>
  </w:num>
  <w:num w:numId="32">
    <w:abstractNumId w:val="30"/>
  </w:num>
  <w:num w:numId="33">
    <w:abstractNumId w:val="8"/>
  </w:num>
  <w:num w:numId="34">
    <w:abstractNumId w:val="35"/>
  </w:num>
  <w:num w:numId="35">
    <w:abstractNumId w:val="37"/>
  </w:num>
  <w:num w:numId="36">
    <w:abstractNumId w:val="9"/>
  </w:num>
  <w:num w:numId="37">
    <w:abstractNumId w:val="26"/>
  </w:num>
  <w:num w:numId="38">
    <w:abstractNumId w:val="19"/>
  </w:num>
  <w:num w:numId="39">
    <w:abstractNumId w:val="45"/>
  </w:num>
  <w:num w:numId="40">
    <w:abstractNumId w:val="29"/>
  </w:num>
  <w:num w:numId="41">
    <w:abstractNumId w:val="3"/>
  </w:num>
  <w:num w:numId="42">
    <w:abstractNumId w:val="38"/>
  </w:num>
  <w:num w:numId="43">
    <w:abstractNumId w:val="25"/>
  </w:num>
  <w:num w:numId="44">
    <w:abstractNumId w:val="27"/>
  </w:num>
  <w:num w:numId="45">
    <w:abstractNumId w:val="42"/>
  </w:num>
  <w:num w:numId="4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783"/>
    <w:rsid w:val="00001157"/>
    <w:rsid w:val="000026F0"/>
    <w:rsid w:val="00002D11"/>
    <w:rsid w:val="0000413F"/>
    <w:rsid w:val="0000490F"/>
    <w:rsid w:val="00004989"/>
    <w:rsid w:val="00010922"/>
    <w:rsid w:val="00010A62"/>
    <w:rsid w:val="00010A9C"/>
    <w:rsid w:val="00011351"/>
    <w:rsid w:val="000114E8"/>
    <w:rsid w:val="00011681"/>
    <w:rsid w:val="00011959"/>
    <w:rsid w:val="00012342"/>
    <w:rsid w:val="00012655"/>
    <w:rsid w:val="00014B5F"/>
    <w:rsid w:val="000151EE"/>
    <w:rsid w:val="00015698"/>
    <w:rsid w:val="0001591D"/>
    <w:rsid w:val="000160C1"/>
    <w:rsid w:val="0001619C"/>
    <w:rsid w:val="00016745"/>
    <w:rsid w:val="00017C5E"/>
    <w:rsid w:val="00017D79"/>
    <w:rsid w:val="00017D9B"/>
    <w:rsid w:val="00021868"/>
    <w:rsid w:val="000222FD"/>
    <w:rsid w:val="0002237C"/>
    <w:rsid w:val="000224B9"/>
    <w:rsid w:val="00022683"/>
    <w:rsid w:val="00022E7D"/>
    <w:rsid w:val="00024228"/>
    <w:rsid w:val="00024365"/>
    <w:rsid w:val="00024408"/>
    <w:rsid w:val="000247D9"/>
    <w:rsid w:val="00025A83"/>
    <w:rsid w:val="000277FB"/>
    <w:rsid w:val="00030F6B"/>
    <w:rsid w:val="00031599"/>
    <w:rsid w:val="00031F93"/>
    <w:rsid w:val="00032B5B"/>
    <w:rsid w:val="000330A2"/>
    <w:rsid w:val="00033A16"/>
    <w:rsid w:val="00033A34"/>
    <w:rsid w:val="00033D64"/>
    <w:rsid w:val="000349D8"/>
    <w:rsid w:val="00035261"/>
    <w:rsid w:val="00035D70"/>
    <w:rsid w:val="0003629B"/>
    <w:rsid w:val="00036870"/>
    <w:rsid w:val="000371CD"/>
    <w:rsid w:val="00037D4C"/>
    <w:rsid w:val="00040D63"/>
    <w:rsid w:val="00041973"/>
    <w:rsid w:val="00041D79"/>
    <w:rsid w:val="000426D0"/>
    <w:rsid w:val="00043A31"/>
    <w:rsid w:val="00044ECF"/>
    <w:rsid w:val="000462E7"/>
    <w:rsid w:val="000467EC"/>
    <w:rsid w:val="00046E5C"/>
    <w:rsid w:val="000472B1"/>
    <w:rsid w:val="000479F6"/>
    <w:rsid w:val="000501A8"/>
    <w:rsid w:val="000513D7"/>
    <w:rsid w:val="0005157E"/>
    <w:rsid w:val="00051812"/>
    <w:rsid w:val="00051CC4"/>
    <w:rsid w:val="0005330B"/>
    <w:rsid w:val="0005351F"/>
    <w:rsid w:val="000535EE"/>
    <w:rsid w:val="00053909"/>
    <w:rsid w:val="0005490F"/>
    <w:rsid w:val="0005501D"/>
    <w:rsid w:val="00055B7A"/>
    <w:rsid w:val="00055FE5"/>
    <w:rsid w:val="00056289"/>
    <w:rsid w:val="000563F3"/>
    <w:rsid w:val="0005732D"/>
    <w:rsid w:val="00057818"/>
    <w:rsid w:val="00061776"/>
    <w:rsid w:val="00062956"/>
    <w:rsid w:val="00062B56"/>
    <w:rsid w:val="00062D12"/>
    <w:rsid w:val="00063D95"/>
    <w:rsid w:val="00064506"/>
    <w:rsid w:val="000659CE"/>
    <w:rsid w:val="00065DFC"/>
    <w:rsid w:val="000679DA"/>
    <w:rsid w:val="000717DE"/>
    <w:rsid w:val="0007221D"/>
    <w:rsid w:val="00072698"/>
    <w:rsid w:val="00072C47"/>
    <w:rsid w:val="00072E70"/>
    <w:rsid w:val="00073202"/>
    <w:rsid w:val="00073A55"/>
    <w:rsid w:val="000766F2"/>
    <w:rsid w:val="00077398"/>
    <w:rsid w:val="000800C3"/>
    <w:rsid w:val="00080E3F"/>
    <w:rsid w:val="00084581"/>
    <w:rsid w:val="000848C0"/>
    <w:rsid w:val="00084E54"/>
    <w:rsid w:val="00084ED6"/>
    <w:rsid w:val="00087A22"/>
    <w:rsid w:val="000944D2"/>
    <w:rsid w:val="000950D4"/>
    <w:rsid w:val="000953FC"/>
    <w:rsid w:val="00095A8E"/>
    <w:rsid w:val="00095B64"/>
    <w:rsid w:val="00096839"/>
    <w:rsid w:val="000A051B"/>
    <w:rsid w:val="000A1DD4"/>
    <w:rsid w:val="000A26DB"/>
    <w:rsid w:val="000A35D2"/>
    <w:rsid w:val="000A3681"/>
    <w:rsid w:val="000A4D68"/>
    <w:rsid w:val="000A4E07"/>
    <w:rsid w:val="000A5A22"/>
    <w:rsid w:val="000A5F23"/>
    <w:rsid w:val="000A6CA1"/>
    <w:rsid w:val="000A7BB0"/>
    <w:rsid w:val="000B0077"/>
    <w:rsid w:val="000B02F2"/>
    <w:rsid w:val="000B26D7"/>
    <w:rsid w:val="000B361D"/>
    <w:rsid w:val="000B386E"/>
    <w:rsid w:val="000B3C46"/>
    <w:rsid w:val="000B60B9"/>
    <w:rsid w:val="000B6459"/>
    <w:rsid w:val="000C0A20"/>
    <w:rsid w:val="000C2551"/>
    <w:rsid w:val="000C2B0B"/>
    <w:rsid w:val="000C2F6E"/>
    <w:rsid w:val="000C3A7E"/>
    <w:rsid w:val="000C4DD9"/>
    <w:rsid w:val="000C5505"/>
    <w:rsid w:val="000C730A"/>
    <w:rsid w:val="000C78B9"/>
    <w:rsid w:val="000C7E77"/>
    <w:rsid w:val="000D0A41"/>
    <w:rsid w:val="000D1952"/>
    <w:rsid w:val="000D28F8"/>
    <w:rsid w:val="000D29E5"/>
    <w:rsid w:val="000D2B11"/>
    <w:rsid w:val="000D3983"/>
    <w:rsid w:val="000D48AE"/>
    <w:rsid w:val="000D4A22"/>
    <w:rsid w:val="000D4B4E"/>
    <w:rsid w:val="000D4EB0"/>
    <w:rsid w:val="000D7324"/>
    <w:rsid w:val="000D7BAA"/>
    <w:rsid w:val="000E0E09"/>
    <w:rsid w:val="000E1429"/>
    <w:rsid w:val="000E1774"/>
    <w:rsid w:val="000E1E29"/>
    <w:rsid w:val="000E2993"/>
    <w:rsid w:val="000E2AA1"/>
    <w:rsid w:val="000E2CE7"/>
    <w:rsid w:val="000E43C9"/>
    <w:rsid w:val="000E449D"/>
    <w:rsid w:val="000E488D"/>
    <w:rsid w:val="000F019D"/>
    <w:rsid w:val="000F0C58"/>
    <w:rsid w:val="000F1465"/>
    <w:rsid w:val="000F3868"/>
    <w:rsid w:val="000F687F"/>
    <w:rsid w:val="000F7AD2"/>
    <w:rsid w:val="00100886"/>
    <w:rsid w:val="001010B0"/>
    <w:rsid w:val="00101FF9"/>
    <w:rsid w:val="00102963"/>
    <w:rsid w:val="00102980"/>
    <w:rsid w:val="00103BEC"/>
    <w:rsid w:val="00103FAD"/>
    <w:rsid w:val="00104B84"/>
    <w:rsid w:val="00104BBC"/>
    <w:rsid w:val="00104C14"/>
    <w:rsid w:val="00106A81"/>
    <w:rsid w:val="00107B35"/>
    <w:rsid w:val="0011195E"/>
    <w:rsid w:val="00111F69"/>
    <w:rsid w:val="001128E0"/>
    <w:rsid w:val="0011294A"/>
    <w:rsid w:val="00112993"/>
    <w:rsid w:val="00112F62"/>
    <w:rsid w:val="0011361D"/>
    <w:rsid w:val="00113797"/>
    <w:rsid w:val="00113FB1"/>
    <w:rsid w:val="001141B1"/>
    <w:rsid w:val="001146C7"/>
    <w:rsid w:val="00114F9A"/>
    <w:rsid w:val="001154A2"/>
    <w:rsid w:val="00116A9B"/>
    <w:rsid w:val="00117FB0"/>
    <w:rsid w:val="001214BC"/>
    <w:rsid w:val="00122024"/>
    <w:rsid w:val="00122C9B"/>
    <w:rsid w:val="00123864"/>
    <w:rsid w:val="00123AA8"/>
    <w:rsid w:val="00125158"/>
    <w:rsid w:val="0012575B"/>
    <w:rsid w:val="0012734C"/>
    <w:rsid w:val="001278D8"/>
    <w:rsid w:val="00133B16"/>
    <w:rsid w:val="00133B21"/>
    <w:rsid w:val="00134BDE"/>
    <w:rsid w:val="00135CD6"/>
    <w:rsid w:val="00135D42"/>
    <w:rsid w:val="00136997"/>
    <w:rsid w:val="00137DE8"/>
    <w:rsid w:val="0014099C"/>
    <w:rsid w:val="00140ABF"/>
    <w:rsid w:val="00140C70"/>
    <w:rsid w:val="00141999"/>
    <w:rsid w:val="00142B27"/>
    <w:rsid w:val="0014337E"/>
    <w:rsid w:val="00143400"/>
    <w:rsid w:val="0014399F"/>
    <w:rsid w:val="001441A2"/>
    <w:rsid w:val="00145801"/>
    <w:rsid w:val="001460AE"/>
    <w:rsid w:val="0014790B"/>
    <w:rsid w:val="00147C87"/>
    <w:rsid w:val="00151BC9"/>
    <w:rsid w:val="001522F7"/>
    <w:rsid w:val="00152BA9"/>
    <w:rsid w:val="00152EAA"/>
    <w:rsid w:val="00152EDB"/>
    <w:rsid w:val="00157F76"/>
    <w:rsid w:val="00160395"/>
    <w:rsid w:val="00161345"/>
    <w:rsid w:val="0016190D"/>
    <w:rsid w:val="0016305A"/>
    <w:rsid w:val="00165897"/>
    <w:rsid w:val="00165DCF"/>
    <w:rsid w:val="00166E8D"/>
    <w:rsid w:val="00166FD2"/>
    <w:rsid w:val="00171191"/>
    <w:rsid w:val="001720CF"/>
    <w:rsid w:val="001721BC"/>
    <w:rsid w:val="0017345B"/>
    <w:rsid w:val="00173D5F"/>
    <w:rsid w:val="001746EA"/>
    <w:rsid w:val="00174F5A"/>
    <w:rsid w:val="001760A6"/>
    <w:rsid w:val="0017626E"/>
    <w:rsid w:val="00176378"/>
    <w:rsid w:val="0017673A"/>
    <w:rsid w:val="00176CC5"/>
    <w:rsid w:val="0018092E"/>
    <w:rsid w:val="0018232A"/>
    <w:rsid w:val="00183140"/>
    <w:rsid w:val="00183BD4"/>
    <w:rsid w:val="0018458A"/>
    <w:rsid w:val="00184641"/>
    <w:rsid w:val="00185A5A"/>
    <w:rsid w:val="00186657"/>
    <w:rsid w:val="00186FE4"/>
    <w:rsid w:val="00187A20"/>
    <w:rsid w:val="00191895"/>
    <w:rsid w:val="0019234E"/>
    <w:rsid w:val="00192FC9"/>
    <w:rsid w:val="00192FF1"/>
    <w:rsid w:val="00194392"/>
    <w:rsid w:val="0019454D"/>
    <w:rsid w:val="00195401"/>
    <w:rsid w:val="00197101"/>
    <w:rsid w:val="001A2357"/>
    <w:rsid w:val="001A2778"/>
    <w:rsid w:val="001A3095"/>
    <w:rsid w:val="001A4145"/>
    <w:rsid w:val="001A5199"/>
    <w:rsid w:val="001A594B"/>
    <w:rsid w:val="001A6797"/>
    <w:rsid w:val="001A6A9C"/>
    <w:rsid w:val="001A765E"/>
    <w:rsid w:val="001B02AD"/>
    <w:rsid w:val="001B2035"/>
    <w:rsid w:val="001B25E8"/>
    <w:rsid w:val="001B366B"/>
    <w:rsid w:val="001B426E"/>
    <w:rsid w:val="001B4785"/>
    <w:rsid w:val="001B5080"/>
    <w:rsid w:val="001C0779"/>
    <w:rsid w:val="001C13AC"/>
    <w:rsid w:val="001C14B0"/>
    <w:rsid w:val="001C2B12"/>
    <w:rsid w:val="001C2F55"/>
    <w:rsid w:val="001C3603"/>
    <w:rsid w:val="001C3722"/>
    <w:rsid w:val="001C3E8A"/>
    <w:rsid w:val="001C6CEB"/>
    <w:rsid w:val="001C6FCA"/>
    <w:rsid w:val="001D011D"/>
    <w:rsid w:val="001D04B5"/>
    <w:rsid w:val="001D056B"/>
    <w:rsid w:val="001D088F"/>
    <w:rsid w:val="001D18F8"/>
    <w:rsid w:val="001D1B64"/>
    <w:rsid w:val="001D1FC4"/>
    <w:rsid w:val="001D3B80"/>
    <w:rsid w:val="001D4B1D"/>
    <w:rsid w:val="001D52CC"/>
    <w:rsid w:val="001D5746"/>
    <w:rsid w:val="001D6C0A"/>
    <w:rsid w:val="001D6C3A"/>
    <w:rsid w:val="001E10D3"/>
    <w:rsid w:val="001E12A2"/>
    <w:rsid w:val="001E1570"/>
    <w:rsid w:val="001E35E8"/>
    <w:rsid w:val="001E3C59"/>
    <w:rsid w:val="001E5C92"/>
    <w:rsid w:val="001E6D71"/>
    <w:rsid w:val="001E6D83"/>
    <w:rsid w:val="001E6F15"/>
    <w:rsid w:val="001E7158"/>
    <w:rsid w:val="001E7282"/>
    <w:rsid w:val="001E73CC"/>
    <w:rsid w:val="001F0234"/>
    <w:rsid w:val="001F0AE1"/>
    <w:rsid w:val="001F1312"/>
    <w:rsid w:val="001F1F37"/>
    <w:rsid w:val="001F215D"/>
    <w:rsid w:val="001F4F24"/>
    <w:rsid w:val="001F5205"/>
    <w:rsid w:val="001F584D"/>
    <w:rsid w:val="001F5B05"/>
    <w:rsid w:val="001F5DC7"/>
    <w:rsid w:val="001F712B"/>
    <w:rsid w:val="001F7EE4"/>
    <w:rsid w:val="00200C1B"/>
    <w:rsid w:val="00201523"/>
    <w:rsid w:val="00203501"/>
    <w:rsid w:val="002036B9"/>
    <w:rsid w:val="002036BF"/>
    <w:rsid w:val="00203B01"/>
    <w:rsid w:val="00203E70"/>
    <w:rsid w:val="00204C05"/>
    <w:rsid w:val="00205009"/>
    <w:rsid w:val="002058F6"/>
    <w:rsid w:val="0020628E"/>
    <w:rsid w:val="00207D2B"/>
    <w:rsid w:val="00213E18"/>
    <w:rsid w:val="0021421E"/>
    <w:rsid w:val="0021448E"/>
    <w:rsid w:val="002147BF"/>
    <w:rsid w:val="00214E89"/>
    <w:rsid w:val="00214F56"/>
    <w:rsid w:val="00215490"/>
    <w:rsid w:val="00215FCA"/>
    <w:rsid w:val="00216B93"/>
    <w:rsid w:val="002203AC"/>
    <w:rsid w:val="0022203E"/>
    <w:rsid w:val="00222CF4"/>
    <w:rsid w:val="00223262"/>
    <w:rsid w:val="00224C5C"/>
    <w:rsid w:val="00226239"/>
    <w:rsid w:val="00226669"/>
    <w:rsid w:val="00226824"/>
    <w:rsid w:val="00232462"/>
    <w:rsid w:val="00233925"/>
    <w:rsid w:val="0023486A"/>
    <w:rsid w:val="00235EE0"/>
    <w:rsid w:val="00236710"/>
    <w:rsid w:val="00236D85"/>
    <w:rsid w:val="00236EEF"/>
    <w:rsid w:val="002370DD"/>
    <w:rsid w:val="0024030A"/>
    <w:rsid w:val="00240654"/>
    <w:rsid w:val="00241580"/>
    <w:rsid w:val="00242B27"/>
    <w:rsid w:val="00242B89"/>
    <w:rsid w:val="002436F2"/>
    <w:rsid w:val="00245387"/>
    <w:rsid w:val="0024562E"/>
    <w:rsid w:val="00245A5F"/>
    <w:rsid w:val="00246358"/>
    <w:rsid w:val="00246611"/>
    <w:rsid w:val="002469C1"/>
    <w:rsid w:val="00247F67"/>
    <w:rsid w:val="002508B3"/>
    <w:rsid w:val="00251A4D"/>
    <w:rsid w:val="00252A58"/>
    <w:rsid w:val="00253610"/>
    <w:rsid w:val="00253AB7"/>
    <w:rsid w:val="0025407B"/>
    <w:rsid w:val="002540C0"/>
    <w:rsid w:val="002541B3"/>
    <w:rsid w:val="00254B2C"/>
    <w:rsid w:val="0025513A"/>
    <w:rsid w:val="002556C0"/>
    <w:rsid w:val="0025602E"/>
    <w:rsid w:val="00256109"/>
    <w:rsid w:val="00256E63"/>
    <w:rsid w:val="00257C6E"/>
    <w:rsid w:val="00260352"/>
    <w:rsid w:val="00263A6E"/>
    <w:rsid w:val="00263AC7"/>
    <w:rsid w:val="00263BDC"/>
    <w:rsid w:val="00264919"/>
    <w:rsid w:val="00265F97"/>
    <w:rsid w:val="00266236"/>
    <w:rsid w:val="002666EA"/>
    <w:rsid w:val="002667F9"/>
    <w:rsid w:val="002667FA"/>
    <w:rsid w:val="00267618"/>
    <w:rsid w:val="0026792B"/>
    <w:rsid w:val="00270CFB"/>
    <w:rsid w:val="00271339"/>
    <w:rsid w:val="00273253"/>
    <w:rsid w:val="002735DF"/>
    <w:rsid w:val="00274309"/>
    <w:rsid w:val="00275224"/>
    <w:rsid w:val="0027524D"/>
    <w:rsid w:val="002775E1"/>
    <w:rsid w:val="00277783"/>
    <w:rsid w:val="00277E4F"/>
    <w:rsid w:val="002805C5"/>
    <w:rsid w:val="002807F1"/>
    <w:rsid w:val="00281140"/>
    <w:rsid w:val="002831F6"/>
    <w:rsid w:val="0028395E"/>
    <w:rsid w:val="002840C4"/>
    <w:rsid w:val="00284151"/>
    <w:rsid w:val="00284C27"/>
    <w:rsid w:val="00285C01"/>
    <w:rsid w:val="00286586"/>
    <w:rsid w:val="00287121"/>
    <w:rsid w:val="00287D62"/>
    <w:rsid w:val="002918CB"/>
    <w:rsid w:val="002956DE"/>
    <w:rsid w:val="00296DDD"/>
    <w:rsid w:val="00297843"/>
    <w:rsid w:val="002A0D26"/>
    <w:rsid w:val="002A15EE"/>
    <w:rsid w:val="002A31AB"/>
    <w:rsid w:val="002A3B57"/>
    <w:rsid w:val="002A3E06"/>
    <w:rsid w:val="002A48F7"/>
    <w:rsid w:val="002A544B"/>
    <w:rsid w:val="002A65CE"/>
    <w:rsid w:val="002A726C"/>
    <w:rsid w:val="002A7FCB"/>
    <w:rsid w:val="002B0DBE"/>
    <w:rsid w:val="002B215E"/>
    <w:rsid w:val="002B2AD7"/>
    <w:rsid w:val="002B3449"/>
    <w:rsid w:val="002B3E49"/>
    <w:rsid w:val="002B4005"/>
    <w:rsid w:val="002B4CCF"/>
    <w:rsid w:val="002B53F7"/>
    <w:rsid w:val="002B5C07"/>
    <w:rsid w:val="002B62E6"/>
    <w:rsid w:val="002C0C62"/>
    <w:rsid w:val="002C2576"/>
    <w:rsid w:val="002C2629"/>
    <w:rsid w:val="002C3FC0"/>
    <w:rsid w:val="002C5283"/>
    <w:rsid w:val="002C5516"/>
    <w:rsid w:val="002C56C3"/>
    <w:rsid w:val="002C5C77"/>
    <w:rsid w:val="002C6578"/>
    <w:rsid w:val="002C66C8"/>
    <w:rsid w:val="002C6ADC"/>
    <w:rsid w:val="002C78B1"/>
    <w:rsid w:val="002D135C"/>
    <w:rsid w:val="002D15ED"/>
    <w:rsid w:val="002D1839"/>
    <w:rsid w:val="002D1CB5"/>
    <w:rsid w:val="002D1DA4"/>
    <w:rsid w:val="002D2B3F"/>
    <w:rsid w:val="002D48AC"/>
    <w:rsid w:val="002D6D42"/>
    <w:rsid w:val="002E015D"/>
    <w:rsid w:val="002E1473"/>
    <w:rsid w:val="002E20C8"/>
    <w:rsid w:val="002E2764"/>
    <w:rsid w:val="002E50D5"/>
    <w:rsid w:val="002E7DBA"/>
    <w:rsid w:val="002F0530"/>
    <w:rsid w:val="002F256C"/>
    <w:rsid w:val="002F2AE7"/>
    <w:rsid w:val="002F2F69"/>
    <w:rsid w:val="002F3E85"/>
    <w:rsid w:val="002F3FCB"/>
    <w:rsid w:val="002F4183"/>
    <w:rsid w:val="002F57E8"/>
    <w:rsid w:val="002F57F8"/>
    <w:rsid w:val="002F744A"/>
    <w:rsid w:val="002F7897"/>
    <w:rsid w:val="002F7C40"/>
    <w:rsid w:val="00300C08"/>
    <w:rsid w:val="00300E3E"/>
    <w:rsid w:val="00300E94"/>
    <w:rsid w:val="00301BFB"/>
    <w:rsid w:val="00301CC7"/>
    <w:rsid w:val="00301D80"/>
    <w:rsid w:val="00301F8A"/>
    <w:rsid w:val="00303CC3"/>
    <w:rsid w:val="003047D2"/>
    <w:rsid w:val="0030509F"/>
    <w:rsid w:val="00305FC0"/>
    <w:rsid w:val="00306E63"/>
    <w:rsid w:val="00307029"/>
    <w:rsid w:val="003072C0"/>
    <w:rsid w:val="00310020"/>
    <w:rsid w:val="00311677"/>
    <w:rsid w:val="00312413"/>
    <w:rsid w:val="00312543"/>
    <w:rsid w:val="003130E9"/>
    <w:rsid w:val="00315B8A"/>
    <w:rsid w:val="003165B6"/>
    <w:rsid w:val="0032073A"/>
    <w:rsid w:val="00320E34"/>
    <w:rsid w:val="00322C39"/>
    <w:rsid w:val="00322E1B"/>
    <w:rsid w:val="00324D04"/>
    <w:rsid w:val="00326366"/>
    <w:rsid w:val="00326A0F"/>
    <w:rsid w:val="00327B13"/>
    <w:rsid w:val="0033196F"/>
    <w:rsid w:val="00332D77"/>
    <w:rsid w:val="00333C85"/>
    <w:rsid w:val="003342B2"/>
    <w:rsid w:val="003347DB"/>
    <w:rsid w:val="003363F4"/>
    <w:rsid w:val="00336611"/>
    <w:rsid w:val="003374CF"/>
    <w:rsid w:val="003379B0"/>
    <w:rsid w:val="00340A8E"/>
    <w:rsid w:val="00341D82"/>
    <w:rsid w:val="003420CC"/>
    <w:rsid w:val="00342FD3"/>
    <w:rsid w:val="0034306D"/>
    <w:rsid w:val="00343A5C"/>
    <w:rsid w:val="00343E84"/>
    <w:rsid w:val="00344981"/>
    <w:rsid w:val="003460E0"/>
    <w:rsid w:val="003476BB"/>
    <w:rsid w:val="00351DB3"/>
    <w:rsid w:val="00353321"/>
    <w:rsid w:val="003533C1"/>
    <w:rsid w:val="003544DF"/>
    <w:rsid w:val="003562C9"/>
    <w:rsid w:val="00356A8E"/>
    <w:rsid w:val="003600D6"/>
    <w:rsid w:val="00360ECD"/>
    <w:rsid w:val="00363375"/>
    <w:rsid w:val="00363631"/>
    <w:rsid w:val="00363737"/>
    <w:rsid w:val="00363F06"/>
    <w:rsid w:val="0036444E"/>
    <w:rsid w:val="00365262"/>
    <w:rsid w:val="0036577A"/>
    <w:rsid w:val="00365A20"/>
    <w:rsid w:val="00365F6C"/>
    <w:rsid w:val="003701FF"/>
    <w:rsid w:val="00370719"/>
    <w:rsid w:val="00370752"/>
    <w:rsid w:val="00371127"/>
    <w:rsid w:val="00371F74"/>
    <w:rsid w:val="00374AA2"/>
    <w:rsid w:val="0037670A"/>
    <w:rsid w:val="00376D01"/>
    <w:rsid w:val="0037757A"/>
    <w:rsid w:val="00377C44"/>
    <w:rsid w:val="00380647"/>
    <w:rsid w:val="00380CEF"/>
    <w:rsid w:val="003810DC"/>
    <w:rsid w:val="0038151B"/>
    <w:rsid w:val="00382F80"/>
    <w:rsid w:val="00382FB5"/>
    <w:rsid w:val="00384274"/>
    <w:rsid w:val="00384D4B"/>
    <w:rsid w:val="00385A1A"/>
    <w:rsid w:val="003878EC"/>
    <w:rsid w:val="00387DAC"/>
    <w:rsid w:val="0039035F"/>
    <w:rsid w:val="00390A0A"/>
    <w:rsid w:val="00390C08"/>
    <w:rsid w:val="003910D6"/>
    <w:rsid w:val="003911DF"/>
    <w:rsid w:val="0039161C"/>
    <w:rsid w:val="00391A2F"/>
    <w:rsid w:val="00394BE3"/>
    <w:rsid w:val="00394C05"/>
    <w:rsid w:val="00395E20"/>
    <w:rsid w:val="003962E1"/>
    <w:rsid w:val="003965D7"/>
    <w:rsid w:val="00396AB6"/>
    <w:rsid w:val="003A0D5A"/>
    <w:rsid w:val="003A1666"/>
    <w:rsid w:val="003A1ADC"/>
    <w:rsid w:val="003A1C85"/>
    <w:rsid w:val="003A1CC2"/>
    <w:rsid w:val="003A2BCD"/>
    <w:rsid w:val="003A35D5"/>
    <w:rsid w:val="003A411E"/>
    <w:rsid w:val="003A4669"/>
    <w:rsid w:val="003A5EE3"/>
    <w:rsid w:val="003A5F03"/>
    <w:rsid w:val="003A7170"/>
    <w:rsid w:val="003A720C"/>
    <w:rsid w:val="003A7668"/>
    <w:rsid w:val="003B036C"/>
    <w:rsid w:val="003B06CE"/>
    <w:rsid w:val="003B0C70"/>
    <w:rsid w:val="003B0E87"/>
    <w:rsid w:val="003B3453"/>
    <w:rsid w:val="003B714D"/>
    <w:rsid w:val="003B7624"/>
    <w:rsid w:val="003B77D0"/>
    <w:rsid w:val="003B789B"/>
    <w:rsid w:val="003C024D"/>
    <w:rsid w:val="003C04AA"/>
    <w:rsid w:val="003C05B1"/>
    <w:rsid w:val="003C1149"/>
    <w:rsid w:val="003C2028"/>
    <w:rsid w:val="003C2650"/>
    <w:rsid w:val="003C298E"/>
    <w:rsid w:val="003C2E31"/>
    <w:rsid w:val="003C3C70"/>
    <w:rsid w:val="003C4A3A"/>
    <w:rsid w:val="003C685D"/>
    <w:rsid w:val="003C6D01"/>
    <w:rsid w:val="003C6E12"/>
    <w:rsid w:val="003C72B9"/>
    <w:rsid w:val="003C7452"/>
    <w:rsid w:val="003C797E"/>
    <w:rsid w:val="003D000C"/>
    <w:rsid w:val="003D0C37"/>
    <w:rsid w:val="003D0E78"/>
    <w:rsid w:val="003D1739"/>
    <w:rsid w:val="003D1FFE"/>
    <w:rsid w:val="003D3602"/>
    <w:rsid w:val="003D3C09"/>
    <w:rsid w:val="003D3D59"/>
    <w:rsid w:val="003D53EE"/>
    <w:rsid w:val="003D65C4"/>
    <w:rsid w:val="003D6730"/>
    <w:rsid w:val="003D67DE"/>
    <w:rsid w:val="003D7393"/>
    <w:rsid w:val="003D7CB8"/>
    <w:rsid w:val="003E0900"/>
    <w:rsid w:val="003E2185"/>
    <w:rsid w:val="003E2B13"/>
    <w:rsid w:val="003E3119"/>
    <w:rsid w:val="003E6490"/>
    <w:rsid w:val="003E6707"/>
    <w:rsid w:val="003F074C"/>
    <w:rsid w:val="003F0CBA"/>
    <w:rsid w:val="003F1997"/>
    <w:rsid w:val="003F1B1B"/>
    <w:rsid w:val="003F1CFC"/>
    <w:rsid w:val="003F1D03"/>
    <w:rsid w:val="003F2606"/>
    <w:rsid w:val="003F286B"/>
    <w:rsid w:val="003F2F84"/>
    <w:rsid w:val="003F4284"/>
    <w:rsid w:val="003F503A"/>
    <w:rsid w:val="004008F3"/>
    <w:rsid w:val="00402D56"/>
    <w:rsid w:val="00403397"/>
    <w:rsid w:val="00403C08"/>
    <w:rsid w:val="004045A7"/>
    <w:rsid w:val="00404B40"/>
    <w:rsid w:val="00405288"/>
    <w:rsid w:val="00405414"/>
    <w:rsid w:val="00405BCB"/>
    <w:rsid w:val="0040653A"/>
    <w:rsid w:val="0040675B"/>
    <w:rsid w:val="00407EE9"/>
    <w:rsid w:val="00410214"/>
    <w:rsid w:val="00411463"/>
    <w:rsid w:val="004123F9"/>
    <w:rsid w:val="00413D1F"/>
    <w:rsid w:val="00416040"/>
    <w:rsid w:val="00416B6E"/>
    <w:rsid w:val="0042012C"/>
    <w:rsid w:val="00420302"/>
    <w:rsid w:val="00421FEE"/>
    <w:rsid w:val="00422954"/>
    <w:rsid w:val="00422C67"/>
    <w:rsid w:val="00423C8D"/>
    <w:rsid w:val="00425FA3"/>
    <w:rsid w:val="004261E0"/>
    <w:rsid w:val="00426B9E"/>
    <w:rsid w:val="00427B40"/>
    <w:rsid w:val="00430446"/>
    <w:rsid w:val="00430B96"/>
    <w:rsid w:val="0043128C"/>
    <w:rsid w:val="00431990"/>
    <w:rsid w:val="0043403C"/>
    <w:rsid w:val="004346CA"/>
    <w:rsid w:val="00434FF8"/>
    <w:rsid w:val="004353E7"/>
    <w:rsid w:val="00435961"/>
    <w:rsid w:val="00436100"/>
    <w:rsid w:val="0043684C"/>
    <w:rsid w:val="00436EF6"/>
    <w:rsid w:val="004373A7"/>
    <w:rsid w:val="00437989"/>
    <w:rsid w:val="00441BFF"/>
    <w:rsid w:val="00442B84"/>
    <w:rsid w:val="00443DE2"/>
    <w:rsid w:val="00446E84"/>
    <w:rsid w:val="00450F78"/>
    <w:rsid w:val="004534E7"/>
    <w:rsid w:val="00454867"/>
    <w:rsid w:val="004559E3"/>
    <w:rsid w:val="004560CB"/>
    <w:rsid w:val="00456A28"/>
    <w:rsid w:val="00456F97"/>
    <w:rsid w:val="004575D7"/>
    <w:rsid w:val="00457E72"/>
    <w:rsid w:val="00460546"/>
    <w:rsid w:val="004622EA"/>
    <w:rsid w:val="00464792"/>
    <w:rsid w:val="00464FF3"/>
    <w:rsid w:val="004660B0"/>
    <w:rsid w:val="004665B1"/>
    <w:rsid w:val="0046662A"/>
    <w:rsid w:val="00466AD0"/>
    <w:rsid w:val="004672C2"/>
    <w:rsid w:val="00467E97"/>
    <w:rsid w:val="0047182A"/>
    <w:rsid w:val="00471CC1"/>
    <w:rsid w:val="004724BE"/>
    <w:rsid w:val="004729B6"/>
    <w:rsid w:val="00472E2D"/>
    <w:rsid w:val="00473E4F"/>
    <w:rsid w:val="00475405"/>
    <w:rsid w:val="00475444"/>
    <w:rsid w:val="00475C4C"/>
    <w:rsid w:val="004764BD"/>
    <w:rsid w:val="00480694"/>
    <w:rsid w:val="00480BEF"/>
    <w:rsid w:val="00481450"/>
    <w:rsid w:val="00481CC5"/>
    <w:rsid w:val="00482E30"/>
    <w:rsid w:val="00482FB7"/>
    <w:rsid w:val="0048381B"/>
    <w:rsid w:val="00483834"/>
    <w:rsid w:val="00486BF4"/>
    <w:rsid w:val="00486ED4"/>
    <w:rsid w:val="00487472"/>
    <w:rsid w:val="0049079C"/>
    <w:rsid w:val="004909DB"/>
    <w:rsid w:val="00491178"/>
    <w:rsid w:val="0049131E"/>
    <w:rsid w:val="00492AA7"/>
    <w:rsid w:val="00492DB8"/>
    <w:rsid w:val="00493B1A"/>
    <w:rsid w:val="00495DE1"/>
    <w:rsid w:val="004A0695"/>
    <w:rsid w:val="004A07B8"/>
    <w:rsid w:val="004A1AEC"/>
    <w:rsid w:val="004A44FF"/>
    <w:rsid w:val="004A53CD"/>
    <w:rsid w:val="004A63A3"/>
    <w:rsid w:val="004A6F4C"/>
    <w:rsid w:val="004A753D"/>
    <w:rsid w:val="004A76C8"/>
    <w:rsid w:val="004A78ED"/>
    <w:rsid w:val="004B04E8"/>
    <w:rsid w:val="004B0B34"/>
    <w:rsid w:val="004B0EEE"/>
    <w:rsid w:val="004B1467"/>
    <w:rsid w:val="004B2158"/>
    <w:rsid w:val="004B2292"/>
    <w:rsid w:val="004B3A44"/>
    <w:rsid w:val="004B5AFC"/>
    <w:rsid w:val="004B5D20"/>
    <w:rsid w:val="004B6535"/>
    <w:rsid w:val="004B6B9A"/>
    <w:rsid w:val="004B720F"/>
    <w:rsid w:val="004C023B"/>
    <w:rsid w:val="004C050F"/>
    <w:rsid w:val="004C12BD"/>
    <w:rsid w:val="004C2750"/>
    <w:rsid w:val="004C39F9"/>
    <w:rsid w:val="004C45EB"/>
    <w:rsid w:val="004C6212"/>
    <w:rsid w:val="004D06E4"/>
    <w:rsid w:val="004D0A60"/>
    <w:rsid w:val="004D1500"/>
    <w:rsid w:val="004D1EE6"/>
    <w:rsid w:val="004D2C72"/>
    <w:rsid w:val="004D2D7B"/>
    <w:rsid w:val="004D570B"/>
    <w:rsid w:val="004D7B63"/>
    <w:rsid w:val="004E1F12"/>
    <w:rsid w:val="004E24A2"/>
    <w:rsid w:val="004E38A5"/>
    <w:rsid w:val="004E4A6B"/>
    <w:rsid w:val="004E589C"/>
    <w:rsid w:val="004E58EE"/>
    <w:rsid w:val="004E6955"/>
    <w:rsid w:val="004E7656"/>
    <w:rsid w:val="004F07E9"/>
    <w:rsid w:val="004F08B1"/>
    <w:rsid w:val="004F0A6A"/>
    <w:rsid w:val="004F1027"/>
    <w:rsid w:val="004F1A54"/>
    <w:rsid w:val="004F2F74"/>
    <w:rsid w:val="004F4248"/>
    <w:rsid w:val="004F49A1"/>
    <w:rsid w:val="004F4BC6"/>
    <w:rsid w:val="004F57E4"/>
    <w:rsid w:val="004F7293"/>
    <w:rsid w:val="00500B42"/>
    <w:rsid w:val="00500C8D"/>
    <w:rsid w:val="005014EB"/>
    <w:rsid w:val="005021C7"/>
    <w:rsid w:val="00502832"/>
    <w:rsid w:val="00502976"/>
    <w:rsid w:val="00503EAB"/>
    <w:rsid w:val="0050578B"/>
    <w:rsid w:val="00505928"/>
    <w:rsid w:val="00505FD9"/>
    <w:rsid w:val="00506A1B"/>
    <w:rsid w:val="00507500"/>
    <w:rsid w:val="005110DD"/>
    <w:rsid w:val="00511E04"/>
    <w:rsid w:val="005124CE"/>
    <w:rsid w:val="00514FE5"/>
    <w:rsid w:val="0051548C"/>
    <w:rsid w:val="00517360"/>
    <w:rsid w:val="0052085E"/>
    <w:rsid w:val="00520CA2"/>
    <w:rsid w:val="00522D13"/>
    <w:rsid w:val="0052310B"/>
    <w:rsid w:val="005242EE"/>
    <w:rsid w:val="0052577F"/>
    <w:rsid w:val="00526170"/>
    <w:rsid w:val="005267B4"/>
    <w:rsid w:val="00526C11"/>
    <w:rsid w:val="00531BE0"/>
    <w:rsid w:val="005321D1"/>
    <w:rsid w:val="0053237E"/>
    <w:rsid w:val="0053340E"/>
    <w:rsid w:val="0053369A"/>
    <w:rsid w:val="00534199"/>
    <w:rsid w:val="005347FA"/>
    <w:rsid w:val="00534948"/>
    <w:rsid w:val="00535B71"/>
    <w:rsid w:val="005375DD"/>
    <w:rsid w:val="0053799B"/>
    <w:rsid w:val="005414EF"/>
    <w:rsid w:val="00541DD2"/>
    <w:rsid w:val="005433E8"/>
    <w:rsid w:val="00543AB7"/>
    <w:rsid w:val="00546955"/>
    <w:rsid w:val="00546E9E"/>
    <w:rsid w:val="00547169"/>
    <w:rsid w:val="0054736D"/>
    <w:rsid w:val="00547BFC"/>
    <w:rsid w:val="005513AC"/>
    <w:rsid w:val="005521F8"/>
    <w:rsid w:val="00553289"/>
    <w:rsid w:val="005536E8"/>
    <w:rsid w:val="00554C1C"/>
    <w:rsid w:val="00554CCD"/>
    <w:rsid w:val="00555425"/>
    <w:rsid w:val="00556EE9"/>
    <w:rsid w:val="00562319"/>
    <w:rsid w:val="00564CD5"/>
    <w:rsid w:val="00565180"/>
    <w:rsid w:val="00567589"/>
    <w:rsid w:val="00571C6B"/>
    <w:rsid w:val="0057295F"/>
    <w:rsid w:val="00572CBF"/>
    <w:rsid w:val="00573B11"/>
    <w:rsid w:val="005742DB"/>
    <w:rsid w:val="00574E33"/>
    <w:rsid w:val="005751A6"/>
    <w:rsid w:val="005768DA"/>
    <w:rsid w:val="00577F44"/>
    <w:rsid w:val="0058072E"/>
    <w:rsid w:val="00582F92"/>
    <w:rsid w:val="00583A15"/>
    <w:rsid w:val="00586248"/>
    <w:rsid w:val="00587BCD"/>
    <w:rsid w:val="00590377"/>
    <w:rsid w:val="00591F5B"/>
    <w:rsid w:val="005922A0"/>
    <w:rsid w:val="00593334"/>
    <w:rsid w:val="00594E49"/>
    <w:rsid w:val="005A09E2"/>
    <w:rsid w:val="005A1395"/>
    <w:rsid w:val="005A172E"/>
    <w:rsid w:val="005A2267"/>
    <w:rsid w:val="005A2369"/>
    <w:rsid w:val="005A24C0"/>
    <w:rsid w:val="005A2D75"/>
    <w:rsid w:val="005A4BD0"/>
    <w:rsid w:val="005A4D7E"/>
    <w:rsid w:val="005A51EF"/>
    <w:rsid w:val="005A53C9"/>
    <w:rsid w:val="005A56DD"/>
    <w:rsid w:val="005A5914"/>
    <w:rsid w:val="005A5F61"/>
    <w:rsid w:val="005A6BEB"/>
    <w:rsid w:val="005A7330"/>
    <w:rsid w:val="005A780E"/>
    <w:rsid w:val="005B090A"/>
    <w:rsid w:val="005B0F60"/>
    <w:rsid w:val="005B147F"/>
    <w:rsid w:val="005B1857"/>
    <w:rsid w:val="005B209D"/>
    <w:rsid w:val="005B2CA1"/>
    <w:rsid w:val="005B3B24"/>
    <w:rsid w:val="005B4597"/>
    <w:rsid w:val="005B4BF9"/>
    <w:rsid w:val="005B559E"/>
    <w:rsid w:val="005B5B11"/>
    <w:rsid w:val="005B5FEF"/>
    <w:rsid w:val="005B65AE"/>
    <w:rsid w:val="005B7596"/>
    <w:rsid w:val="005C05F4"/>
    <w:rsid w:val="005C15EB"/>
    <w:rsid w:val="005C1A19"/>
    <w:rsid w:val="005C2BD6"/>
    <w:rsid w:val="005C2F56"/>
    <w:rsid w:val="005C304A"/>
    <w:rsid w:val="005C4220"/>
    <w:rsid w:val="005C475B"/>
    <w:rsid w:val="005C50A5"/>
    <w:rsid w:val="005C7314"/>
    <w:rsid w:val="005C7327"/>
    <w:rsid w:val="005C7B19"/>
    <w:rsid w:val="005D0A65"/>
    <w:rsid w:val="005D16FE"/>
    <w:rsid w:val="005D1783"/>
    <w:rsid w:val="005D1AE1"/>
    <w:rsid w:val="005D292A"/>
    <w:rsid w:val="005D4649"/>
    <w:rsid w:val="005D46E0"/>
    <w:rsid w:val="005D58AF"/>
    <w:rsid w:val="005D5B25"/>
    <w:rsid w:val="005D6082"/>
    <w:rsid w:val="005D6BB0"/>
    <w:rsid w:val="005D6E36"/>
    <w:rsid w:val="005D7D55"/>
    <w:rsid w:val="005D7E2A"/>
    <w:rsid w:val="005E049E"/>
    <w:rsid w:val="005E0E14"/>
    <w:rsid w:val="005E1104"/>
    <w:rsid w:val="005E15E5"/>
    <w:rsid w:val="005E1BB5"/>
    <w:rsid w:val="005E1F77"/>
    <w:rsid w:val="005E3305"/>
    <w:rsid w:val="005E3BC8"/>
    <w:rsid w:val="005E4521"/>
    <w:rsid w:val="005E4759"/>
    <w:rsid w:val="005E48E4"/>
    <w:rsid w:val="005E4B66"/>
    <w:rsid w:val="005E5142"/>
    <w:rsid w:val="005E5214"/>
    <w:rsid w:val="005E6012"/>
    <w:rsid w:val="005E618F"/>
    <w:rsid w:val="005E63A3"/>
    <w:rsid w:val="005E7D89"/>
    <w:rsid w:val="005F2BE7"/>
    <w:rsid w:val="005F33D2"/>
    <w:rsid w:val="005F4295"/>
    <w:rsid w:val="005F4E9F"/>
    <w:rsid w:val="005F584F"/>
    <w:rsid w:val="005F6095"/>
    <w:rsid w:val="005F6DE0"/>
    <w:rsid w:val="006005CD"/>
    <w:rsid w:val="00600619"/>
    <w:rsid w:val="006016B6"/>
    <w:rsid w:val="006017FF"/>
    <w:rsid w:val="00603FA8"/>
    <w:rsid w:val="0060417A"/>
    <w:rsid w:val="00604A6A"/>
    <w:rsid w:val="00604BC7"/>
    <w:rsid w:val="00606404"/>
    <w:rsid w:val="00607D38"/>
    <w:rsid w:val="006115D2"/>
    <w:rsid w:val="006116E5"/>
    <w:rsid w:val="00612E9A"/>
    <w:rsid w:val="006147B2"/>
    <w:rsid w:val="00615F32"/>
    <w:rsid w:val="00617C71"/>
    <w:rsid w:val="0062079E"/>
    <w:rsid w:val="00622BD8"/>
    <w:rsid w:val="00622D80"/>
    <w:rsid w:val="006235E7"/>
    <w:rsid w:val="00624074"/>
    <w:rsid w:val="006242C4"/>
    <w:rsid w:val="00624F3A"/>
    <w:rsid w:val="006253FA"/>
    <w:rsid w:val="00625715"/>
    <w:rsid w:val="006268D4"/>
    <w:rsid w:val="00626E6E"/>
    <w:rsid w:val="00627149"/>
    <w:rsid w:val="00627551"/>
    <w:rsid w:val="0063084E"/>
    <w:rsid w:val="0063501E"/>
    <w:rsid w:val="00635D81"/>
    <w:rsid w:val="00637AF9"/>
    <w:rsid w:val="00637EB3"/>
    <w:rsid w:val="0064193E"/>
    <w:rsid w:val="00642C2D"/>
    <w:rsid w:val="00643704"/>
    <w:rsid w:val="00644019"/>
    <w:rsid w:val="00647500"/>
    <w:rsid w:val="00647CEE"/>
    <w:rsid w:val="006506E1"/>
    <w:rsid w:val="006509DA"/>
    <w:rsid w:val="0065101C"/>
    <w:rsid w:val="006514E1"/>
    <w:rsid w:val="00653213"/>
    <w:rsid w:val="0065585D"/>
    <w:rsid w:val="006558B4"/>
    <w:rsid w:val="00656401"/>
    <w:rsid w:val="006576BA"/>
    <w:rsid w:val="0065797E"/>
    <w:rsid w:val="0066062D"/>
    <w:rsid w:val="0066095A"/>
    <w:rsid w:val="00660B25"/>
    <w:rsid w:val="00661243"/>
    <w:rsid w:val="0066154C"/>
    <w:rsid w:val="00662F60"/>
    <w:rsid w:val="00663C10"/>
    <w:rsid w:val="00664486"/>
    <w:rsid w:val="0066527C"/>
    <w:rsid w:val="00666978"/>
    <w:rsid w:val="0066761C"/>
    <w:rsid w:val="00671CCB"/>
    <w:rsid w:val="00672924"/>
    <w:rsid w:val="00672C92"/>
    <w:rsid w:val="00674939"/>
    <w:rsid w:val="00674E30"/>
    <w:rsid w:val="00676715"/>
    <w:rsid w:val="00676B9D"/>
    <w:rsid w:val="00677200"/>
    <w:rsid w:val="00681820"/>
    <w:rsid w:val="00682957"/>
    <w:rsid w:val="00682A4D"/>
    <w:rsid w:val="00682BFD"/>
    <w:rsid w:val="006830D7"/>
    <w:rsid w:val="006858C7"/>
    <w:rsid w:val="00685E36"/>
    <w:rsid w:val="00687D64"/>
    <w:rsid w:val="0069035D"/>
    <w:rsid w:val="00690596"/>
    <w:rsid w:val="0069150E"/>
    <w:rsid w:val="00692316"/>
    <w:rsid w:val="0069310C"/>
    <w:rsid w:val="006948AD"/>
    <w:rsid w:val="006949C6"/>
    <w:rsid w:val="00694AB4"/>
    <w:rsid w:val="00694D06"/>
    <w:rsid w:val="00694D9D"/>
    <w:rsid w:val="00694E7D"/>
    <w:rsid w:val="00694FD2"/>
    <w:rsid w:val="006951A8"/>
    <w:rsid w:val="00695C4F"/>
    <w:rsid w:val="0069767C"/>
    <w:rsid w:val="006A01F5"/>
    <w:rsid w:val="006A0377"/>
    <w:rsid w:val="006A037E"/>
    <w:rsid w:val="006A04B3"/>
    <w:rsid w:val="006A0A28"/>
    <w:rsid w:val="006A0D65"/>
    <w:rsid w:val="006A1C57"/>
    <w:rsid w:val="006A4905"/>
    <w:rsid w:val="006A4C03"/>
    <w:rsid w:val="006A5327"/>
    <w:rsid w:val="006A6CE9"/>
    <w:rsid w:val="006A7C38"/>
    <w:rsid w:val="006A7CEC"/>
    <w:rsid w:val="006B057C"/>
    <w:rsid w:val="006B1227"/>
    <w:rsid w:val="006B1443"/>
    <w:rsid w:val="006B1ACD"/>
    <w:rsid w:val="006B29D0"/>
    <w:rsid w:val="006B2DB1"/>
    <w:rsid w:val="006B2E5D"/>
    <w:rsid w:val="006B2EAB"/>
    <w:rsid w:val="006B4A5F"/>
    <w:rsid w:val="006B5B57"/>
    <w:rsid w:val="006B5FC3"/>
    <w:rsid w:val="006B6039"/>
    <w:rsid w:val="006B679C"/>
    <w:rsid w:val="006B6A7F"/>
    <w:rsid w:val="006B6D14"/>
    <w:rsid w:val="006B7EAA"/>
    <w:rsid w:val="006C03C8"/>
    <w:rsid w:val="006C11AE"/>
    <w:rsid w:val="006C159E"/>
    <w:rsid w:val="006C15B0"/>
    <w:rsid w:val="006C1F77"/>
    <w:rsid w:val="006C2274"/>
    <w:rsid w:val="006C2F1A"/>
    <w:rsid w:val="006C3C02"/>
    <w:rsid w:val="006C504D"/>
    <w:rsid w:val="006C5714"/>
    <w:rsid w:val="006C63A3"/>
    <w:rsid w:val="006C730F"/>
    <w:rsid w:val="006D0DDA"/>
    <w:rsid w:val="006D0EF8"/>
    <w:rsid w:val="006D1480"/>
    <w:rsid w:val="006D2B27"/>
    <w:rsid w:val="006D42AB"/>
    <w:rsid w:val="006D5362"/>
    <w:rsid w:val="006D555D"/>
    <w:rsid w:val="006D597C"/>
    <w:rsid w:val="006D5AFC"/>
    <w:rsid w:val="006D67B1"/>
    <w:rsid w:val="006D6B42"/>
    <w:rsid w:val="006D79D9"/>
    <w:rsid w:val="006E0C97"/>
    <w:rsid w:val="006E36B1"/>
    <w:rsid w:val="006E3A02"/>
    <w:rsid w:val="006E6324"/>
    <w:rsid w:val="006E648A"/>
    <w:rsid w:val="006E6C3B"/>
    <w:rsid w:val="006E7CF2"/>
    <w:rsid w:val="006E7F4D"/>
    <w:rsid w:val="006E7FA0"/>
    <w:rsid w:val="006F1F91"/>
    <w:rsid w:val="006F2096"/>
    <w:rsid w:val="006F2132"/>
    <w:rsid w:val="006F2140"/>
    <w:rsid w:val="006F2A6A"/>
    <w:rsid w:val="006F3845"/>
    <w:rsid w:val="006F44B3"/>
    <w:rsid w:val="006F4BF4"/>
    <w:rsid w:val="006F6505"/>
    <w:rsid w:val="006F655E"/>
    <w:rsid w:val="00700F59"/>
    <w:rsid w:val="007010F7"/>
    <w:rsid w:val="00701363"/>
    <w:rsid w:val="00701927"/>
    <w:rsid w:val="00701A86"/>
    <w:rsid w:val="0070366B"/>
    <w:rsid w:val="007038E1"/>
    <w:rsid w:val="0070419B"/>
    <w:rsid w:val="007046F2"/>
    <w:rsid w:val="00704B54"/>
    <w:rsid w:val="00704FD0"/>
    <w:rsid w:val="0070535E"/>
    <w:rsid w:val="00705AE7"/>
    <w:rsid w:val="0070601B"/>
    <w:rsid w:val="007109D2"/>
    <w:rsid w:val="007126C6"/>
    <w:rsid w:val="00713145"/>
    <w:rsid w:val="0071361F"/>
    <w:rsid w:val="00713996"/>
    <w:rsid w:val="00714667"/>
    <w:rsid w:val="00714A45"/>
    <w:rsid w:val="00714CE5"/>
    <w:rsid w:val="0071523F"/>
    <w:rsid w:val="007155B7"/>
    <w:rsid w:val="00715BA6"/>
    <w:rsid w:val="007169BF"/>
    <w:rsid w:val="007209E5"/>
    <w:rsid w:val="0072117D"/>
    <w:rsid w:val="0072172C"/>
    <w:rsid w:val="00721B01"/>
    <w:rsid w:val="007227EF"/>
    <w:rsid w:val="007229D1"/>
    <w:rsid w:val="00723283"/>
    <w:rsid w:val="00723ADB"/>
    <w:rsid w:val="00723B83"/>
    <w:rsid w:val="00724275"/>
    <w:rsid w:val="0072492B"/>
    <w:rsid w:val="00724AD6"/>
    <w:rsid w:val="00727197"/>
    <w:rsid w:val="00727BE3"/>
    <w:rsid w:val="00727C44"/>
    <w:rsid w:val="007302EA"/>
    <w:rsid w:val="007304D2"/>
    <w:rsid w:val="0073165A"/>
    <w:rsid w:val="00731FAE"/>
    <w:rsid w:val="0073277C"/>
    <w:rsid w:val="007330E6"/>
    <w:rsid w:val="00733F71"/>
    <w:rsid w:val="0073416D"/>
    <w:rsid w:val="00734692"/>
    <w:rsid w:val="00735638"/>
    <w:rsid w:val="00735C3C"/>
    <w:rsid w:val="00735F8B"/>
    <w:rsid w:val="00736C76"/>
    <w:rsid w:val="007375C6"/>
    <w:rsid w:val="00737872"/>
    <w:rsid w:val="007405F7"/>
    <w:rsid w:val="0074116F"/>
    <w:rsid w:val="0074172D"/>
    <w:rsid w:val="00741AC2"/>
    <w:rsid w:val="007425FC"/>
    <w:rsid w:val="00745155"/>
    <w:rsid w:val="0074624E"/>
    <w:rsid w:val="00746741"/>
    <w:rsid w:val="00746F46"/>
    <w:rsid w:val="00747493"/>
    <w:rsid w:val="007479F4"/>
    <w:rsid w:val="007500D7"/>
    <w:rsid w:val="007542F6"/>
    <w:rsid w:val="00754B75"/>
    <w:rsid w:val="00754D62"/>
    <w:rsid w:val="00756218"/>
    <w:rsid w:val="00757FC2"/>
    <w:rsid w:val="0076134A"/>
    <w:rsid w:val="00761443"/>
    <w:rsid w:val="00762242"/>
    <w:rsid w:val="007630C5"/>
    <w:rsid w:val="0076517D"/>
    <w:rsid w:val="00766268"/>
    <w:rsid w:val="00767651"/>
    <w:rsid w:val="007712F9"/>
    <w:rsid w:val="00772CE9"/>
    <w:rsid w:val="0077326F"/>
    <w:rsid w:val="00773D20"/>
    <w:rsid w:val="007766C1"/>
    <w:rsid w:val="007767E2"/>
    <w:rsid w:val="007770E2"/>
    <w:rsid w:val="007771EB"/>
    <w:rsid w:val="00777F7B"/>
    <w:rsid w:val="007806D1"/>
    <w:rsid w:val="00780FFC"/>
    <w:rsid w:val="007814A4"/>
    <w:rsid w:val="00782762"/>
    <w:rsid w:val="00782FA4"/>
    <w:rsid w:val="007838FF"/>
    <w:rsid w:val="007865ED"/>
    <w:rsid w:val="00787839"/>
    <w:rsid w:val="007914C6"/>
    <w:rsid w:val="007929EE"/>
    <w:rsid w:val="00792BD1"/>
    <w:rsid w:val="00792BDB"/>
    <w:rsid w:val="00794732"/>
    <w:rsid w:val="00795EDE"/>
    <w:rsid w:val="00796B4E"/>
    <w:rsid w:val="007A04BC"/>
    <w:rsid w:val="007A1BC1"/>
    <w:rsid w:val="007A2889"/>
    <w:rsid w:val="007A3306"/>
    <w:rsid w:val="007A4D8C"/>
    <w:rsid w:val="007A4E24"/>
    <w:rsid w:val="007A5A48"/>
    <w:rsid w:val="007A6267"/>
    <w:rsid w:val="007A74C3"/>
    <w:rsid w:val="007A7620"/>
    <w:rsid w:val="007B07CE"/>
    <w:rsid w:val="007B121D"/>
    <w:rsid w:val="007B15E6"/>
    <w:rsid w:val="007B1C8D"/>
    <w:rsid w:val="007B1EA9"/>
    <w:rsid w:val="007B2EDE"/>
    <w:rsid w:val="007B347A"/>
    <w:rsid w:val="007B3766"/>
    <w:rsid w:val="007B4698"/>
    <w:rsid w:val="007B5FD0"/>
    <w:rsid w:val="007C01AC"/>
    <w:rsid w:val="007C0901"/>
    <w:rsid w:val="007C1545"/>
    <w:rsid w:val="007C1F77"/>
    <w:rsid w:val="007C2A9D"/>
    <w:rsid w:val="007C34FA"/>
    <w:rsid w:val="007C41D4"/>
    <w:rsid w:val="007C4C2F"/>
    <w:rsid w:val="007C502F"/>
    <w:rsid w:val="007C5FBF"/>
    <w:rsid w:val="007D0EA3"/>
    <w:rsid w:val="007D1D83"/>
    <w:rsid w:val="007D2703"/>
    <w:rsid w:val="007D2E10"/>
    <w:rsid w:val="007D38C7"/>
    <w:rsid w:val="007D3C4D"/>
    <w:rsid w:val="007D51DE"/>
    <w:rsid w:val="007D5A67"/>
    <w:rsid w:val="007D6107"/>
    <w:rsid w:val="007D615D"/>
    <w:rsid w:val="007D7A4F"/>
    <w:rsid w:val="007E00EC"/>
    <w:rsid w:val="007E024D"/>
    <w:rsid w:val="007E0BAF"/>
    <w:rsid w:val="007E0EAC"/>
    <w:rsid w:val="007E1A4E"/>
    <w:rsid w:val="007E1CAD"/>
    <w:rsid w:val="007E34E2"/>
    <w:rsid w:val="007E591E"/>
    <w:rsid w:val="007E5D1D"/>
    <w:rsid w:val="007E6C58"/>
    <w:rsid w:val="007F0D8C"/>
    <w:rsid w:val="007F224E"/>
    <w:rsid w:val="007F3238"/>
    <w:rsid w:val="007F3E31"/>
    <w:rsid w:val="007F4523"/>
    <w:rsid w:val="007F5851"/>
    <w:rsid w:val="007F678C"/>
    <w:rsid w:val="007F6D31"/>
    <w:rsid w:val="007F72EA"/>
    <w:rsid w:val="007F79A8"/>
    <w:rsid w:val="008001C4"/>
    <w:rsid w:val="00800389"/>
    <w:rsid w:val="008004B7"/>
    <w:rsid w:val="00800705"/>
    <w:rsid w:val="00801668"/>
    <w:rsid w:val="00801BC1"/>
    <w:rsid w:val="00802049"/>
    <w:rsid w:val="00802137"/>
    <w:rsid w:val="008029C0"/>
    <w:rsid w:val="008042E9"/>
    <w:rsid w:val="00804482"/>
    <w:rsid w:val="0080609A"/>
    <w:rsid w:val="00807556"/>
    <w:rsid w:val="00807EBA"/>
    <w:rsid w:val="00811306"/>
    <w:rsid w:val="0081173B"/>
    <w:rsid w:val="00811C40"/>
    <w:rsid w:val="00811C53"/>
    <w:rsid w:val="00813A20"/>
    <w:rsid w:val="00814948"/>
    <w:rsid w:val="00814CA8"/>
    <w:rsid w:val="00815D57"/>
    <w:rsid w:val="008174F6"/>
    <w:rsid w:val="00817CDE"/>
    <w:rsid w:val="008205CA"/>
    <w:rsid w:val="008210EE"/>
    <w:rsid w:val="00822B5E"/>
    <w:rsid w:val="00822DE6"/>
    <w:rsid w:val="00822F7E"/>
    <w:rsid w:val="00824B69"/>
    <w:rsid w:val="00825A02"/>
    <w:rsid w:val="00825AC9"/>
    <w:rsid w:val="00826AEF"/>
    <w:rsid w:val="00830472"/>
    <w:rsid w:val="00830AB5"/>
    <w:rsid w:val="00830E23"/>
    <w:rsid w:val="008311C1"/>
    <w:rsid w:val="008317B5"/>
    <w:rsid w:val="008322BB"/>
    <w:rsid w:val="0083234E"/>
    <w:rsid w:val="0083273D"/>
    <w:rsid w:val="00832E20"/>
    <w:rsid w:val="00832FC2"/>
    <w:rsid w:val="008343B6"/>
    <w:rsid w:val="008349A0"/>
    <w:rsid w:val="00834A79"/>
    <w:rsid w:val="00834F5D"/>
    <w:rsid w:val="00835003"/>
    <w:rsid w:val="0083628B"/>
    <w:rsid w:val="0083692D"/>
    <w:rsid w:val="00836DD3"/>
    <w:rsid w:val="008377E3"/>
    <w:rsid w:val="0084046A"/>
    <w:rsid w:val="00840833"/>
    <w:rsid w:val="00842178"/>
    <w:rsid w:val="00842D10"/>
    <w:rsid w:val="00842DAC"/>
    <w:rsid w:val="008434D1"/>
    <w:rsid w:val="0084460C"/>
    <w:rsid w:val="00844E95"/>
    <w:rsid w:val="00845628"/>
    <w:rsid w:val="00846A40"/>
    <w:rsid w:val="008514A1"/>
    <w:rsid w:val="00852843"/>
    <w:rsid w:val="00853AA8"/>
    <w:rsid w:val="00854836"/>
    <w:rsid w:val="00854E8F"/>
    <w:rsid w:val="008551F6"/>
    <w:rsid w:val="00855306"/>
    <w:rsid w:val="00855336"/>
    <w:rsid w:val="008553F9"/>
    <w:rsid w:val="008555ED"/>
    <w:rsid w:val="008556BC"/>
    <w:rsid w:val="00857DA5"/>
    <w:rsid w:val="0086112D"/>
    <w:rsid w:val="00861F4C"/>
    <w:rsid w:val="008624FB"/>
    <w:rsid w:val="00863294"/>
    <w:rsid w:val="008635C6"/>
    <w:rsid w:val="00863A59"/>
    <w:rsid w:val="0086572E"/>
    <w:rsid w:val="00865CA2"/>
    <w:rsid w:val="00865D69"/>
    <w:rsid w:val="00866D6E"/>
    <w:rsid w:val="00867B17"/>
    <w:rsid w:val="00870099"/>
    <w:rsid w:val="00872487"/>
    <w:rsid w:val="00873161"/>
    <w:rsid w:val="008735B9"/>
    <w:rsid w:val="00873E8B"/>
    <w:rsid w:val="00874125"/>
    <w:rsid w:val="0087437E"/>
    <w:rsid w:val="00875622"/>
    <w:rsid w:val="008756FB"/>
    <w:rsid w:val="00876E31"/>
    <w:rsid w:val="0087777C"/>
    <w:rsid w:val="00877FB5"/>
    <w:rsid w:val="0088011D"/>
    <w:rsid w:val="008804A7"/>
    <w:rsid w:val="00881DA1"/>
    <w:rsid w:val="00881EBF"/>
    <w:rsid w:val="0088204D"/>
    <w:rsid w:val="008824B7"/>
    <w:rsid w:val="008828AC"/>
    <w:rsid w:val="00884C13"/>
    <w:rsid w:val="00885C15"/>
    <w:rsid w:val="00887BCE"/>
    <w:rsid w:val="008902AC"/>
    <w:rsid w:val="00891392"/>
    <w:rsid w:val="00891B41"/>
    <w:rsid w:val="00892A3C"/>
    <w:rsid w:val="00892C2F"/>
    <w:rsid w:val="008932EA"/>
    <w:rsid w:val="0089353B"/>
    <w:rsid w:val="0089357D"/>
    <w:rsid w:val="008935A3"/>
    <w:rsid w:val="008938BD"/>
    <w:rsid w:val="008940D6"/>
    <w:rsid w:val="0089630A"/>
    <w:rsid w:val="008967A7"/>
    <w:rsid w:val="008970B2"/>
    <w:rsid w:val="00897851"/>
    <w:rsid w:val="00897D0F"/>
    <w:rsid w:val="008A0C40"/>
    <w:rsid w:val="008A18A9"/>
    <w:rsid w:val="008A2198"/>
    <w:rsid w:val="008A2A4B"/>
    <w:rsid w:val="008A55B3"/>
    <w:rsid w:val="008A5D47"/>
    <w:rsid w:val="008A632F"/>
    <w:rsid w:val="008A7131"/>
    <w:rsid w:val="008A7A4B"/>
    <w:rsid w:val="008B07C2"/>
    <w:rsid w:val="008B09C0"/>
    <w:rsid w:val="008B16D7"/>
    <w:rsid w:val="008B176A"/>
    <w:rsid w:val="008B1C83"/>
    <w:rsid w:val="008B3190"/>
    <w:rsid w:val="008B3E95"/>
    <w:rsid w:val="008B54C9"/>
    <w:rsid w:val="008B5DA6"/>
    <w:rsid w:val="008B62EE"/>
    <w:rsid w:val="008B6438"/>
    <w:rsid w:val="008B6897"/>
    <w:rsid w:val="008B78BA"/>
    <w:rsid w:val="008C0261"/>
    <w:rsid w:val="008C0878"/>
    <w:rsid w:val="008C175B"/>
    <w:rsid w:val="008C220D"/>
    <w:rsid w:val="008C23B9"/>
    <w:rsid w:val="008C284D"/>
    <w:rsid w:val="008C33B0"/>
    <w:rsid w:val="008C35CF"/>
    <w:rsid w:val="008C490A"/>
    <w:rsid w:val="008C4F46"/>
    <w:rsid w:val="008C4F85"/>
    <w:rsid w:val="008C551C"/>
    <w:rsid w:val="008C5A49"/>
    <w:rsid w:val="008C5B64"/>
    <w:rsid w:val="008C6559"/>
    <w:rsid w:val="008C662C"/>
    <w:rsid w:val="008C6A21"/>
    <w:rsid w:val="008C7044"/>
    <w:rsid w:val="008D09C1"/>
    <w:rsid w:val="008D1828"/>
    <w:rsid w:val="008D2DD9"/>
    <w:rsid w:val="008D32D3"/>
    <w:rsid w:val="008D7B0C"/>
    <w:rsid w:val="008D7DA8"/>
    <w:rsid w:val="008E08E9"/>
    <w:rsid w:val="008E4442"/>
    <w:rsid w:val="008E4E6A"/>
    <w:rsid w:val="008E511B"/>
    <w:rsid w:val="008E519B"/>
    <w:rsid w:val="008E569C"/>
    <w:rsid w:val="008E5FC0"/>
    <w:rsid w:val="008E7282"/>
    <w:rsid w:val="008F07C0"/>
    <w:rsid w:val="008F1B6D"/>
    <w:rsid w:val="008F2FB5"/>
    <w:rsid w:val="008F3FBD"/>
    <w:rsid w:val="008F4715"/>
    <w:rsid w:val="008F4B9B"/>
    <w:rsid w:val="008F62A1"/>
    <w:rsid w:val="008F6A73"/>
    <w:rsid w:val="008F7AAB"/>
    <w:rsid w:val="00900091"/>
    <w:rsid w:val="009005FB"/>
    <w:rsid w:val="00900EEB"/>
    <w:rsid w:val="00902C32"/>
    <w:rsid w:val="00903662"/>
    <w:rsid w:val="00903991"/>
    <w:rsid w:val="00904606"/>
    <w:rsid w:val="00905491"/>
    <w:rsid w:val="00905496"/>
    <w:rsid w:val="00906DAD"/>
    <w:rsid w:val="0090743F"/>
    <w:rsid w:val="0091032B"/>
    <w:rsid w:val="00910F16"/>
    <w:rsid w:val="00911D0B"/>
    <w:rsid w:val="00912747"/>
    <w:rsid w:val="00913D2C"/>
    <w:rsid w:val="009142AF"/>
    <w:rsid w:val="00914F54"/>
    <w:rsid w:val="00916C4A"/>
    <w:rsid w:val="00917CC7"/>
    <w:rsid w:val="0092152D"/>
    <w:rsid w:val="00922953"/>
    <w:rsid w:val="00923671"/>
    <w:rsid w:val="00926913"/>
    <w:rsid w:val="00931DB1"/>
    <w:rsid w:val="009324E3"/>
    <w:rsid w:val="009340E4"/>
    <w:rsid w:val="00934C1F"/>
    <w:rsid w:val="00935A84"/>
    <w:rsid w:val="00936082"/>
    <w:rsid w:val="009360E8"/>
    <w:rsid w:val="0093611F"/>
    <w:rsid w:val="009362AE"/>
    <w:rsid w:val="00936909"/>
    <w:rsid w:val="0093771B"/>
    <w:rsid w:val="00937BD1"/>
    <w:rsid w:val="00937DAB"/>
    <w:rsid w:val="00940EAD"/>
    <w:rsid w:val="00941161"/>
    <w:rsid w:val="009415A0"/>
    <w:rsid w:val="00941D0A"/>
    <w:rsid w:val="00942758"/>
    <w:rsid w:val="00942769"/>
    <w:rsid w:val="009437E7"/>
    <w:rsid w:val="00943F9D"/>
    <w:rsid w:val="009441B3"/>
    <w:rsid w:val="009450A2"/>
    <w:rsid w:val="00945E25"/>
    <w:rsid w:val="00947693"/>
    <w:rsid w:val="00947CE2"/>
    <w:rsid w:val="009503F1"/>
    <w:rsid w:val="00950847"/>
    <w:rsid w:val="00950FBA"/>
    <w:rsid w:val="0095168E"/>
    <w:rsid w:val="00951F58"/>
    <w:rsid w:val="00952219"/>
    <w:rsid w:val="00953544"/>
    <w:rsid w:val="00953992"/>
    <w:rsid w:val="00961BF1"/>
    <w:rsid w:val="0096276D"/>
    <w:rsid w:val="00964317"/>
    <w:rsid w:val="00964648"/>
    <w:rsid w:val="00964B45"/>
    <w:rsid w:val="00965117"/>
    <w:rsid w:val="00965893"/>
    <w:rsid w:val="0096601F"/>
    <w:rsid w:val="009662AC"/>
    <w:rsid w:val="00966DA1"/>
    <w:rsid w:val="00967A6D"/>
    <w:rsid w:val="00970676"/>
    <w:rsid w:val="00970785"/>
    <w:rsid w:val="00971697"/>
    <w:rsid w:val="0097240E"/>
    <w:rsid w:val="009724D9"/>
    <w:rsid w:val="00974687"/>
    <w:rsid w:val="00974D48"/>
    <w:rsid w:val="0097566B"/>
    <w:rsid w:val="009759B7"/>
    <w:rsid w:val="00976AE8"/>
    <w:rsid w:val="00976E2F"/>
    <w:rsid w:val="0098159F"/>
    <w:rsid w:val="009828A3"/>
    <w:rsid w:val="00983615"/>
    <w:rsid w:val="00983843"/>
    <w:rsid w:val="009848F4"/>
    <w:rsid w:val="009859D6"/>
    <w:rsid w:val="00985DC9"/>
    <w:rsid w:val="00986A3A"/>
    <w:rsid w:val="00986ADD"/>
    <w:rsid w:val="00991A6A"/>
    <w:rsid w:val="00992CE9"/>
    <w:rsid w:val="009935B4"/>
    <w:rsid w:val="00993658"/>
    <w:rsid w:val="0099393C"/>
    <w:rsid w:val="009941C8"/>
    <w:rsid w:val="00994441"/>
    <w:rsid w:val="009947CF"/>
    <w:rsid w:val="00995389"/>
    <w:rsid w:val="0099563C"/>
    <w:rsid w:val="00995A73"/>
    <w:rsid w:val="0099697F"/>
    <w:rsid w:val="00997B9B"/>
    <w:rsid w:val="009A12B2"/>
    <w:rsid w:val="009A202C"/>
    <w:rsid w:val="009A3134"/>
    <w:rsid w:val="009A34DE"/>
    <w:rsid w:val="009A3BF4"/>
    <w:rsid w:val="009A45F9"/>
    <w:rsid w:val="009A4B9D"/>
    <w:rsid w:val="009A4C99"/>
    <w:rsid w:val="009A5775"/>
    <w:rsid w:val="009A5CE1"/>
    <w:rsid w:val="009A62B0"/>
    <w:rsid w:val="009A7930"/>
    <w:rsid w:val="009A7A87"/>
    <w:rsid w:val="009A7D32"/>
    <w:rsid w:val="009A7D79"/>
    <w:rsid w:val="009B003B"/>
    <w:rsid w:val="009B0A66"/>
    <w:rsid w:val="009B1D2C"/>
    <w:rsid w:val="009B1EC0"/>
    <w:rsid w:val="009B2103"/>
    <w:rsid w:val="009B2B56"/>
    <w:rsid w:val="009B5DBC"/>
    <w:rsid w:val="009B5FD8"/>
    <w:rsid w:val="009B645A"/>
    <w:rsid w:val="009B6E16"/>
    <w:rsid w:val="009B6F4E"/>
    <w:rsid w:val="009B7712"/>
    <w:rsid w:val="009B7989"/>
    <w:rsid w:val="009C000F"/>
    <w:rsid w:val="009C0FEE"/>
    <w:rsid w:val="009C29E4"/>
    <w:rsid w:val="009C4AE9"/>
    <w:rsid w:val="009C6529"/>
    <w:rsid w:val="009C7203"/>
    <w:rsid w:val="009D0188"/>
    <w:rsid w:val="009D0841"/>
    <w:rsid w:val="009D0EDA"/>
    <w:rsid w:val="009D2D1D"/>
    <w:rsid w:val="009D481C"/>
    <w:rsid w:val="009D52D2"/>
    <w:rsid w:val="009D54AB"/>
    <w:rsid w:val="009D5E01"/>
    <w:rsid w:val="009D6297"/>
    <w:rsid w:val="009D6528"/>
    <w:rsid w:val="009D6BDA"/>
    <w:rsid w:val="009D76D1"/>
    <w:rsid w:val="009D7EE9"/>
    <w:rsid w:val="009E165B"/>
    <w:rsid w:val="009E20B9"/>
    <w:rsid w:val="009E2EBD"/>
    <w:rsid w:val="009E37E4"/>
    <w:rsid w:val="009E3A26"/>
    <w:rsid w:val="009E5479"/>
    <w:rsid w:val="009E5B0B"/>
    <w:rsid w:val="009E62CA"/>
    <w:rsid w:val="009E63BC"/>
    <w:rsid w:val="009E7825"/>
    <w:rsid w:val="009F0A39"/>
    <w:rsid w:val="009F1114"/>
    <w:rsid w:val="009F15B4"/>
    <w:rsid w:val="009F20B4"/>
    <w:rsid w:val="009F40FC"/>
    <w:rsid w:val="009F4828"/>
    <w:rsid w:val="009F4829"/>
    <w:rsid w:val="009F5CB8"/>
    <w:rsid w:val="00A00626"/>
    <w:rsid w:val="00A00940"/>
    <w:rsid w:val="00A00D89"/>
    <w:rsid w:val="00A01B67"/>
    <w:rsid w:val="00A01D80"/>
    <w:rsid w:val="00A0226E"/>
    <w:rsid w:val="00A02A3E"/>
    <w:rsid w:val="00A02D99"/>
    <w:rsid w:val="00A047E7"/>
    <w:rsid w:val="00A051A8"/>
    <w:rsid w:val="00A06381"/>
    <w:rsid w:val="00A0654E"/>
    <w:rsid w:val="00A078D6"/>
    <w:rsid w:val="00A1047F"/>
    <w:rsid w:val="00A107B8"/>
    <w:rsid w:val="00A107EC"/>
    <w:rsid w:val="00A10CB3"/>
    <w:rsid w:val="00A1119A"/>
    <w:rsid w:val="00A11735"/>
    <w:rsid w:val="00A12954"/>
    <w:rsid w:val="00A13192"/>
    <w:rsid w:val="00A1358E"/>
    <w:rsid w:val="00A1382F"/>
    <w:rsid w:val="00A15964"/>
    <w:rsid w:val="00A167D7"/>
    <w:rsid w:val="00A17BD0"/>
    <w:rsid w:val="00A206BA"/>
    <w:rsid w:val="00A2087D"/>
    <w:rsid w:val="00A220A6"/>
    <w:rsid w:val="00A222CA"/>
    <w:rsid w:val="00A24DE3"/>
    <w:rsid w:val="00A24F28"/>
    <w:rsid w:val="00A260FD"/>
    <w:rsid w:val="00A27386"/>
    <w:rsid w:val="00A27D9D"/>
    <w:rsid w:val="00A30654"/>
    <w:rsid w:val="00A31423"/>
    <w:rsid w:val="00A33377"/>
    <w:rsid w:val="00A347E1"/>
    <w:rsid w:val="00A37087"/>
    <w:rsid w:val="00A37EDD"/>
    <w:rsid w:val="00A42B2D"/>
    <w:rsid w:val="00A42E33"/>
    <w:rsid w:val="00A43700"/>
    <w:rsid w:val="00A43C5F"/>
    <w:rsid w:val="00A4412C"/>
    <w:rsid w:val="00A4458E"/>
    <w:rsid w:val="00A45048"/>
    <w:rsid w:val="00A45137"/>
    <w:rsid w:val="00A45476"/>
    <w:rsid w:val="00A473B3"/>
    <w:rsid w:val="00A479D2"/>
    <w:rsid w:val="00A47B42"/>
    <w:rsid w:val="00A47EE7"/>
    <w:rsid w:val="00A506DD"/>
    <w:rsid w:val="00A50732"/>
    <w:rsid w:val="00A507FE"/>
    <w:rsid w:val="00A519A5"/>
    <w:rsid w:val="00A534C3"/>
    <w:rsid w:val="00A5485E"/>
    <w:rsid w:val="00A553BE"/>
    <w:rsid w:val="00A56E84"/>
    <w:rsid w:val="00A5745C"/>
    <w:rsid w:val="00A57AFA"/>
    <w:rsid w:val="00A57EB7"/>
    <w:rsid w:val="00A60A48"/>
    <w:rsid w:val="00A60B96"/>
    <w:rsid w:val="00A6180D"/>
    <w:rsid w:val="00A61CFD"/>
    <w:rsid w:val="00A61E50"/>
    <w:rsid w:val="00A6245F"/>
    <w:rsid w:val="00A63395"/>
    <w:rsid w:val="00A63828"/>
    <w:rsid w:val="00A63D35"/>
    <w:rsid w:val="00A63F2C"/>
    <w:rsid w:val="00A6759E"/>
    <w:rsid w:val="00A70DFD"/>
    <w:rsid w:val="00A70F07"/>
    <w:rsid w:val="00A71A38"/>
    <w:rsid w:val="00A72D9B"/>
    <w:rsid w:val="00A739B7"/>
    <w:rsid w:val="00A73C84"/>
    <w:rsid w:val="00A74DC9"/>
    <w:rsid w:val="00A7622F"/>
    <w:rsid w:val="00A76521"/>
    <w:rsid w:val="00A76F7A"/>
    <w:rsid w:val="00A76FF9"/>
    <w:rsid w:val="00A77FEC"/>
    <w:rsid w:val="00A81E81"/>
    <w:rsid w:val="00A826E7"/>
    <w:rsid w:val="00A83FE5"/>
    <w:rsid w:val="00A840EB"/>
    <w:rsid w:val="00A84A91"/>
    <w:rsid w:val="00A84EA1"/>
    <w:rsid w:val="00A84FBC"/>
    <w:rsid w:val="00A87820"/>
    <w:rsid w:val="00A87AE5"/>
    <w:rsid w:val="00A87E18"/>
    <w:rsid w:val="00A90216"/>
    <w:rsid w:val="00A93774"/>
    <w:rsid w:val="00A94F2D"/>
    <w:rsid w:val="00A94F8E"/>
    <w:rsid w:val="00A958BF"/>
    <w:rsid w:val="00A96599"/>
    <w:rsid w:val="00A965A8"/>
    <w:rsid w:val="00A966D4"/>
    <w:rsid w:val="00A96776"/>
    <w:rsid w:val="00A96F6B"/>
    <w:rsid w:val="00A97816"/>
    <w:rsid w:val="00A9795D"/>
    <w:rsid w:val="00AA056F"/>
    <w:rsid w:val="00AA07D8"/>
    <w:rsid w:val="00AA09E4"/>
    <w:rsid w:val="00AA0F61"/>
    <w:rsid w:val="00AA1633"/>
    <w:rsid w:val="00AA23B8"/>
    <w:rsid w:val="00AA271A"/>
    <w:rsid w:val="00AA2D63"/>
    <w:rsid w:val="00AA3F7A"/>
    <w:rsid w:val="00AA4531"/>
    <w:rsid w:val="00AA530B"/>
    <w:rsid w:val="00AA6C15"/>
    <w:rsid w:val="00AA73B2"/>
    <w:rsid w:val="00AB0133"/>
    <w:rsid w:val="00AB3695"/>
    <w:rsid w:val="00AB4669"/>
    <w:rsid w:val="00AB4969"/>
    <w:rsid w:val="00AB4A04"/>
    <w:rsid w:val="00AB522A"/>
    <w:rsid w:val="00AB5431"/>
    <w:rsid w:val="00AB6C60"/>
    <w:rsid w:val="00AB72B3"/>
    <w:rsid w:val="00AC077C"/>
    <w:rsid w:val="00AC08BD"/>
    <w:rsid w:val="00AC1994"/>
    <w:rsid w:val="00AC3DC9"/>
    <w:rsid w:val="00AC3E65"/>
    <w:rsid w:val="00AC5397"/>
    <w:rsid w:val="00AC61EC"/>
    <w:rsid w:val="00AC6842"/>
    <w:rsid w:val="00AC6CF4"/>
    <w:rsid w:val="00AC79F1"/>
    <w:rsid w:val="00AD0D97"/>
    <w:rsid w:val="00AD215A"/>
    <w:rsid w:val="00AD2761"/>
    <w:rsid w:val="00AD45FC"/>
    <w:rsid w:val="00AD4620"/>
    <w:rsid w:val="00AD4905"/>
    <w:rsid w:val="00AD4DBA"/>
    <w:rsid w:val="00AD613E"/>
    <w:rsid w:val="00AD6601"/>
    <w:rsid w:val="00AD6673"/>
    <w:rsid w:val="00AD66A5"/>
    <w:rsid w:val="00AD6791"/>
    <w:rsid w:val="00AD7408"/>
    <w:rsid w:val="00AD763C"/>
    <w:rsid w:val="00AE0C79"/>
    <w:rsid w:val="00AE12CE"/>
    <w:rsid w:val="00AE17BD"/>
    <w:rsid w:val="00AE205C"/>
    <w:rsid w:val="00AE2C02"/>
    <w:rsid w:val="00AE2CC6"/>
    <w:rsid w:val="00AE31B2"/>
    <w:rsid w:val="00AE573C"/>
    <w:rsid w:val="00AE6524"/>
    <w:rsid w:val="00AE73E6"/>
    <w:rsid w:val="00AF0A87"/>
    <w:rsid w:val="00AF1C76"/>
    <w:rsid w:val="00AF254F"/>
    <w:rsid w:val="00AF2C64"/>
    <w:rsid w:val="00AF2FD0"/>
    <w:rsid w:val="00AF3694"/>
    <w:rsid w:val="00AF42C8"/>
    <w:rsid w:val="00AF511B"/>
    <w:rsid w:val="00AF52FD"/>
    <w:rsid w:val="00AF784A"/>
    <w:rsid w:val="00AF7E76"/>
    <w:rsid w:val="00B02354"/>
    <w:rsid w:val="00B02EF6"/>
    <w:rsid w:val="00B030C9"/>
    <w:rsid w:val="00B03CFA"/>
    <w:rsid w:val="00B055CE"/>
    <w:rsid w:val="00B0746D"/>
    <w:rsid w:val="00B07B0B"/>
    <w:rsid w:val="00B10368"/>
    <w:rsid w:val="00B1177F"/>
    <w:rsid w:val="00B11E73"/>
    <w:rsid w:val="00B126ED"/>
    <w:rsid w:val="00B13990"/>
    <w:rsid w:val="00B14770"/>
    <w:rsid w:val="00B160BC"/>
    <w:rsid w:val="00B17CC0"/>
    <w:rsid w:val="00B20A26"/>
    <w:rsid w:val="00B20F5F"/>
    <w:rsid w:val="00B22AD0"/>
    <w:rsid w:val="00B2621C"/>
    <w:rsid w:val="00B27296"/>
    <w:rsid w:val="00B2761B"/>
    <w:rsid w:val="00B27823"/>
    <w:rsid w:val="00B309B4"/>
    <w:rsid w:val="00B30D32"/>
    <w:rsid w:val="00B31003"/>
    <w:rsid w:val="00B316ED"/>
    <w:rsid w:val="00B32415"/>
    <w:rsid w:val="00B335E4"/>
    <w:rsid w:val="00B36706"/>
    <w:rsid w:val="00B371B3"/>
    <w:rsid w:val="00B402B0"/>
    <w:rsid w:val="00B4159E"/>
    <w:rsid w:val="00B41A6D"/>
    <w:rsid w:val="00B41B43"/>
    <w:rsid w:val="00B41E2F"/>
    <w:rsid w:val="00B41F18"/>
    <w:rsid w:val="00B4289D"/>
    <w:rsid w:val="00B42EE9"/>
    <w:rsid w:val="00B4348A"/>
    <w:rsid w:val="00B43C25"/>
    <w:rsid w:val="00B43E76"/>
    <w:rsid w:val="00B452C8"/>
    <w:rsid w:val="00B45F55"/>
    <w:rsid w:val="00B4661C"/>
    <w:rsid w:val="00B46D10"/>
    <w:rsid w:val="00B4715F"/>
    <w:rsid w:val="00B471F9"/>
    <w:rsid w:val="00B473D6"/>
    <w:rsid w:val="00B475E3"/>
    <w:rsid w:val="00B4769B"/>
    <w:rsid w:val="00B50ADA"/>
    <w:rsid w:val="00B50F29"/>
    <w:rsid w:val="00B5244A"/>
    <w:rsid w:val="00B53A7B"/>
    <w:rsid w:val="00B53B19"/>
    <w:rsid w:val="00B54C45"/>
    <w:rsid w:val="00B55C4F"/>
    <w:rsid w:val="00B5605F"/>
    <w:rsid w:val="00B5628F"/>
    <w:rsid w:val="00B56651"/>
    <w:rsid w:val="00B5785D"/>
    <w:rsid w:val="00B61166"/>
    <w:rsid w:val="00B61AE9"/>
    <w:rsid w:val="00B628EE"/>
    <w:rsid w:val="00B635F3"/>
    <w:rsid w:val="00B63B48"/>
    <w:rsid w:val="00B65835"/>
    <w:rsid w:val="00B664B3"/>
    <w:rsid w:val="00B66BA1"/>
    <w:rsid w:val="00B67491"/>
    <w:rsid w:val="00B674CE"/>
    <w:rsid w:val="00B67DA6"/>
    <w:rsid w:val="00B706E8"/>
    <w:rsid w:val="00B707E7"/>
    <w:rsid w:val="00B70CFF"/>
    <w:rsid w:val="00B73A27"/>
    <w:rsid w:val="00B74D98"/>
    <w:rsid w:val="00B753C0"/>
    <w:rsid w:val="00B75404"/>
    <w:rsid w:val="00B759E5"/>
    <w:rsid w:val="00B76CFA"/>
    <w:rsid w:val="00B76F6E"/>
    <w:rsid w:val="00B77C3A"/>
    <w:rsid w:val="00B8135D"/>
    <w:rsid w:val="00B82117"/>
    <w:rsid w:val="00B82BCE"/>
    <w:rsid w:val="00B84531"/>
    <w:rsid w:val="00B86088"/>
    <w:rsid w:val="00B871B3"/>
    <w:rsid w:val="00B8768A"/>
    <w:rsid w:val="00B87A22"/>
    <w:rsid w:val="00B87E98"/>
    <w:rsid w:val="00B90717"/>
    <w:rsid w:val="00B9108D"/>
    <w:rsid w:val="00B91500"/>
    <w:rsid w:val="00B91903"/>
    <w:rsid w:val="00B91A2C"/>
    <w:rsid w:val="00B92375"/>
    <w:rsid w:val="00B92E64"/>
    <w:rsid w:val="00B93FBC"/>
    <w:rsid w:val="00B96887"/>
    <w:rsid w:val="00B97A62"/>
    <w:rsid w:val="00BA2DE1"/>
    <w:rsid w:val="00BA3508"/>
    <w:rsid w:val="00BA39AC"/>
    <w:rsid w:val="00BA577C"/>
    <w:rsid w:val="00BA5861"/>
    <w:rsid w:val="00BA59A1"/>
    <w:rsid w:val="00BA5D6A"/>
    <w:rsid w:val="00BA6AD5"/>
    <w:rsid w:val="00BA70EE"/>
    <w:rsid w:val="00BA71FC"/>
    <w:rsid w:val="00BA7CD3"/>
    <w:rsid w:val="00BB138F"/>
    <w:rsid w:val="00BB1824"/>
    <w:rsid w:val="00BB1AF2"/>
    <w:rsid w:val="00BB2BEB"/>
    <w:rsid w:val="00BB34FC"/>
    <w:rsid w:val="00BB4157"/>
    <w:rsid w:val="00BB439B"/>
    <w:rsid w:val="00BB54F1"/>
    <w:rsid w:val="00BB5DEF"/>
    <w:rsid w:val="00BB6C9E"/>
    <w:rsid w:val="00BB6DE9"/>
    <w:rsid w:val="00BC1BDB"/>
    <w:rsid w:val="00BC54E2"/>
    <w:rsid w:val="00BC55AE"/>
    <w:rsid w:val="00BC5A42"/>
    <w:rsid w:val="00BC5EBC"/>
    <w:rsid w:val="00BC620F"/>
    <w:rsid w:val="00BC631C"/>
    <w:rsid w:val="00BC6725"/>
    <w:rsid w:val="00BC67BD"/>
    <w:rsid w:val="00BC732D"/>
    <w:rsid w:val="00BC7686"/>
    <w:rsid w:val="00BD0CDD"/>
    <w:rsid w:val="00BD1D10"/>
    <w:rsid w:val="00BD2276"/>
    <w:rsid w:val="00BD2BC1"/>
    <w:rsid w:val="00BD2E58"/>
    <w:rsid w:val="00BD4A1C"/>
    <w:rsid w:val="00BD4E26"/>
    <w:rsid w:val="00BD4FE5"/>
    <w:rsid w:val="00BD5CCF"/>
    <w:rsid w:val="00BD5EFD"/>
    <w:rsid w:val="00BD6512"/>
    <w:rsid w:val="00BD6CAB"/>
    <w:rsid w:val="00BD6CB4"/>
    <w:rsid w:val="00BD747C"/>
    <w:rsid w:val="00BD7DB9"/>
    <w:rsid w:val="00BD7FE1"/>
    <w:rsid w:val="00BE110E"/>
    <w:rsid w:val="00BE2D35"/>
    <w:rsid w:val="00BE344F"/>
    <w:rsid w:val="00BE38A8"/>
    <w:rsid w:val="00BE3CD9"/>
    <w:rsid w:val="00BE3E21"/>
    <w:rsid w:val="00BE4AB8"/>
    <w:rsid w:val="00BE6628"/>
    <w:rsid w:val="00BE7066"/>
    <w:rsid w:val="00BE71F8"/>
    <w:rsid w:val="00BF114B"/>
    <w:rsid w:val="00BF4242"/>
    <w:rsid w:val="00BF4329"/>
    <w:rsid w:val="00BF4C04"/>
    <w:rsid w:val="00BF558A"/>
    <w:rsid w:val="00BF64E0"/>
    <w:rsid w:val="00BF724B"/>
    <w:rsid w:val="00BF7B64"/>
    <w:rsid w:val="00C00B26"/>
    <w:rsid w:val="00C02742"/>
    <w:rsid w:val="00C030D9"/>
    <w:rsid w:val="00C03B70"/>
    <w:rsid w:val="00C040BA"/>
    <w:rsid w:val="00C0468A"/>
    <w:rsid w:val="00C049D8"/>
    <w:rsid w:val="00C066F3"/>
    <w:rsid w:val="00C06CF8"/>
    <w:rsid w:val="00C11BE4"/>
    <w:rsid w:val="00C13777"/>
    <w:rsid w:val="00C137F7"/>
    <w:rsid w:val="00C13AEE"/>
    <w:rsid w:val="00C13D9C"/>
    <w:rsid w:val="00C15765"/>
    <w:rsid w:val="00C15B84"/>
    <w:rsid w:val="00C16280"/>
    <w:rsid w:val="00C17FB8"/>
    <w:rsid w:val="00C200A2"/>
    <w:rsid w:val="00C206B7"/>
    <w:rsid w:val="00C20AB3"/>
    <w:rsid w:val="00C2101D"/>
    <w:rsid w:val="00C23FA5"/>
    <w:rsid w:val="00C24B18"/>
    <w:rsid w:val="00C253FE"/>
    <w:rsid w:val="00C25563"/>
    <w:rsid w:val="00C259FC"/>
    <w:rsid w:val="00C26A06"/>
    <w:rsid w:val="00C26EED"/>
    <w:rsid w:val="00C27CCE"/>
    <w:rsid w:val="00C316E4"/>
    <w:rsid w:val="00C329D6"/>
    <w:rsid w:val="00C33A04"/>
    <w:rsid w:val="00C368C9"/>
    <w:rsid w:val="00C36A58"/>
    <w:rsid w:val="00C400F2"/>
    <w:rsid w:val="00C41429"/>
    <w:rsid w:val="00C42777"/>
    <w:rsid w:val="00C4321E"/>
    <w:rsid w:val="00C434B9"/>
    <w:rsid w:val="00C471C6"/>
    <w:rsid w:val="00C47F78"/>
    <w:rsid w:val="00C503A9"/>
    <w:rsid w:val="00C503F8"/>
    <w:rsid w:val="00C5279E"/>
    <w:rsid w:val="00C527C8"/>
    <w:rsid w:val="00C52A62"/>
    <w:rsid w:val="00C5349B"/>
    <w:rsid w:val="00C535FF"/>
    <w:rsid w:val="00C55C13"/>
    <w:rsid w:val="00C574A5"/>
    <w:rsid w:val="00C6069A"/>
    <w:rsid w:val="00C60D37"/>
    <w:rsid w:val="00C62E42"/>
    <w:rsid w:val="00C647E3"/>
    <w:rsid w:val="00C64ABF"/>
    <w:rsid w:val="00C64BE9"/>
    <w:rsid w:val="00C67D1B"/>
    <w:rsid w:val="00C7080E"/>
    <w:rsid w:val="00C7115C"/>
    <w:rsid w:val="00C71628"/>
    <w:rsid w:val="00C72B2C"/>
    <w:rsid w:val="00C72BBC"/>
    <w:rsid w:val="00C74868"/>
    <w:rsid w:val="00C74E60"/>
    <w:rsid w:val="00C766FF"/>
    <w:rsid w:val="00C80750"/>
    <w:rsid w:val="00C80D57"/>
    <w:rsid w:val="00C827CF"/>
    <w:rsid w:val="00C83C62"/>
    <w:rsid w:val="00C8604E"/>
    <w:rsid w:val="00C8625B"/>
    <w:rsid w:val="00C86782"/>
    <w:rsid w:val="00C868EB"/>
    <w:rsid w:val="00C90E4D"/>
    <w:rsid w:val="00C91057"/>
    <w:rsid w:val="00C91B1C"/>
    <w:rsid w:val="00C92082"/>
    <w:rsid w:val="00C922BC"/>
    <w:rsid w:val="00C925FE"/>
    <w:rsid w:val="00C9381E"/>
    <w:rsid w:val="00C9573E"/>
    <w:rsid w:val="00C9601B"/>
    <w:rsid w:val="00C962E3"/>
    <w:rsid w:val="00CA38BF"/>
    <w:rsid w:val="00CA4A0D"/>
    <w:rsid w:val="00CA52E0"/>
    <w:rsid w:val="00CA5367"/>
    <w:rsid w:val="00CA5984"/>
    <w:rsid w:val="00CA6090"/>
    <w:rsid w:val="00CA6D56"/>
    <w:rsid w:val="00CB0310"/>
    <w:rsid w:val="00CB13B9"/>
    <w:rsid w:val="00CB1721"/>
    <w:rsid w:val="00CB17B4"/>
    <w:rsid w:val="00CB39DB"/>
    <w:rsid w:val="00CB5D18"/>
    <w:rsid w:val="00CB68C3"/>
    <w:rsid w:val="00CB6CEC"/>
    <w:rsid w:val="00CB6FB9"/>
    <w:rsid w:val="00CC252E"/>
    <w:rsid w:val="00CC29BE"/>
    <w:rsid w:val="00CC37D1"/>
    <w:rsid w:val="00CC3FD0"/>
    <w:rsid w:val="00CC4825"/>
    <w:rsid w:val="00CC485F"/>
    <w:rsid w:val="00CC49B2"/>
    <w:rsid w:val="00CC68BF"/>
    <w:rsid w:val="00CC7203"/>
    <w:rsid w:val="00CC7C3A"/>
    <w:rsid w:val="00CC7C8B"/>
    <w:rsid w:val="00CD1001"/>
    <w:rsid w:val="00CD11A0"/>
    <w:rsid w:val="00CD1725"/>
    <w:rsid w:val="00CD1AB4"/>
    <w:rsid w:val="00CD1BB1"/>
    <w:rsid w:val="00CD2248"/>
    <w:rsid w:val="00CD22A7"/>
    <w:rsid w:val="00CD5D43"/>
    <w:rsid w:val="00CD6430"/>
    <w:rsid w:val="00CD7B13"/>
    <w:rsid w:val="00CE01B7"/>
    <w:rsid w:val="00CE041D"/>
    <w:rsid w:val="00CE0A25"/>
    <w:rsid w:val="00CE1367"/>
    <w:rsid w:val="00CE1503"/>
    <w:rsid w:val="00CE2490"/>
    <w:rsid w:val="00CE3686"/>
    <w:rsid w:val="00CE3854"/>
    <w:rsid w:val="00CE4061"/>
    <w:rsid w:val="00CE4488"/>
    <w:rsid w:val="00CE47AD"/>
    <w:rsid w:val="00CE51AD"/>
    <w:rsid w:val="00CE747F"/>
    <w:rsid w:val="00CE760B"/>
    <w:rsid w:val="00CE7EE8"/>
    <w:rsid w:val="00CF0529"/>
    <w:rsid w:val="00CF3B60"/>
    <w:rsid w:val="00CF3E87"/>
    <w:rsid w:val="00CF4689"/>
    <w:rsid w:val="00CF61D3"/>
    <w:rsid w:val="00CF6ECB"/>
    <w:rsid w:val="00CF7827"/>
    <w:rsid w:val="00D0022B"/>
    <w:rsid w:val="00D0048E"/>
    <w:rsid w:val="00D014D0"/>
    <w:rsid w:val="00D018EC"/>
    <w:rsid w:val="00D01C12"/>
    <w:rsid w:val="00D0298D"/>
    <w:rsid w:val="00D04FDB"/>
    <w:rsid w:val="00D0765B"/>
    <w:rsid w:val="00D07A7A"/>
    <w:rsid w:val="00D07D23"/>
    <w:rsid w:val="00D10908"/>
    <w:rsid w:val="00D10C26"/>
    <w:rsid w:val="00D111E1"/>
    <w:rsid w:val="00D11560"/>
    <w:rsid w:val="00D11ED0"/>
    <w:rsid w:val="00D144FC"/>
    <w:rsid w:val="00D147E1"/>
    <w:rsid w:val="00D152E2"/>
    <w:rsid w:val="00D15826"/>
    <w:rsid w:val="00D15BAF"/>
    <w:rsid w:val="00D20F92"/>
    <w:rsid w:val="00D21530"/>
    <w:rsid w:val="00D2171A"/>
    <w:rsid w:val="00D21B98"/>
    <w:rsid w:val="00D21D9A"/>
    <w:rsid w:val="00D22E94"/>
    <w:rsid w:val="00D23B81"/>
    <w:rsid w:val="00D23E73"/>
    <w:rsid w:val="00D24540"/>
    <w:rsid w:val="00D276EB"/>
    <w:rsid w:val="00D30393"/>
    <w:rsid w:val="00D310C6"/>
    <w:rsid w:val="00D31FC2"/>
    <w:rsid w:val="00D344A2"/>
    <w:rsid w:val="00D34856"/>
    <w:rsid w:val="00D3529D"/>
    <w:rsid w:val="00D35AC5"/>
    <w:rsid w:val="00D406BF"/>
    <w:rsid w:val="00D415CA"/>
    <w:rsid w:val="00D419E1"/>
    <w:rsid w:val="00D431D6"/>
    <w:rsid w:val="00D4442C"/>
    <w:rsid w:val="00D47648"/>
    <w:rsid w:val="00D47703"/>
    <w:rsid w:val="00D50A8D"/>
    <w:rsid w:val="00D5103F"/>
    <w:rsid w:val="00D510D8"/>
    <w:rsid w:val="00D5182A"/>
    <w:rsid w:val="00D526AC"/>
    <w:rsid w:val="00D55FCD"/>
    <w:rsid w:val="00D5600C"/>
    <w:rsid w:val="00D57BEF"/>
    <w:rsid w:val="00D602FD"/>
    <w:rsid w:val="00D60BDA"/>
    <w:rsid w:val="00D61241"/>
    <w:rsid w:val="00D62252"/>
    <w:rsid w:val="00D622A2"/>
    <w:rsid w:val="00D62F72"/>
    <w:rsid w:val="00D6308E"/>
    <w:rsid w:val="00D63AA5"/>
    <w:rsid w:val="00D64EF7"/>
    <w:rsid w:val="00D703D3"/>
    <w:rsid w:val="00D715BE"/>
    <w:rsid w:val="00D71826"/>
    <w:rsid w:val="00D72382"/>
    <w:rsid w:val="00D72C31"/>
    <w:rsid w:val="00D73354"/>
    <w:rsid w:val="00D736BD"/>
    <w:rsid w:val="00D745E8"/>
    <w:rsid w:val="00D75E93"/>
    <w:rsid w:val="00D76056"/>
    <w:rsid w:val="00D81348"/>
    <w:rsid w:val="00D83725"/>
    <w:rsid w:val="00D8566F"/>
    <w:rsid w:val="00D878DF"/>
    <w:rsid w:val="00D9072E"/>
    <w:rsid w:val="00D9141F"/>
    <w:rsid w:val="00D920E5"/>
    <w:rsid w:val="00D92538"/>
    <w:rsid w:val="00D93097"/>
    <w:rsid w:val="00D94317"/>
    <w:rsid w:val="00D951A0"/>
    <w:rsid w:val="00D95268"/>
    <w:rsid w:val="00D955C3"/>
    <w:rsid w:val="00D97039"/>
    <w:rsid w:val="00D97C0C"/>
    <w:rsid w:val="00DA0E3D"/>
    <w:rsid w:val="00DA1F9A"/>
    <w:rsid w:val="00DA2F84"/>
    <w:rsid w:val="00DA388C"/>
    <w:rsid w:val="00DA464F"/>
    <w:rsid w:val="00DA5596"/>
    <w:rsid w:val="00DA5706"/>
    <w:rsid w:val="00DA6296"/>
    <w:rsid w:val="00DA6E21"/>
    <w:rsid w:val="00DA713E"/>
    <w:rsid w:val="00DB0910"/>
    <w:rsid w:val="00DB154E"/>
    <w:rsid w:val="00DB2CE5"/>
    <w:rsid w:val="00DB39FC"/>
    <w:rsid w:val="00DB48B4"/>
    <w:rsid w:val="00DB57B1"/>
    <w:rsid w:val="00DB63F8"/>
    <w:rsid w:val="00DB6B4E"/>
    <w:rsid w:val="00DB795C"/>
    <w:rsid w:val="00DB79BF"/>
    <w:rsid w:val="00DC0BB3"/>
    <w:rsid w:val="00DC1D59"/>
    <w:rsid w:val="00DC2511"/>
    <w:rsid w:val="00DC2964"/>
    <w:rsid w:val="00DC2E34"/>
    <w:rsid w:val="00DC34CC"/>
    <w:rsid w:val="00DC39C6"/>
    <w:rsid w:val="00DC429A"/>
    <w:rsid w:val="00DC4D19"/>
    <w:rsid w:val="00DC7C6B"/>
    <w:rsid w:val="00DD1659"/>
    <w:rsid w:val="00DD5BDF"/>
    <w:rsid w:val="00DE0429"/>
    <w:rsid w:val="00DE139B"/>
    <w:rsid w:val="00DE1928"/>
    <w:rsid w:val="00DE1CC4"/>
    <w:rsid w:val="00DE22C9"/>
    <w:rsid w:val="00DE24E5"/>
    <w:rsid w:val="00DE4048"/>
    <w:rsid w:val="00DE525E"/>
    <w:rsid w:val="00DE6CA0"/>
    <w:rsid w:val="00DE6F8A"/>
    <w:rsid w:val="00DE7150"/>
    <w:rsid w:val="00DE7886"/>
    <w:rsid w:val="00DF08FE"/>
    <w:rsid w:val="00DF2DEF"/>
    <w:rsid w:val="00DF3205"/>
    <w:rsid w:val="00DF4E68"/>
    <w:rsid w:val="00DF4EE6"/>
    <w:rsid w:val="00DF5C91"/>
    <w:rsid w:val="00DF67BC"/>
    <w:rsid w:val="00DF6E4A"/>
    <w:rsid w:val="00DF6F5C"/>
    <w:rsid w:val="00DF6FBF"/>
    <w:rsid w:val="00DF721B"/>
    <w:rsid w:val="00DF7DDA"/>
    <w:rsid w:val="00E0155F"/>
    <w:rsid w:val="00E01747"/>
    <w:rsid w:val="00E01770"/>
    <w:rsid w:val="00E01A18"/>
    <w:rsid w:val="00E01A44"/>
    <w:rsid w:val="00E0229B"/>
    <w:rsid w:val="00E02839"/>
    <w:rsid w:val="00E0497A"/>
    <w:rsid w:val="00E06660"/>
    <w:rsid w:val="00E07E0E"/>
    <w:rsid w:val="00E10AD7"/>
    <w:rsid w:val="00E10EAF"/>
    <w:rsid w:val="00E11399"/>
    <w:rsid w:val="00E1148C"/>
    <w:rsid w:val="00E11AB6"/>
    <w:rsid w:val="00E123ED"/>
    <w:rsid w:val="00E133FD"/>
    <w:rsid w:val="00E13C38"/>
    <w:rsid w:val="00E13E70"/>
    <w:rsid w:val="00E15657"/>
    <w:rsid w:val="00E15C60"/>
    <w:rsid w:val="00E1731B"/>
    <w:rsid w:val="00E174D7"/>
    <w:rsid w:val="00E20746"/>
    <w:rsid w:val="00E2085B"/>
    <w:rsid w:val="00E21255"/>
    <w:rsid w:val="00E2133C"/>
    <w:rsid w:val="00E22B6A"/>
    <w:rsid w:val="00E23325"/>
    <w:rsid w:val="00E2381F"/>
    <w:rsid w:val="00E2391A"/>
    <w:rsid w:val="00E23967"/>
    <w:rsid w:val="00E23DE9"/>
    <w:rsid w:val="00E247C3"/>
    <w:rsid w:val="00E24A7B"/>
    <w:rsid w:val="00E25EC6"/>
    <w:rsid w:val="00E25FDF"/>
    <w:rsid w:val="00E30248"/>
    <w:rsid w:val="00E31C9A"/>
    <w:rsid w:val="00E31E5A"/>
    <w:rsid w:val="00E32CD4"/>
    <w:rsid w:val="00E33A47"/>
    <w:rsid w:val="00E348C9"/>
    <w:rsid w:val="00E34A4C"/>
    <w:rsid w:val="00E34F31"/>
    <w:rsid w:val="00E359F7"/>
    <w:rsid w:val="00E370E8"/>
    <w:rsid w:val="00E37F0F"/>
    <w:rsid w:val="00E410B3"/>
    <w:rsid w:val="00E41114"/>
    <w:rsid w:val="00E41222"/>
    <w:rsid w:val="00E41853"/>
    <w:rsid w:val="00E439A1"/>
    <w:rsid w:val="00E44216"/>
    <w:rsid w:val="00E442C8"/>
    <w:rsid w:val="00E45312"/>
    <w:rsid w:val="00E4564F"/>
    <w:rsid w:val="00E46E7A"/>
    <w:rsid w:val="00E47E36"/>
    <w:rsid w:val="00E50D8A"/>
    <w:rsid w:val="00E5206E"/>
    <w:rsid w:val="00E520FF"/>
    <w:rsid w:val="00E52865"/>
    <w:rsid w:val="00E52BFF"/>
    <w:rsid w:val="00E52F21"/>
    <w:rsid w:val="00E53578"/>
    <w:rsid w:val="00E53AAA"/>
    <w:rsid w:val="00E53B1B"/>
    <w:rsid w:val="00E53BF1"/>
    <w:rsid w:val="00E54086"/>
    <w:rsid w:val="00E54587"/>
    <w:rsid w:val="00E5479E"/>
    <w:rsid w:val="00E54CFA"/>
    <w:rsid w:val="00E553E7"/>
    <w:rsid w:val="00E567B5"/>
    <w:rsid w:val="00E57149"/>
    <w:rsid w:val="00E572E7"/>
    <w:rsid w:val="00E5798F"/>
    <w:rsid w:val="00E60A2D"/>
    <w:rsid w:val="00E61C3D"/>
    <w:rsid w:val="00E66278"/>
    <w:rsid w:val="00E67A18"/>
    <w:rsid w:val="00E67A4F"/>
    <w:rsid w:val="00E71CCE"/>
    <w:rsid w:val="00E723DB"/>
    <w:rsid w:val="00E72616"/>
    <w:rsid w:val="00E72753"/>
    <w:rsid w:val="00E7358D"/>
    <w:rsid w:val="00E73826"/>
    <w:rsid w:val="00E73AAE"/>
    <w:rsid w:val="00E745F7"/>
    <w:rsid w:val="00E74F0B"/>
    <w:rsid w:val="00E75396"/>
    <w:rsid w:val="00E75841"/>
    <w:rsid w:val="00E759A6"/>
    <w:rsid w:val="00E760E0"/>
    <w:rsid w:val="00E773D8"/>
    <w:rsid w:val="00E80737"/>
    <w:rsid w:val="00E808EC"/>
    <w:rsid w:val="00E80B3D"/>
    <w:rsid w:val="00E81B48"/>
    <w:rsid w:val="00E822BF"/>
    <w:rsid w:val="00E82862"/>
    <w:rsid w:val="00E8298A"/>
    <w:rsid w:val="00E82FA5"/>
    <w:rsid w:val="00E83754"/>
    <w:rsid w:val="00E85F00"/>
    <w:rsid w:val="00E860D2"/>
    <w:rsid w:val="00E86482"/>
    <w:rsid w:val="00E86F7D"/>
    <w:rsid w:val="00E86FFB"/>
    <w:rsid w:val="00E87647"/>
    <w:rsid w:val="00E878D4"/>
    <w:rsid w:val="00E87A0A"/>
    <w:rsid w:val="00E87C32"/>
    <w:rsid w:val="00E87FF7"/>
    <w:rsid w:val="00E91384"/>
    <w:rsid w:val="00E91C68"/>
    <w:rsid w:val="00E92BFE"/>
    <w:rsid w:val="00E9318A"/>
    <w:rsid w:val="00E93A86"/>
    <w:rsid w:val="00E93B2D"/>
    <w:rsid w:val="00E94E47"/>
    <w:rsid w:val="00E959E1"/>
    <w:rsid w:val="00E95AB2"/>
    <w:rsid w:val="00E95FC5"/>
    <w:rsid w:val="00E963A0"/>
    <w:rsid w:val="00E96E59"/>
    <w:rsid w:val="00E96EA5"/>
    <w:rsid w:val="00EA01DF"/>
    <w:rsid w:val="00EA146D"/>
    <w:rsid w:val="00EA1C15"/>
    <w:rsid w:val="00EA2183"/>
    <w:rsid w:val="00EA2652"/>
    <w:rsid w:val="00EA2D65"/>
    <w:rsid w:val="00EA3ADE"/>
    <w:rsid w:val="00EA60F8"/>
    <w:rsid w:val="00EA6943"/>
    <w:rsid w:val="00EA752F"/>
    <w:rsid w:val="00EA7807"/>
    <w:rsid w:val="00EA79BC"/>
    <w:rsid w:val="00EA7BC2"/>
    <w:rsid w:val="00EA7D74"/>
    <w:rsid w:val="00EB4706"/>
    <w:rsid w:val="00EB6AE6"/>
    <w:rsid w:val="00EB794E"/>
    <w:rsid w:val="00EB7B22"/>
    <w:rsid w:val="00EB7B90"/>
    <w:rsid w:val="00EC085F"/>
    <w:rsid w:val="00EC0DEA"/>
    <w:rsid w:val="00EC1623"/>
    <w:rsid w:val="00EC29C0"/>
    <w:rsid w:val="00EC2B53"/>
    <w:rsid w:val="00EC2C7E"/>
    <w:rsid w:val="00EC384D"/>
    <w:rsid w:val="00EC5E0B"/>
    <w:rsid w:val="00EC5EF9"/>
    <w:rsid w:val="00EC61B9"/>
    <w:rsid w:val="00EC62BB"/>
    <w:rsid w:val="00EC6DB4"/>
    <w:rsid w:val="00EC72B2"/>
    <w:rsid w:val="00EC792D"/>
    <w:rsid w:val="00EC7E43"/>
    <w:rsid w:val="00ED03BE"/>
    <w:rsid w:val="00ED137B"/>
    <w:rsid w:val="00ED1C2D"/>
    <w:rsid w:val="00ED2C2D"/>
    <w:rsid w:val="00ED2D1E"/>
    <w:rsid w:val="00ED2E27"/>
    <w:rsid w:val="00ED31FF"/>
    <w:rsid w:val="00ED3477"/>
    <w:rsid w:val="00ED37EF"/>
    <w:rsid w:val="00ED57DD"/>
    <w:rsid w:val="00ED67C4"/>
    <w:rsid w:val="00ED6FDB"/>
    <w:rsid w:val="00ED7426"/>
    <w:rsid w:val="00ED7847"/>
    <w:rsid w:val="00EE0C55"/>
    <w:rsid w:val="00EE0E78"/>
    <w:rsid w:val="00EE1DDB"/>
    <w:rsid w:val="00EE2DBA"/>
    <w:rsid w:val="00EE3433"/>
    <w:rsid w:val="00EE3D1E"/>
    <w:rsid w:val="00EE48FB"/>
    <w:rsid w:val="00EE524A"/>
    <w:rsid w:val="00EE53F4"/>
    <w:rsid w:val="00EE5619"/>
    <w:rsid w:val="00EE64DA"/>
    <w:rsid w:val="00EE6FCF"/>
    <w:rsid w:val="00EF013D"/>
    <w:rsid w:val="00EF06D3"/>
    <w:rsid w:val="00EF154F"/>
    <w:rsid w:val="00EF1BC9"/>
    <w:rsid w:val="00EF3767"/>
    <w:rsid w:val="00EF3864"/>
    <w:rsid w:val="00EF39E7"/>
    <w:rsid w:val="00EF3F15"/>
    <w:rsid w:val="00EF3F25"/>
    <w:rsid w:val="00EF55D1"/>
    <w:rsid w:val="00EF67FD"/>
    <w:rsid w:val="00EF72CF"/>
    <w:rsid w:val="00EF7786"/>
    <w:rsid w:val="00EF7BB0"/>
    <w:rsid w:val="00EF7FB7"/>
    <w:rsid w:val="00F00644"/>
    <w:rsid w:val="00F00DEA"/>
    <w:rsid w:val="00F01A31"/>
    <w:rsid w:val="00F02193"/>
    <w:rsid w:val="00F027CF"/>
    <w:rsid w:val="00F0286B"/>
    <w:rsid w:val="00F03F11"/>
    <w:rsid w:val="00F04507"/>
    <w:rsid w:val="00F04541"/>
    <w:rsid w:val="00F04C07"/>
    <w:rsid w:val="00F05309"/>
    <w:rsid w:val="00F0590B"/>
    <w:rsid w:val="00F10BA7"/>
    <w:rsid w:val="00F10D4A"/>
    <w:rsid w:val="00F1216E"/>
    <w:rsid w:val="00F12E39"/>
    <w:rsid w:val="00F133DB"/>
    <w:rsid w:val="00F13B96"/>
    <w:rsid w:val="00F140F9"/>
    <w:rsid w:val="00F14151"/>
    <w:rsid w:val="00F1415D"/>
    <w:rsid w:val="00F16C59"/>
    <w:rsid w:val="00F17B83"/>
    <w:rsid w:val="00F2153C"/>
    <w:rsid w:val="00F21E4B"/>
    <w:rsid w:val="00F22459"/>
    <w:rsid w:val="00F2269F"/>
    <w:rsid w:val="00F229AF"/>
    <w:rsid w:val="00F22F9B"/>
    <w:rsid w:val="00F235A1"/>
    <w:rsid w:val="00F24791"/>
    <w:rsid w:val="00F25724"/>
    <w:rsid w:val="00F2578D"/>
    <w:rsid w:val="00F257A5"/>
    <w:rsid w:val="00F25B0E"/>
    <w:rsid w:val="00F2623B"/>
    <w:rsid w:val="00F27774"/>
    <w:rsid w:val="00F30A6C"/>
    <w:rsid w:val="00F30AF7"/>
    <w:rsid w:val="00F32313"/>
    <w:rsid w:val="00F32A3F"/>
    <w:rsid w:val="00F3402B"/>
    <w:rsid w:val="00F341F0"/>
    <w:rsid w:val="00F34885"/>
    <w:rsid w:val="00F34ECF"/>
    <w:rsid w:val="00F355EE"/>
    <w:rsid w:val="00F3581C"/>
    <w:rsid w:val="00F40BB5"/>
    <w:rsid w:val="00F412F3"/>
    <w:rsid w:val="00F416B5"/>
    <w:rsid w:val="00F42389"/>
    <w:rsid w:val="00F42C96"/>
    <w:rsid w:val="00F43A57"/>
    <w:rsid w:val="00F463D8"/>
    <w:rsid w:val="00F46B54"/>
    <w:rsid w:val="00F474EA"/>
    <w:rsid w:val="00F47EFF"/>
    <w:rsid w:val="00F50362"/>
    <w:rsid w:val="00F50E43"/>
    <w:rsid w:val="00F50F1C"/>
    <w:rsid w:val="00F511F2"/>
    <w:rsid w:val="00F51552"/>
    <w:rsid w:val="00F517D5"/>
    <w:rsid w:val="00F53134"/>
    <w:rsid w:val="00F53B99"/>
    <w:rsid w:val="00F53F22"/>
    <w:rsid w:val="00F559D8"/>
    <w:rsid w:val="00F5728C"/>
    <w:rsid w:val="00F60028"/>
    <w:rsid w:val="00F60FAD"/>
    <w:rsid w:val="00F6110D"/>
    <w:rsid w:val="00F61C17"/>
    <w:rsid w:val="00F62A89"/>
    <w:rsid w:val="00F62F69"/>
    <w:rsid w:val="00F63980"/>
    <w:rsid w:val="00F640D8"/>
    <w:rsid w:val="00F64146"/>
    <w:rsid w:val="00F66360"/>
    <w:rsid w:val="00F672AC"/>
    <w:rsid w:val="00F70A02"/>
    <w:rsid w:val="00F71023"/>
    <w:rsid w:val="00F717F8"/>
    <w:rsid w:val="00F71C67"/>
    <w:rsid w:val="00F72855"/>
    <w:rsid w:val="00F731D8"/>
    <w:rsid w:val="00F74366"/>
    <w:rsid w:val="00F764F4"/>
    <w:rsid w:val="00F766C3"/>
    <w:rsid w:val="00F76BAB"/>
    <w:rsid w:val="00F8164D"/>
    <w:rsid w:val="00F81694"/>
    <w:rsid w:val="00F81827"/>
    <w:rsid w:val="00F81F6E"/>
    <w:rsid w:val="00F833CC"/>
    <w:rsid w:val="00F83A9E"/>
    <w:rsid w:val="00F83FCA"/>
    <w:rsid w:val="00F842A5"/>
    <w:rsid w:val="00F85269"/>
    <w:rsid w:val="00F85C50"/>
    <w:rsid w:val="00F86420"/>
    <w:rsid w:val="00F86575"/>
    <w:rsid w:val="00F8677E"/>
    <w:rsid w:val="00F900CD"/>
    <w:rsid w:val="00F91052"/>
    <w:rsid w:val="00F91A4F"/>
    <w:rsid w:val="00F948FF"/>
    <w:rsid w:val="00F951CF"/>
    <w:rsid w:val="00F968F4"/>
    <w:rsid w:val="00F9742D"/>
    <w:rsid w:val="00F97A89"/>
    <w:rsid w:val="00FA0C6F"/>
    <w:rsid w:val="00FA13B1"/>
    <w:rsid w:val="00FA15D2"/>
    <w:rsid w:val="00FA21D9"/>
    <w:rsid w:val="00FA344E"/>
    <w:rsid w:val="00FA408B"/>
    <w:rsid w:val="00FA452E"/>
    <w:rsid w:val="00FA4870"/>
    <w:rsid w:val="00FA5BAE"/>
    <w:rsid w:val="00FB0524"/>
    <w:rsid w:val="00FB071C"/>
    <w:rsid w:val="00FB09F7"/>
    <w:rsid w:val="00FB1252"/>
    <w:rsid w:val="00FB1A85"/>
    <w:rsid w:val="00FB2407"/>
    <w:rsid w:val="00FB247C"/>
    <w:rsid w:val="00FB59CB"/>
    <w:rsid w:val="00FB6CBE"/>
    <w:rsid w:val="00FC0A06"/>
    <w:rsid w:val="00FC43FA"/>
    <w:rsid w:val="00FC4839"/>
    <w:rsid w:val="00FC5098"/>
    <w:rsid w:val="00FC51D0"/>
    <w:rsid w:val="00FC63DB"/>
    <w:rsid w:val="00FC64F9"/>
    <w:rsid w:val="00FC7205"/>
    <w:rsid w:val="00FD17D7"/>
    <w:rsid w:val="00FD20F4"/>
    <w:rsid w:val="00FD22B5"/>
    <w:rsid w:val="00FD27EA"/>
    <w:rsid w:val="00FD2B78"/>
    <w:rsid w:val="00FD2FE6"/>
    <w:rsid w:val="00FD3C85"/>
    <w:rsid w:val="00FD3DA2"/>
    <w:rsid w:val="00FD3F22"/>
    <w:rsid w:val="00FD42B1"/>
    <w:rsid w:val="00FD645F"/>
    <w:rsid w:val="00FD690E"/>
    <w:rsid w:val="00FD6C6E"/>
    <w:rsid w:val="00FE0760"/>
    <w:rsid w:val="00FE1906"/>
    <w:rsid w:val="00FE2362"/>
    <w:rsid w:val="00FE280E"/>
    <w:rsid w:val="00FE2C87"/>
    <w:rsid w:val="00FE373E"/>
    <w:rsid w:val="00FE69EE"/>
    <w:rsid w:val="00FF1B82"/>
    <w:rsid w:val="00FF28F0"/>
    <w:rsid w:val="00FF2D8D"/>
    <w:rsid w:val="00FF3451"/>
    <w:rsid w:val="00FF4955"/>
    <w:rsid w:val="00FF51F8"/>
    <w:rsid w:val="00FF674C"/>
    <w:rsid w:val="00FF7735"/>
    <w:rsid w:val="00FF7B32"/>
    <w:rsid w:val="01CA4C13"/>
    <w:rsid w:val="01EFCE9A"/>
    <w:rsid w:val="02FF690B"/>
    <w:rsid w:val="034828F2"/>
    <w:rsid w:val="037C71EA"/>
    <w:rsid w:val="03A4BA6F"/>
    <w:rsid w:val="04967316"/>
    <w:rsid w:val="04CC55D9"/>
    <w:rsid w:val="05030810"/>
    <w:rsid w:val="0611A449"/>
    <w:rsid w:val="070823FB"/>
    <w:rsid w:val="070AFF99"/>
    <w:rsid w:val="0717EB4E"/>
    <w:rsid w:val="080483AE"/>
    <w:rsid w:val="089312E1"/>
    <w:rsid w:val="08A587F3"/>
    <w:rsid w:val="08BA2D29"/>
    <w:rsid w:val="08CA9EB2"/>
    <w:rsid w:val="08D9917A"/>
    <w:rsid w:val="09C0EB93"/>
    <w:rsid w:val="0BDE1AC5"/>
    <w:rsid w:val="0C5EF737"/>
    <w:rsid w:val="0CAB760A"/>
    <w:rsid w:val="0CDFFB70"/>
    <w:rsid w:val="0D4BAC6F"/>
    <w:rsid w:val="0DF3D72C"/>
    <w:rsid w:val="0EDC5862"/>
    <w:rsid w:val="0FB27AA9"/>
    <w:rsid w:val="0FDA15DF"/>
    <w:rsid w:val="1066882E"/>
    <w:rsid w:val="127AC97C"/>
    <w:rsid w:val="13976B71"/>
    <w:rsid w:val="13A90578"/>
    <w:rsid w:val="1474C88E"/>
    <w:rsid w:val="151580E9"/>
    <w:rsid w:val="16A535FD"/>
    <w:rsid w:val="16E8CC08"/>
    <w:rsid w:val="1704B029"/>
    <w:rsid w:val="1746B2BB"/>
    <w:rsid w:val="178A550D"/>
    <w:rsid w:val="1804DA99"/>
    <w:rsid w:val="18432EE2"/>
    <w:rsid w:val="185D65FB"/>
    <w:rsid w:val="18AFD383"/>
    <w:rsid w:val="18ED43E3"/>
    <w:rsid w:val="1977306C"/>
    <w:rsid w:val="19C5C6D4"/>
    <w:rsid w:val="19C9E618"/>
    <w:rsid w:val="1B7F6598"/>
    <w:rsid w:val="1BBBB2A5"/>
    <w:rsid w:val="1C03F552"/>
    <w:rsid w:val="1C10512A"/>
    <w:rsid w:val="1CB819B2"/>
    <w:rsid w:val="1CE35694"/>
    <w:rsid w:val="1D70FBA2"/>
    <w:rsid w:val="1E2B46CC"/>
    <w:rsid w:val="1E642DF4"/>
    <w:rsid w:val="1EFD2671"/>
    <w:rsid w:val="1F178D23"/>
    <w:rsid w:val="1F3EC68F"/>
    <w:rsid w:val="1F3FC548"/>
    <w:rsid w:val="1F7C4EE4"/>
    <w:rsid w:val="1F920597"/>
    <w:rsid w:val="1FD83F46"/>
    <w:rsid w:val="21FB40EB"/>
    <w:rsid w:val="224AFDB9"/>
    <w:rsid w:val="23AFE753"/>
    <w:rsid w:val="2401314B"/>
    <w:rsid w:val="24111832"/>
    <w:rsid w:val="247AADA0"/>
    <w:rsid w:val="26FB51EF"/>
    <w:rsid w:val="272BB4BB"/>
    <w:rsid w:val="28D4D53F"/>
    <w:rsid w:val="28EE5ACD"/>
    <w:rsid w:val="29058B9F"/>
    <w:rsid w:val="29CDAF74"/>
    <w:rsid w:val="2AE0AC96"/>
    <w:rsid w:val="2C13666D"/>
    <w:rsid w:val="2C1BEA70"/>
    <w:rsid w:val="2E6DAA12"/>
    <w:rsid w:val="2EE22871"/>
    <w:rsid w:val="2EE9B055"/>
    <w:rsid w:val="2FBCFBA0"/>
    <w:rsid w:val="2FD3920D"/>
    <w:rsid w:val="312413CA"/>
    <w:rsid w:val="314A1080"/>
    <w:rsid w:val="31A9DF3B"/>
    <w:rsid w:val="31F2DD78"/>
    <w:rsid w:val="323A2149"/>
    <w:rsid w:val="327E6EC8"/>
    <w:rsid w:val="32B16BDB"/>
    <w:rsid w:val="32DE368C"/>
    <w:rsid w:val="33C3812F"/>
    <w:rsid w:val="348A5658"/>
    <w:rsid w:val="34AF23CB"/>
    <w:rsid w:val="35738B5C"/>
    <w:rsid w:val="36277179"/>
    <w:rsid w:val="370C89D1"/>
    <w:rsid w:val="371FB8C0"/>
    <w:rsid w:val="372915CA"/>
    <w:rsid w:val="3792592F"/>
    <w:rsid w:val="37BC0E76"/>
    <w:rsid w:val="37CF8FA1"/>
    <w:rsid w:val="37E692B7"/>
    <w:rsid w:val="37ED0F9B"/>
    <w:rsid w:val="382DB9A1"/>
    <w:rsid w:val="395065F2"/>
    <w:rsid w:val="399A8FDA"/>
    <w:rsid w:val="3A9028D3"/>
    <w:rsid w:val="3B878052"/>
    <w:rsid w:val="3BAEDEF2"/>
    <w:rsid w:val="3C5CD895"/>
    <w:rsid w:val="3C7EC4D9"/>
    <w:rsid w:val="3D3947A7"/>
    <w:rsid w:val="3D6A2ADC"/>
    <w:rsid w:val="3D844DAA"/>
    <w:rsid w:val="3E374F09"/>
    <w:rsid w:val="3E3DBCAC"/>
    <w:rsid w:val="3E5F21BE"/>
    <w:rsid w:val="3F8047A3"/>
    <w:rsid w:val="40476943"/>
    <w:rsid w:val="404B2DFA"/>
    <w:rsid w:val="41474F1E"/>
    <w:rsid w:val="4157292F"/>
    <w:rsid w:val="4194053C"/>
    <w:rsid w:val="41B3E6BA"/>
    <w:rsid w:val="42832B5C"/>
    <w:rsid w:val="43341AD5"/>
    <w:rsid w:val="4348C6AF"/>
    <w:rsid w:val="437AE0FD"/>
    <w:rsid w:val="43978448"/>
    <w:rsid w:val="43A9A1BF"/>
    <w:rsid w:val="43BABB20"/>
    <w:rsid w:val="441EAC35"/>
    <w:rsid w:val="44263A15"/>
    <w:rsid w:val="449089E8"/>
    <w:rsid w:val="44A6EF6C"/>
    <w:rsid w:val="44AC5209"/>
    <w:rsid w:val="457C121E"/>
    <w:rsid w:val="460B6C95"/>
    <w:rsid w:val="461D1E21"/>
    <w:rsid w:val="462AEE99"/>
    <w:rsid w:val="476BEEBD"/>
    <w:rsid w:val="47A87731"/>
    <w:rsid w:val="480BC649"/>
    <w:rsid w:val="4841AD70"/>
    <w:rsid w:val="4AB4AB8D"/>
    <w:rsid w:val="4AEB6445"/>
    <w:rsid w:val="4B119AC8"/>
    <w:rsid w:val="4B27C548"/>
    <w:rsid w:val="4B47B6AE"/>
    <w:rsid w:val="4CE483E1"/>
    <w:rsid w:val="4CED449A"/>
    <w:rsid w:val="4D93B48C"/>
    <w:rsid w:val="4DAA23EE"/>
    <w:rsid w:val="4E5878D0"/>
    <w:rsid w:val="4E8B738E"/>
    <w:rsid w:val="4F3709C9"/>
    <w:rsid w:val="4F790DB5"/>
    <w:rsid w:val="4F9A08F7"/>
    <w:rsid w:val="502C73BB"/>
    <w:rsid w:val="516B5DA1"/>
    <w:rsid w:val="51B2A214"/>
    <w:rsid w:val="5215ACBE"/>
    <w:rsid w:val="523BC65C"/>
    <w:rsid w:val="529D7C15"/>
    <w:rsid w:val="5347EA8D"/>
    <w:rsid w:val="537BBC8C"/>
    <w:rsid w:val="539A82BC"/>
    <w:rsid w:val="53C8E0AF"/>
    <w:rsid w:val="540D1F05"/>
    <w:rsid w:val="5437BEA7"/>
    <w:rsid w:val="5575F7CF"/>
    <w:rsid w:val="56BA3A71"/>
    <w:rsid w:val="56DAB219"/>
    <w:rsid w:val="574779C5"/>
    <w:rsid w:val="599A6F44"/>
    <w:rsid w:val="59A55C60"/>
    <w:rsid w:val="59BB5C94"/>
    <w:rsid w:val="5A69216E"/>
    <w:rsid w:val="5B1DA8E6"/>
    <w:rsid w:val="5B49B349"/>
    <w:rsid w:val="5B59262E"/>
    <w:rsid w:val="5CA2E0DD"/>
    <w:rsid w:val="5D44B21F"/>
    <w:rsid w:val="5E98ADB3"/>
    <w:rsid w:val="5EBBF9AD"/>
    <w:rsid w:val="5F031A40"/>
    <w:rsid w:val="5FA897F8"/>
    <w:rsid w:val="5FB6B169"/>
    <w:rsid w:val="5FC188EB"/>
    <w:rsid w:val="6066365B"/>
    <w:rsid w:val="60A7BD47"/>
    <w:rsid w:val="60BA0A89"/>
    <w:rsid w:val="61566D79"/>
    <w:rsid w:val="61E31CE3"/>
    <w:rsid w:val="621A435A"/>
    <w:rsid w:val="6240B517"/>
    <w:rsid w:val="62DF4263"/>
    <w:rsid w:val="62F076BF"/>
    <w:rsid w:val="6329AF6F"/>
    <w:rsid w:val="634EEAFE"/>
    <w:rsid w:val="6350647B"/>
    <w:rsid w:val="63C5EDCC"/>
    <w:rsid w:val="6402928E"/>
    <w:rsid w:val="64DC902A"/>
    <w:rsid w:val="651CCF34"/>
    <w:rsid w:val="652871BA"/>
    <w:rsid w:val="6533E49A"/>
    <w:rsid w:val="6554E100"/>
    <w:rsid w:val="65839780"/>
    <w:rsid w:val="665D6DAB"/>
    <w:rsid w:val="670C0377"/>
    <w:rsid w:val="67FD11A2"/>
    <w:rsid w:val="68100889"/>
    <w:rsid w:val="6816D3D1"/>
    <w:rsid w:val="68198230"/>
    <w:rsid w:val="69F1CFD9"/>
    <w:rsid w:val="69F7C045"/>
    <w:rsid w:val="6B3DF658"/>
    <w:rsid w:val="6BA99715"/>
    <w:rsid w:val="6C4F1D66"/>
    <w:rsid w:val="6CDB7118"/>
    <w:rsid w:val="6D6AE12F"/>
    <w:rsid w:val="6DEE880E"/>
    <w:rsid w:val="6EE70429"/>
    <w:rsid w:val="6F60818F"/>
    <w:rsid w:val="701BAC1E"/>
    <w:rsid w:val="705CCC70"/>
    <w:rsid w:val="70A17B7C"/>
    <w:rsid w:val="717C496B"/>
    <w:rsid w:val="72DECE81"/>
    <w:rsid w:val="73691D65"/>
    <w:rsid w:val="74366B79"/>
    <w:rsid w:val="748D0133"/>
    <w:rsid w:val="74ACD026"/>
    <w:rsid w:val="74E3A9AE"/>
    <w:rsid w:val="75815B9E"/>
    <w:rsid w:val="75B228D9"/>
    <w:rsid w:val="75B35201"/>
    <w:rsid w:val="76BCEB38"/>
    <w:rsid w:val="7736223E"/>
    <w:rsid w:val="778C2CC6"/>
    <w:rsid w:val="7798D416"/>
    <w:rsid w:val="786FFF53"/>
    <w:rsid w:val="787F5E09"/>
    <w:rsid w:val="79141F9E"/>
    <w:rsid w:val="7939ECE0"/>
    <w:rsid w:val="793A0247"/>
    <w:rsid w:val="7A0D46CF"/>
    <w:rsid w:val="7A0EF30D"/>
    <w:rsid w:val="7A44F45E"/>
    <w:rsid w:val="7A744E12"/>
    <w:rsid w:val="7A76846C"/>
    <w:rsid w:val="7A8697F2"/>
    <w:rsid w:val="7B56287E"/>
    <w:rsid w:val="7BA51B21"/>
    <w:rsid w:val="7BB196EC"/>
    <w:rsid w:val="7BE74FE9"/>
    <w:rsid w:val="7CAF750D"/>
    <w:rsid w:val="7CFFBECC"/>
    <w:rsid w:val="7D3F4280"/>
    <w:rsid w:val="7DBD08E8"/>
    <w:rsid w:val="7E3F3C11"/>
    <w:rsid w:val="7E56B822"/>
    <w:rsid w:val="7EB1ECD8"/>
    <w:rsid w:val="7F6DCC4B"/>
    <w:rsid w:val="7FBAF3A9"/>
    <w:rsid w:val="7FD909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C6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PM body text"/>
    <w:qFormat/>
    <w:rsid w:val="005D0A65"/>
    <w:pPr>
      <w:spacing w:after="240" w:line="276" w:lineRule="auto"/>
      <w:jc w:val="both"/>
    </w:pPr>
    <w:rPr>
      <w:rFonts w:cstheme="minorHAnsi"/>
      <w:sz w:val="22"/>
      <w:szCs w:val="22"/>
      <w:lang w:val="en-GB" w:eastAsia="en-GB"/>
    </w:rPr>
  </w:style>
  <w:style w:type="paragraph" w:styleId="Heading1">
    <w:name w:val="heading 1"/>
    <w:basedOn w:val="Normal"/>
    <w:next w:val="Normal"/>
    <w:link w:val="Heading1Char"/>
    <w:uiPriority w:val="9"/>
    <w:qFormat/>
    <w:rsid w:val="009B6F4E"/>
    <w:pPr>
      <w:keepNext/>
      <w:pageBreakBefore/>
      <w:pBdr>
        <w:top w:val="single" w:sz="48" w:space="1" w:color="45A7E1" w:themeColor="accent1"/>
      </w:pBdr>
      <w:spacing w:line="240" w:lineRule="auto"/>
      <w:outlineLvl w:val="0"/>
    </w:pPr>
    <w:rPr>
      <w:rFonts w:ascii="Poppins" w:eastAsia="Times New Roman" w:hAnsi="Poppins" w:cs="Poppins"/>
      <w:b/>
      <w:color w:val="0B1F51"/>
      <w:sz w:val="40"/>
      <w:szCs w:val="20"/>
    </w:rPr>
  </w:style>
  <w:style w:type="paragraph" w:styleId="Heading2">
    <w:name w:val="heading 2"/>
    <w:basedOn w:val="Normal"/>
    <w:next w:val="Normal"/>
    <w:link w:val="Heading2Char"/>
    <w:uiPriority w:val="9"/>
    <w:unhideWhenUsed/>
    <w:qFormat/>
    <w:rsid w:val="00D014D0"/>
    <w:pPr>
      <w:spacing w:before="240" w:line="240" w:lineRule="auto"/>
      <w:outlineLvl w:val="1"/>
    </w:pPr>
    <w:rPr>
      <w:rFonts w:ascii="Poppins" w:hAnsi="Poppins" w:cs="Poppins"/>
      <w:b/>
      <w:color w:val="0B1F51"/>
      <w:sz w:val="32"/>
      <w:szCs w:val="24"/>
    </w:rPr>
  </w:style>
  <w:style w:type="paragraph" w:styleId="Heading3">
    <w:name w:val="heading 3"/>
    <w:basedOn w:val="Normal"/>
    <w:next w:val="Normal"/>
    <w:link w:val="Heading3Char"/>
    <w:uiPriority w:val="9"/>
    <w:unhideWhenUsed/>
    <w:qFormat/>
    <w:rsid w:val="00BA5861"/>
    <w:pPr>
      <w:keepNext/>
      <w:keepLines/>
      <w:spacing w:line="240" w:lineRule="auto"/>
      <w:outlineLvl w:val="2"/>
    </w:pPr>
    <w:rPr>
      <w:rFonts w:ascii="Poppins" w:eastAsia="Helvetica" w:hAnsi="Poppins" w:cs="Poppins"/>
      <w:b/>
      <w:color w:val="0B1F51"/>
      <w:sz w:val="28"/>
      <w:szCs w:val="20"/>
    </w:rPr>
  </w:style>
  <w:style w:type="paragraph" w:styleId="Heading4">
    <w:name w:val="heading 4"/>
    <w:basedOn w:val="Normal"/>
    <w:next w:val="Normal"/>
    <w:link w:val="Heading4Char"/>
    <w:uiPriority w:val="9"/>
    <w:unhideWhenUsed/>
    <w:qFormat/>
    <w:rsid w:val="00D014D0"/>
    <w:pPr>
      <w:keepNext/>
      <w:keepLines/>
      <w:spacing w:before="240" w:line="240" w:lineRule="auto"/>
      <w:outlineLvl w:val="3"/>
    </w:pPr>
    <w:rPr>
      <w:rFonts w:ascii="Poppins" w:eastAsia="Helvetica" w:hAnsi="Poppins" w:cs="Poppins"/>
      <w:b/>
      <w:bCs/>
      <w:iCs/>
      <w:color w:val="0B1F51"/>
      <w:sz w:val="24"/>
    </w:rPr>
  </w:style>
  <w:style w:type="paragraph" w:styleId="Heading5">
    <w:name w:val="heading 5"/>
    <w:basedOn w:val="Heading4"/>
    <w:next w:val="Normal"/>
    <w:link w:val="Heading5Char"/>
    <w:uiPriority w:val="9"/>
    <w:unhideWhenUsed/>
    <w:qFormat/>
    <w:rsid w:val="00985DC9"/>
    <w:pPr>
      <w:outlineLvl w:val="4"/>
    </w:pPr>
    <w:rPr>
      <w:rFonts w:ascii="Poppins Light" w:hAnsi="Poppins Light"/>
      <w:sz w:val="22"/>
    </w:rPr>
  </w:style>
  <w:style w:type="paragraph" w:styleId="Heading6">
    <w:name w:val="heading 6"/>
    <w:basedOn w:val="Heading4"/>
    <w:next w:val="Normal"/>
    <w:link w:val="Heading6Char"/>
    <w:uiPriority w:val="9"/>
    <w:unhideWhenUsed/>
    <w:qFormat/>
    <w:rsid w:val="007865ED"/>
    <w:pPr>
      <w:outlineLvl w:val="5"/>
    </w:pPr>
  </w:style>
  <w:style w:type="paragraph" w:styleId="Heading7">
    <w:name w:val="heading 7"/>
    <w:basedOn w:val="Heading4"/>
    <w:next w:val="Normal"/>
    <w:link w:val="Heading7Char"/>
    <w:uiPriority w:val="9"/>
    <w:unhideWhenUsed/>
    <w:qFormat/>
    <w:rsid w:val="007865ED"/>
    <w:pPr>
      <w:outlineLvl w:val="6"/>
    </w:pPr>
  </w:style>
  <w:style w:type="paragraph" w:styleId="Heading8">
    <w:name w:val="heading 8"/>
    <w:basedOn w:val="Heading4"/>
    <w:next w:val="Normal"/>
    <w:link w:val="Heading8Char"/>
    <w:uiPriority w:val="9"/>
    <w:unhideWhenUsed/>
    <w:qFormat/>
    <w:rsid w:val="007865ED"/>
    <w:pPr>
      <w:outlineLvl w:val="7"/>
    </w:pPr>
  </w:style>
  <w:style w:type="paragraph" w:styleId="Heading9">
    <w:name w:val="heading 9"/>
    <w:basedOn w:val="Heading4"/>
    <w:next w:val="Normal"/>
    <w:link w:val="Heading9Char"/>
    <w:uiPriority w:val="9"/>
    <w:unhideWhenUsed/>
    <w:qFormat/>
    <w:rsid w:val="0078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405"/>
    <w:pPr>
      <w:tabs>
        <w:tab w:val="center" w:pos="4513"/>
        <w:tab w:val="right" w:pos="9026"/>
      </w:tabs>
      <w:spacing w:line="240" w:lineRule="auto"/>
    </w:pPr>
    <w:rPr>
      <w:noProof/>
      <w:sz w:val="18"/>
      <w:szCs w:val="18"/>
    </w:rPr>
  </w:style>
  <w:style w:type="table" w:customStyle="1" w:styleId="OPMTable">
    <w:name w:val="OPM Table"/>
    <w:basedOn w:val="TableNormal"/>
    <w:uiPriority w:val="99"/>
    <w:rsid w:val="006D67B1"/>
    <w:rPr>
      <w:sz w:val="22"/>
    </w:rPr>
    <w:tblPr/>
    <w:tcPr>
      <w:shd w:val="clear" w:color="auto" w:fill="DBE4ED"/>
      <w:tcMar>
        <w:top w:w="57" w:type="dxa"/>
        <w:left w:w="170" w:type="dxa"/>
        <w:bottom w:w="57" w:type="dxa"/>
        <w:right w:w="170" w:type="dxa"/>
      </w:tcMar>
    </w:tcPr>
    <w:tblStylePr w:type="firstRow">
      <w:rPr>
        <w:rFonts w:ascii="Arial" w:hAnsi="Arial"/>
        <w:color w:val="45A7E1" w:themeColor="accent1"/>
        <w:sz w:val="22"/>
      </w:rPr>
      <w:tblPr/>
      <w:tcPr>
        <w:tcBorders>
          <w:top w:val="nil"/>
          <w:left w:val="nil"/>
          <w:bottom w:val="single" w:sz="4" w:space="0" w:color="45A7E1" w:themeColor="accent1"/>
          <w:right w:val="nil"/>
          <w:insideH w:val="nil"/>
          <w:insideV w:val="nil"/>
          <w:tl2br w:val="nil"/>
          <w:tr2bl w:val="nil"/>
        </w:tcBorders>
        <w:shd w:val="clear" w:color="auto" w:fill="DAE4EC" w:themeFill="background2"/>
      </w:tcPr>
    </w:tblStylePr>
  </w:style>
  <w:style w:type="paragraph" w:customStyle="1" w:styleId="BulletList">
    <w:name w:val="Bullet List"/>
    <w:basedOn w:val="Normal"/>
    <w:qFormat/>
    <w:rsid w:val="00CB1721"/>
    <w:pPr>
      <w:numPr>
        <w:numId w:val="1"/>
      </w:numPr>
      <w:ind w:left="340" w:hanging="340"/>
    </w:pPr>
  </w:style>
  <w:style w:type="character" w:styleId="PageNumber">
    <w:name w:val="page number"/>
    <w:basedOn w:val="DefaultParagraphFont"/>
    <w:uiPriority w:val="99"/>
    <w:semiHidden/>
    <w:unhideWhenUsed/>
    <w:rsid w:val="00991A6A"/>
  </w:style>
  <w:style w:type="paragraph" w:styleId="NormalWeb">
    <w:name w:val="Normal (Web)"/>
    <w:basedOn w:val="Normal"/>
    <w:uiPriority w:val="99"/>
    <w:semiHidden/>
    <w:unhideWhenUsed/>
    <w:rsid w:val="009B2103"/>
    <w:pPr>
      <w:spacing w:before="100" w:beforeAutospacing="1" w:after="100" w:afterAutospacing="1" w:line="240" w:lineRule="auto"/>
    </w:pPr>
    <w:rPr>
      <w:rFonts w:ascii="Times New Roman" w:hAnsi="Times New Roman" w:cs="Times New Roman"/>
      <w:sz w:val="24"/>
      <w:szCs w:val="24"/>
    </w:rPr>
  </w:style>
  <w:style w:type="paragraph" w:styleId="TOC5">
    <w:name w:val="toc 5"/>
    <w:basedOn w:val="Normal"/>
    <w:next w:val="Normal"/>
    <w:autoRedefine/>
    <w:uiPriority w:val="39"/>
    <w:unhideWhenUsed/>
    <w:rsid w:val="00475405"/>
    <w:pPr>
      <w:spacing w:after="0"/>
      <w:ind w:left="880"/>
      <w:jc w:val="left"/>
    </w:pPr>
    <w:rPr>
      <w:sz w:val="20"/>
      <w:szCs w:val="20"/>
    </w:rPr>
  </w:style>
  <w:style w:type="character" w:customStyle="1" w:styleId="Heading5Char">
    <w:name w:val="Heading 5 Char"/>
    <w:basedOn w:val="DefaultParagraphFont"/>
    <w:link w:val="Heading5"/>
    <w:uiPriority w:val="9"/>
    <w:rsid w:val="00985DC9"/>
    <w:rPr>
      <w:rFonts w:ascii="Poppins Light" w:eastAsia="Helvetica" w:hAnsi="Poppins Light" w:cs="Poppins"/>
      <w:iCs/>
      <w:color w:val="0B1F51"/>
      <w:sz w:val="22"/>
      <w:szCs w:val="22"/>
      <w:lang w:val="en-GB" w:eastAsia="en-GB"/>
    </w:rPr>
  </w:style>
  <w:style w:type="character" w:customStyle="1" w:styleId="Heading3Char">
    <w:name w:val="Heading 3 Char"/>
    <w:basedOn w:val="DefaultParagraphFont"/>
    <w:link w:val="Heading3"/>
    <w:uiPriority w:val="9"/>
    <w:rsid w:val="00505FD9"/>
    <w:rPr>
      <w:rFonts w:ascii="Poppins" w:eastAsia="Helvetica" w:hAnsi="Poppins" w:cs="Poppins"/>
      <w:b/>
      <w:color w:val="0B1F51"/>
      <w:sz w:val="28"/>
      <w:szCs w:val="20"/>
      <w:lang w:val="en-GB" w:eastAsia="en-GB"/>
    </w:rPr>
  </w:style>
  <w:style w:type="character" w:customStyle="1" w:styleId="Heading1Char">
    <w:name w:val="Heading 1 Char"/>
    <w:basedOn w:val="DefaultParagraphFont"/>
    <w:link w:val="Heading1"/>
    <w:uiPriority w:val="9"/>
    <w:rsid w:val="009B6F4E"/>
    <w:rPr>
      <w:rFonts w:ascii="Poppins" w:eastAsia="Times New Roman" w:hAnsi="Poppins" w:cs="Poppins"/>
      <w:b/>
      <w:color w:val="0B1F51"/>
      <w:sz w:val="40"/>
      <w:szCs w:val="20"/>
      <w:lang w:val="en-GB" w:eastAsia="en-GB"/>
    </w:rPr>
  </w:style>
  <w:style w:type="character" w:customStyle="1" w:styleId="Heading2Char">
    <w:name w:val="Heading 2 Char"/>
    <w:basedOn w:val="DefaultParagraphFont"/>
    <w:link w:val="Heading2"/>
    <w:uiPriority w:val="9"/>
    <w:rsid w:val="00D014D0"/>
    <w:rPr>
      <w:rFonts w:ascii="Poppins" w:hAnsi="Poppins" w:cs="Poppins"/>
      <w:b/>
      <w:color w:val="0B1F51"/>
      <w:sz w:val="32"/>
      <w:lang w:val="en-GB" w:eastAsia="en-GB"/>
    </w:rPr>
  </w:style>
  <w:style w:type="character" w:customStyle="1" w:styleId="Heading4Char">
    <w:name w:val="Heading 4 Char"/>
    <w:basedOn w:val="DefaultParagraphFont"/>
    <w:link w:val="Heading4"/>
    <w:uiPriority w:val="9"/>
    <w:rsid w:val="00D014D0"/>
    <w:rPr>
      <w:rFonts w:ascii="Poppins" w:eastAsia="Helvetica" w:hAnsi="Poppins" w:cs="Poppins"/>
      <w:b/>
      <w:bCs/>
      <w:iCs/>
      <w:color w:val="0B1F51"/>
      <w:szCs w:val="22"/>
      <w:lang w:val="en-GB" w:eastAsia="en-GB"/>
    </w:rPr>
  </w:style>
  <w:style w:type="character" w:customStyle="1" w:styleId="Heading6Char">
    <w:name w:val="Heading 6 Char"/>
    <w:basedOn w:val="DefaultParagraphFont"/>
    <w:link w:val="Heading6"/>
    <w:uiPriority w:val="9"/>
    <w:rsid w:val="007865ED"/>
    <w:rPr>
      <w:rFonts w:ascii="Poppins" w:eastAsiaTheme="majorEastAsia" w:hAnsi="Poppins" w:cstheme="majorBidi"/>
      <w:iCs/>
      <w:color w:val="0A1F50" w:themeColor="text2"/>
      <w:sz w:val="20"/>
      <w:szCs w:val="18"/>
    </w:rPr>
  </w:style>
  <w:style w:type="character" w:customStyle="1" w:styleId="Heading7Char">
    <w:name w:val="Heading 7 Char"/>
    <w:basedOn w:val="DefaultParagraphFont"/>
    <w:link w:val="Heading7"/>
    <w:uiPriority w:val="9"/>
    <w:rsid w:val="007865ED"/>
    <w:rPr>
      <w:rFonts w:ascii="Poppins" w:eastAsiaTheme="majorEastAsia" w:hAnsi="Poppins" w:cstheme="majorBidi"/>
      <w:iCs/>
      <w:color w:val="0A1F50" w:themeColor="text2"/>
      <w:sz w:val="20"/>
      <w:szCs w:val="18"/>
    </w:rPr>
  </w:style>
  <w:style w:type="character" w:customStyle="1" w:styleId="Heading8Char">
    <w:name w:val="Heading 8 Char"/>
    <w:basedOn w:val="DefaultParagraphFont"/>
    <w:link w:val="Heading8"/>
    <w:uiPriority w:val="9"/>
    <w:rsid w:val="007865ED"/>
    <w:rPr>
      <w:rFonts w:ascii="Poppins" w:eastAsiaTheme="majorEastAsia" w:hAnsi="Poppins" w:cstheme="majorBidi"/>
      <w:iCs/>
      <w:color w:val="0A1F50" w:themeColor="text2"/>
      <w:sz w:val="20"/>
      <w:szCs w:val="18"/>
    </w:rPr>
  </w:style>
  <w:style w:type="character" w:customStyle="1" w:styleId="Heading9Char">
    <w:name w:val="Heading 9 Char"/>
    <w:basedOn w:val="DefaultParagraphFont"/>
    <w:link w:val="Heading9"/>
    <w:uiPriority w:val="9"/>
    <w:rsid w:val="007865ED"/>
    <w:rPr>
      <w:rFonts w:ascii="Poppins" w:eastAsiaTheme="majorEastAsia" w:hAnsi="Poppins" w:cstheme="majorBidi"/>
      <w:iCs/>
      <w:color w:val="0A1F50" w:themeColor="text2"/>
      <w:sz w:val="20"/>
      <w:szCs w:val="18"/>
    </w:rPr>
  </w:style>
  <w:style w:type="paragraph" w:styleId="TOC6">
    <w:name w:val="toc 6"/>
    <w:basedOn w:val="Normal"/>
    <w:next w:val="Normal"/>
    <w:autoRedefine/>
    <w:uiPriority w:val="39"/>
    <w:unhideWhenUsed/>
    <w:rsid w:val="00475405"/>
    <w:pPr>
      <w:spacing w:after="0"/>
      <w:ind w:left="1100"/>
      <w:jc w:val="left"/>
    </w:pPr>
    <w:rPr>
      <w:sz w:val="20"/>
      <w:szCs w:val="20"/>
    </w:rPr>
  </w:style>
  <w:style w:type="paragraph" w:customStyle="1" w:styleId="NumberList">
    <w:name w:val="Number List"/>
    <w:basedOn w:val="Normal"/>
    <w:qFormat/>
    <w:rsid w:val="00460546"/>
    <w:pPr>
      <w:numPr>
        <w:numId w:val="2"/>
      </w:numPr>
      <w:spacing w:before="120" w:after="120"/>
    </w:pPr>
  </w:style>
  <w:style w:type="paragraph" w:styleId="TOC7">
    <w:name w:val="toc 7"/>
    <w:basedOn w:val="Normal"/>
    <w:next w:val="Normal"/>
    <w:autoRedefine/>
    <w:uiPriority w:val="39"/>
    <w:unhideWhenUsed/>
    <w:rsid w:val="00475405"/>
    <w:pPr>
      <w:spacing w:after="0"/>
      <w:ind w:left="1320"/>
      <w:jc w:val="left"/>
    </w:pPr>
    <w:rPr>
      <w:sz w:val="20"/>
      <w:szCs w:val="20"/>
    </w:rPr>
  </w:style>
  <w:style w:type="paragraph" w:styleId="TOC8">
    <w:name w:val="toc 8"/>
    <w:basedOn w:val="Normal"/>
    <w:next w:val="Normal"/>
    <w:autoRedefine/>
    <w:uiPriority w:val="39"/>
    <w:unhideWhenUsed/>
    <w:rsid w:val="00475405"/>
    <w:pPr>
      <w:spacing w:after="0"/>
      <w:ind w:left="1540"/>
      <w:jc w:val="left"/>
    </w:pPr>
    <w:rPr>
      <w:sz w:val="20"/>
      <w:szCs w:val="20"/>
    </w:rPr>
  </w:style>
  <w:style w:type="paragraph" w:styleId="FootnoteText">
    <w:name w:val="footnote text"/>
    <w:aliases w:val="IOD PARC Footnote Text,Char,ft,single space,fn,Footnote Text Char Char Char Char,FOOTNOTES,Footnote Text Char1 Char,Footnote Text Char Char Char,Footnote Text Char Char Char Char Char Char Char Char Char Char,Nbpage Moens,f,A,LM Footnote"/>
    <w:basedOn w:val="Normal"/>
    <w:link w:val="FootnoteTextChar"/>
    <w:uiPriority w:val="99"/>
    <w:unhideWhenUsed/>
    <w:qFormat/>
    <w:rsid w:val="002667FA"/>
    <w:pPr>
      <w:adjustRightInd w:val="0"/>
      <w:spacing w:after="120" w:line="240" w:lineRule="auto"/>
      <w:ind w:left="113" w:hanging="113"/>
    </w:pPr>
    <w:rPr>
      <w:sz w:val="18"/>
      <w:szCs w:val="18"/>
    </w:rPr>
  </w:style>
  <w:style w:type="character" w:customStyle="1" w:styleId="FootnoteTextChar">
    <w:name w:val="Footnote Text Char"/>
    <w:aliases w:val="IOD PARC Footnote Text Char,Char Char,ft Char,single space Char,fn Char,Footnote Text Char Char Char Char Char,FOOTNOTES Char,Footnote Text Char1 Char Char,Footnote Text Char Char Char Char1,Nbpage Moens Char,f Char,A Char"/>
    <w:basedOn w:val="DefaultParagraphFont"/>
    <w:link w:val="FootnoteText"/>
    <w:uiPriority w:val="99"/>
    <w:rsid w:val="002667FA"/>
    <w:rPr>
      <w:rFonts w:ascii="Roboto Light" w:hAnsi="Roboto Light" w:cs="Arial"/>
      <w:sz w:val="18"/>
      <w:szCs w:val="18"/>
      <w:lang w:val="en-GB" w:eastAsia="en-GB"/>
    </w:rPr>
  </w:style>
  <w:style w:type="character" w:styleId="FootnoteReference">
    <w:name w:val="footnote reference"/>
    <w:aliases w:val="ftref,16 Point,Superscript 6 Point,BVI fnr,Знак сноски 1,(NECG) Footnote Reference,fr,Footnote + Arial,10 pt,Black,Fußnotenzeichen DISS,Superscript 6 Point + 11 pt,Footnote Ref in FtNote,FnR-ANZDEC,de nota al pie,Ref,SUPERS,ftref1"/>
    <w:basedOn w:val="DefaultParagraphFont"/>
    <w:link w:val="referencianotaalpieChar"/>
    <w:uiPriority w:val="99"/>
    <w:unhideWhenUsed/>
    <w:qFormat/>
    <w:rsid w:val="00A01B67"/>
    <w:rPr>
      <w:vertAlign w:val="superscript"/>
    </w:rPr>
  </w:style>
  <w:style w:type="paragraph" w:styleId="TOC9">
    <w:name w:val="toc 9"/>
    <w:basedOn w:val="Normal"/>
    <w:next w:val="Normal"/>
    <w:autoRedefine/>
    <w:uiPriority w:val="39"/>
    <w:unhideWhenUsed/>
    <w:rsid w:val="00475405"/>
    <w:pPr>
      <w:spacing w:after="0"/>
      <w:ind w:left="1760"/>
      <w:jc w:val="left"/>
    </w:pPr>
    <w:rPr>
      <w:sz w:val="20"/>
      <w:szCs w:val="20"/>
    </w:rPr>
  </w:style>
  <w:style w:type="paragraph" w:customStyle="1" w:styleId="FigureImageTablehead">
    <w:name w:val="Figure/Image/Table head"/>
    <w:basedOn w:val="Normal"/>
    <w:next w:val="Normal"/>
    <w:qFormat/>
    <w:rsid w:val="00B9108D"/>
    <w:pPr>
      <w:spacing w:before="260" w:after="260" w:line="240" w:lineRule="auto"/>
    </w:pPr>
    <w:rPr>
      <w:b/>
      <w:color w:val="0A1F50" w:themeColor="text2"/>
    </w:rPr>
  </w:style>
  <w:style w:type="paragraph" w:customStyle="1" w:styleId="FigureImageTablesource">
    <w:name w:val="Figure/Image/Table source"/>
    <w:basedOn w:val="Normal"/>
    <w:next w:val="Normal"/>
    <w:qFormat/>
    <w:rsid w:val="001A3095"/>
    <w:pPr>
      <w:spacing w:before="120"/>
    </w:pPr>
    <w:rPr>
      <w:sz w:val="18"/>
      <w:szCs w:val="18"/>
    </w:rPr>
  </w:style>
  <w:style w:type="table" w:styleId="TableGrid">
    <w:name w:val="Table Grid"/>
    <w:aliases w:val="DPS Table Grid"/>
    <w:basedOn w:val="TableNormal"/>
    <w:uiPriority w:val="39"/>
    <w:rsid w:val="00682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Aligned">
    <w:name w:val="Table Header Left Aligned"/>
    <w:basedOn w:val="Normal"/>
    <w:qFormat/>
    <w:rsid w:val="008C7044"/>
    <w:pPr>
      <w:spacing w:before="120" w:after="120"/>
    </w:pPr>
    <w:rPr>
      <w:rFonts w:ascii="Roboto" w:hAnsi="Roboto"/>
      <w:b/>
      <w:color w:val="0A1F50" w:themeColor="text2"/>
    </w:rPr>
  </w:style>
  <w:style w:type="paragraph" w:customStyle="1" w:styleId="TableHeaderRightAligned">
    <w:name w:val="Table Header Right Aligned"/>
    <w:basedOn w:val="Normal"/>
    <w:qFormat/>
    <w:rsid w:val="00A107B8"/>
    <w:pPr>
      <w:spacing w:after="0"/>
      <w:jc w:val="right"/>
    </w:pPr>
    <w:rPr>
      <w:b/>
      <w:color w:val="0B1F51"/>
    </w:rPr>
  </w:style>
  <w:style w:type="paragraph" w:customStyle="1" w:styleId="TableBodyRightAligned">
    <w:name w:val="Table Body Right Aligned"/>
    <w:basedOn w:val="Normal"/>
    <w:qFormat/>
    <w:rsid w:val="008B3190"/>
    <w:pPr>
      <w:spacing w:after="0"/>
      <w:jc w:val="right"/>
    </w:pPr>
    <w:rPr>
      <w:color w:val="000000" w:themeColor="text1"/>
    </w:rPr>
  </w:style>
  <w:style w:type="paragraph" w:customStyle="1" w:styleId="TableBodyLeftAligned">
    <w:name w:val="Table Body Left Aligned"/>
    <w:basedOn w:val="Normal"/>
    <w:qFormat/>
    <w:rsid w:val="00460546"/>
    <w:pPr>
      <w:spacing w:before="60" w:after="60"/>
    </w:pPr>
    <w:rPr>
      <w:color w:val="000000" w:themeColor="text1"/>
    </w:rPr>
  </w:style>
  <w:style w:type="paragraph" w:styleId="Caption">
    <w:name w:val="caption"/>
    <w:basedOn w:val="Normal"/>
    <w:next w:val="Normal"/>
    <w:uiPriority w:val="35"/>
    <w:unhideWhenUsed/>
    <w:qFormat/>
    <w:rsid w:val="00E410B3"/>
    <w:pPr>
      <w:spacing w:line="240" w:lineRule="auto"/>
    </w:pPr>
    <w:rPr>
      <w:rFonts w:ascii="Roboto" w:hAnsi="Roboto"/>
      <w:b/>
      <w:iCs/>
      <w:color w:val="0B1F51"/>
      <w:sz w:val="20"/>
      <w:szCs w:val="18"/>
    </w:rPr>
  </w:style>
  <w:style w:type="paragraph" w:styleId="TOC1">
    <w:name w:val="toc 1"/>
    <w:basedOn w:val="Normal"/>
    <w:next w:val="Normal"/>
    <w:autoRedefine/>
    <w:uiPriority w:val="39"/>
    <w:unhideWhenUsed/>
    <w:qFormat/>
    <w:rsid w:val="00653213"/>
    <w:pPr>
      <w:tabs>
        <w:tab w:val="right" w:pos="9181"/>
      </w:tabs>
      <w:spacing w:before="240" w:after="120"/>
    </w:pPr>
    <w:rPr>
      <w:b/>
      <w:bCs/>
      <w:szCs w:val="20"/>
    </w:rPr>
  </w:style>
  <w:style w:type="paragraph" w:styleId="TOC2">
    <w:name w:val="toc 2"/>
    <w:basedOn w:val="Normal"/>
    <w:next w:val="Normal"/>
    <w:autoRedefine/>
    <w:uiPriority w:val="39"/>
    <w:unhideWhenUsed/>
    <w:qFormat/>
    <w:rsid w:val="007F3238"/>
    <w:pPr>
      <w:spacing w:before="120" w:after="0"/>
      <w:ind w:left="220"/>
      <w:jc w:val="left"/>
    </w:pPr>
    <w:rPr>
      <w:iCs/>
      <w:szCs w:val="20"/>
    </w:rPr>
  </w:style>
  <w:style w:type="paragraph" w:styleId="TOC3">
    <w:name w:val="toc 3"/>
    <w:basedOn w:val="Normal"/>
    <w:next w:val="Normal"/>
    <w:autoRedefine/>
    <w:uiPriority w:val="39"/>
    <w:unhideWhenUsed/>
    <w:qFormat/>
    <w:rsid w:val="007F3238"/>
    <w:pPr>
      <w:spacing w:after="0"/>
      <w:ind w:left="440"/>
      <w:jc w:val="left"/>
    </w:pPr>
    <w:rPr>
      <w:szCs w:val="20"/>
    </w:rPr>
  </w:style>
  <w:style w:type="paragraph" w:styleId="TOC4">
    <w:name w:val="toc 4"/>
    <w:basedOn w:val="Normal"/>
    <w:next w:val="Normal"/>
    <w:autoRedefine/>
    <w:uiPriority w:val="39"/>
    <w:unhideWhenUsed/>
    <w:qFormat/>
    <w:rsid w:val="007C4C2F"/>
    <w:pPr>
      <w:spacing w:after="0"/>
      <w:ind w:left="660"/>
      <w:jc w:val="left"/>
    </w:pPr>
    <w:rPr>
      <w:sz w:val="20"/>
      <w:szCs w:val="20"/>
    </w:rPr>
  </w:style>
  <w:style w:type="character" w:customStyle="1" w:styleId="HeaderChar">
    <w:name w:val="Header Char"/>
    <w:basedOn w:val="DefaultParagraphFont"/>
    <w:link w:val="Header"/>
    <w:uiPriority w:val="99"/>
    <w:rsid w:val="00475405"/>
    <w:rPr>
      <w:rFonts w:ascii="Arial" w:hAnsi="Arial" w:cs="Arial"/>
      <w:noProof/>
      <w:sz w:val="18"/>
      <w:szCs w:val="18"/>
      <w:lang w:val="en-GB" w:eastAsia="en-GB"/>
    </w:rPr>
  </w:style>
  <w:style w:type="paragraph" w:styleId="Footer">
    <w:name w:val="footer"/>
    <w:basedOn w:val="Normal"/>
    <w:link w:val="FooterChar"/>
    <w:uiPriority w:val="99"/>
    <w:unhideWhenUsed/>
    <w:qFormat/>
    <w:rsid w:val="00475405"/>
    <w:rPr>
      <w:sz w:val="18"/>
      <w:szCs w:val="18"/>
    </w:rPr>
  </w:style>
  <w:style w:type="character" w:customStyle="1" w:styleId="FooterChar">
    <w:name w:val="Footer Char"/>
    <w:basedOn w:val="DefaultParagraphFont"/>
    <w:link w:val="Footer"/>
    <w:uiPriority w:val="99"/>
    <w:rsid w:val="00475405"/>
    <w:rPr>
      <w:rFonts w:ascii="Arial" w:hAnsi="Arial" w:cs="Arial"/>
      <w:sz w:val="18"/>
      <w:szCs w:val="18"/>
      <w:lang w:val="en-GB" w:eastAsia="en-GB"/>
    </w:rPr>
  </w:style>
  <w:style w:type="paragraph" w:styleId="Title">
    <w:name w:val="Title"/>
    <w:basedOn w:val="Normal"/>
    <w:next w:val="Normal"/>
    <w:link w:val="TitleChar"/>
    <w:uiPriority w:val="10"/>
    <w:qFormat/>
    <w:rsid w:val="00CF3B60"/>
    <w:pPr>
      <w:spacing w:before="360" w:after="360"/>
    </w:pPr>
    <w:rPr>
      <w:rFonts w:ascii="Poppins" w:eastAsiaTheme="majorEastAsia" w:hAnsi="Poppins" w:cs="Poppins"/>
      <w:b/>
      <w:color w:val="0B1F51"/>
      <w:spacing w:val="-10"/>
      <w:kern w:val="28"/>
      <w:sz w:val="64"/>
      <w:szCs w:val="64"/>
    </w:rPr>
  </w:style>
  <w:style w:type="character" w:customStyle="1" w:styleId="TitleChar">
    <w:name w:val="Title Char"/>
    <w:basedOn w:val="DefaultParagraphFont"/>
    <w:link w:val="Title"/>
    <w:uiPriority w:val="10"/>
    <w:rsid w:val="00CF3B60"/>
    <w:rPr>
      <w:rFonts w:ascii="Poppins" w:eastAsiaTheme="majorEastAsia" w:hAnsi="Poppins" w:cs="Poppins"/>
      <w:b/>
      <w:color w:val="0B1F51"/>
      <w:spacing w:val="-10"/>
      <w:kern w:val="28"/>
      <w:sz w:val="64"/>
      <w:szCs w:val="64"/>
      <w:lang w:val="en-GB" w:eastAsia="en-GB"/>
    </w:rPr>
  </w:style>
  <w:style w:type="table" w:customStyle="1" w:styleId="CoverTable">
    <w:name w:val="Cover Table"/>
    <w:basedOn w:val="TableNormal"/>
    <w:uiPriority w:val="99"/>
    <w:rsid w:val="00B65835"/>
    <w:rPr>
      <w:rFonts w:ascii="Roboto" w:hAnsi="Roboto"/>
      <w:color w:val="FFFFFF" w:themeColor="background1"/>
    </w:rPr>
    <w:tblPr/>
    <w:tcPr>
      <w:tcMar>
        <w:left w:w="0" w:type="dxa"/>
        <w:right w:w="0" w:type="dxa"/>
      </w:tcMar>
    </w:tcPr>
  </w:style>
  <w:style w:type="character" w:styleId="Hyperlink">
    <w:name w:val="Hyperlink"/>
    <w:basedOn w:val="DefaultParagraphFont"/>
    <w:uiPriority w:val="99"/>
    <w:unhideWhenUsed/>
    <w:rsid w:val="00E74F0B"/>
    <w:rPr>
      <w:color w:val="45A7E1" w:themeColor="hyperlink"/>
      <w:u w:val="single"/>
    </w:rPr>
  </w:style>
  <w:style w:type="character" w:styleId="FollowedHyperlink">
    <w:name w:val="FollowedHyperlink"/>
    <w:basedOn w:val="DefaultParagraphFont"/>
    <w:uiPriority w:val="99"/>
    <w:semiHidden/>
    <w:unhideWhenUsed/>
    <w:rsid w:val="00CB6CEC"/>
    <w:rPr>
      <w:color w:val="45A7E1" w:themeColor="followedHyperlink"/>
      <w:u w:val="single"/>
    </w:rPr>
  </w:style>
  <w:style w:type="paragraph" w:styleId="TableofFigures">
    <w:name w:val="table of figures"/>
    <w:basedOn w:val="Normal"/>
    <w:next w:val="Normal"/>
    <w:uiPriority w:val="99"/>
    <w:unhideWhenUsed/>
    <w:rsid w:val="000B26D7"/>
    <w:rPr>
      <w:b/>
      <w:color w:val="0A1F50" w:themeColor="text2"/>
      <w:sz w:val="20"/>
    </w:rPr>
  </w:style>
  <w:style w:type="character" w:styleId="PlaceholderText">
    <w:name w:val="Placeholder Text"/>
    <w:basedOn w:val="DefaultParagraphFont"/>
    <w:uiPriority w:val="99"/>
    <w:semiHidden/>
    <w:rsid w:val="005433E8"/>
    <w:rPr>
      <w:color w:val="808080"/>
    </w:rPr>
  </w:style>
  <w:style w:type="paragraph" w:styleId="ListParagraph">
    <w:name w:val="List Paragraph"/>
    <w:aliases w:val="Numbered Paragraph,Bullets level 1,123 List Paragraph,List Paragraph1,List Paragraph11,List Paragraph2,Bulit List -  Paragraph,Main numbered paragraph,Numbered List Paragraph,L,CV text,F5 List Paragraph,Dot pt,Medium Grid 1 - Accent 21"/>
    <w:basedOn w:val="Normal"/>
    <w:link w:val="ListParagraphChar"/>
    <w:uiPriority w:val="34"/>
    <w:qFormat/>
    <w:rsid w:val="003F0CBA"/>
    <w:pPr>
      <w:spacing w:before="120" w:after="120"/>
      <w:ind w:left="720"/>
    </w:pPr>
  </w:style>
  <w:style w:type="paragraph" w:styleId="BalloonText">
    <w:name w:val="Balloon Text"/>
    <w:basedOn w:val="Normal"/>
    <w:link w:val="BalloonTextChar"/>
    <w:uiPriority w:val="99"/>
    <w:semiHidden/>
    <w:unhideWhenUsed/>
    <w:rsid w:val="00252A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58"/>
    <w:rPr>
      <w:rFonts w:ascii="Segoe UI" w:hAnsi="Segoe UI" w:cs="Segoe UI"/>
      <w:sz w:val="18"/>
      <w:szCs w:val="18"/>
      <w:lang w:val="en-GB" w:eastAsia="en-GB"/>
    </w:rPr>
  </w:style>
  <w:style w:type="paragraph" w:styleId="TOCHeading">
    <w:name w:val="TOC Heading"/>
    <w:basedOn w:val="Heading1"/>
    <w:next w:val="Normal"/>
    <w:uiPriority w:val="39"/>
    <w:unhideWhenUsed/>
    <w:qFormat/>
    <w:rsid w:val="007F3238"/>
    <w:pPr>
      <w:spacing w:after="0" w:line="259" w:lineRule="auto"/>
      <w:outlineLvl w:val="9"/>
    </w:pPr>
    <w:rPr>
      <w:bCs/>
      <w:szCs w:val="40"/>
      <w:lang w:val="en-US" w:eastAsia="en-US"/>
    </w:rPr>
  </w:style>
  <w:style w:type="paragraph" w:styleId="NoSpacing">
    <w:name w:val="No Spacing"/>
    <w:uiPriority w:val="1"/>
    <w:qFormat/>
    <w:rsid w:val="00D344A2"/>
    <w:rPr>
      <w:rFonts w:ascii="Roboto" w:hAnsi="Roboto" w:cs="Arial"/>
      <w:sz w:val="22"/>
      <w:szCs w:val="22"/>
      <w:lang w:val="en-GB" w:eastAsia="en-GB"/>
    </w:rPr>
  </w:style>
  <w:style w:type="character" w:styleId="CommentReference">
    <w:name w:val="annotation reference"/>
    <w:basedOn w:val="DefaultParagraphFont"/>
    <w:uiPriority w:val="99"/>
    <w:semiHidden/>
    <w:unhideWhenUsed/>
    <w:rsid w:val="006948AD"/>
    <w:rPr>
      <w:sz w:val="16"/>
      <w:szCs w:val="16"/>
    </w:rPr>
  </w:style>
  <w:style w:type="paragraph" w:styleId="CommentText">
    <w:name w:val="annotation text"/>
    <w:basedOn w:val="Normal"/>
    <w:link w:val="CommentTextChar"/>
    <w:uiPriority w:val="99"/>
    <w:unhideWhenUsed/>
    <w:rsid w:val="006948AD"/>
    <w:pPr>
      <w:spacing w:line="240" w:lineRule="auto"/>
    </w:pPr>
    <w:rPr>
      <w:sz w:val="20"/>
      <w:szCs w:val="20"/>
    </w:rPr>
  </w:style>
  <w:style w:type="character" w:customStyle="1" w:styleId="CommentTextChar">
    <w:name w:val="Comment Text Char"/>
    <w:basedOn w:val="DefaultParagraphFont"/>
    <w:link w:val="CommentText"/>
    <w:uiPriority w:val="99"/>
    <w:rsid w:val="006948AD"/>
    <w:rPr>
      <w:rFonts w:ascii="Roboto" w:hAnsi="Roboto" w:cs="Arial"/>
      <w:sz w:val="20"/>
      <w:szCs w:val="20"/>
      <w:lang w:val="en-GB" w:eastAsia="en-GB"/>
    </w:rPr>
  </w:style>
  <w:style w:type="paragraph" w:styleId="CommentSubject">
    <w:name w:val="annotation subject"/>
    <w:basedOn w:val="CommentText"/>
    <w:next w:val="CommentText"/>
    <w:link w:val="CommentSubjectChar"/>
    <w:uiPriority w:val="99"/>
    <w:semiHidden/>
    <w:unhideWhenUsed/>
    <w:rsid w:val="006948AD"/>
    <w:rPr>
      <w:b/>
      <w:bCs/>
    </w:rPr>
  </w:style>
  <w:style w:type="character" w:customStyle="1" w:styleId="CommentSubjectChar">
    <w:name w:val="Comment Subject Char"/>
    <w:basedOn w:val="CommentTextChar"/>
    <w:link w:val="CommentSubject"/>
    <w:uiPriority w:val="99"/>
    <w:semiHidden/>
    <w:rsid w:val="006948AD"/>
    <w:rPr>
      <w:rFonts w:ascii="Roboto" w:hAnsi="Roboto" w:cs="Arial"/>
      <w:b/>
      <w:bCs/>
      <w:sz w:val="20"/>
      <w:szCs w:val="20"/>
      <w:lang w:val="en-GB" w:eastAsia="en-GB"/>
    </w:rPr>
  </w:style>
  <w:style w:type="paragraph" w:styleId="Quote">
    <w:name w:val="Quote"/>
    <w:basedOn w:val="Normal"/>
    <w:next w:val="Normal"/>
    <w:link w:val="QuoteChar"/>
    <w:uiPriority w:val="29"/>
    <w:qFormat/>
    <w:rsid w:val="000151EE"/>
    <w:pPr>
      <w:spacing w:before="120" w:after="120"/>
      <w:ind w:left="1077" w:right="1077"/>
      <w:jc w:val="center"/>
    </w:pPr>
    <w:rPr>
      <w:iCs/>
      <w:color w:val="404040" w:themeColor="text1" w:themeTint="BF"/>
      <w:sz w:val="20"/>
    </w:rPr>
  </w:style>
  <w:style w:type="character" w:customStyle="1" w:styleId="QuoteChar">
    <w:name w:val="Quote Char"/>
    <w:basedOn w:val="DefaultParagraphFont"/>
    <w:link w:val="Quote"/>
    <w:uiPriority w:val="29"/>
    <w:rsid w:val="000151EE"/>
    <w:rPr>
      <w:rFonts w:ascii="Roboto Light" w:hAnsi="Roboto Light" w:cs="Arial"/>
      <w:iCs/>
      <w:color w:val="404040" w:themeColor="text1" w:themeTint="BF"/>
      <w:sz w:val="20"/>
      <w:szCs w:val="22"/>
      <w:lang w:val="en-GB" w:eastAsia="en-GB"/>
    </w:rPr>
  </w:style>
  <w:style w:type="paragraph" w:customStyle="1" w:styleId="referencianotaalpieChar">
    <w:name w:val="referencia nota al pie Char"/>
    <w:aliases w:val="BVI fnr Char,BVI fnr Car Car Char,BVI fnr Car Char,BVI fnr Car Car Car Car Char Char,BVI fnr Char Char Char Char,BVI fnr Car Car Char Char Char Char"/>
    <w:basedOn w:val="Normal"/>
    <w:link w:val="FootnoteReference"/>
    <w:uiPriority w:val="99"/>
    <w:rsid w:val="00923671"/>
    <w:pPr>
      <w:spacing w:before="120" w:after="120" w:line="240" w:lineRule="exact"/>
    </w:pPr>
    <w:rPr>
      <w:rFonts w:cstheme="minorBidi"/>
      <w:sz w:val="24"/>
      <w:szCs w:val="24"/>
      <w:vertAlign w:val="superscript"/>
      <w:lang w:val="en-US" w:eastAsia="en-US"/>
    </w:rPr>
  </w:style>
  <w:style w:type="character" w:customStyle="1" w:styleId="ListParagraphChar">
    <w:name w:val="List Paragraph Char"/>
    <w:aliases w:val="Numbered Paragraph Char,Bullets level 1 Char,123 List Paragraph Char,List Paragraph1 Char,List Paragraph11 Char,List Paragraph2 Char,Bulit List -  Paragraph Char,Main numbered paragraph Char,Numbered List Paragraph Char,L Char"/>
    <w:basedOn w:val="DefaultParagraphFont"/>
    <w:link w:val="ListParagraph"/>
    <w:uiPriority w:val="34"/>
    <w:qFormat/>
    <w:locked/>
    <w:rsid w:val="00923671"/>
    <w:rPr>
      <w:rFonts w:ascii="Roboto Light" w:hAnsi="Roboto Light" w:cs="Arial"/>
      <w:sz w:val="22"/>
      <w:szCs w:val="22"/>
      <w:lang w:val="en-GB" w:eastAsia="en-GB"/>
    </w:rPr>
  </w:style>
  <w:style w:type="paragraph" w:customStyle="1" w:styleId="Default">
    <w:name w:val="Default"/>
    <w:link w:val="DefaultChar"/>
    <w:uiPriority w:val="99"/>
    <w:rsid w:val="00974D48"/>
    <w:pPr>
      <w:autoSpaceDE w:val="0"/>
      <w:autoSpaceDN w:val="0"/>
      <w:adjustRightInd w:val="0"/>
    </w:pPr>
    <w:rPr>
      <w:rFonts w:ascii="Arial" w:hAnsi="Arial" w:cs="Arial"/>
      <w:color w:val="000000"/>
      <w:lang w:val="en-AU"/>
    </w:rPr>
  </w:style>
  <w:style w:type="character" w:customStyle="1" w:styleId="DefaultChar">
    <w:name w:val="Default Char"/>
    <w:basedOn w:val="DefaultParagraphFont"/>
    <w:link w:val="Default"/>
    <w:uiPriority w:val="99"/>
    <w:rsid w:val="00974D48"/>
    <w:rPr>
      <w:rFonts w:ascii="Arial" w:hAnsi="Arial" w:cs="Arial"/>
      <w:color w:val="000000"/>
      <w:lang w:val="en-AU"/>
    </w:rPr>
  </w:style>
  <w:style w:type="paragraph" w:customStyle="1" w:styleId="Recommendation">
    <w:name w:val="Recommendation"/>
    <w:basedOn w:val="Normal"/>
    <w:link w:val="RecommendationChar"/>
    <w:qFormat/>
    <w:rsid w:val="009B6F4E"/>
    <w:pPr>
      <w:spacing w:after="120"/>
    </w:pPr>
    <w:rPr>
      <w:rFonts w:ascii="Poppins" w:hAnsi="Poppins"/>
      <w:b/>
      <w:color w:val="0A1F50" w:themeColor="text2"/>
    </w:rPr>
  </w:style>
  <w:style w:type="paragraph" w:customStyle="1" w:styleId="Recommendationtext">
    <w:name w:val="Recommendation text"/>
    <w:basedOn w:val="Normal"/>
    <w:link w:val="RecommendationtextChar"/>
    <w:qFormat/>
    <w:rsid w:val="00C471C6"/>
    <w:pPr>
      <w:numPr>
        <w:numId w:val="3"/>
      </w:numPr>
    </w:pPr>
    <w:rPr>
      <w:sz w:val="20"/>
    </w:rPr>
  </w:style>
  <w:style w:type="character" w:customStyle="1" w:styleId="RecommendationChar">
    <w:name w:val="Recommendation Char"/>
    <w:basedOn w:val="DefaultParagraphFont"/>
    <w:link w:val="Recommendation"/>
    <w:rsid w:val="009B6F4E"/>
    <w:rPr>
      <w:rFonts w:ascii="Poppins" w:hAnsi="Poppins" w:cstheme="minorHAnsi"/>
      <w:b/>
      <w:color w:val="0A1F50" w:themeColor="text2"/>
      <w:sz w:val="22"/>
      <w:szCs w:val="22"/>
      <w:lang w:val="en-GB" w:eastAsia="en-GB"/>
    </w:rPr>
  </w:style>
  <w:style w:type="paragraph" w:styleId="Subtitle">
    <w:name w:val="Subtitle"/>
    <w:basedOn w:val="Normal"/>
    <w:next w:val="Normal"/>
    <w:link w:val="SubtitleChar"/>
    <w:uiPriority w:val="11"/>
    <w:qFormat/>
    <w:rsid w:val="00CF3B60"/>
    <w:pPr>
      <w:numPr>
        <w:ilvl w:val="1"/>
      </w:numPr>
      <w:spacing w:after="160"/>
    </w:pPr>
    <w:rPr>
      <w:rFonts w:ascii="Poppins" w:eastAsiaTheme="minorEastAsia" w:hAnsi="Poppins" w:cstheme="minorBidi"/>
      <w:b/>
      <w:color w:val="291C9C" w:themeColor="accent5" w:themeShade="80"/>
      <w:spacing w:val="15"/>
      <w:sz w:val="40"/>
    </w:rPr>
  </w:style>
  <w:style w:type="character" w:customStyle="1" w:styleId="RecommendationtextChar">
    <w:name w:val="Recommendation text Char"/>
    <w:basedOn w:val="DefaultParagraphFont"/>
    <w:link w:val="Recommendationtext"/>
    <w:rsid w:val="00600619"/>
    <w:rPr>
      <w:rFonts w:cstheme="minorHAnsi"/>
      <w:sz w:val="20"/>
      <w:szCs w:val="22"/>
      <w:lang w:val="en-GB" w:eastAsia="en-GB"/>
    </w:rPr>
  </w:style>
  <w:style w:type="character" w:customStyle="1" w:styleId="SubtitleChar">
    <w:name w:val="Subtitle Char"/>
    <w:basedOn w:val="DefaultParagraphFont"/>
    <w:link w:val="Subtitle"/>
    <w:uiPriority w:val="11"/>
    <w:rsid w:val="00CF3B60"/>
    <w:rPr>
      <w:rFonts w:ascii="Poppins" w:eastAsiaTheme="minorEastAsia" w:hAnsi="Poppins"/>
      <w:b/>
      <w:color w:val="291C9C" w:themeColor="accent5" w:themeShade="80"/>
      <w:spacing w:val="15"/>
      <w:sz w:val="40"/>
      <w:szCs w:val="22"/>
      <w:lang w:val="en-GB" w:eastAsia="en-GB"/>
    </w:rPr>
  </w:style>
  <w:style w:type="character" w:styleId="Emphasis">
    <w:name w:val="Emphasis"/>
    <w:basedOn w:val="DefaultParagraphFont"/>
    <w:uiPriority w:val="20"/>
    <w:qFormat/>
    <w:rsid w:val="00CF3B60"/>
    <w:rPr>
      <w:i/>
      <w:iCs/>
    </w:rPr>
  </w:style>
  <w:style w:type="table" w:customStyle="1" w:styleId="TableGrid1">
    <w:name w:val="Table Grid1"/>
    <w:basedOn w:val="TableNormal"/>
    <w:next w:val="TableGrid"/>
    <w:uiPriority w:val="39"/>
    <w:rsid w:val="00266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B6039"/>
    <w:rPr>
      <w:rFonts w:ascii="Roboto Light" w:hAnsi="Roboto Light" w:cs="Arial"/>
      <w:sz w:val="22"/>
      <w:szCs w:val="22"/>
      <w:lang w:val="en-GB" w:eastAsia="en-GB"/>
    </w:rPr>
  </w:style>
  <w:style w:type="paragraph" w:styleId="BodyText">
    <w:name w:val="Body Text"/>
    <w:link w:val="BodyTextChar"/>
    <w:qFormat/>
    <w:rsid w:val="009B6F4E"/>
    <w:pPr>
      <w:spacing w:after="200"/>
      <w:jc w:val="both"/>
    </w:pPr>
    <w:rPr>
      <w:rFonts w:ascii="Arial" w:hAnsi="Arial" w:cs="Arial"/>
      <w:sz w:val="22"/>
      <w:szCs w:val="22"/>
      <w:lang w:val="en-GB" w:eastAsia="en-GB"/>
    </w:rPr>
  </w:style>
  <w:style w:type="character" w:customStyle="1" w:styleId="BodyTextChar">
    <w:name w:val="Body Text Char"/>
    <w:basedOn w:val="DefaultParagraphFont"/>
    <w:link w:val="BodyText"/>
    <w:rsid w:val="009B6F4E"/>
    <w:rPr>
      <w:rFonts w:ascii="Arial" w:hAnsi="Arial" w:cs="Arial"/>
      <w:sz w:val="22"/>
      <w:szCs w:val="22"/>
      <w:lang w:val="en-GB" w:eastAsia="en-GB"/>
    </w:rPr>
  </w:style>
  <w:style w:type="paragraph" w:customStyle="1" w:styleId="Heading1NONUM">
    <w:name w:val="Heading 1 NO NUM"/>
    <w:basedOn w:val="Heading1"/>
    <w:rsid w:val="009B6F4E"/>
    <w:rPr>
      <w:rFonts w:ascii="Arial" w:hAnsi="Arial" w:cs="Times New Roman"/>
    </w:rPr>
  </w:style>
  <w:style w:type="character" w:styleId="Strong">
    <w:name w:val="Strong"/>
    <w:basedOn w:val="DefaultParagraphFont"/>
    <w:uiPriority w:val="22"/>
    <w:qFormat/>
    <w:rsid w:val="009B6F4E"/>
    <w:rPr>
      <w:b/>
      <w:bCs/>
    </w:rPr>
  </w:style>
  <w:style w:type="character" w:customStyle="1" w:styleId="cf01">
    <w:name w:val="cf01"/>
    <w:basedOn w:val="DefaultParagraphFont"/>
    <w:rsid w:val="00D419E1"/>
    <w:rPr>
      <w:rFonts w:ascii="Segoe UI" w:hAnsi="Segoe UI" w:cs="Segoe UI" w:hint="default"/>
      <w:sz w:val="18"/>
      <w:szCs w:val="18"/>
    </w:rPr>
  </w:style>
  <w:style w:type="table" w:styleId="GridTable1Light-Accent1">
    <w:name w:val="Grid Table 1 Light Accent 1"/>
    <w:basedOn w:val="TableNormal"/>
    <w:uiPriority w:val="46"/>
    <w:rsid w:val="005B7596"/>
    <w:tblPr>
      <w:tblStyleRowBandSize w:val="1"/>
      <w:tblStyleColBandSize w:val="1"/>
      <w:tblBorders>
        <w:top w:val="single" w:sz="4" w:space="0" w:color="B4DBF3" w:themeColor="accent1" w:themeTint="66"/>
        <w:left w:val="single" w:sz="4" w:space="0" w:color="B4DBF3" w:themeColor="accent1" w:themeTint="66"/>
        <w:bottom w:val="single" w:sz="4" w:space="0" w:color="B4DBF3" w:themeColor="accent1" w:themeTint="66"/>
        <w:right w:val="single" w:sz="4" w:space="0" w:color="B4DBF3" w:themeColor="accent1" w:themeTint="66"/>
        <w:insideH w:val="single" w:sz="4" w:space="0" w:color="B4DBF3" w:themeColor="accent1" w:themeTint="66"/>
        <w:insideV w:val="single" w:sz="4" w:space="0" w:color="B4DBF3" w:themeColor="accent1" w:themeTint="66"/>
      </w:tblBorders>
    </w:tblPr>
    <w:tblStylePr w:type="firstRow">
      <w:rPr>
        <w:b/>
        <w:bCs/>
      </w:rPr>
      <w:tblPr/>
      <w:tcPr>
        <w:tcBorders>
          <w:bottom w:val="single" w:sz="12" w:space="0" w:color="8FCAED" w:themeColor="accent1" w:themeTint="99"/>
        </w:tcBorders>
      </w:tcPr>
    </w:tblStylePr>
    <w:tblStylePr w:type="lastRow">
      <w:rPr>
        <w:b/>
        <w:bCs/>
      </w:rPr>
      <w:tblPr/>
      <w:tcPr>
        <w:tcBorders>
          <w:top w:val="double" w:sz="2" w:space="0" w:color="8FCAED" w:themeColor="accent1" w:themeTint="99"/>
        </w:tcBorders>
      </w:tcPr>
    </w:tblStylePr>
    <w:tblStylePr w:type="firstCol">
      <w:rPr>
        <w:b/>
        <w:bCs/>
      </w:rPr>
    </w:tblStylePr>
    <w:tblStylePr w:type="lastCol">
      <w:rPr>
        <w:b/>
        <w:bCs/>
      </w:rPr>
    </w:tblStylePr>
  </w:style>
  <w:style w:type="character" w:customStyle="1" w:styleId="xspelle">
    <w:name w:val="x_spelle"/>
    <w:basedOn w:val="DefaultParagraphFont"/>
    <w:rsid w:val="002F57E8"/>
  </w:style>
  <w:style w:type="paragraph" w:customStyle="1" w:styleId="xxmsonormal">
    <w:name w:val="x_xmsonormal"/>
    <w:basedOn w:val="Normal"/>
    <w:rsid w:val="002F57E8"/>
    <w:pPr>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OPMBodytext">
    <w:name w:val="OPM Body text"/>
    <w:basedOn w:val="Normal"/>
    <w:link w:val="OPMBodytextChar"/>
    <w:qFormat/>
    <w:rsid w:val="00A2087D"/>
    <w:pPr>
      <w:spacing w:before="120" w:after="0" w:line="240" w:lineRule="auto"/>
      <w:jc w:val="left"/>
    </w:pPr>
    <w:rPr>
      <w:rFonts w:ascii="Arial" w:eastAsia="Times New Roman" w:hAnsi="Arial" w:cs="Times New Roman"/>
      <w:sz w:val="20"/>
      <w:szCs w:val="20"/>
      <w:lang w:eastAsia="en-US"/>
    </w:rPr>
  </w:style>
  <w:style w:type="character" w:customStyle="1" w:styleId="OPMBodytextChar">
    <w:name w:val="OPM Body text Char"/>
    <w:basedOn w:val="DefaultParagraphFont"/>
    <w:link w:val="OPMBodytext"/>
    <w:rsid w:val="00A2087D"/>
    <w:rPr>
      <w:rFonts w:ascii="Arial" w:eastAsia="Times New Roman" w:hAnsi="Arial" w:cs="Times New Roman"/>
      <w:sz w:val="20"/>
      <w:szCs w:val="20"/>
      <w:lang w:val="en-GB"/>
    </w:rPr>
  </w:style>
  <w:style w:type="character" w:styleId="UnresolvedMention">
    <w:name w:val="Unresolved Mention"/>
    <w:basedOn w:val="DefaultParagraphFont"/>
    <w:uiPriority w:val="99"/>
    <w:unhideWhenUsed/>
    <w:rsid w:val="005C2F56"/>
    <w:rPr>
      <w:color w:val="605E5C"/>
      <w:shd w:val="clear" w:color="auto" w:fill="E1DFDD"/>
    </w:rPr>
  </w:style>
  <w:style w:type="character" w:styleId="Mention">
    <w:name w:val="Mention"/>
    <w:basedOn w:val="DefaultParagraphFont"/>
    <w:uiPriority w:val="99"/>
    <w:unhideWhenUsed/>
    <w:rsid w:val="00635D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3988">
      <w:bodyDiv w:val="1"/>
      <w:marLeft w:val="0"/>
      <w:marRight w:val="0"/>
      <w:marTop w:val="0"/>
      <w:marBottom w:val="0"/>
      <w:divBdr>
        <w:top w:val="none" w:sz="0" w:space="0" w:color="auto"/>
        <w:left w:val="none" w:sz="0" w:space="0" w:color="auto"/>
        <w:bottom w:val="none" w:sz="0" w:space="0" w:color="auto"/>
        <w:right w:val="none" w:sz="0" w:space="0" w:color="auto"/>
      </w:divBdr>
    </w:div>
    <w:div w:id="92944686">
      <w:bodyDiv w:val="1"/>
      <w:marLeft w:val="0"/>
      <w:marRight w:val="0"/>
      <w:marTop w:val="0"/>
      <w:marBottom w:val="0"/>
      <w:divBdr>
        <w:top w:val="none" w:sz="0" w:space="0" w:color="auto"/>
        <w:left w:val="none" w:sz="0" w:space="0" w:color="auto"/>
        <w:bottom w:val="none" w:sz="0" w:space="0" w:color="auto"/>
        <w:right w:val="none" w:sz="0" w:space="0" w:color="auto"/>
      </w:divBdr>
    </w:div>
    <w:div w:id="95563161">
      <w:bodyDiv w:val="1"/>
      <w:marLeft w:val="0"/>
      <w:marRight w:val="0"/>
      <w:marTop w:val="0"/>
      <w:marBottom w:val="0"/>
      <w:divBdr>
        <w:top w:val="none" w:sz="0" w:space="0" w:color="auto"/>
        <w:left w:val="none" w:sz="0" w:space="0" w:color="auto"/>
        <w:bottom w:val="none" w:sz="0" w:space="0" w:color="auto"/>
        <w:right w:val="none" w:sz="0" w:space="0" w:color="auto"/>
      </w:divBdr>
    </w:div>
    <w:div w:id="100614967">
      <w:bodyDiv w:val="1"/>
      <w:marLeft w:val="0"/>
      <w:marRight w:val="0"/>
      <w:marTop w:val="0"/>
      <w:marBottom w:val="0"/>
      <w:divBdr>
        <w:top w:val="none" w:sz="0" w:space="0" w:color="auto"/>
        <w:left w:val="none" w:sz="0" w:space="0" w:color="auto"/>
        <w:bottom w:val="none" w:sz="0" w:space="0" w:color="auto"/>
        <w:right w:val="none" w:sz="0" w:space="0" w:color="auto"/>
      </w:divBdr>
    </w:div>
    <w:div w:id="114905215">
      <w:bodyDiv w:val="1"/>
      <w:marLeft w:val="0"/>
      <w:marRight w:val="0"/>
      <w:marTop w:val="0"/>
      <w:marBottom w:val="0"/>
      <w:divBdr>
        <w:top w:val="none" w:sz="0" w:space="0" w:color="auto"/>
        <w:left w:val="none" w:sz="0" w:space="0" w:color="auto"/>
        <w:bottom w:val="none" w:sz="0" w:space="0" w:color="auto"/>
        <w:right w:val="none" w:sz="0" w:space="0" w:color="auto"/>
      </w:divBdr>
    </w:div>
    <w:div w:id="115175312">
      <w:bodyDiv w:val="1"/>
      <w:marLeft w:val="0"/>
      <w:marRight w:val="0"/>
      <w:marTop w:val="0"/>
      <w:marBottom w:val="0"/>
      <w:divBdr>
        <w:top w:val="none" w:sz="0" w:space="0" w:color="auto"/>
        <w:left w:val="none" w:sz="0" w:space="0" w:color="auto"/>
        <w:bottom w:val="none" w:sz="0" w:space="0" w:color="auto"/>
        <w:right w:val="none" w:sz="0" w:space="0" w:color="auto"/>
      </w:divBdr>
    </w:div>
    <w:div w:id="140122080">
      <w:bodyDiv w:val="1"/>
      <w:marLeft w:val="0"/>
      <w:marRight w:val="0"/>
      <w:marTop w:val="0"/>
      <w:marBottom w:val="0"/>
      <w:divBdr>
        <w:top w:val="none" w:sz="0" w:space="0" w:color="auto"/>
        <w:left w:val="none" w:sz="0" w:space="0" w:color="auto"/>
        <w:bottom w:val="none" w:sz="0" w:space="0" w:color="auto"/>
        <w:right w:val="none" w:sz="0" w:space="0" w:color="auto"/>
      </w:divBdr>
    </w:div>
    <w:div w:id="171843063">
      <w:bodyDiv w:val="1"/>
      <w:marLeft w:val="0"/>
      <w:marRight w:val="0"/>
      <w:marTop w:val="0"/>
      <w:marBottom w:val="0"/>
      <w:divBdr>
        <w:top w:val="none" w:sz="0" w:space="0" w:color="auto"/>
        <w:left w:val="none" w:sz="0" w:space="0" w:color="auto"/>
        <w:bottom w:val="none" w:sz="0" w:space="0" w:color="auto"/>
        <w:right w:val="none" w:sz="0" w:space="0" w:color="auto"/>
      </w:divBdr>
    </w:div>
    <w:div w:id="180749606">
      <w:bodyDiv w:val="1"/>
      <w:marLeft w:val="0"/>
      <w:marRight w:val="0"/>
      <w:marTop w:val="0"/>
      <w:marBottom w:val="0"/>
      <w:divBdr>
        <w:top w:val="none" w:sz="0" w:space="0" w:color="auto"/>
        <w:left w:val="none" w:sz="0" w:space="0" w:color="auto"/>
        <w:bottom w:val="none" w:sz="0" w:space="0" w:color="auto"/>
        <w:right w:val="none" w:sz="0" w:space="0" w:color="auto"/>
      </w:divBdr>
    </w:div>
    <w:div w:id="264923505">
      <w:bodyDiv w:val="1"/>
      <w:marLeft w:val="0"/>
      <w:marRight w:val="0"/>
      <w:marTop w:val="0"/>
      <w:marBottom w:val="0"/>
      <w:divBdr>
        <w:top w:val="none" w:sz="0" w:space="0" w:color="auto"/>
        <w:left w:val="none" w:sz="0" w:space="0" w:color="auto"/>
        <w:bottom w:val="none" w:sz="0" w:space="0" w:color="auto"/>
        <w:right w:val="none" w:sz="0" w:space="0" w:color="auto"/>
      </w:divBdr>
    </w:div>
    <w:div w:id="268659894">
      <w:bodyDiv w:val="1"/>
      <w:marLeft w:val="0"/>
      <w:marRight w:val="0"/>
      <w:marTop w:val="0"/>
      <w:marBottom w:val="0"/>
      <w:divBdr>
        <w:top w:val="none" w:sz="0" w:space="0" w:color="auto"/>
        <w:left w:val="none" w:sz="0" w:space="0" w:color="auto"/>
        <w:bottom w:val="none" w:sz="0" w:space="0" w:color="auto"/>
        <w:right w:val="none" w:sz="0" w:space="0" w:color="auto"/>
      </w:divBdr>
    </w:div>
    <w:div w:id="278882071">
      <w:bodyDiv w:val="1"/>
      <w:marLeft w:val="0"/>
      <w:marRight w:val="0"/>
      <w:marTop w:val="0"/>
      <w:marBottom w:val="0"/>
      <w:divBdr>
        <w:top w:val="none" w:sz="0" w:space="0" w:color="auto"/>
        <w:left w:val="none" w:sz="0" w:space="0" w:color="auto"/>
        <w:bottom w:val="none" w:sz="0" w:space="0" w:color="auto"/>
        <w:right w:val="none" w:sz="0" w:space="0" w:color="auto"/>
      </w:divBdr>
    </w:div>
    <w:div w:id="298456717">
      <w:bodyDiv w:val="1"/>
      <w:marLeft w:val="0"/>
      <w:marRight w:val="0"/>
      <w:marTop w:val="0"/>
      <w:marBottom w:val="0"/>
      <w:divBdr>
        <w:top w:val="none" w:sz="0" w:space="0" w:color="auto"/>
        <w:left w:val="none" w:sz="0" w:space="0" w:color="auto"/>
        <w:bottom w:val="none" w:sz="0" w:space="0" w:color="auto"/>
        <w:right w:val="none" w:sz="0" w:space="0" w:color="auto"/>
      </w:divBdr>
    </w:div>
    <w:div w:id="422260718">
      <w:bodyDiv w:val="1"/>
      <w:marLeft w:val="0"/>
      <w:marRight w:val="0"/>
      <w:marTop w:val="0"/>
      <w:marBottom w:val="0"/>
      <w:divBdr>
        <w:top w:val="none" w:sz="0" w:space="0" w:color="auto"/>
        <w:left w:val="none" w:sz="0" w:space="0" w:color="auto"/>
        <w:bottom w:val="none" w:sz="0" w:space="0" w:color="auto"/>
        <w:right w:val="none" w:sz="0" w:space="0" w:color="auto"/>
      </w:divBdr>
    </w:div>
    <w:div w:id="425425061">
      <w:bodyDiv w:val="1"/>
      <w:marLeft w:val="0"/>
      <w:marRight w:val="0"/>
      <w:marTop w:val="0"/>
      <w:marBottom w:val="0"/>
      <w:divBdr>
        <w:top w:val="none" w:sz="0" w:space="0" w:color="auto"/>
        <w:left w:val="none" w:sz="0" w:space="0" w:color="auto"/>
        <w:bottom w:val="none" w:sz="0" w:space="0" w:color="auto"/>
        <w:right w:val="none" w:sz="0" w:space="0" w:color="auto"/>
      </w:divBdr>
    </w:div>
    <w:div w:id="439297035">
      <w:bodyDiv w:val="1"/>
      <w:marLeft w:val="0"/>
      <w:marRight w:val="0"/>
      <w:marTop w:val="0"/>
      <w:marBottom w:val="0"/>
      <w:divBdr>
        <w:top w:val="none" w:sz="0" w:space="0" w:color="auto"/>
        <w:left w:val="none" w:sz="0" w:space="0" w:color="auto"/>
        <w:bottom w:val="none" w:sz="0" w:space="0" w:color="auto"/>
        <w:right w:val="none" w:sz="0" w:space="0" w:color="auto"/>
      </w:divBdr>
    </w:div>
    <w:div w:id="455102341">
      <w:bodyDiv w:val="1"/>
      <w:marLeft w:val="0"/>
      <w:marRight w:val="0"/>
      <w:marTop w:val="0"/>
      <w:marBottom w:val="0"/>
      <w:divBdr>
        <w:top w:val="none" w:sz="0" w:space="0" w:color="auto"/>
        <w:left w:val="none" w:sz="0" w:space="0" w:color="auto"/>
        <w:bottom w:val="none" w:sz="0" w:space="0" w:color="auto"/>
        <w:right w:val="none" w:sz="0" w:space="0" w:color="auto"/>
      </w:divBdr>
    </w:div>
    <w:div w:id="490175781">
      <w:bodyDiv w:val="1"/>
      <w:marLeft w:val="0"/>
      <w:marRight w:val="0"/>
      <w:marTop w:val="0"/>
      <w:marBottom w:val="0"/>
      <w:divBdr>
        <w:top w:val="none" w:sz="0" w:space="0" w:color="auto"/>
        <w:left w:val="none" w:sz="0" w:space="0" w:color="auto"/>
        <w:bottom w:val="none" w:sz="0" w:space="0" w:color="auto"/>
        <w:right w:val="none" w:sz="0" w:space="0" w:color="auto"/>
      </w:divBdr>
    </w:div>
    <w:div w:id="490294552">
      <w:bodyDiv w:val="1"/>
      <w:marLeft w:val="0"/>
      <w:marRight w:val="0"/>
      <w:marTop w:val="0"/>
      <w:marBottom w:val="0"/>
      <w:divBdr>
        <w:top w:val="none" w:sz="0" w:space="0" w:color="auto"/>
        <w:left w:val="none" w:sz="0" w:space="0" w:color="auto"/>
        <w:bottom w:val="none" w:sz="0" w:space="0" w:color="auto"/>
        <w:right w:val="none" w:sz="0" w:space="0" w:color="auto"/>
      </w:divBdr>
    </w:div>
    <w:div w:id="567885059">
      <w:bodyDiv w:val="1"/>
      <w:marLeft w:val="0"/>
      <w:marRight w:val="0"/>
      <w:marTop w:val="0"/>
      <w:marBottom w:val="0"/>
      <w:divBdr>
        <w:top w:val="none" w:sz="0" w:space="0" w:color="auto"/>
        <w:left w:val="none" w:sz="0" w:space="0" w:color="auto"/>
        <w:bottom w:val="none" w:sz="0" w:space="0" w:color="auto"/>
        <w:right w:val="none" w:sz="0" w:space="0" w:color="auto"/>
      </w:divBdr>
    </w:div>
    <w:div w:id="592593130">
      <w:bodyDiv w:val="1"/>
      <w:marLeft w:val="0"/>
      <w:marRight w:val="0"/>
      <w:marTop w:val="0"/>
      <w:marBottom w:val="0"/>
      <w:divBdr>
        <w:top w:val="none" w:sz="0" w:space="0" w:color="auto"/>
        <w:left w:val="none" w:sz="0" w:space="0" w:color="auto"/>
        <w:bottom w:val="none" w:sz="0" w:space="0" w:color="auto"/>
        <w:right w:val="none" w:sz="0" w:space="0" w:color="auto"/>
      </w:divBdr>
    </w:div>
    <w:div w:id="603000904">
      <w:bodyDiv w:val="1"/>
      <w:marLeft w:val="0"/>
      <w:marRight w:val="0"/>
      <w:marTop w:val="0"/>
      <w:marBottom w:val="0"/>
      <w:divBdr>
        <w:top w:val="none" w:sz="0" w:space="0" w:color="auto"/>
        <w:left w:val="none" w:sz="0" w:space="0" w:color="auto"/>
        <w:bottom w:val="none" w:sz="0" w:space="0" w:color="auto"/>
        <w:right w:val="none" w:sz="0" w:space="0" w:color="auto"/>
      </w:divBdr>
    </w:div>
    <w:div w:id="614214328">
      <w:bodyDiv w:val="1"/>
      <w:marLeft w:val="0"/>
      <w:marRight w:val="0"/>
      <w:marTop w:val="0"/>
      <w:marBottom w:val="0"/>
      <w:divBdr>
        <w:top w:val="none" w:sz="0" w:space="0" w:color="auto"/>
        <w:left w:val="none" w:sz="0" w:space="0" w:color="auto"/>
        <w:bottom w:val="none" w:sz="0" w:space="0" w:color="auto"/>
        <w:right w:val="none" w:sz="0" w:space="0" w:color="auto"/>
      </w:divBdr>
    </w:div>
    <w:div w:id="724914773">
      <w:bodyDiv w:val="1"/>
      <w:marLeft w:val="0"/>
      <w:marRight w:val="0"/>
      <w:marTop w:val="0"/>
      <w:marBottom w:val="0"/>
      <w:divBdr>
        <w:top w:val="none" w:sz="0" w:space="0" w:color="auto"/>
        <w:left w:val="none" w:sz="0" w:space="0" w:color="auto"/>
        <w:bottom w:val="none" w:sz="0" w:space="0" w:color="auto"/>
        <w:right w:val="none" w:sz="0" w:space="0" w:color="auto"/>
      </w:divBdr>
    </w:div>
    <w:div w:id="856239421">
      <w:bodyDiv w:val="1"/>
      <w:marLeft w:val="0"/>
      <w:marRight w:val="0"/>
      <w:marTop w:val="0"/>
      <w:marBottom w:val="0"/>
      <w:divBdr>
        <w:top w:val="none" w:sz="0" w:space="0" w:color="auto"/>
        <w:left w:val="none" w:sz="0" w:space="0" w:color="auto"/>
        <w:bottom w:val="none" w:sz="0" w:space="0" w:color="auto"/>
        <w:right w:val="none" w:sz="0" w:space="0" w:color="auto"/>
      </w:divBdr>
    </w:div>
    <w:div w:id="1026521419">
      <w:bodyDiv w:val="1"/>
      <w:marLeft w:val="0"/>
      <w:marRight w:val="0"/>
      <w:marTop w:val="0"/>
      <w:marBottom w:val="0"/>
      <w:divBdr>
        <w:top w:val="none" w:sz="0" w:space="0" w:color="auto"/>
        <w:left w:val="none" w:sz="0" w:space="0" w:color="auto"/>
        <w:bottom w:val="none" w:sz="0" w:space="0" w:color="auto"/>
        <w:right w:val="none" w:sz="0" w:space="0" w:color="auto"/>
      </w:divBdr>
    </w:div>
    <w:div w:id="1046026958">
      <w:bodyDiv w:val="1"/>
      <w:marLeft w:val="0"/>
      <w:marRight w:val="0"/>
      <w:marTop w:val="0"/>
      <w:marBottom w:val="0"/>
      <w:divBdr>
        <w:top w:val="none" w:sz="0" w:space="0" w:color="auto"/>
        <w:left w:val="none" w:sz="0" w:space="0" w:color="auto"/>
        <w:bottom w:val="none" w:sz="0" w:space="0" w:color="auto"/>
        <w:right w:val="none" w:sz="0" w:space="0" w:color="auto"/>
      </w:divBdr>
    </w:div>
    <w:div w:id="1051540494">
      <w:bodyDiv w:val="1"/>
      <w:marLeft w:val="0"/>
      <w:marRight w:val="0"/>
      <w:marTop w:val="0"/>
      <w:marBottom w:val="0"/>
      <w:divBdr>
        <w:top w:val="none" w:sz="0" w:space="0" w:color="auto"/>
        <w:left w:val="none" w:sz="0" w:space="0" w:color="auto"/>
        <w:bottom w:val="none" w:sz="0" w:space="0" w:color="auto"/>
        <w:right w:val="none" w:sz="0" w:space="0" w:color="auto"/>
      </w:divBdr>
    </w:div>
    <w:div w:id="1113671046">
      <w:bodyDiv w:val="1"/>
      <w:marLeft w:val="0"/>
      <w:marRight w:val="0"/>
      <w:marTop w:val="0"/>
      <w:marBottom w:val="0"/>
      <w:divBdr>
        <w:top w:val="none" w:sz="0" w:space="0" w:color="auto"/>
        <w:left w:val="none" w:sz="0" w:space="0" w:color="auto"/>
        <w:bottom w:val="none" w:sz="0" w:space="0" w:color="auto"/>
        <w:right w:val="none" w:sz="0" w:space="0" w:color="auto"/>
      </w:divBdr>
    </w:div>
    <w:div w:id="1178692616">
      <w:bodyDiv w:val="1"/>
      <w:marLeft w:val="0"/>
      <w:marRight w:val="0"/>
      <w:marTop w:val="0"/>
      <w:marBottom w:val="0"/>
      <w:divBdr>
        <w:top w:val="none" w:sz="0" w:space="0" w:color="auto"/>
        <w:left w:val="none" w:sz="0" w:space="0" w:color="auto"/>
        <w:bottom w:val="none" w:sz="0" w:space="0" w:color="auto"/>
        <w:right w:val="none" w:sz="0" w:space="0" w:color="auto"/>
      </w:divBdr>
    </w:div>
    <w:div w:id="1181814529">
      <w:bodyDiv w:val="1"/>
      <w:marLeft w:val="0"/>
      <w:marRight w:val="0"/>
      <w:marTop w:val="0"/>
      <w:marBottom w:val="0"/>
      <w:divBdr>
        <w:top w:val="none" w:sz="0" w:space="0" w:color="auto"/>
        <w:left w:val="none" w:sz="0" w:space="0" w:color="auto"/>
        <w:bottom w:val="none" w:sz="0" w:space="0" w:color="auto"/>
        <w:right w:val="none" w:sz="0" w:space="0" w:color="auto"/>
      </w:divBdr>
    </w:div>
    <w:div w:id="1186793256">
      <w:bodyDiv w:val="1"/>
      <w:marLeft w:val="0"/>
      <w:marRight w:val="0"/>
      <w:marTop w:val="0"/>
      <w:marBottom w:val="0"/>
      <w:divBdr>
        <w:top w:val="none" w:sz="0" w:space="0" w:color="auto"/>
        <w:left w:val="none" w:sz="0" w:space="0" w:color="auto"/>
        <w:bottom w:val="none" w:sz="0" w:space="0" w:color="auto"/>
        <w:right w:val="none" w:sz="0" w:space="0" w:color="auto"/>
      </w:divBdr>
    </w:div>
    <w:div w:id="1231111141">
      <w:bodyDiv w:val="1"/>
      <w:marLeft w:val="0"/>
      <w:marRight w:val="0"/>
      <w:marTop w:val="0"/>
      <w:marBottom w:val="0"/>
      <w:divBdr>
        <w:top w:val="none" w:sz="0" w:space="0" w:color="auto"/>
        <w:left w:val="none" w:sz="0" w:space="0" w:color="auto"/>
        <w:bottom w:val="none" w:sz="0" w:space="0" w:color="auto"/>
        <w:right w:val="none" w:sz="0" w:space="0" w:color="auto"/>
      </w:divBdr>
    </w:div>
    <w:div w:id="1257711299">
      <w:bodyDiv w:val="1"/>
      <w:marLeft w:val="0"/>
      <w:marRight w:val="0"/>
      <w:marTop w:val="0"/>
      <w:marBottom w:val="0"/>
      <w:divBdr>
        <w:top w:val="none" w:sz="0" w:space="0" w:color="auto"/>
        <w:left w:val="none" w:sz="0" w:space="0" w:color="auto"/>
        <w:bottom w:val="none" w:sz="0" w:space="0" w:color="auto"/>
        <w:right w:val="none" w:sz="0" w:space="0" w:color="auto"/>
      </w:divBdr>
      <w:divsChild>
        <w:div w:id="649484833">
          <w:marLeft w:val="0"/>
          <w:marRight w:val="0"/>
          <w:marTop w:val="0"/>
          <w:marBottom w:val="0"/>
          <w:divBdr>
            <w:top w:val="none" w:sz="0" w:space="0" w:color="auto"/>
            <w:left w:val="none" w:sz="0" w:space="0" w:color="auto"/>
            <w:bottom w:val="none" w:sz="0" w:space="0" w:color="auto"/>
            <w:right w:val="none" w:sz="0" w:space="0" w:color="auto"/>
          </w:divBdr>
        </w:div>
      </w:divsChild>
    </w:div>
    <w:div w:id="1313829272">
      <w:bodyDiv w:val="1"/>
      <w:marLeft w:val="0"/>
      <w:marRight w:val="0"/>
      <w:marTop w:val="0"/>
      <w:marBottom w:val="0"/>
      <w:divBdr>
        <w:top w:val="none" w:sz="0" w:space="0" w:color="auto"/>
        <w:left w:val="none" w:sz="0" w:space="0" w:color="auto"/>
        <w:bottom w:val="none" w:sz="0" w:space="0" w:color="auto"/>
        <w:right w:val="none" w:sz="0" w:space="0" w:color="auto"/>
      </w:divBdr>
    </w:div>
    <w:div w:id="1339577859">
      <w:bodyDiv w:val="1"/>
      <w:marLeft w:val="0"/>
      <w:marRight w:val="0"/>
      <w:marTop w:val="0"/>
      <w:marBottom w:val="0"/>
      <w:divBdr>
        <w:top w:val="none" w:sz="0" w:space="0" w:color="auto"/>
        <w:left w:val="none" w:sz="0" w:space="0" w:color="auto"/>
        <w:bottom w:val="none" w:sz="0" w:space="0" w:color="auto"/>
        <w:right w:val="none" w:sz="0" w:space="0" w:color="auto"/>
      </w:divBdr>
    </w:div>
    <w:div w:id="1346058838">
      <w:bodyDiv w:val="1"/>
      <w:marLeft w:val="0"/>
      <w:marRight w:val="0"/>
      <w:marTop w:val="0"/>
      <w:marBottom w:val="0"/>
      <w:divBdr>
        <w:top w:val="none" w:sz="0" w:space="0" w:color="auto"/>
        <w:left w:val="none" w:sz="0" w:space="0" w:color="auto"/>
        <w:bottom w:val="none" w:sz="0" w:space="0" w:color="auto"/>
        <w:right w:val="none" w:sz="0" w:space="0" w:color="auto"/>
      </w:divBdr>
    </w:div>
    <w:div w:id="1381512376">
      <w:bodyDiv w:val="1"/>
      <w:marLeft w:val="0"/>
      <w:marRight w:val="0"/>
      <w:marTop w:val="0"/>
      <w:marBottom w:val="0"/>
      <w:divBdr>
        <w:top w:val="none" w:sz="0" w:space="0" w:color="auto"/>
        <w:left w:val="none" w:sz="0" w:space="0" w:color="auto"/>
        <w:bottom w:val="none" w:sz="0" w:space="0" w:color="auto"/>
        <w:right w:val="none" w:sz="0" w:space="0" w:color="auto"/>
      </w:divBdr>
    </w:div>
    <w:div w:id="1410999542">
      <w:bodyDiv w:val="1"/>
      <w:marLeft w:val="0"/>
      <w:marRight w:val="0"/>
      <w:marTop w:val="0"/>
      <w:marBottom w:val="0"/>
      <w:divBdr>
        <w:top w:val="none" w:sz="0" w:space="0" w:color="auto"/>
        <w:left w:val="none" w:sz="0" w:space="0" w:color="auto"/>
        <w:bottom w:val="none" w:sz="0" w:space="0" w:color="auto"/>
        <w:right w:val="none" w:sz="0" w:space="0" w:color="auto"/>
      </w:divBdr>
    </w:div>
    <w:div w:id="1489710010">
      <w:bodyDiv w:val="1"/>
      <w:marLeft w:val="0"/>
      <w:marRight w:val="0"/>
      <w:marTop w:val="0"/>
      <w:marBottom w:val="0"/>
      <w:divBdr>
        <w:top w:val="none" w:sz="0" w:space="0" w:color="auto"/>
        <w:left w:val="none" w:sz="0" w:space="0" w:color="auto"/>
        <w:bottom w:val="none" w:sz="0" w:space="0" w:color="auto"/>
        <w:right w:val="none" w:sz="0" w:space="0" w:color="auto"/>
      </w:divBdr>
    </w:div>
    <w:div w:id="1507289432">
      <w:bodyDiv w:val="1"/>
      <w:marLeft w:val="0"/>
      <w:marRight w:val="0"/>
      <w:marTop w:val="0"/>
      <w:marBottom w:val="0"/>
      <w:divBdr>
        <w:top w:val="none" w:sz="0" w:space="0" w:color="auto"/>
        <w:left w:val="none" w:sz="0" w:space="0" w:color="auto"/>
        <w:bottom w:val="none" w:sz="0" w:space="0" w:color="auto"/>
        <w:right w:val="none" w:sz="0" w:space="0" w:color="auto"/>
      </w:divBdr>
    </w:div>
    <w:div w:id="1552888778">
      <w:bodyDiv w:val="1"/>
      <w:marLeft w:val="0"/>
      <w:marRight w:val="0"/>
      <w:marTop w:val="0"/>
      <w:marBottom w:val="0"/>
      <w:divBdr>
        <w:top w:val="none" w:sz="0" w:space="0" w:color="auto"/>
        <w:left w:val="none" w:sz="0" w:space="0" w:color="auto"/>
        <w:bottom w:val="none" w:sz="0" w:space="0" w:color="auto"/>
        <w:right w:val="none" w:sz="0" w:space="0" w:color="auto"/>
      </w:divBdr>
    </w:div>
    <w:div w:id="1636064165">
      <w:bodyDiv w:val="1"/>
      <w:marLeft w:val="0"/>
      <w:marRight w:val="0"/>
      <w:marTop w:val="0"/>
      <w:marBottom w:val="0"/>
      <w:divBdr>
        <w:top w:val="none" w:sz="0" w:space="0" w:color="auto"/>
        <w:left w:val="none" w:sz="0" w:space="0" w:color="auto"/>
        <w:bottom w:val="none" w:sz="0" w:space="0" w:color="auto"/>
        <w:right w:val="none" w:sz="0" w:space="0" w:color="auto"/>
      </w:divBdr>
    </w:div>
    <w:div w:id="1681615635">
      <w:bodyDiv w:val="1"/>
      <w:marLeft w:val="0"/>
      <w:marRight w:val="0"/>
      <w:marTop w:val="0"/>
      <w:marBottom w:val="0"/>
      <w:divBdr>
        <w:top w:val="none" w:sz="0" w:space="0" w:color="auto"/>
        <w:left w:val="none" w:sz="0" w:space="0" w:color="auto"/>
        <w:bottom w:val="none" w:sz="0" w:space="0" w:color="auto"/>
        <w:right w:val="none" w:sz="0" w:space="0" w:color="auto"/>
      </w:divBdr>
    </w:div>
    <w:div w:id="1696075907">
      <w:bodyDiv w:val="1"/>
      <w:marLeft w:val="0"/>
      <w:marRight w:val="0"/>
      <w:marTop w:val="0"/>
      <w:marBottom w:val="0"/>
      <w:divBdr>
        <w:top w:val="none" w:sz="0" w:space="0" w:color="auto"/>
        <w:left w:val="none" w:sz="0" w:space="0" w:color="auto"/>
        <w:bottom w:val="none" w:sz="0" w:space="0" w:color="auto"/>
        <w:right w:val="none" w:sz="0" w:space="0" w:color="auto"/>
      </w:divBdr>
    </w:div>
    <w:div w:id="1738554878">
      <w:bodyDiv w:val="1"/>
      <w:marLeft w:val="0"/>
      <w:marRight w:val="0"/>
      <w:marTop w:val="0"/>
      <w:marBottom w:val="0"/>
      <w:divBdr>
        <w:top w:val="none" w:sz="0" w:space="0" w:color="auto"/>
        <w:left w:val="none" w:sz="0" w:space="0" w:color="auto"/>
        <w:bottom w:val="none" w:sz="0" w:space="0" w:color="auto"/>
        <w:right w:val="none" w:sz="0" w:space="0" w:color="auto"/>
      </w:divBdr>
    </w:div>
    <w:div w:id="1822190899">
      <w:bodyDiv w:val="1"/>
      <w:marLeft w:val="0"/>
      <w:marRight w:val="0"/>
      <w:marTop w:val="0"/>
      <w:marBottom w:val="0"/>
      <w:divBdr>
        <w:top w:val="none" w:sz="0" w:space="0" w:color="auto"/>
        <w:left w:val="none" w:sz="0" w:space="0" w:color="auto"/>
        <w:bottom w:val="none" w:sz="0" w:space="0" w:color="auto"/>
        <w:right w:val="none" w:sz="0" w:space="0" w:color="auto"/>
      </w:divBdr>
    </w:div>
    <w:div w:id="1859347825">
      <w:bodyDiv w:val="1"/>
      <w:marLeft w:val="0"/>
      <w:marRight w:val="0"/>
      <w:marTop w:val="0"/>
      <w:marBottom w:val="0"/>
      <w:divBdr>
        <w:top w:val="none" w:sz="0" w:space="0" w:color="auto"/>
        <w:left w:val="none" w:sz="0" w:space="0" w:color="auto"/>
        <w:bottom w:val="none" w:sz="0" w:space="0" w:color="auto"/>
        <w:right w:val="none" w:sz="0" w:space="0" w:color="auto"/>
      </w:divBdr>
    </w:div>
    <w:div w:id="1881044396">
      <w:bodyDiv w:val="1"/>
      <w:marLeft w:val="0"/>
      <w:marRight w:val="0"/>
      <w:marTop w:val="0"/>
      <w:marBottom w:val="0"/>
      <w:divBdr>
        <w:top w:val="none" w:sz="0" w:space="0" w:color="auto"/>
        <w:left w:val="none" w:sz="0" w:space="0" w:color="auto"/>
        <w:bottom w:val="none" w:sz="0" w:space="0" w:color="auto"/>
        <w:right w:val="none" w:sz="0" w:space="0" w:color="auto"/>
      </w:divBdr>
    </w:div>
    <w:div w:id="1892964225">
      <w:bodyDiv w:val="1"/>
      <w:marLeft w:val="0"/>
      <w:marRight w:val="0"/>
      <w:marTop w:val="0"/>
      <w:marBottom w:val="0"/>
      <w:divBdr>
        <w:top w:val="none" w:sz="0" w:space="0" w:color="auto"/>
        <w:left w:val="none" w:sz="0" w:space="0" w:color="auto"/>
        <w:bottom w:val="none" w:sz="0" w:space="0" w:color="auto"/>
        <w:right w:val="none" w:sz="0" w:space="0" w:color="auto"/>
      </w:divBdr>
    </w:div>
    <w:div w:id="1915428659">
      <w:bodyDiv w:val="1"/>
      <w:marLeft w:val="0"/>
      <w:marRight w:val="0"/>
      <w:marTop w:val="0"/>
      <w:marBottom w:val="0"/>
      <w:divBdr>
        <w:top w:val="none" w:sz="0" w:space="0" w:color="auto"/>
        <w:left w:val="none" w:sz="0" w:space="0" w:color="auto"/>
        <w:bottom w:val="none" w:sz="0" w:space="0" w:color="auto"/>
        <w:right w:val="none" w:sz="0" w:space="0" w:color="auto"/>
      </w:divBdr>
    </w:div>
    <w:div w:id="1924610206">
      <w:bodyDiv w:val="1"/>
      <w:marLeft w:val="0"/>
      <w:marRight w:val="0"/>
      <w:marTop w:val="0"/>
      <w:marBottom w:val="0"/>
      <w:divBdr>
        <w:top w:val="none" w:sz="0" w:space="0" w:color="auto"/>
        <w:left w:val="none" w:sz="0" w:space="0" w:color="auto"/>
        <w:bottom w:val="none" w:sz="0" w:space="0" w:color="auto"/>
        <w:right w:val="none" w:sz="0" w:space="0" w:color="auto"/>
      </w:divBdr>
    </w:div>
    <w:div w:id="1997493476">
      <w:bodyDiv w:val="1"/>
      <w:marLeft w:val="0"/>
      <w:marRight w:val="0"/>
      <w:marTop w:val="0"/>
      <w:marBottom w:val="0"/>
      <w:divBdr>
        <w:top w:val="none" w:sz="0" w:space="0" w:color="auto"/>
        <w:left w:val="none" w:sz="0" w:space="0" w:color="auto"/>
        <w:bottom w:val="none" w:sz="0" w:space="0" w:color="auto"/>
        <w:right w:val="none" w:sz="0" w:space="0" w:color="auto"/>
      </w:divBdr>
    </w:div>
    <w:div w:id="2013756084">
      <w:bodyDiv w:val="1"/>
      <w:marLeft w:val="0"/>
      <w:marRight w:val="0"/>
      <w:marTop w:val="0"/>
      <w:marBottom w:val="0"/>
      <w:divBdr>
        <w:top w:val="none" w:sz="0" w:space="0" w:color="auto"/>
        <w:left w:val="none" w:sz="0" w:space="0" w:color="auto"/>
        <w:bottom w:val="none" w:sz="0" w:space="0" w:color="auto"/>
        <w:right w:val="none" w:sz="0" w:space="0" w:color="auto"/>
      </w:divBdr>
    </w:div>
    <w:div w:id="2026588483">
      <w:bodyDiv w:val="1"/>
      <w:marLeft w:val="0"/>
      <w:marRight w:val="0"/>
      <w:marTop w:val="0"/>
      <w:marBottom w:val="0"/>
      <w:divBdr>
        <w:top w:val="none" w:sz="0" w:space="0" w:color="auto"/>
        <w:left w:val="none" w:sz="0" w:space="0" w:color="auto"/>
        <w:bottom w:val="none" w:sz="0" w:space="0" w:color="auto"/>
        <w:right w:val="none" w:sz="0" w:space="0" w:color="auto"/>
      </w:divBdr>
    </w:div>
    <w:div w:id="2061130278">
      <w:bodyDiv w:val="1"/>
      <w:marLeft w:val="0"/>
      <w:marRight w:val="0"/>
      <w:marTop w:val="0"/>
      <w:marBottom w:val="0"/>
      <w:divBdr>
        <w:top w:val="none" w:sz="0" w:space="0" w:color="auto"/>
        <w:left w:val="none" w:sz="0" w:space="0" w:color="auto"/>
        <w:bottom w:val="none" w:sz="0" w:space="0" w:color="auto"/>
        <w:right w:val="none" w:sz="0" w:space="0" w:color="auto"/>
      </w:divBdr>
    </w:div>
    <w:div w:id="2091854318">
      <w:bodyDiv w:val="1"/>
      <w:marLeft w:val="0"/>
      <w:marRight w:val="0"/>
      <w:marTop w:val="0"/>
      <w:marBottom w:val="0"/>
      <w:divBdr>
        <w:top w:val="none" w:sz="0" w:space="0" w:color="auto"/>
        <w:left w:val="none" w:sz="0" w:space="0" w:color="auto"/>
        <w:bottom w:val="none" w:sz="0" w:space="0" w:color="auto"/>
        <w:right w:val="none" w:sz="0" w:space="0" w:color="auto"/>
      </w:divBdr>
    </w:div>
    <w:div w:id="2134404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image" Target="media/image2.emf"/><Relationship Id="rId26" Type="http://schemas.openxmlformats.org/officeDocument/2006/relationships/diagramLayout" Target="diagrams/layout2.xm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diagramData" Target="diagrams/data2.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diagramData" Target="diagrams/data1.xml"/><Relationship Id="rId29"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07/relationships/diagramDrawing" Target="diagrams/drawing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diagramColors" Target="diagrams/colors1.xml"/><Relationship Id="rId28" Type="http://schemas.openxmlformats.org/officeDocument/2006/relationships/diagramColors" Target="diagrams/colors2.xml"/><Relationship Id="rId10" Type="http://schemas.openxmlformats.org/officeDocument/2006/relationships/footer" Target="footer2.xml"/><Relationship Id="rId19" Type="http://schemas.openxmlformats.org/officeDocument/2006/relationships/image" Target="media/image3.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diagramQuickStyle" Target="diagrams/quickStyle1.xml"/><Relationship Id="rId27" Type="http://schemas.openxmlformats.org/officeDocument/2006/relationships/diagramQuickStyle" Target="diagrams/quickStyle2.xml"/><Relationship Id="rId30" Type="http://schemas.openxmlformats.org/officeDocument/2006/relationships/image" Target="media/image4.emf"/></Relationships>
</file>

<file path=word/_rels/footnotes.xml.rels><?xml version="1.0" encoding="UTF-8" standalone="yes"?>
<Relationships xmlns="http://schemas.openxmlformats.org/package/2006/relationships"><Relationship Id="rId3" Type="http://schemas.openxmlformats.org/officeDocument/2006/relationships/hyperlink" Target="https://www.unicef.org/png/media/2061/file/WB-UNICEF-PNG-HFPS.pdf" TargetMode="External"/><Relationship Id="rId7" Type="http://schemas.openxmlformats.org/officeDocument/2006/relationships/hyperlink" Target="https://www.dfat.gov.au/sites/default/files/gender-equality-and-womens-empowerment-strategy.pdf" TargetMode="External"/><Relationship Id="rId2" Type="http://schemas.openxmlformats.org/officeDocument/2006/relationships/hyperlink" Target="https://www.mdpi.com/2071-1050/10/11/4200/pdf" TargetMode="External"/><Relationship Id="rId1" Type="http://schemas.openxmlformats.org/officeDocument/2006/relationships/hyperlink" Target="https://png-data.sprep.org/dataset/2011-census-report" TargetMode="External"/><Relationship Id="rId6" Type="http://schemas.openxmlformats.org/officeDocument/2006/relationships/hyperlink" Target="https://www.dfat.gov.au/sites/default/files/papua-new-guinea-australia-comprehensive-strategic-and-economic-partnership-signed.pdf" TargetMode="External"/><Relationship Id="rId5" Type="http://schemas.openxmlformats.org/officeDocument/2006/relationships/hyperlink" Target="https://www.dfat.gov.au/development/australias-development-program/covid-19-development-response-plans/papua-new-guinea-covid-19-development-response-plan" TargetMode="External"/><Relationship Id="rId4" Type="http://schemas.openxmlformats.org/officeDocument/2006/relationships/hyperlink" Target="https://www.dfat.gov.au/development/australias-development-program/partnerships-recovery-australias-covid-19-development-respons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C15828-E0E0-9749-AFA3-B3DB0062EF03}" type="doc">
      <dgm:prSet loTypeId="urn:microsoft.com/office/officeart/2005/8/layout/orgChart1" loCatId="" qsTypeId="urn:microsoft.com/office/officeart/2005/8/quickstyle/simple1" qsCatId="simple" csTypeId="urn:microsoft.com/office/officeart/2005/8/colors/accent1_2" csCatId="accent1" phldr="1"/>
      <dgm:spPr/>
      <dgm:t>
        <a:bodyPr/>
        <a:lstStyle/>
        <a:p>
          <a:endParaRPr lang="en-GB"/>
        </a:p>
      </dgm:t>
    </dgm:pt>
    <dgm:pt modelId="{C3730725-67AD-CA4D-AAB7-EF7C176CBB97}">
      <dgm:prSet phldrT="[Text]" custT="1"/>
      <dgm:spPr/>
      <dgm:t>
        <a:bodyPr/>
        <a:lstStyle/>
        <a:p>
          <a:pPr algn="ctr"/>
          <a:r>
            <a:rPr lang="en-GB" sz="900"/>
            <a:t>EOIO: Targeted communities have more sustainable livelihoods and improved food security</a:t>
          </a:r>
        </a:p>
      </dgm:t>
      <dgm:extLst>
        <a:ext uri="{E40237B7-FDA0-4F09-8148-C483321AD2D9}">
          <dgm14:cNvPr xmlns:dgm14="http://schemas.microsoft.com/office/drawing/2010/diagram" id="0" name="" descr="EOIO: Targeted communities have more sustainable livelihoods and improved food security&#10;"/>
        </a:ext>
      </dgm:extLst>
    </dgm:pt>
    <dgm:pt modelId="{8338C50B-EA77-9547-8F7E-6D66CD6C232F}" type="parTrans" cxnId="{A270C8A2-100D-E045-8F4F-6FFB50F73C16}">
      <dgm:prSet/>
      <dgm:spPr/>
      <dgm:t>
        <a:bodyPr/>
        <a:lstStyle/>
        <a:p>
          <a:pPr algn="ctr"/>
          <a:endParaRPr lang="en-GB"/>
        </a:p>
      </dgm:t>
    </dgm:pt>
    <dgm:pt modelId="{B552EAB7-E635-4E4D-89A6-825E268AE078}" type="sibTrans" cxnId="{A270C8A2-100D-E045-8F4F-6FFB50F73C16}">
      <dgm:prSet/>
      <dgm:spPr/>
      <dgm:t>
        <a:bodyPr/>
        <a:lstStyle/>
        <a:p>
          <a:pPr algn="ctr"/>
          <a:endParaRPr lang="en-GB"/>
        </a:p>
      </dgm:t>
    </dgm:pt>
    <dgm:pt modelId="{B502AB8C-DD11-5845-BDBC-67FF6EEB4407}">
      <dgm:prSet phldrT="[Text]" custT="1"/>
      <dgm:spPr/>
      <dgm:t>
        <a:bodyPr/>
        <a:lstStyle/>
        <a:p>
          <a:pPr algn="ctr"/>
          <a:r>
            <a:rPr lang="en-GB" sz="900"/>
            <a:t>Households in targeted wards have improved food gardens, with a diversity of crops</a:t>
          </a:r>
        </a:p>
      </dgm:t>
      <dgm:extLst>
        <a:ext uri="{E40237B7-FDA0-4F09-8148-C483321AD2D9}">
          <dgm14:cNvPr xmlns:dgm14="http://schemas.microsoft.com/office/drawing/2010/diagram" id="0" name="" descr="Households in targeted wards have improved food gardens, with a diversity of crops&#10;"/>
        </a:ext>
      </dgm:extLst>
    </dgm:pt>
    <dgm:pt modelId="{1A42AF8D-10BF-5844-8BA4-B7064D551973}" type="parTrans" cxnId="{133DEAE8-2AD5-0447-A31E-89C81176013B}">
      <dgm:prSet/>
      <dgm:spPr/>
      <dgm:t>
        <a:bodyPr/>
        <a:lstStyle/>
        <a:p>
          <a:pPr algn="ctr"/>
          <a:endParaRPr lang="en-GB"/>
        </a:p>
      </dgm:t>
    </dgm:pt>
    <dgm:pt modelId="{4D1DC351-FAF1-2C43-8497-B67840ED5569}" type="sibTrans" cxnId="{133DEAE8-2AD5-0447-A31E-89C81176013B}">
      <dgm:prSet/>
      <dgm:spPr/>
      <dgm:t>
        <a:bodyPr/>
        <a:lstStyle/>
        <a:p>
          <a:pPr algn="ctr"/>
          <a:endParaRPr lang="en-GB"/>
        </a:p>
      </dgm:t>
    </dgm:pt>
    <dgm:pt modelId="{6E5EFB05-C9EE-6640-8F10-F0495B23AABA}">
      <dgm:prSet phldrT="[Text]" custT="1"/>
      <dgm:spPr/>
      <dgm:t>
        <a:bodyPr/>
        <a:lstStyle/>
        <a:p>
          <a:pPr algn="ctr"/>
          <a:r>
            <a:rPr lang="en-GB" sz="900"/>
            <a:t>Target wards have increased income generation through sales of surplus produce or micro businesses</a:t>
          </a:r>
        </a:p>
      </dgm:t>
      <dgm:extLst>
        <a:ext uri="{E40237B7-FDA0-4F09-8148-C483321AD2D9}">
          <dgm14:cNvPr xmlns:dgm14="http://schemas.microsoft.com/office/drawing/2010/diagram" id="0" name="" descr="Target wards have increased income generation through sales of surplus produce or micro businesses&#10;"/>
        </a:ext>
      </dgm:extLst>
    </dgm:pt>
    <dgm:pt modelId="{7103B948-D2FC-AD4A-9C90-7EB66ABB735C}" type="parTrans" cxnId="{D97138AA-0FAD-5747-A777-7D9F8CF48309}">
      <dgm:prSet/>
      <dgm:spPr/>
      <dgm:t>
        <a:bodyPr/>
        <a:lstStyle/>
        <a:p>
          <a:pPr algn="ctr"/>
          <a:endParaRPr lang="en-GB"/>
        </a:p>
      </dgm:t>
    </dgm:pt>
    <dgm:pt modelId="{F60612F5-63F9-3C4B-9A12-D10F16AE4027}" type="sibTrans" cxnId="{D97138AA-0FAD-5747-A777-7D9F8CF48309}">
      <dgm:prSet/>
      <dgm:spPr/>
      <dgm:t>
        <a:bodyPr/>
        <a:lstStyle/>
        <a:p>
          <a:pPr algn="ctr"/>
          <a:endParaRPr lang="en-GB"/>
        </a:p>
      </dgm:t>
    </dgm:pt>
    <dgm:pt modelId="{E60F8AA6-6F89-E348-ADED-08C604C4A99F}">
      <dgm:prSet phldrT="[Text]" custT="1"/>
      <dgm:spPr/>
      <dgm:t>
        <a:bodyPr/>
        <a:lstStyle/>
        <a:p>
          <a:pPr algn="ctr"/>
          <a:r>
            <a:rPr lang="en-GB" sz="900"/>
            <a:t>Enhanced domestic or local supply chains, that pay higher prices and sustain the environment</a:t>
          </a:r>
        </a:p>
      </dgm:t>
      <dgm:extLst>
        <a:ext uri="{E40237B7-FDA0-4F09-8148-C483321AD2D9}">
          <dgm14:cNvPr xmlns:dgm14="http://schemas.microsoft.com/office/drawing/2010/diagram" id="0" name="" descr="Enhanced domestic or local supply chains, that pay higher prices and sustain the environment&#10;"/>
        </a:ext>
      </dgm:extLst>
    </dgm:pt>
    <dgm:pt modelId="{71EB0C64-B6D1-6945-8B02-1249CA85CC93}" type="parTrans" cxnId="{16C44DA1-A7CB-A945-9B92-EF3366011175}">
      <dgm:prSet/>
      <dgm:spPr/>
      <dgm:t>
        <a:bodyPr/>
        <a:lstStyle/>
        <a:p>
          <a:pPr algn="ctr"/>
          <a:endParaRPr lang="en-GB"/>
        </a:p>
      </dgm:t>
    </dgm:pt>
    <dgm:pt modelId="{5A101A78-29CC-CA4F-A887-080D5255929F}" type="sibTrans" cxnId="{16C44DA1-A7CB-A945-9B92-EF3366011175}">
      <dgm:prSet/>
      <dgm:spPr/>
      <dgm:t>
        <a:bodyPr/>
        <a:lstStyle/>
        <a:p>
          <a:pPr algn="ctr"/>
          <a:endParaRPr lang="en-GB"/>
        </a:p>
      </dgm:t>
    </dgm:pt>
    <dgm:pt modelId="{F2BBDFAE-2432-A545-9E3B-0EF357A3A6DB}">
      <dgm:prSet phldrT="[Text]" custT="1"/>
      <dgm:spPr/>
      <dgm:t>
        <a:bodyPr/>
        <a:lstStyle/>
        <a:p>
          <a:pPr algn="ctr"/>
          <a:r>
            <a:rPr lang="en-GB" sz="900"/>
            <a:t>Governance capacity strengthened to plan for and address social and economic needs</a:t>
          </a:r>
        </a:p>
      </dgm:t>
      <dgm:extLst>
        <a:ext uri="{E40237B7-FDA0-4F09-8148-C483321AD2D9}">
          <dgm14:cNvPr xmlns:dgm14="http://schemas.microsoft.com/office/drawing/2010/diagram" id="0" name="" descr="Governance capacity strengthened to plan for and address social and economic needs"/>
        </a:ext>
      </dgm:extLst>
    </dgm:pt>
    <dgm:pt modelId="{678CE823-B754-4E44-B287-758C4C7C4D0B}" type="parTrans" cxnId="{9C5F5F4B-74BA-1A46-BBE9-36975723803A}">
      <dgm:prSet/>
      <dgm:spPr/>
      <dgm:t>
        <a:bodyPr/>
        <a:lstStyle/>
        <a:p>
          <a:pPr algn="ctr"/>
          <a:endParaRPr lang="en-GB"/>
        </a:p>
      </dgm:t>
    </dgm:pt>
    <dgm:pt modelId="{7EB720C3-8410-D64B-964D-2B0367BE7AE7}" type="sibTrans" cxnId="{9C5F5F4B-74BA-1A46-BBE9-36975723803A}">
      <dgm:prSet/>
      <dgm:spPr/>
      <dgm:t>
        <a:bodyPr/>
        <a:lstStyle/>
        <a:p>
          <a:pPr algn="ctr"/>
          <a:endParaRPr lang="en-GB"/>
        </a:p>
      </dgm:t>
    </dgm:pt>
    <dgm:pt modelId="{29A89B69-A48C-C94E-AB1C-4C23BDA02ACD}" type="pres">
      <dgm:prSet presAssocID="{B3C15828-E0E0-9749-AFA3-B3DB0062EF03}" presName="hierChild1" presStyleCnt="0">
        <dgm:presLayoutVars>
          <dgm:orgChart val="1"/>
          <dgm:chPref val="1"/>
          <dgm:dir/>
          <dgm:animOne val="branch"/>
          <dgm:animLvl val="lvl"/>
          <dgm:resizeHandles/>
        </dgm:presLayoutVars>
      </dgm:prSet>
      <dgm:spPr/>
    </dgm:pt>
    <dgm:pt modelId="{A54BAA58-3E75-A04F-B681-FF0B31B47259}" type="pres">
      <dgm:prSet presAssocID="{C3730725-67AD-CA4D-AAB7-EF7C176CBB97}" presName="hierRoot1" presStyleCnt="0">
        <dgm:presLayoutVars>
          <dgm:hierBranch val="init"/>
        </dgm:presLayoutVars>
      </dgm:prSet>
      <dgm:spPr/>
    </dgm:pt>
    <dgm:pt modelId="{17D78BB5-A882-8741-85A9-5D80B669FC1C}" type="pres">
      <dgm:prSet presAssocID="{C3730725-67AD-CA4D-AAB7-EF7C176CBB97}" presName="rootComposite1" presStyleCnt="0"/>
      <dgm:spPr/>
    </dgm:pt>
    <dgm:pt modelId="{CCC35DA1-C869-3947-9372-D5B995542744}" type="pres">
      <dgm:prSet presAssocID="{C3730725-67AD-CA4D-AAB7-EF7C176CBB97}" presName="rootText1" presStyleLbl="node0" presStyleIdx="0" presStyleCnt="1" custScaleY="134045" custLinFactNeighborX="1786" custLinFactNeighborY="893">
        <dgm:presLayoutVars>
          <dgm:chPref val="3"/>
        </dgm:presLayoutVars>
      </dgm:prSet>
      <dgm:spPr/>
    </dgm:pt>
    <dgm:pt modelId="{417BFE58-5FF1-3444-96A8-D9C242E74E67}" type="pres">
      <dgm:prSet presAssocID="{C3730725-67AD-CA4D-AAB7-EF7C176CBB97}" presName="rootConnector1" presStyleLbl="node1" presStyleIdx="0" presStyleCnt="0"/>
      <dgm:spPr/>
    </dgm:pt>
    <dgm:pt modelId="{FFD62FAE-7E7D-9042-BE9C-891B857062CA}" type="pres">
      <dgm:prSet presAssocID="{C3730725-67AD-CA4D-AAB7-EF7C176CBB97}" presName="hierChild2" presStyleCnt="0"/>
      <dgm:spPr/>
    </dgm:pt>
    <dgm:pt modelId="{3069193A-1E2E-4F4F-9121-415189480B9C}" type="pres">
      <dgm:prSet presAssocID="{1A42AF8D-10BF-5844-8BA4-B7064D551973}" presName="Name37" presStyleLbl="parChTrans1D2" presStyleIdx="0" presStyleCnt="4"/>
      <dgm:spPr/>
    </dgm:pt>
    <dgm:pt modelId="{C0ACB569-AAC1-E540-86C7-ABABCF5753F4}" type="pres">
      <dgm:prSet presAssocID="{B502AB8C-DD11-5845-BDBC-67FF6EEB4407}" presName="hierRoot2" presStyleCnt="0">
        <dgm:presLayoutVars>
          <dgm:hierBranch val="init"/>
        </dgm:presLayoutVars>
      </dgm:prSet>
      <dgm:spPr/>
    </dgm:pt>
    <dgm:pt modelId="{53B95EA8-C17F-F549-A44B-F7FEFE7955A5}" type="pres">
      <dgm:prSet presAssocID="{B502AB8C-DD11-5845-BDBC-67FF6EEB4407}" presName="rootComposite" presStyleCnt="0"/>
      <dgm:spPr/>
    </dgm:pt>
    <dgm:pt modelId="{65805B4E-0AAA-4E4A-938D-CD922C096065}" type="pres">
      <dgm:prSet presAssocID="{B502AB8C-DD11-5845-BDBC-67FF6EEB4407}" presName="rootText" presStyleLbl="node2" presStyleIdx="0" presStyleCnt="4" custScaleY="134045">
        <dgm:presLayoutVars>
          <dgm:chPref val="3"/>
        </dgm:presLayoutVars>
      </dgm:prSet>
      <dgm:spPr/>
    </dgm:pt>
    <dgm:pt modelId="{582087C5-D828-E149-8550-02E972C81B73}" type="pres">
      <dgm:prSet presAssocID="{B502AB8C-DD11-5845-BDBC-67FF6EEB4407}" presName="rootConnector" presStyleLbl="node2" presStyleIdx="0" presStyleCnt="4"/>
      <dgm:spPr/>
    </dgm:pt>
    <dgm:pt modelId="{F848522C-A4AD-EA46-8B24-52D915AB8C7C}" type="pres">
      <dgm:prSet presAssocID="{B502AB8C-DD11-5845-BDBC-67FF6EEB4407}" presName="hierChild4" presStyleCnt="0"/>
      <dgm:spPr/>
    </dgm:pt>
    <dgm:pt modelId="{D696F25A-5D20-894A-ACB8-E4A635784AB0}" type="pres">
      <dgm:prSet presAssocID="{B502AB8C-DD11-5845-BDBC-67FF6EEB4407}" presName="hierChild5" presStyleCnt="0"/>
      <dgm:spPr/>
    </dgm:pt>
    <dgm:pt modelId="{DBC0614F-9524-364A-B1D2-515F0D9100BE}" type="pres">
      <dgm:prSet presAssocID="{7103B948-D2FC-AD4A-9C90-7EB66ABB735C}" presName="Name37" presStyleLbl="parChTrans1D2" presStyleIdx="1" presStyleCnt="4"/>
      <dgm:spPr/>
    </dgm:pt>
    <dgm:pt modelId="{F118CBCE-8B4D-C04F-AD78-9939AD869BA1}" type="pres">
      <dgm:prSet presAssocID="{6E5EFB05-C9EE-6640-8F10-F0495B23AABA}" presName="hierRoot2" presStyleCnt="0">
        <dgm:presLayoutVars>
          <dgm:hierBranch val="init"/>
        </dgm:presLayoutVars>
      </dgm:prSet>
      <dgm:spPr/>
    </dgm:pt>
    <dgm:pt modelId="{09757103-E79A-8F46-9851-8CFB4C30E948}" type="pres">
      <dgm:prSet presAssocID="{6E5EFB05-C9EE-6640-8F10-F0495B23AABA}" presName="rootComposite" presStyleCnt="0"/>
      <dgm:spPr/>
    </dgm:pt>
    <dgm:pt modelId="{E636002D-DA91-974E-832D-0BCE4FD3C42E}" type="pres">
      <dgm:prSet presAssocID="{6E5EFB05-C9EE-6640-8F10-F0495B23AABA}" presName="rootText" presStyleLbl="node2" presStyleIdx="1" presStyleCnt="4" custScaleY="134045">
        <dgm:presLayoutVars>
          <dgm:chPref val="3"/>
        </dgm:presLayoutVars>
      </dgm:prSet>
      <dgm:spPr/>
    </dgm:pt>
    <dgm:pt modelId="{8B3A479D-D650-BE44-9CF0-399759E587AF}" type="pres">
      <dgm:prSet presAssocID="{6E5EFB05-C9EE-6640-8F10-F0495B23AABA}" presName="rootConnector" presStyleLbl="node2" presStyleIdx="1" presStyleCnt="4"/>
      <dgm:spPr/>
    </dgm:pt>
    <dgm:pt modelId="{787AB434-E8F6-474B-997A-4658EF61479A}" type="pres">
      <dgm:prSet presAssocID="{6E5EFB05-C9EE-6640-8F10-F0495B23AABA}" presName="hierChild4" presStyleCnt="0"/>
      <dgm:spPr/>
    </dgm:pt>
    <dgm:pt modelId="{FDDCF830-7EB9-864D-9D68-4C2C2C0F2E4F}" type="pres">
      <dgm:prSet presAssocID="{6E5EFB05-C9EE-6640-8F10-F0495B23AABA}" presName="hierChild5" presStyleCnt="0"/>
      <dgm:spPr/>
    </dgm:pt>
    <dgm:pt modelId="{8B23D74C-EC63-7B47-A35D-583A62C4799B}" type="pres">
      <dgm:prSet presAssocID="{71EB0C64-B6D1-6945-8B02-1249CA85CC93}" presName="Name37" presStyleLbl="parChTrans1D2" presStyleIdx="2" presStyleCnt="4"/>
      <dgm:spPr/>
    </dgm:pt>
    <dgm:pt modelId="{16083F31-0142-3541-AF9E-6A5A28810FA3}" type="pres">
      <dgm:prSet presAssocID="{E60F8AA6-6F89-E348-ADED-08C604C4A99F}" presName="hierRoot2" presStyleCnt="0">
        <dgm:presLayoutVars>
          <dgm:hierBranch val="init"/>
        </dgm:presLayoutVars>
      </dgm:prSet>
      <dgm:spPr/>
    </dgm:pt>
    <dgm:pt modelId="{4EBCB33A-8E70-BD41-9F8F-092583300EFC}" type="pres">
      <dgm:prSet presAssocID="{E60F8AA6-6F89-E348-ADED-08C604C4A99F}" presName="rootComposite" presStyleCnt="0"/>
      <dgm:spPr/>
    </dgm:pt>
    <dgm:pt modelId="{767C7D54-4202-8F48-8F07-E1EBC7B7DF48}" type="pres">
      <dgm:prSet presAssocID="{E60F8AA6-6F89-E348-ADED-08C604C4A99F}" presName="rootText" presStyleLbl="node2" presStyleIdx="2" presStyleCnt="4" custScaleY="134045">
        <dgm:presLayoutVars>
          <dgm:chPref val="3"/>
        </dgm:presLayoutVars>
      </dgm:prSet>
      <dgm:spPr/>
    </dgm:pt>
    <dgm:pt modelId="{223F1979-B566-7B41-9B70-DBD064D10842}" type="pres">
      <dgm:prSet presAssocID="{E60F8AA6-6F89-E348-ADED-08C604C4A99F}" presName="rootConnector" presStyleLbl="node2" presStyleIdx="2" presStyleCnt="4"/>
      <dgm:spPr/>
    </dgm:pt>
    <dgm:pt modelId="{610EF70D-D668-004B-BD9B-7CCB4E991576}" type="pres">
      <dgm:prSet presAssocID="{E60F8AA6-6F89-E348-ADED-08C604C4A99F}" presName="hierChild4" presStyleCnt="0"/>
      <dgm:spPr/>
    </dgm:pt>
    <dgm:pt modelId="{6DEA79C0-2688-9E42-AAF0-B3D1BE6DD7F0}" type="pres">
      <dgm:prSet presAssocID="{E60F8AA6-6F89-E348-ADED-08C604C4A99F}" presName="hierChild5" presStyleCnt="0"/>
      <dgm:spPr/>
    </dgm:pt>
    <dgm:pt modelId="{6E80171C-C606-D442-A182-39007CF16D0A}" type="pres">
      <dgm:prSet presAssocID="{678CE823-B754-4E44-B287-758C4C7C4D0B}" presName="Name37" presStyleLbl="parChTrans1D2" presStyleIdx="3" presStyleCnt="4"/>
      <dgm:spPr/>
    </dgm:pt>
    <dgm:pt modelId="{7DD2BCD0-8DD9-9E47-BD38-2F1939EE4F09}" type="pres">
      <dgm:prSet presAssocID="{F2BBDFAE-2432-A545-9E3B-0EF357A3A6DB}" presName="hierRoot2" presStyleCnt="0">
        <dgm:presLayoutVars>
          <dgm:hierBranch val="init"/>
        </dgm:presLayoutVars>
      </dgm:prSet>
      <dgm:spPr/>
    </dgm:pt>
    <dgm:pt modelId="{998F16F4-ED6E-1840-A046-E618A35AC05C}" type="pres">
      <dgm:prSet presAssocID="{F2BBDFAE-2432-A545-9E3B-0EF357A3A6DB}" presName="rootComposite" presStyleCnt="0"/>
      <dgm:spPr/>
    </dgm:pt>
    <dgm:pt modelId="{06029156-77EE-DF49-BE8E-872B572E1BEF}" type="pres">
      <dgm:prSet presAssocID="{F2BBDFAE-2432-A545-9E3B-0EF357A3A6DB}" presName="rootText" presStyleLbl="node2" presStyleIdx="3" presStyleCnt="4" custScaleY="134045">
        <dgm:presLayoutVars>
          <dgm:chPref val="3"/>
        </dgm:presLayoutVars>
      </dgm:prSet>
      <dgm:spPr/>
    </dgm:pt>
    <dgm:pt modelId="{3C56EBE6-0E7A-2249-A63C-C540E037939B}" type="pres">
      <dgm:prSet presAssocID="{F2BBDFAE-2432-A545-9E3B-0EF357A3A6DB}" presName="rootConnector" presStyleLbl="node2" presStyleIdx="3" presStyleCnt="4"/>
      <dgm:spPr/>
    </dgm:pt>
    <dgm:pt modelId="{59254672-B367-FE47-BE93-0B042057FA12}" type="pres">
      <dgm:prSet presAssocID="{F2BBDFAE-2432-A545-9E3B-0EF357A3A6DB}" presName="hierChild4" presStyleCnt="0"/>
      <dgm:spPr/>
    </dgm:pt>
    <dgm:pt modelId="{66500857-C8E5-3D4D-99F8-F6DCDF1E208E}" type="pres">
      <dgm:prSet presAssocID="{F2BBDFAE-2432-A545-9E3B-0EF357A3A6DB}" presName="hierChild5" presStyleCnt="0"/>
      <dgm:spPr/>
    </dgm:pt>
    <dgm:pt modelId="{D34D1711-E5F1-AE43-BC0E-A942C21AD045}" type="pres">
      <dgm:prSet presAssocID="{C3730725-67AD-CA4D-AAB7-EF7C176CBB97}" presName="hierChild3" presStyleCnt="0"/>
      <dgm:spPr/>
    </dgm:pt>
  </dgm:ptLst>
  <dgm:cxnLst>
    <dgm:cxn modelId="{359E7E14-ECED-D642-8668-674901CE3D31}" type="presOf" srcId="{B502AB8C-DD11-5845-BDBC-67FF6EEB4407}" destId="{582087C5-D828-E149-8550-02E972C81B73}" srcOrd="1" destOrd="0" presId="urn:microsoft.com/office/officeart/2005/8/layout/orgChart1"/>
    <dgm:cxn modelId="{C9E3361D-6328-6F44-8B4A-873ABA1C93C5}" type="presOf" srcId="{B502AB8C-DD11-5845-BDBC-67FF6EEB4407}" destId="{65805B4E-0AAA-4E4A-938D-CD922C096065}" srcOrd="0" destOrd="0" presId="urn:microsoft.com/office/officeart/2005/8/layout/orgChart1"/>
    <dgm:cxn modelId="{85D25F2D-4066-3F4E-A7F4-C880BA6462A4}" type="presOf" srcId="{71EB0C64-B6D1-6945-8B02-1249CA85CC93}" destId="{8B23D74C-EC63-7B47-A35D-583A62C4799B}" srcOrd="0" destOrd="0" presId="urn:microsoft.com/office/officeart/2005/8/layout/orgChart1"/>
    <dgm:cxn modelId="{47709240-1F9F-794A-A55F-68D328245AC0}" type="presOf" srcId="{F2BBDFAE-2432-A545-9E3B-0EF357A3A6DB}" destId="{06029156-77EE-DF49-BE8E-872B572E1BEF}" srcOrd="0" destOrd="0" presId="urn:microsoft.com/office/officeart/2005/8/layout/orgChart1"/>
    <dgm:cxn modelId="{7C93A648-2F0C-784F-9E85-6E123629D03B}" type="presOf" srcId="{678CE823-B754-4E44-B287-758C4C7C4D0B}" destId="{6E80171C-C606-D442-A182-39007CF16D0A}" srcOrd="0" destOrd="0" presId="urn:microsoft.com/office/officeart/2005/8/layout/orgChart1"/>
    <dgm:cxn modelId="{9C5F5F4B-74BA-1A46-BBE9-36975723803A}" srcId="{C3730725-67AD-CA4D-AAB7-EF7C176CBB97}" destId="{F2BBDFAE-2432-A545-9E3B-0EF357A3A6DB}" srcOrd="3" destOrd="0" parTransId="{678CE823-B754-4E44-B287-758C4C7C4D0B}" sibTransId="{7EB720C3-8410-D64B-964D-2B0367BE7AE7}"/>
    <dgm:cxn modelId="{40D08E4B-B8DC-E54E-B88A-77A72B183C61}" type="presOf" srcId="{C3730725-67AD-CA4D-AAB7-EF7C176CBB97}" destId="{417BFE58-5FF1-3444-96A8-D9C242E74E67}" srcOrd="1" destOrd="0" presId="urn:microsoft.com/office/officeart/2005/8/layout/orgChart1"/>
    <dgm:cxn modelId="{B8B34E6D-40DD-0A4D-AB21-723A8964137E}" type="presOf" srcId="{F2BBDFAE-2432-A545-9E3B-0EF357A3A6DB}" destId="{3C56EBE6-0E7A-2249-A63C-C540E037939B}" srcOrd="1" destOrd="0" presId="urn:microsoft.com/office/officeart/2005/8/layout/orgChart1"/>
    <dgm:cxn modelId="{FA69636E-0300-A840-84BF-C01D929FAA25}" type="presOf" srcId="{1A42AF8D-10BF-5844-8BA4-B7064D551973}" destId="{3069193A-1E2E-4F4F-9121-415189480B9C}" srcOrd="0" destOrd="0" presId="urn:microsoft.com/office/officeart/2005/8/layout/orgChart1"/>
    <dgm:cxn modelId="{49BE2C79-FAFD-6C4C-891E-1F2CF314859E}" type="presOf" srcId="{7103B948-D2FC-AD4A-9C90-7EB66ABB735C}" destId="{DBC0614F-9524-364A-B1D2-515F0D9100BE}" srcOrd="0" destOrd="0" presId="urn:microsoft.com/office/officeart/2005/8/layout/orgChart1"/>
    <dgm:cxn modelId="{C45E1A8D-EDF8-594C-8A13-D0823CB8EF19}" type="presOf" srcId="{6E5EFB05-C9EE-6640-8F10-F0495B23AABA}" destId="{8B3A479D-D650-BE44-9CF0-399759E587AF}" srcOrd="1" destOrd="0" presId="urn:microsoft.com/office/officeart/2005/8/layout/orgChart1"/>
    <dgm:cxn modelId="{986C9592-BA31-2243-B87B-2729492A0B74}" type="presOf" srcId="{B3C15828-E0E0-9749-AFA3-B3DB0062EF03}" destId="{29A89B69-A48C-C94E-AB1C-4C23BDA02ACD}" srcOrd="0" destOrd="0" presId="urn:microsoft.com/office/officeart/2005/8/layout/orgChart1"/>
    <dgm:cxn modelId="{662E439F-CD0C-FA4E-A104-F2F640AC5CFD}" type="presOf" srcId="{6E5EFB05-C9EE-6640-8F10-F0495B23AABA}" destId="{E636002D-DA91-974E-832D-0BCE4FD3C42E}" srcOrd="0" destOrd="0" presId="urn:microsoft.com/office/officeart/2005/8/layout/orgChart1"/>
    <dgm:cxn modelId="{16C44DA1-A7CB-A945-9B92-EF3366011175}" srcId="{C3730725-67AD-CA4D-AAB7-EF7C176CBB97}" destId="{E60F8AA6-6F89-E348-ADED-08C604C4A99F}" srcOrd="2" destOrd="0" parTransId="{71EB0C64-B6D1-6945-8B02-1249CA85CC93}" sibTransId="{5A101A78-29CC-CA4F-A887-080D5255929F}"/>
    <dgm:cxn modelId="{A270C8A2-100D-E045-8F4F-6FFB50F73C16}" srcId="{B3C15828-E0E0-9749-AFA3-B3DB0062EF03}" destId="{C3730725-67AD-CA4D-AAB7-EF7C176CBB97}" srcOrd="0" destOrd="0" parTransId="{8338C50B-EA77-9547-8F7E-6D66CD6C232F}" sibTransId="{B552EAB7-E635-4E4D-89A6-825E268AE078}"/>
    <dgm:cxn modelId="{6ABFACA5-A76D-5C42-84C2-9E9A55650ECA}" type="presOf" srcId="{C3730725-67AD-CA4D-AAB7-EF7C176CBB97}" destId="{CCC35DA1-C869-3947-9372-D5B995542744}" srcOrd="0" destOrd="0" presId="urn:microsoft.com/office/officeart/2005/8/layout/orgChart1"/>
    <dgm:cxn modelId="{D97138AA-0FAD-5747-A777-7D9F8CF48309}" srcId="{C3730725-67AD-CA4D-AAB7-EF7C176CBB97}" destId="{6E5EFB05-C9EE-6640-8F10-F0495B23AABA}" srcOrd="1" destOrd="0" parTransId="{7103B948-D2FC-AD4A-9C90-7EB66ABB735C}" sibTransId="{F60612F5-63F9-3C4B-9A12-D10F16AE4027}"/>
    <dgm:cxn modelId="{FF4E83B8-4165-FA4D-8583-BFB5077B7B9D}" type="presOf" srcId="{E60F8AA6-6F89-E348-ADED-08C604C4A99F}" destId="{223F1979-B566-7B41-9B70-DBD064D10842}" srcOrd="1" destOrd="0" presId="urn:microsoft.com/office/officeart/2005/8/layout/orgChart1"/>
    <dgm:cxn modelId="{133DEAE8-2AD5-0447-A31E-89C81176013B}" srcId="{C3730725-67AD-CA4D-AAB7-EF7C176CBB97}" destId="{B502AB8C-DD11-5845-BDBC-67FF6EEB4407}" srcOrd="0" destOrd="0" parTransId="{1A42AF8D-10BF-5844-8BA4-B7064D551973}" sibTransId="{4D1DC351-FAF1-2C43-8497-B67840ED5569}"/>
    <dgm:cxn modelId="{DA6722EC-9F4E-634D-9BB5-889795AA3DC0}" type="presOf" srcId="{E60F8AA6-6F89-E348-ADED-08C604C4A99F}" destId="{767C7D54-4202-8F48-8F07-E1EBC7B7DF48}" srcOrd="0" destOrd="0" presId="urn:microsoft.com/office/officeart/2005/8/layout/orgChart1"/>
    <dgm:cxn modelId="{EB128CF2-1C30-B34E-A823-1E0041B44961}" type="presParOf" srcId="{29A89B69-A48C-C94E-AB1C-4C23BDA02ACD}" destId="{A54BAA58-3E75-A04F-B681-FF0B31B47259}" srcOrd="0" destOrd="0" presId="urn:microsoft.com/office/officeart/2005/8/layout/orgChart1"/>
    <dgm:cxn modelId="{F4FC1DE2-2C4F-C041-9DBE-9EBF032C8348}" type="presParOf" srcId="{A54BAA58-3E75-A04F-B681-FF0B31B47259}" destId="{17D78BB5-A882-8741-85A9-5D80B669FC1C}" srcOrd="0" destOrd="0" presId="urn:microsoft.com/office/officeart/2005/8/layout/orgChart1"/>
    <dgm:cxn modelId="{D285F7C7-3F4E-1E47-88CD-C7BAB5E39FC0}" type="presParOf" srcId="{17D78BB5-A882-8741-85A9-5D80B669FC1C}" destId="{CCC35DA1-C869-3947-9372-D5B995542744}" srcOrd="0" destOrd="0" presId="urn:microsoft.com/office/officeart/2005/8/layout/orgChart1"/>
    <dgm:cxn modelId="{95AF349A-7FC1-9F4F-B018-BC793E1B3D2B}" type="presParOf" srcId="{17D78BB5-A882-8741-85A9-5D80B669FC1C}" destId="{417BFE58-5FF1-3444-96A8-D9C242E74E67}" srcOrd="1" destOrd="0" presId="urn:microsoft.com/office/officeart/2005/8/layout/orgChart1"/>
    <dgm:cxn modelId="{50E36DF8-A9EB-2A45-B532-278CDB8FF6D5}" type="presParOf" srcId="{A54BAA58-3E75-A04F-B681-FF0B31B47259}" destId="{FFD62FAE-7E7D-9042-BE9C-891B857062CA}" srcOrd="1" destOrd="0" presId="urn:microsoft.com/office/officeart/2005/8/layout/orgChart1"/>
    <dgm:cxn modelId="{A8C53561-8434-7144-9023-AB733CC0D741}" type="presParOf" srcId="{FFD62FAE-7E7D-9042-BE9C-891B857062CA}" destId="{3069193A-1E2E-4F4F-9121-415189480B9C}" srcOrd="0" destOrd="0" presId="urn:microsoft.com/office/officeart/2005/8/layout/orgChart1"/>
    <dgm:cxn modelId="{F8B52683-9B10-5D48-9F84-A11C4154412F}" type="presParOf" srcId="{FFD62FAE-7E7D-9042-BE9C-891B857062CA}" destId="{C0ACB569-AAC1-E540-86C7-ABABCF5753F4}" srcOrd="1" destOrd="0" presId="urn:microsoft.com/office/officeart/2005/8/layout/orgChart1"/>
    <dgm:cxn modelId="{FC82F7B0-BAB0-0C46-9D41-350DD81739F0}" type="presParOf" srcId="{C0ACB569-AAC1-E540-86C7-ABABCF5753F4}" destId="{53B95EA8-C17F-F549-A44B-F7FEFE7955A5}" srcOrd="0" destOrd="0" presId="urn:microsoft.com/office/officeart/2005/8/layout/orgChart1"/>
    <dgm:cxn modelId="{50499B91-128E-6346-ADD9-234D46AAC9D6}" type="presParOf" srcId="{53B95EA8-C17F-F549-A44B-F7FEFE7955A5}" destId="{65805B4E-0AAA-4E4A-938D-CD922C096065}" srcOrd="0" destOrd="0" presId="urn:microsoft.com/office/officeart/2005/8/layout/orgChart1"/>
    <dgm:cxn modelId="{429FF1F0-10F0-2440-9AE3-148796FD368D}" type="presParOf" srcId="{53B95EA8-C17F-F549-A44B-F7FEFE7955A5}" destId="{582087C5-D828-E149-8550-02E972C81B73}" srcOrd="1" destOrd="0" presId="urn:microsoft.com/office/officeart/2005/8/layout/orgChart1"/>
    <dgm:cxn modelId="{A6664777-8CEB-6C43-8FEE-1E00B35E0E21}" type="presParOf" srcId="{C0ACB569-AAC1-E540-86C7-ABABCF5753F4}" destId="{F848522C-A4AD-EA46-8B24-52D915AB8C7C}" srcOrd="1" destOrd="0" presId="urn:microsoft.com/office/officeart/2005/8/layout/orgChart1"/>
    <dgm:cxn modelId="{07C2E3A4-FCDC-B547-A53F-7A7C187415F0}" type="presParOf" srcId="{C0ACB569-AAC1-E540-86C7-ABABCF5753F4}" destId="{D696F25A-5D20-894A-ACB8-E4A635784AB0}" srcOrd="2" destOrd="0" presId="urn:microsoft.com/office/officeart/2005/8/layout/orgChart1"/>
    <dgm:cxn modelId="{D38901E9-2073-404A-A857-E16493BBACE5}" type="presParOf" srcId="{FFD62FAE-7E7D-9042-BE9C-891B857062CA}" destId="{DBC0614F-9524-364A-B1D2-515F0D9100BE}" srcOrd="2" destOrd="0" presId="urn:microsoft.com/office/officeart/2005/8/layout/orgChart1"/>
    <dgm:cxn modelId="{36F45C48-2D87-FD45-9286-379D469DF9CC}" type="presParOf" srcId="{FFD62FAE-7E7D-9042-BE9C-891B857062CA}" destId="{F118CBCE-8B4D-C04F-AD78-9939AD869BA1}" srcOrd="3" destOrd="0" presId="urn:microsoft.com/office/officeart/2005/8/layout/orgChart1"/>
    <dgm:cxn modelId="{CBBBAB81-16C3-6D46-B1C2-C7F18BD34578}" type="presParOf" srcId="{F118CBCE-8B4D-C04F-AD78-9939AD869BA1}" destId="{09757103-E79A-8F46-9851-8CFB4C30E948}" srcOrd="0" destOrd="0" presId="urn:microsoft.com/office/officeart/2005/8/layout/orgChart1"/>
    <dgm:cxn modelId="{6853946A-EC14-8447-9E8C-B3C56844F489}" type="presParOf" srcId="{09757103-E79A-8F46-9851-8CFB4C30E948}" destId="{E636002D-DA91-974E-832D-0BCE4FD3C42E}" srcOrd="0" destOrd="0" presId="urn:microsoft.com/office/officeart/2005/8/layout/orgChart1"/>
    <dgm:cxn modelId="{190DBBAE-21B9-DB40-92F0-1DD5E4FA7093}" type="presParOf" srcId="{09757103-E79A-8F46-9851-8CFB4C30E948}" destId="{8B3A479D-D650-BE44-9CF0-399759E587AF}" srcOrd="1" destOrd="0" presId="urn:microsoft.com/office/officeart/2005/8/layout/orgChart1"/>
    <dgm:cxn modelId="{2BC66811-4FF5-F24C-AD93-A4A00C09AF42}" type="presParOf" srcId="{F118CBCE-8B4D-C04F-AD78-9939AD869BA1}" destId="{787AB434-E8F6-474B-997A-4658EF61479A}" srcOrd="1" destOrd="0" presId="urn:microsoft.com/office/officeart/2005/8/layout/orgChart1"/>
    <dgm:cxn modelId="{0FBE4C03-6885-F54D-9BBC-EB9ED672FCE0}" type="presParOf" srcId="{F118CBCE-8B4D-C04F-AD78-9939AD869BA1}" destId="{FDDCF830-7EB9-864D-9D68-4C2C2C0F2E4F}" srcOrd="2" destOrd="0" presId="urn:microsoft.com/office/officeart/2005/8/layout/orgChart1"/>
    <dgm:cxn modelId="{7F44ABCB-4D62-5D4E-B1CE-6962C648C70A}" type="presParOf" srcId="{FFD62FAE-7E7D-9042-BE9C-891B857062CA}" destId="{8B23D74C-EC63-7B47-A35D-583A62C4799B}" srcOrd="4" destOrd="0" presId="urn:microsoft.com/office/officeart/2005/8/layout/orgChart1"/>
    <dgm:cxn modelId="{01CC03F2-C3E3-3A40-8977-EAC99B49E75E}" type="presParOf" srcId="{FFD62FAE-7E7D-9042-BE9C-891B857062CA}" destId="{16083F31-0142-3541-AF9E-6A5A28810FA3}" srcOrd="5" destOrd="0" presId="urn:microsoft.com/office/officeart/2005/8/layout/orgChart1"/>
    <dgm:cxn modelId="{B8FE0BAD-F4C3-064E-9989-17232AD4E550}" type="presParOf" srcId="{16083F31-0142-3541-AF9E-6A5A28810FA3}" destId="{4EBCB33A-8E70-BD41-9F8F-092583300EFC}" srcOrd="0" destOrd="0" presId="urn:microsoft.com/office/officeart/2005/8/layout/orgChart1"/>
    <dgm:cxn modelId="{34EDDB04-EE0A-8747-91D2-837BDBB0F370}" type="presParOf" srcId="{4EBCB33A-8E70-BD41-9F8F-092583300EFC}" destId="{767C7D54-4202-8F48-8F07-E1EBC7B7DF48}" srcOrd="0" destOrd="0" presId="urn:microsoft.com/office/officeart/2005/8/layout/orgChart1"/>
    <dgm:cxn modelId="{D4C783F0-662B-8843-9F91-3121933CAF07}" type="presParOf" srcId="{4EBCB33A-8E70-BD41-9F8F-092583300EFC}" destId="{223F1979-B566-7B41-9B70-DBD064D10842}" srcOrd="1" destOrd="0" presId="urn:microsoft.com/office/officeart/2005/8/layout/orgChart1"/>
    <dgm:cxn modelId="{958ED6A4-DD17-E24A-A0C2-16AC3A3EABE4}" type="presParOf" srcId="{16083F31-0142-3541-AF9E-6A5A28810FA3}" destId="{610EF70D-D668-004B-BD9B-7CCB4E991576}" srcOrd="1" destOrd="0" presId="urn:microsoft.com/office/officeart/2005/8/layout/orgChart1"/>
    <dgm:cxn modelId="{5D4C129B-C2F6-744F-A1C5-2A6896FE3D27}" type="presParOf" srcId="{16083F31-0142-3541-AF9E-6A5A28810FA3}" destId="{6DEA79C0-2688-9E42-AAF0-B3D1BE6DD7F0}" srcOrd="2" destOrd="0" presId="urn:microsoft.com/office/officeart/2005/8/layout/orgChart1"/>
    <dgm:cxn modelId="{0A7A7D9B-2B49-8D4D-8EA7-D5413CCBCA74}" type="presParOf" srcId="{FFD62FAE-7E7D-9042-BE9C-891B857062CA}" destId="{6E80171C-C606-D442-A182-39007CF16D0A}" srcOrd="6" destOrd="0" presId="urn:microsoft.com/office/officeart/2005/8/layout/orgChart1"/>
    <dgm:cxn modelId="{9D1B7F71-9C32-004A-B801-1AD400352437}" type="presParOf" srcId="{FFD62FAE-7E7D-9042-BE9C-891B857062CA}" destId="{7DD2BCD0-8DD9-9E47-BD38-2F1939EE4F09}" srcOrd="7" destOrd="0" presId="urn:microsoft.com/office/officeart/2005/8/layout/orgChart1"/>
    <dgm:cxn modelId="{553BFEBA-7189-0E4C-A768-4D0226780278}" type="presParOf" srcId="{7DD2BCD0-8DD9-9E47-BD38-2F1939EE4F09}" destId="{998F16F4-ED6E-1840-A046-E618A35AC05C}" srcOrd="0" destOrd="0" presId="urn:microsoft.com/office/officeart/2005/8/layout/orgChart1"/>
    <dgm:cxn modelId="{46DA061E-B234-5243-8F4E-3DAEE616C1AE}" type="presParOf" srcId="{998F16F4-ED6E-1840-A046-E618A35AC05C}" destId="{06029156-77EE-DF49-BE8E-872B572E1BEF}" srcOrd="0" destOrd="0" presId="urn:microsoft.com/office/officeart/2005/8/layout/orgChart1"/>
    <dgm:cxn modelId="{0463FFD9-12B3-0C4C-B0D5-DC0CA0BF860B}" type="presParOf" srcId="{998F16F4-ED6E-1840-A046-E618A35AC05C}" destId="{3C56EBE6-0E7A-2249-A63C-C540E037939B}" srcOrd="1" destOrd="0" presId="urn:microsoft.com/office/officeart/2005/8/layout/orgChart1"/>
    <dgm:cxn modelId="{1CC105A6-6DD5-AA41-9332-3DD8240AD592}" type="presParOf" srcId="{7DD2BCD0-8DD9-9E47-BD38-2F1939EE4F09}" destId="{59254672-B367-FE47-BE93-0B042057FA12}" srcOrd="1" destOrd="0" presId="urn:microsoft.com/office/officeart/2005/8/layout/orgChart1"/>
    <dgm:cxn modelId="{1221E8B8-D6F5-3849-8024-43DAEB49C0AA}" type="presParOf" srcId="{7DD2BCD0-8DD9-9E47-BD38-2F1939EE4F09}" destId="{66500857-C8E5-3D4D-99F8-F6DCDF1E208E}" srcOrd="2" destOrd="0" presId="urn:microsoft.com/office/officeart/2005/8/layout/orgChart1"/>
    <dgm:cxn modelId="{EA111DC5-02AB-7E43-8D85-CAA593C39792}" type="presParOf" srcId="{A54BAA58-3E75-A04F-B681-FF0B31B47259}" destId="{D34D1711-E5F1-AE43-BC0E-A942C21AD045}" srcOrd="2" destOrd="0" presId="urn:microsoft.com/office/officeart/2005/8/layout/orgChar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3C15828-E0E0-9749-AFA3-B3DB0062EF03}" type="doc">
      <dgm:prSet loTypeId="urn:microsoft.com/office/officeart/2005/8/layout/orgChart1" loCatId="" qsTypeId="urn:microsoft.com/office/officeart/2005/8/quickstyle/simple1" qsCatId="simple" csTypeId="urn:microsoft.com/office/officeart/2005/8/colors/accent1_2" csCatId="accent1" phldr="1"/>
      <dgm:spPr/>
      <dgm:t>
        <a:bodyPr/>
        <a:lstStyle/>
        <a:p>
          <a:endParaRPr lang="en-GB"/>
        </a:p>
      </dgm:t>
    </dgm:pt>
    <dgm:pt modelId="{C3730725-67AD-CA4D-AAB7-EF7C176CBB97}">
      <dgm:prSet phldrT="[Text]" custT="1"/>
      <dgm:spPr/>
      <dgm:t>
        <a:bodyPr/>
        <a:lstStyle/>
        <a:p>
          <a:r>
            <a:rPr lang="en-GB" sz="900"/>
            <a:t>EOIO: Strengthened responses to water related disasters in the South Fly</a:t>
          </a:r>
        </a:p>
      </dgm:t>
      <dgm:extLst>
        <a:ext uri="{E40237B7-FDA0-4F09-8148-C483321AD2D9}">
          <dgm14:cNvPr xmlns:dgm14="http://schemas.microsoft.com/office/drawing/2010/diagram" id="0" name="" descr="EOIO: Strengthened responses to water related disasters in the South Fly&#10;"/>
        </a:ext>
      </dgm:extLst>
    </dgm:pt>
    <dgm:pt modelId="{8338C50B-EA77-9547-8F7E-6D66CD6C232F}" type="parTrans" cxnId="{A270C8A2-100D-E045-8F4F-6FFB50F73C16}">
      <dgm:prSet/>
      <dgm:spPr/>
      <dgm:t>
        <a:bodyPr/>
        <a:lstStyle/>
        <a:p>
          <a:endParaRPr lang="en-GB"/>
        </a:p>
      </dgm:t>
    </dgm:pt>
    <dgm:pt modelId="{B552EAB7-E635-4E4D-89A6-825E268AE078}" type="sibTrans" cxnId="{A270C8A2-100D-E045-8F4F-6FFB50F73C16}">
      <dgm:prSet/>
      <dgm:spPr/>
      <dgm:t>
        <a:bodyPr/>
        <a:lstStyle/>
        <a:p>
          <a:endParaRPr lang="en-GB"/>
        </a:p>
      </dgm:t>
    </dgm:pt>
    <dgm:pt modelId="{B502AB8C-DD11-5845-BDBC-67FF6EEB4407}">
      <dgm:prSet phldrT="[Text]" custT="1"/>
      <dgm:spPr/>
      <dgm:t>
        <a:bodyPr/>
        <a:lstStyle/>
        <a:p>
          <a:r>
            <a:rPr lang="en-GB" sz="900"/>
            <a:t>Increased access to a sustainable supply of drinking water, that is sufficient during drought events</a:t>
          </a:r>
        </a:p>
      </dgm:t>
      <dgm:extLst>
        <a:ext uri="{E40237B7-FDA0-4F09-8148-C483321AD2D9}">
          <dgm14:cNvPr xmlns:dgm14="http://schemas.microsoft.com/office/drawing/2010/diagram" id="0" name="" descr="Increased access to a sustainable supply of drinking water, that is sufficient during drought events&#10;"/>
        </a:ext>
      </dgm:extLst>
    </dgm:pt>
    <dgm:pt modelId="{1A42AF8D-10BF-5844-8BA4-B7064D551973}" type="parTrans" cxnId="{133DEAE8-2AD5-0447-A31E-89C81176013B}">
      <dgm:prSet/>
      <dgm:spPr/>
      <dgm:t>
        <a:bodyPr/>
        <a:lstStyle/>
        <a:p>
          <a:endParaRPr lang="en-GB"/>
        </a:p>
      </dgm:t>
    </dgm:pt>
    <dgm:pt modelId="{4D1DC351-FAF1-2C43-8497-B67840ED5569}" type="sibTrans" cxnId="{133DEAE8-2AD5-0447-A31E-89C81176013B}">
      <dgm:prSet/>
      <dgm:spPr/>
      <dgm:t>
        <a:bodyPr/>
        <a:lstStyle/>
        <a:p>
          <a:endParaRPr lang="en-GB"/>
        </a:p>
      </dgm:t>
    </dgm:pt>
    <dgm:pt modelId="{6E5EFB05-C9EE-6640-8F10-F0495B23AABA}">
      <dgm:prSet phldrT="[Text]" custT="1"/>
      <dgm:spPr/>
      <dgm:t>
        <a:bodyPr/>
        <a:lstStyle/>
        <a:p>
          <a:r>
            <a:rPr lang="en-GB" sz="900"/>
            <a:t>Increased</a:t>
          </a:r>
          <a:r>
            <a:rPr lang="en-GB" sz="900" baseline="0"/>
            <a:t> access to a basis standard of WASH facilities, that prevent contamination during floods</a:t>
          </a:r>
          <a:endParaRPr lang="en-GB" sz="900"/>
        </a:p>
      </dgm:t>
      <dgm:extLst>
        <a:ext uri="{E40237B7-FDA0-4F09-8148-C483321AD2D9}">
          <dgm14:cNvPr xmlns:dgm14="http://schemas.microsoft.com/office/drawing/2010/diagram" id="0" name="" descr="Increased access to a basis standard of WASH facilities, that prevent contamination during floods&#10;"/>
        </a:ext>
      </dgm:extLst>
    </dgm:pt>
    <dgm:pt modelId="{7103B948-D2FC-AD4A-9C90-7EB66ABB735C}" type="parTrans" cxnId="{D97138AA-0FAD-5747-A777-7D9F8CF48309}">
      <dgm:prSet/>
      <dgm:spPr/>
      <dgm:t>
        <a:bodyPr/>
        <a:lstStyle/>
        <a:p>
          <a:endParaRPr lang="en-GB"/>
        </a:p>
      </dgm:t>
    </dgm:pt>
    <dgm:pt modelId="{F60612F5-63F9-3C4B-9A12-D10F16AE4027}" type="sibTrans" cxnId="{D97138AA-0FAD-5747-A777-7D9F8CF48309}">
      <dgm:prSet/>
      <dgm:spPr/>
      <dgm:t>
        <a:bodyPr/>
        <a:lstStyle/>
        <a:p>
          <a:endParaRPr lang="en-GB"/>
        </a:p>
      </dgm:t>
    </dgm:pt>
    <dgm:pt modelId="{E60F8AA6-6F89-E348-ADED-08C604C4A99F}">
      <dgm:prSet phldrT="[Text]" custT="1"/>
      <dgm:spPr/>
      <dgm:t>
        <a:bodyPr/>
        <a:lstStyle/>
        <a:p>
          <a:r>
            <a:rPr lang="en-GB" sz="900"/>
            <a:t>Strengthened governance capacity to design, finance, delvier and sustain inclusive WASH facilities</a:t>
          </a:r>
        </a:p>
      </dgm:t>
      <dgm:extLst>
        <a:ext uri="{E40237B7-FDA0-4F09-8148-C483321AD2D9}">
          <dgm14:cNvPr xmlns:dgm14="http://schemas.microsoft.com/office/drawing/2010/diagram" id="0" name="" descr="Strengthened governance capacity to design, finance, delvier and sustain inclusive WASH facilities&#10;"/>
        </a:ext>
      </dgm:extLst>
    </dgm:pt>
    <dgm:pt modelId="{71EB0C64-B6D1-6945-8B02-1249CA85CC93}" type="parTrans" cxnId="{16C44DA1-A7CB-A945-9B92-EF3366011175}">
      <dgm:prSet/>
      <dgm:spPr/>
      <dgm:t>
        <a:bodyPr/>
        <a:lstStyle/>
        <a:p>
          <a:endParaRPr lang="en-GB"/>
        </a:p>
      </dgm:t>
    </dgm:pt>
    <dgm:pt modelId="{5A101A78-29CC-CA4F-A887-080D5255929F}" type="sibTrans" cxnId="{16C44DA1-A7CB-A945-9B92-EF3366011175}">
      <dgm:prSet/>
      <dgm:spPr/>
      <dgm:t>
        <a:bodyPr/>
        <a:lstStyle/>
        <a:p>
          <a:endParaRPr lang="en-GB"/>
        </a:p>
      </dgm:t>
    </dgm:pt>
    <dgm:pt modelId="{F2BBDFAE-2432-A545-9E3B-0EF357A3A6DB}">
      <dgm:prSet phldrT="[Text]" custT="1"/>
      <dgm:spPr/>
      <dgm:t>
        <a:bodyPr/>
        <a:lstStyle/>
        <a:p>
          <a:r>
            <a:rPr lang="en-GB" sz="900"/>
            <a:t>SFD has improved capacity to respond to water related disasters</a:t>
          </a:r>
        </a:p>
      </dgm:t>
      <dgm:extLst>
        <a:ext uri="{E40237B7-FDA0-4F09-8148-C483321AD2D9}">
          <dgm14:cNvPr xmlns:dgm14="http://schemas.microsoft.com/office/drawing/2010/diagram" id="0" name="" descr="SFD has improved capacity to respond to water related disasters"/>
        </a:ext>
      </dgm:extLst>
    </dgm:pt>
    <dgm:pt modelId="{678CE823-B754-4E44-B287-758C4C7C4D0B}" type="parTrans" cxnId="{9C5F5F4B-74BA-1A46-BBE9-36975723803A}">
      <dgm:prSet/>
      <dgm:spPr/>
      <dgm:t>
        <a:bodyPr/>
        <a:lstStyle/>
        <a:p>
          <a:endParaRPr lang="en-GB"/>
        </a:p>
      </dgm:t>
    </dgm:pt>
    <dgm:pt modelId="{7EB720C3-8410-D64B-964D-2B0367BE7AE7}" type="sibTrans" cxnId="{9C5F5F4B-74BA-1A46-BBE9-36975723803A}">
      <dgm:prSet/>
      <dgm:spPr/>
      <dgm:t>
        <a:bodyPr/>
        <a:lstStyle/>
        <a:p>
          <a:endParaRPr lang="en-GB"/>
        </a:p>
      </dgm:t>
    </dgm:pt>
    <dgm:pt modelId="{29A89B69-A48C-C94E-AB1C-4C23BDA02ACD}" type="pres">
      <dgm:prSet presAssocID="{B3C15828-E0E0-9749-AFA3-B3DB0062EF03}" presName="hierChild1" presStyleCnt="0">
        <dgm:presLayoutVars>
          <dgm:orgChart val="1"/>
          <dgm:chPref val="1"/>
          <dgm:dir/>
          <dgm:animOne val="branch"/>
          <dgm:animLvl val="lvl"/>
          <dgm:resizeHandles/>
        </dgm:presLayoutVars>
      </dgm:prSet>
      <dgm:spPr/>
    </dgm:pt>
    <dgm:pt modelId="{A54BAA58-3E75-A04F-B681-FF0B31B47259}" type="pres">
      <dgm:prSet presAssocID="{C3730725-67AD-CA4D-AAB7-EF7C176CBB97}" presName="hierRoot1" presStyleCnt="0">
        <dgm:presLayoutVars>
          <dgm:hierBranch val="init"/>
        </dgm:presLayoutVars>
      </dgm:prSet>
      <dgm:spPr/>
    </dgm:pt>
    <dgm:pt modelId="{17D78BB5-A882-8741-85A9-5D80B669FC1C}" type="pres">
      <dgm:prSet presAssocID="{C3730725-67AD-CA4D-AAB7-EF7C176CBB97}" presName="rootComposite1" presStyleCnt="0"/>
      <dgm:spPr/>
    </dgm:pt>
    <dgm:pt modelId="{CCC35DA1-C869-3947-9372-D5B995542744}" type="pres">
      <dgm:prSet presAssocID="{C3730725-67AD-CA4D-AAB7-EF7C176CBB97}" presName="rootText1" presStyleLbl="node0" presStyleIdx="0" presStyleCnt="1" custScaleY="134045">
        <dgm:presLayoutVars>
          <dgm:chPref val="3"/>
        </dgm:presLayoutVars>
      </dgm:prSet>
      <dgm:spPr/>
    </dgm:pt>
    <dgm:pt modelId="{417BFE58-5FF1-3444-96A8-D9C242E74E67}" type="pres">
      <dgm:prSet presAssocID="{C3730725-67AD-CA4D-AAB7-EF7C176CBB97}" presName="rootConnector1" presStyleLbl="node1" presStyleIdx="0" presStyleCnt="0"/>
      <dgm:spPr/>
    </dgm:pt>
    <dgm:pt modelId="{FFD62FAE-7E7D-9042-BE9C-891B857062CA}" type="pres">
      <dgm:prSet presAssocID="{C3730725-67AD-CA4D-AAB7-EF7C176CBB97}" presName="hierChild2" presStyleCnt="0"/>
      <dgm:spPr/>
    </dgm:pt>
    <dgm:pt modelId="{3069193A-1E2E-4F4F-9121-415189480B9C}" type="pres">
      <dgm:prSet presAssocID="{1A42AF8D-10BF-5844-8BA4-B7064D551973}" presName="Name37" presStyleLbl="parChTrans1D2" presStyleIdx="0" presStyleCnt="4"/>
      <dgm:spPr/>
    </dgm:pt>
    <dgm:pt modelId="{C0ACB569-AAC1-E540-86C7-ABABCF5753F4}" type="pres">
      <dgm:prSet presAssocID="{B502AB8C-DD11-5845-BDBC-67FF6EEB4407}" presName="hierRoot2" presStyleCnt="0">
        <dgm:presLayoutVars>
          <dgm:hierBranch val="init"/>
        </dgm:presLayoutVars>
      </dgm:prSet>
      <dgm:spPr/>
    </dgm:pt>
    <dgm:pt modelId="{53B95EA8-C17F-F549-A44B-F7FEFE7955A5}" type="pres">
      <dgm:prSet presAssocID="{B502AB8C-DD11-5845-BDBC-67FF6EEB4407}" presName="rootComposite" presStyleCnt="0"/>
      <dgm:spPr/>
    </dgm:pt>
    <dgm:pt modelId="{65805B4E-0AAA-4E4A-938D-CD922C096065}" type="pres">
      <dgm:prSet presAssocID="{B502AB8C-DD11-5845-BDBC-67FF6EEB4407}" presName="rootText" presStyleLbl="node2" presStyleIdx="0" presStyleCnt="4" custScaleY="134045">
        <dgm:presLayoutVars>
          <dgm:chPref val="3"/>
        </dgm:presLayoutVars>
      </dgm:prSet>
      <dgm:spPr/>
    </dgm:pt>
    <dgm:pt modelId="{582087C5-D828-E149-8550-02E972C81B73}" type="pres">
      <dgm:prSet presAssocID="{B502AB8C-DD11-5845-BDBC-67FF6EEB4407}" presName="rootConnector" presStyleLbl="node2" presStyleIdx="0" presStyleCnt="4"/>
      <dgm:spPr/>
    </dgm:pt>
    <dgm:pt modelId="{F848522C-A4AD-EA46-8B24-52D915AB8C7C}" type="pres">
      <dgm:prSet presAssocID="{B502AB8C-DD11-5845-BDBC-67FF6EEB4407}" presName="hierChild4" presStyleCnt="0"/>
      <dgm:spPr/>
    </dgm:pt>
    <dgm:pt modelId="{D696F25A-5D20-894A-ACB8-E4A635784AB0}" type="pres">
      <dgm:prSet presAssocID="{B502AB8C-DD11-5845-BDBC-67FF6EEB4407}" presName="hierChild5" presStyleCnt="0"/>
      <dgm:spPr/>
    </dgm:pt>
    <dgm:pt modelId="{DBC0614F-9524-364A-B1D2-515F0D9100BE}" type="pres">
      <dgm:prSet presAssocID="{7103B948-D2FC-AD4A-9C90-7EB66ABB735C}" presName="Name37" presStyleLbl="parChTrans1D2" presStyleIdx="1" presStyleCnt="4"/>
      <dgm:spPr/>
    </dgm:pt>
    <dgm:pt modelId="{F118CBCE-8B4D-C04F-AD78-9939AD869BA1}" type="pres">
      <dgm:prSet presAssocID="{6E5EFB05-C9EE-6640-8F10-F0495B23AABA}" presName="hierRoot2" presStyleCnt="0">
        <dgm:presLayoutVars>
          <dgm:hierBranch val="init"/>
        </dgm:presLayoutVars>
      </dgm:prSet>
      <dgm:spPr/>
    </dgm:pt>
    <dgm:pt modelId="{09757103-E79A-8F46-9851-8CFB4C30E948}" type="pres">
      <dgm:prSet presAssocID="{6E5EFB05-C9EE-6640-8F10-F0495B23AABA}" presName="rootComposite" presStyleCnt="0"/>
      <dgm:spPr/>
    </dgm:pt>
    <dgm:pt modelId="{E636002D-DA91-974E-832D-0BCE4FD3C42E}" type="pres">
      <dgm:prSet presAssocID="{6E5EFB05-C9EE-6640-8F10-F0495B23AABA}" presName="rootText" presStyleLbl="node2" presStyleIdx="1" presStyleCnt="4" custScaleY="134045">
        <dgm:presLayoutVars>
          <dgm:chPref val="3"/>
        </dgm:presLayoutVars>
      </dgm:prSet>
      <dgm:spPr/>
    </dgm:pt>
    <dgm:pt modelId="{8B3A479D-D650-BE44-9CF0-399759E587AF}" type="pres">
      <dgm:prSet presAssocID="{6E5EFB05-C9EE-6640-8F10-F0495B23AABA}" presName="rootConnector" presStyleLbl="node2" presStyleIdx="1" presStyleCnt="4"/>
      <dgm:spPr/>
    </dgm:pt>
    <dgm:pt modelId="{787AB434-E8F6-474B-997A-4658EF61479A}" type="pres">
      <dgm:prSet presAssocID="{6E5EFB05-C9EE-6640-8F10-F0495B23AABA}" presName="hierChild4" presStyleCnt="0"/>
      <dgm:spPr/>
    </dgm:pt>
    <dgm:pt modelId="{FDDCF830-7EB9-864D-9D68-4C2C2C0F2E4F}" type="pres">
      <dgm:prSet presAssocID="{6E5EFB05-C9EE-6640-8F10-F0495B23AABA}" presName="hierChild5" presStyleCnt="0"/>
      <dgm:spPr/>
    </dgm:pt>
    <dgm:pt modelId="{8B23D74C-EC63-7B47-A35D-583A62C4799B}" type="pres">
      <dgm:prSet presAssocID="{71EB0C64-B6D1-6945-8B02-1249CA85CC93}" presName="Name37" presStyleLbl="parChTrans1D2" presStyleIdx="2" presStyleCnt="4"/>
      <dgm:spPr/>
    </dgm:pt>
    <dgm:pt modelId="{16083F31-0142-3541-AF9E-6A5A28810FA3}" type="pres">
      <dgm:prSet presAssocID="{E60F8AA6-6F89-E348-ADED-08C604C4A99F}" presName="hierRoot2" presStyleCnt="0">
        <dgm:presLayoutVars>
          <dgm:hierBranch val="init"/>
        </dgm:presLayoutVars>
      </dgm:prSet>
      <dgm:spPr/>
    </dgm:pt>
    <dgm:pt modelId="{4EBCB33A-8E70-BD41-9F8F-092583300EFC}" type="pres">
      <dgm:prSet presAssocID="{E60F8AA6-6F89-E348-ADED-08C604C4A99F}" presName="rootComposite" presStyleCnt="0"/>
      <dgm:spPr/>
    </dgm:pt>
    <dgm:pt modelId="{767C7D54-4202-8F48-8F07-E1EBC7B7DF48}" type="pres">
      <dgm:prSet presAssocID="{E60F8AA6-6F89-E348-ADED-08C604C4A99F}" presName="rootText" presStyleLbl="node2" presStyleIdx="2" presStyleCnt="4" custScaleY="134045">
        <dgm:presLayoutVars>
          <dgm:chPref val="3"/>
        </dgm:presLayoutVars>
      </dgm:prSet>
      <dgm:spPr/>
    </dgm:pt>
    <dgm:pt modelId="{223F1979-B566-7B41-9B70-DBD064D10842}" type="pres">
      <dgm:prSet presAssocID="{E60F8AA6-6F89-E348-ADED-08C604C4A99F}" presName="rootConnector" presStyleLbl="node2" presStyleIdx="2" presStyleCnt="4"/>
      <dgm:spPr/>
    </dgm:pt>
    <dgm:pt modelId="{610EF70D-D668-004B-BD9B-7CCB4E991576}" type="pres">
      <dgm:prSet presAssocID="{E60F8AA6-6F89-E348-ADED-08C604C4A99F}" presName="hierChild4" presStyleCnt="0"/>
      <dgm:spPr/>
    </dgm:pt>
    <dgm:pt modelId="{6DEA79C0-2688-9E42-AAF0-B3D1BE6DD7F0}" type="pres">
      <dgm:prSet presAssocID="{E60F8AA6-6F89-E348-ADED-08C604C4A99F}" presName="hierChild5" presStyleCnt="0"/>
      <dgm:spPr/>
    </dgm:pt>
    <dgm:pt modelId="{6E80171C-C606-D442-A182-39007CF16D0A}" type="pres">
      <dgm:prSet presAssocID="{678CE823-B754-4E44-B287-758C4C7C4D0B}" presName="Name37" presStyleLbl="parChTrans1D2" presStyleIdx="3" presStyleCnt="4"/>
      <dgm:spPr/>
    </dgm:pt>
    <dgm:pt modelId="{7DD2BCD0-8DD9-9E47-BD38-2F1939EE4F09}" type="pres">
      <dgm:prSet presAssocID="{F2BBDFAE-2432-A545-9E3B-0EF357A3A6DB}" presName="hierRoot2" presStyleCnt="0">
        <dgm:presLayoutVars>
          <dgm:hierBranch val="init"/>
        </dgm:presLayoutVars>
      </dgm:prSet>
      <dgm:spPr/>
    </dgm:pt>
    <dgm:pt modelId="{998F16F4-ED6E-1840-A046-E618A35AC05C}" type="pres">
      <dgm:prSet presAssocID="{F2BBDFAE-2432-A545-9E3B-0EF357A3A6DB}" presName="rootComposite" presStyleCnt="0"/>
      <dgm:spPr/>
    </dgm:pt>
    <dgm:pt modelId="{06029156-77EE-DF49-BE8E-872B572E1BEF}" type="pres">
      <dgm:prSet presAssocID="{F2BBDFAE-2432-A545-9E3B-0EF357A3A6DB}" presName="rootText" presStyleLbl="node2" presStyleIdx="3" presStyleCnt="4" custScaleY="134045">
        <dgm:presLayoutVars>
          <dgm:chPref val="3"/>
        </dgm:presLayoutVars>
      </dgm:prSet>
      <dgm:spPr/>
    </dgm:pt>
    <dgm:pt modelId="{3C56EBE6-0E7A-2249-A63C-C540E037939B}" type="pres">
      <dgm:prSet presAssocID="{F2BBDFAE-2432-A545-9E3B-0EF357A3A6DB}" presName="rootConnector" presStyleLbl="node2" presStyleIdx="3" presStyleCnt="4"/>
      <dgm:spPr/>
    </dgm:pt>
    <dgm:pt modelId="{59254672-B367-FE47-BE93-0B042057FA12}" type="pres">
      <dgm:prSet presAssocID="{F2BBDFAE-2432-A545-9E3B-0EF357A3A6DB}" presName="hierChild4" presStyleCnt="0"/>
      <dgm:spPr/>
    </dgm:pt>
    <dgm:pt modelId="{66500857-C8E5-3D4D-99F8-F6DCDF1E208E}" type="pres">
      <dgm:prSet presAssocID="{F2BBDFAE-2432-A545-9E3B-0EF357A3A6DB}" presName="hierChild5" presStyleCnt="0"/>
      <dgm:spPr/>
    </dgm:pt>
    <dgm:pt modelId="{D34D1711-E5F1-AE43-BC0E-A942C21AD045}" type="pres">
      <dgm:prSet presAssocID="{C3730725-67AD-CA4D-AAB7-EF7C176CBB97}" presName="hierChild3" presStyleCnt="0"/>
      <dgm:spPr/>
    </dgm:pt>
  </dgm:ptLst>
  <dgm:cxnLst>
    <dgm:cxn modelId="{359E7E14-ECED-D642-8668-674901CE3D31}" type="presOf" srcId="{B502AB8C-DD11-5845-BDBC-67FF6EEB4407}" destId="{582087C5-D828-E149-8550-02E972C81B73}" srcOrd="1" destOrd="0" presId="urn:microsoft.com/office/officeart/2005/8/layout/orgChart1"/>
    <dgm:cxn modelId="{C9E3361D-6328-6F44-8B4A-873ABA1C93C5}" type="presOf" srcId="{B502AB8C-DD11-5845-BDBC-67FF6EEB4407}" destId="{65805B4E-0AAA-4E4A-938D-CD922C096065}" srcOrd="0" destOrd="0" presId="urn:microsoft.com/office/officeart/2005/8/layout/orgChart1"/>
    <dgm:cxn modelId="{85D25F2D-4066-3F4E-A7F4-C880BA6462A4}" type="presOf" srcId="{71EB0C64-B6D1-6945-8B02-1249CA85CC93}" destId="{8B23D74C-EC63-7B47-A35D-583A62C4799B}" srcOrd="0" destOrd="0" presId="urn:microsoft.com/office/officeart/2005/8/layout/orgChart1"/>
    <dgm:cxn modelId="{47709240-1F9F-794A-A55F-68D328245AC0}" type="presOf" srcId="{F2BBDFAE-2432-A545-9E3B-0EF357A3A6DB}" destId="{06029156-77EE-DF49-BE8E-872B572E1BEF}" srcOrd="0" destOrd="0" presId="urn:microsoft.com/office/officeart/2005/8/layout/orgChart1"/>
    <dgm:cxn modelId="{7C93A648-2F0C-784F-9E85-6E123629D03B}" type="presOf" srcId="{678CE823-B754-4E44-B287-758C4C7C4D0B}" destId="{6E80171C-C606-D442-A182-39007CF16D0A}" srcOrd="0" destOrd="0" presId="urn:microsoft.com/office/officeart/2005/8/layout/orgChart1"/>
    <dgm:cxn modelId="{9C5F5F4B-74BA-1A46-BBE9-36975723803A}" srcId="{C3730725-67AD-CA4D-AAB7-EF7C176CBB97}" destId="{F2BBDFAE-2432-A545-9E3B-0EF357A3A6DB}" srcOrd="3" destOrd="0" parTransId="{678CE823-B754-4E44-B287-758C4C7C4D0B}" sibTransId="{7EB720C3-8410-D64B-964D-2B0367BE7AE7}"/>
    <dgm:cxn modelId="{40D08E4B-B8DC-E54E-B88A-77A72B183C61}" type="presOf" srcId="{C3730725-67AD-CA4D-AAB7-EF7C176CBB97}" destId="{417BFE58-5FF1-3444-96A8-D9C242E74E67}" srcOrd="1" destOrd="0" presId="urn:microsoft.com/office/officeart/2005/8/layout/orgChart1"/>
    <dgm:cxn modelId="{B8B34E6D-40DD-0A4D-AB21-723A8964137E}" type="presOf" srcId="{F2BBDFAE-2432-A545-9E3B-0EF357A3A6DB}" destId="{3C56EBE6-0E7A-2249-A63C-C540E037939B}" srcOrd="1" destOrd="0" presId="urn:microsoft.com/office/officeart/2005/8/layout/orgChart1"/>
    <dgm:cxn modelId="{FA69636E-0300-A840-84BF-C01D929FAA25}" type="presOf" srcId="{1A42AF8D-10BF-5844-8BA4-B7064D551973}" destId="{3069193A-1E2E-4F4F-9121-415189480B9C}" srcOrd="0" destOrd="0" presId="urn:microsoft.com/office/officeart/2005/8/layout/orgChart1"/>
    <dgm:cxn modelId="{49BE2C79-FAFD-6C4C-891E-1F2CF314859E}" type="presOf" srcId="{7103B948-D2FC-AD4A-9C90-7EB66ABB735C}" destId="{DBC0614F-9524-364A-B1D2-515F0D9100BE}" srcOrd="0" destOrd="0" presId="urn:microsoft.com/office/officeart/2005/8/layout/orgChart1"/>
    <dgm:cxn modelId="{C45E1A8D-EDF8-594C-8A13-D0823CB8EF19}" type="presOf" srcId="{6E5EFB05-C9EE-6640-8F10-F0495B23AABA}" destId="{8B3A479D-D650-BE44-9CF0-399759E587AF}" srcOrd="1" destOrd="0" presId="urn:microsoft.com/office/officeart/2005/8/layout/orgChart1"/>
    <dgm:cxn modelId="{986C9592-BA31-2243-B87B-2729492A0B74}" type="presOf" srcId="{B3C15828-E0E0-9749-AFA3-B3DB0062EF03}" destId="{29A89B69-A48C-C94E-AB1C-4C23BDA02ACD}" srcOrd="0" destOrd="0" presId="urn:microsoft.com/office/officeart/2005/8/layout/orgChart1"/>
    <dgm:cxn modelId="{662E439F-CD0C-FA4E-A104-F2F640AC5CFD}" type="presOf" srcId="{6E5EFB05-C9EE-6640-8F10-F0495B23AABA}" destId="{E636002D-DA91-974E-832D-0BCE4FD3C42E}" srcOrd="0" destOrd="0" presId="urn:microsoft.com/office/officeart/2005/8/layout/orgChart1"/>
    <dgm:cxn modelId="{16C44DA1-A7CB-A945-9B92-EF3366011175}" srcId="{C3730725-67AD-CA4D-AAB7-EF7C176CBB97}" destId="{E60F8AA6-6F89-E348-ADED-08C604C4A99F}" srcOrd="2" destOrd="0" parTransId="{71EB0C64-B6D1-6945-8B02-1249CA85CC93}" sibTransId="{5A101A78-29CC-CA4F-A887-080D5255929F}"/>
    <dgm:cxn modelId="{A270C8A2-100D-E045-8F4F-6FFB50F73C16}" srcId="{B3C15828-E0E0-9749-AFA3-B3DB0062EF03}" destId="{C3730725-67AD-CA4D-AAB7-EF7C176CBB97}" srcOrd="0" destOrd="0" parTransId="{8338C50B-EA77-9547-8F7E-6D66CD6C232F}" sibTransId="{B552EAB7-E635-4E4D-89A6-825E268AE078}"/>
    <dgm:cxn modelId="{6ABFACA5-A76D-5C42-84C2-9E9A55650ECA}" type="presOf" srcId="{C3730725-67AD-CA4D-AAB7-EF7C176CBB97}" destId="{CCC35DA1-C869-3947-9372-D5B995542744}" srcOrd="0" destOrd="0" presId="urn:microsoft.com/office/officeart/2005/8/layout/orgChart1"/>
    <dgm:cxn modelId="{D97138AA-0FAD-5747-A777-7D9F8CF48309}" srcId="{C3730725-67AD-CA4D-AAB7-EF7C176CBB97}" destId="{6E5EFB05-C9EE-6640-8F10-F0495B23AABA}" srcOrd="1" destOrd="0" parTransId="{7103B948-D2FC-AD4A-9C90-7EB66ABB735C}" sibTransId="{F60612F5-63F9-3C4B-9A12-D10F16AE4027}"/>
    <dgm:cxn modelId="{FF4E83B8-4165-FA4D-8583-BFB5077B7B9D}" type="presOf" srcId="{E60F8AA6-6F89-E348-ADED-08C604C4A99F}" destId="{223F1979-B566-7B41-9B70-DBD064D10842}" srcOrd="1" destOrd="0" presId="urn:microsoft.com/office/officeart/2005/8/layout/orgChart1"/>
    <dgm:cxn modelId="{133DEAE8-2AD5-0447-A31E-89C81176013B}" srcId="{C3730725-67AD-CA4D-AAB7-EF7C176CBB97}" destId="{B502AB8C-DD11-5845-BDBC-67FF6EEB4407}" srcOrd="0" destOrd="0" parTransId="{1A42AF8D-10BF-5844-8BA4-B7064D551973}" sibTransId="{4D1DC351-FAF1-2C43-8497-B67840ED5569}"/>
    <dgm:cxn modelId="{DA6722EC-9F4E-634D-9BB5-889795AA3DC0}" type="presOf" srcId="{E60F8AA6-6F89-E348-ADED-08C604C4A99F}" destId="{767C7D54-4202-8F48-8F07-E1EBC7B7DF48}" srcOrd="0" destOrd="0" presId="urn:microsoft.com/office/officeart/2005/8/layout/orgChart1"/>
    <dgm:cxn modelId="{EB128CF2-1C30-B34E-A823-1E0041B44961}" type="presParOf" srcId="{29A89B69-A48C-C94E-AB1C-4C23BDA02ACD}" destId="{A54BAA58-3E75-A04F-B681-FF0B31B47259}" srcOrd="0" destOrd="0" presId="urn:microsoft.com/office/officeart/2005/8/layout/orgChart1"/>
    <dgm:cxn modelId="{F4FC1DE2-2C4F-C041-9DBE-9EBF032C8348}" type="presParOf" srcId="{A54BAA58-3E75-A04F-B681-FF0B31B47259}" destId="{17D78BB5-A882-8741-85A9-5D80B669FC1C}" srcOrd="0" destOrd="0" presId="urn:microsoft.com/office/officeart/2005/8/layout/orgChart1"/>
    <dgm:cxn modelId="{D285F7C7-3F4E-1E47-88CD-C7BAB5E39FC0}" type="presParOf" srcId="{17D78BB5-A882-8741-85A9-5D80B669FC1C}" destId="{CCC35DA1-C869-3947-9372-D5B995542744}" srcOrd="0" destOrd="0" presId="urn:microsoft.com/office/officeart/2005/8/layout/orgChart1"/>
    <dgm:cxn modelId="{95AF349A-7FC1-9F4F-B018-BC793E1B3D2B}" type="presParOf" srcId="{17D78BB5-A882-8741-85A9-5D80B669FC1C}" destId="{417BFE58-5FF1-3444-96A8-D9C242E74E67}" srcOrd="1" destOrd="0" presId="urn:microsoft.com/office/officeart/2005/8/layout/orgChart1"/>
    <dgm:cxn modelId="{50E36DF8-A9EB-2A45-B532-278CDB8FF6D5}" type="presParOf" srcId="{A54BAA58-3E75-A04F-B681-FF0B31B47259}" destId="{FFD62FAE-7E7D-9042-BE9C-891B857062CA}" srcOrd="1" destOrd="0" presId="urn:microsoft.com/office/officeart/2005/8/layout/orgChart1"/>
    <dgm:cxn modelId="{A8C53561-8434-7144-9023-AB733CC0D741}" type="presParOf" srcId="{FFD62FAE-7E7D-9042-BE9C-891B857062CA}" destId="{3069193A-1E2E-4F4F-9121-415189480B9C}" srcOrd="0" destOrd="0" presId="urn:microsoft.com/office/officeart/2005/8/layout/orgChart1"/>
    <dgm:cxn modelId="{F8B52683-9B10-5D48-9F84-A11C4154412F}" type="presParOf" srcId="{FFD62FAE-7E7D-9042-BE9C-891B857062CA}" destId="{C0ACB569-AAC1-E540-86C7-ABABCF5753F4}" srcOrd="1" destOrd="0" presId="urn:microsoft.com/office/officeart/2005/8/layout/orgChart1"/>
    <dgm:cxn modelId="{FC82F7B0-BAB0-0C46-9D41-350DD81739F0}" type="presParOf" srcId="{C0ACB569-AAC1-E540-86C7-ABABCF5753F4}" destId="{53B95EA8-C17F-F549-A44B-F7FEFE7955A5}" srcOrd="0" destOrd="0" presId="urn:microsoft.com/office/officeart/2005/8/layout/orgChart1"/>
    <dgm:cxn modelId="{50499B91-128E-6346-ADD9-234D46AAC9D6}" type="presParOf" srcId="{53B95EA8-C17F-F549-A44B-F7FEFE7955A5}" destId="{65805B4E-0AAA-4E4A-938D-CD922C096065}" srcOrd="0" destOrd="0" presId="urn:microsoft.com/office/officeart/2005/8/layout/orgChart1"/>
    <dgm:cxn modelId="{429FF1F0-10F0-2440-9AE3-148796FD368D}" type="presParOf" srcId="{53B95EA8-C17F-F549-A44B-F7FEFE7955A5}" destId="{582087C5-D828-E149-8550-02E972C81B73}" srcOrd="1" destOrd="0" presId="urn:microsoft.com/office/officeart/2005/8/layout/orgChart1"/>
    <dgm:cxn modelId="{A6664777-8CEB-6C43-8FEE-1E00B35E0E21}" type="presParOf" srcId="{C0ACB569-AAC1-E540-86C7-ABABCF5753F4}" destId="{F848522C-A4AD-EA46-8B24-52D915AB8C7C}" srcOrd="1" destOrd="0" presId="urn:microsoft.com/office/officeart/2005/8/layout/orgChart1"/>
    <dgm:cxn modelId="{07C2E3A4-FCDC-B547-A53F-7A7C187415F0}" type="presParOf" srcId="{C0ACB569-AAC1-E540-86C7-ABABCF5753F4}" destId="{D696F25A-5D20-894A-ACB8-E4A635784AB0}" srcOrd="2" destOrd="0" presId="urn:microsoft.com/office/officeart/2005/8/layout/orgChart1"/>
    <dgm:cxn modelId="{D38901E9-2073-404A-A857-E16493BBACE5}" type="presParOf" srcId="{FFD62FAE-7E7D-9042-BE9C-891B857062CA}" destId="{DBC0614F-9524-364A-B1D2-515F0D9100BE}" srcOrd="2" destOrd="0" presId="urn:microsoft.com/office/officeart/2005/8/layout/orgChart1"/>
    <dgm:cxn modelId="{36F45C48-2D87-FD45-9286-379D469DF9CC}" type="presParOf" srcId="{FFD62FAE-7E7D-9042-BE9C-891B857062CA}" destId="{F118CBCE-8B4D-C04F-AD78-9939AD869BA1}" srcOrd="3" destOrd="0" presId="urn:microsoft.com/office/officeart/2005/8/layout/orgChart1"/>
    <dgm:cxn modelId="{CBBBAB81-16C3-6D46-B1C2-C7F18BD34578}" type="presParOf" srcId="{F118CBCE-8B4D-C04F-AD78-9939AD869BA1}" destId="{09757103-E79A-8F46-9851-8CFB4C30E948}" srcOrd="0" destOrd="0" presId="urn:microsoft.com/office/officeart/2005/8/layout/orgChart1"/>
    <dgm:cxn modelId="{6853946A-EC14-8447-9E8C-B3C56844F489}" type="presParOf" srcId="{09757103-E79A-8F46-9851-8CFB4C30E948}" destId="{E636002D-DA91-974E-832D-0BCE4FD3C42E}" srcOrd="0" destOrd="0" presId="urn:microsoft.com/office/officeart/2005/8/layout/orgChart1"/>
    <dgm:cxn modelId="{190DBBAE-21B9-DB40-92F0-1DD5E4FA7093}" type="presParOf" srcId="{09757103-E79A-8F46-9851-8CFB4C30E948}" destId="{8B3A479D-D650-BE44-9CF0-399759E587AF}" srcOrd="1" destOrd="0" presId="urn:microsoft.com/office/officeart/2005/8/layout/orgChart1"/>
    <dgm:cxn modelId="{2BC66811-4FF5-F24C-AD93-A4A00C09AF42}" type="presParOf" srcId="{F118CBCE-8B4D-C04F-AD78-9939AD869BA1}" destId="{787AB434-E8F6-474B-997A-4658EF61479A}" srcOrd="1" destOrd="0" presId="urn:microsoft.com/office/officeart/2005/8/layout/orgChart1"/>
    <dgm:cxn modelId="{0FBE4C03-6885-F54D-9BBC-EB9ED672FCE0}" type="presParOf" srcId="{F118CBCE-8B4D-C04F-AD78-9939AD869BA1}" destId="{FDDCF830-7EB9-864D-9D68-4C2C2C0F2E4F}" srcOrd="2" destOrd="0" presId="urn:microsoft.com/office/officeart/2005/8/layout/orgChart1"/>
    <dgm:cxn modelId="{7F44ABCB-4D62-5D4E-B1CE-6962C648C70A}" type="presParOf" srcId="{FFD62FAE-7E7D-9042-BE9C-891B857062CA}" destId="{8B23D74C-EC63-7B47-A35D-583A62C4799B}" srcOrd="4" destOrd="0" presId="urn:microsoft.com/office/officeart/2005/8/layout/orgChart1"/>
    <dgm:cxn modelId="{01CC03F2-C3E3-3A40-8977-EAC99B49E75E}" type="presParOf" srcId="{FFD62FAE-7E7D-9042-BE9C-891B857062CA}" destId="{16083F31-0142-3541-AF9E-6A5A28810FA3}" srcOrd="5" destOrd="0" presId="urn:microsoft.com/office/officeart/2005/8/layout/orgChart1"/>
    <dgm:cxn modelId="{B8FE0BAD-F4C3-064E-9989-17232AD4E550}" type="presParOf" srcId="{16083F31-0142-3541-AF9E-6A5A28810FA3}" destId="{4EBCB33A-8E70-BD41-9F8F-092583300EFC}" srcOrd="0" destOrd="0" presId="urn:microsoft.com/office/officeart/2005/8/layout/orgChart1"/>
    <dgm:cxn modelId="{34EDDB04-EE0A-8747-91D2-837BDBB0F370}" type="presParOf" srcId="{4EBCB33A-8E70-BD41-9F8F-092583300EFC}" destId="{767C7D54-4202-8F48-8F07-E1EBC7B7DF48}" srcOrd="0" destOrd="0" presId="urn:microsoft.com/office/officeart/2005/8/layout/orgChart1"/>
    <dgm:cxn modelId="{D4C783F0-662B-8843-9F91-3121933CAF07}" type="presParOf" srcId="{4EBCB33A-8E70-BD41-9F8F-092583300EFC}" destId="{223F1979-B566-7B41-9B70-DBD064D10842}" srcOrd="1" destOrd="0" presId="urn:microsoft.com/office/officeart/2005/8/layout/orgChart1"/>
    <dgm:cxn modelId="{958ED6A4-DD17-E24A-A0C2-16AC3A3EABE4}" type="presParOf" srcId="{16083F31-0142-3541-AF9E-6A5A28810FA3}" destId="{610EF70D-D668-004B-BD9B-7CCB4E991576}" srcOrd="1" destOrd="0" presId="urn:microsoft.com/office/officeart/2005/8/layout/orgChart1"/>
    <dgm:cxn modelId="{5D4C129B-C2F6-744F-A1C5-2A6896FE3D27}" type="presParOf" srcId="{16083F31-0142-3541-AF9E-6A5A28810FA3}" destId="{6DEA79C0-2688-9E42-AAF0-B3D1BE6DD7F0}" srcOrd="2" destOrd="0" presId="urn:microsoft.com/office/officeart/2005/8/layout/orgChart1"/>
    <dgm:cxn modelId="{0A7A7D9B-2B49-8D4D-8EA7-D5413CCBCA74}" type="presParOf" srcId="{FFD62FAE-7E7D-9042-BE9C-891B857062CA}" destId="{6E80171C-C606-D442-A182-39007CF16D0A}" srcOrd="6" destOrd="0" presId="urn:microsoft.com/office/officeart/2005/8/layout/orgChart1"/>
    <dgm:cxn modelId="{9D1B7F71-9C32-004A-B801-1AD400352437}" type="presParOf" srcId="{FFD62FAE-7E7D-9042-BE9C-891B857062CA}" destId="{7DD2BCD0-8DD9-9E47-BD38-2F1939EE4F09}" srcOrd="7" destOrd="0" presId="urn:microsoft.com/office/officeart/2005/8/layout/orgChart1"/>
    <dgm:cxn modelId="{553BFEBA-7189-0E4C-A768-4D0226780278}" type="presParOf" srcId="{7DD2BCD0-8DD9-9E47-BD38-2F1939EE4F09}" destId="{998F16F4-ED6E-1840-A046-E618A35AC05C}" srcOrd="0" destOrd="0" presId="urn:microsoft.com/office/officeart/2005/8/layout/orgChart1"/>
    <dgm:cxn modelId="{46DA061E-B234-5243-8F4E-3DAEE616C1AE}" type="presParOf" srcId="{998F16F4-ED6E-1840-A046-E618A35AC05C}" destId="{06029156-77EE-DF49-BE8E-872B572E1BEF}" srcOrd="0" destOrd="0" presId="urn:microsoft.com/office/officeart/2005/8/layout/orgChart1"/>
    <dgm:cxn modelId="{0463FFD9-12B3-0C4C-B0D5-DC0CA0BF860B}" type="presParOf" srcId="{998F16F4-ED6E-1840-A046-E618A35AC05C}" destId="{3C56EBE6-0E7A-2249-A63C-C540E037939B}" srcOrd="1" destOrd="0" presId="urn:microsoft.com/office/officeart/2005/8/layout/orgChart1"/>
    <dgm:cxn modelId="{1CC105A6-6DD5-AA41-9332-3DD8240AD592}" type="presParOf" srcId="{7DD2BCD0-8DD9-9E47-BD38-2F1939EE4F09}" destId="{59254672-B367-FE47-BE93-0B042057FA12}" srcOrd="1" destOrd="0" presId="urn:microsoft.com/office/officeart/2005/8/layout/orgChart1"/>
    <dgm:cxn modelId="{1221E8B8-D6F5-3849-8024-43DAEB49C0AA}" type="presParOf" srcId="{7DD2BCD0-8DD9-9E47-BD38-2F1939EE4F09}" destId="{66500857-C8E5-3D4D-99F8-F6DCDF1E208E}" srcOrd="2" destOrd="0" presId="urn:microsoft.com/office/officeart/2005/8/layout/orgChart1"/>
    <dgm:cxn modelId="{EA111DC5-02AB-7E43-8D85-CAA593C39792}" type="presParOf" srcId="{A54BAA58-3E75-A04F-B681-FF0B31B47259}" destId="{D34D1711-E5F1-AE43-BC0E-A942C21AD045}" srcOrd="2" destOrd="0" presId="urn:microsoft.com/office/officeart/2005/8/layout/orgChart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80171C-C606-D442-A182-39007CF16D0A}">
      <dsp:nvSpPr>
        <dsp:cNvPr id="0" name=""/>
        <dsp:cNvSpPr/>
      </dsp:nvSpPr>
      <dsp:spPr>
        <a:xfrm>
          <a:off x="2764341" y="929649"/>
          <a:ext cx="2127349" cy="243300"/>
        </a:xfrm>
        <a:custGeom>
          <a:avLst/>
          <a:gdLst/>
          <a:ahLst/>
          <a:cxnLst/>
          <a:rect l="0" t="0" r="0" b="0"/>
          <a:pathLst>
            <a:path>
              <a:moveTo>
                <a:pt x="0" y="0"/>
              </a:moveTo>
              <a:lnTo>
                <a:pt x="0" y="119007"/>
              </a:lnTo>
              <a:lnTo>
                <a:pt x="2127349" y="119007"/>
              </a:lnTo>
              <a:lnTo>
                <a:pt x="2127349" y="24330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23D74C-EC63-7B47-A35D-583A62C4799B}">
      <dsp:nvSpPr>
        <dsp:cNvPr id="0" name=""/>
        <dsp:cNvSpPr/>
      </dsp:nvSpPr>
      <dsp:spPr>
        <a:xfrm>
          <a:off x="2764341" y="929649"/>
          <a:ext cx="695022" cy="243300"/>
        </a:xfrm>
        <a:custGeom>
          <a:avLst/>
          <a:gdLst/>
          <a:ahLst/>
          <a:cxnLst/>
          <a:rect l="0" t="0" r="0" b="0"/>
          <a:pathLst>
            <a:path>
              <a:moveTo>
                <a:pt x="0" y="0"/>
              </a:moveTo>
              <a:lnTo>
                <a:pt x="0" y="119007"/>
              </a:lnTo>
              <a:lnTo>
                <a:pt x="695022" y="119007"/>
              </a:lnTo>
              <a:lnTo>
                <a:pt x="695022" y="24330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C0614F-9524-364A-B1D2-515F0D9100BE}">
      <dsp:nvSpPr>
        <dsp:cNvPr id="0" name=""/>
        <dsp:cNvSpPr/>
      </dsp:nvSpPr>
      <dsp:spPr>
        <a:xfrm>
          <a:off x="2027036" y="929649"/>
          <a:ext cx="737305" cy="243300"/>
        </a:xfrm>
        <a:custGeom>
          <a:avLst/>
          <a:gdLst/>
          <a:ahLst/>
          <a:cxnLst/>
          <a:rect l="0" t="0" r="0" b="0"/>
          <a:pathLst>
            <a:path>
              <a:moveTo>
                <a:pt x="737305" y="0"/>
              </a:moveTo>
              <a:lnTo>
                <a:pt x="737305" y="119007"/>
              </a:lnTo>
              <a:lnTo>
                <a:pt x="0" y="119007"/>
              </a:lnTo>
              <a:lnTo>
                <a:pt x="0" y="24330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69193A-1E2E-4F4F-9121-415189480B9C}">
      <dsp:nvSpPr>
        <dsp:cNvPr id="0" name=""/>
        <dsp:cNvSpPr/>
      </dsp:nvSpPr>
      <dsp:spPr>
        <a:xfrm>
          <a:off x="594708" y="929649"/>
          <a:ext cx="2169632" cy="243300"/>
        </a:xfrm>
        <a:custGeom>
          <a:avLst/>
          <a:gdLst/>
          <a:ahLst/>
          <a:cxnLst/>
          <a:rect l="0" t="0" r="0" b="0"/>
          <a:pathLst>
            <a:path>
              <a:moveTo>
                <a:pt x="2169632" y="0"/>
              </a:moveTo>
              <a:lnTo>
                <a:pt x="2169632" y="119007"/>
              </a:lnTo>
              <a:lnTo>
                <a:pt x="0" y="119007"/>
              </a:lnTo>
              <a:lnTo>
                <a:pt x="0" y="24330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C35DA1-C869-3947-9372-D5B995542744}">
      <dsp:nvSpPr>
        <dsp:cNvPr id="0" name=""/>
        <dsp:cNvSpPr/>
      </dsp:nvSpPr>
      <dsp:spPr>
        <a:xfrm>
          <a:off x="2172470" y="136276"/>
          <a:ext cx="1183741" cy="79337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EOIO: Targeted communities have more sustainable livelihoods and improved food security</a:t>
          </a:r>
        </a:p>
      </dsp:txBody>
      <dsp:txXfrm>
        <a:off x="2172470" y="136276"/>
        <a:ext cx="1183741" cy="793373"/>
      </dsp:txXfrm>
    </dsp:sp>
    <dsp:sp modelId="{65805B4E-0AAA-4E4A-938D-CD922C096065}">
      <dsp:nvSpPr>
        <dsp:cNvPr id="0" name=""/>
        <dsp:cNvSpPr/>
      </dsp:nvSpPr>
      <dsp:spPr>
        <a:xfrm>
          <a:off x="2837" y="1172949"/>
          <a:ext cx="1183741" cy="79337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Households in targeted wards have improved food gardens, with a diversity of crops</a:t>
          </a:r>
        </a:p>
      </dsp:txBody>
      <dsp:txXfrm>
        <a:off x="2837" y="1172949"/>
        <a:ext cx="1183741" cy="793373"/>
      </dsp:txXfrm>
    </dsp:sp>
    <dsp:sp modelId="{E636002D-DA91-974E-832D-0BCE4FD3C42E}">
      <dsp:nvSpPr>
        <dsp:cNvPr id="0" name=""/>
        <dsp:cNvSpPr/>
      </dsp:nvSpPr>
      <dsp:spPr>
        <a:xfrm>
          <a:off x="1435165" y="1172949"/>
          <a:ext cx="1183741" cy="79337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Target wards have increased income generation through sales of surplus produce or micro businesses</a:t>
          </a:r>
        </a:p>
      </dsp:txBody>
      <dsp:txXfrm>
        <a:off x="1435165" y="1172949"/>
        <a:ext cx="1183741" cy="793373"/>
      </dsp:txXfrm>
    </dsp:sp>
    <dsp:sp modelId="{767C7D54-4202-8F48-8F07-E1EBC7B7DF48}">
      <dsp:nvSpPr>
        <dsp:cNvPr id="0" name=""/>
        <dsp:cNvSpPr/>
      </dsp:nvSpPr>
      <dsp:spPr>
        <a:xfrm>
          <a:off x="2867492" y="1172949"/>
          <a:ext cx="1183741" cy="79337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Enhanced domestic or local supply chains, that pay higher prices and sustain the environment</a:t>
          </a:r>
        </a:p>
      </dsp:txBody>
      <dsp:txXfrm>
        <a:off x="2867492" y="1172949"/>
        <a:ext cx="1183741" cy="793373"/>
      </dsp:txXfrm>
    </dsp:sp>
    <dsp:sp modelId="{06029156-77EE-DF49-BE8E-872B572E1BEF}">
      <dsp:nvSpPr>
        <dsp:cNvPr id="0" name=""/>
        <dsp:cNvSpPr/>
      </dsp:nvSpPr>
      <dsp:spPr>
        <a:xfrm>
          <a:off x="4299820" y="1172949"/>
          <a:ext cx="1183741" cy="79337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Governance capacity strengthened to plan for and address social and economic needs</a:t>
          </a:r>
        </a:p>
      </dsp:txBody>
      <dsp:txXfrm>
        <a:off x="4299820" y="1172949"/>
        <a:ext cx="1183741" cy="79337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80171C-C606-D442-A182-39007CF16D0A}">
      <dsp:nvSpPr>
        <dsp:cNvPr id="0" name=""/>
        <dsp:cNvSpPr/>
      </dsp:nvSpPr>
      <dsp:spPr>
        <a:xfrm>
          <a:off x="2743200" y="871473"/>
          <a:ext cx="2148491" cy="248585"/>
        </a:xfrm>
        <a:custGeom>
          <a:avLst/>
          <a:gdLst/>
          <a:ahLst/>
          <a:cxnLst/>
          <a:rect l="0" t="0" r="0" b="0"/>
          <a:pathLst>
            <a:path>
              <a:moveTo>
                <a:pt x="0" y="0"/>
              </a:moveTo>
              <a:lnTo>
                <a:pt x="0" y="124292"/>
              </a:lnTo>
              <a:lnTo>
                <a:pt x="2148491" y="124292"/>
              </a:lnTo>
              <a:lnTo>
                <a:pt x="2148491" y="248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23D74C-EC63-7B47-A35D-583A62C4799B}">
      <dsp:nvSpPr>
        <dsp:cNvPr id="0" name=""/>
        <dsp:cNvSpPr/>
      </dsp:nvSpPr>
      <dsp:spPr>
        <a:xfrm>
          <a:off x="2743200" y="871473"/>
          <a:ext cx="716163" cy="248585"/>
        </a:xfrm>
        <a:custGeom>
          <a:avLst/>
          <a:gdLst/>
          <a:ahLst/>
          <a:cxnLst/>
          <a:rect l="0" t="0" r="0" b="0"/>
          <a:pathLst>
            <a:path>
              <a:moveTo>
                <a:pt x="0" y="0"/>
              </a:moveTo>
              <a:lnTo>
                <a:pt x="0" y="124292"/>
              </a:lnTo>
              <a:lnTo>
                <a:pt x="716163" y="124292"/>
              </a:lnTo>
              <a:lnTo>
                <a:pt x="716163" y="248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C0614F-9524-364A-B1D2-515F0D9100BE}">
      <dsp:nvSpPr>
        <dsp:cNvPr id="0" name=""/>
        <dsp:cNvSpPr/>
      </dsp:nvSpPr>
      <dsp:spPr>
        <a:xfrm>
          <a:off x="2027036" y="871473"/>
          <a:ext cx="716163" cy="248585"/>
        </a:xfrm>
        <a:custGeom>
          <a:avLst/>
          <a:gdLst/>
          <a:ahLst/>
          <a:cxnLst/>
          <a:rect l="0" t="0" r="0" b="0"/>
          <a:pathLst>
            <a:path>
              <a:moveTo>
                <a:pt x="716163" y="0"/>
              </a:moveTo>
              <a:lnTo>
                <a:pt x="716163" y="124292"/>
              </a:lnTo>
              <a:lnTo>
                <a:pt x="0" y="124292"/>
              </a:lnTo>
              <a:lnTo>
                <a:pt x="0" y="248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69193A-1E2E-4F4F-9121-415189480B9C}">
      <dsp:nvSpPr>
        <dsp:cNvPr id="0" name=""/>
        <dsp:cNvSpPr/>
      </dsp:nvSpPr>
      <dsp:spPr>
        <a:xfrm>
          <a:off x="594708" y="871473"/>
          <a:ext cx="2148491" cy="248585"/>
        </a:xfrm>
        <a:custGeom>
          <a:avLst/>
          <a:gdLst/>
          <a:ahLst/>
          <a:cxnLst/>
          <a:rect l="0" t="0" r="0" b="0"/>
          <a:pathLst>
            <a:path>
              <a:moveTo>
                <a:pt x="2148491" y="0"/>
              </a:moveTo>
              <a:lnTo>
                <a:pt x="2148491" y="124292"/>
              </a:lnTo>
              <a:lnTo>
                <a:pt x="0" y="124292"/>
              </a:lnTo>
              <a:lnTo>
                <a:pt x="0" y="248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C35DA1-C869-3947-9372-D5B995542744}">
      <dsp:nvSpPr>
        <dsp:cNvPr id="0" name=""/>
        <dsp:cNvSpPr/>
      </dsp:nvSpPr>
      <dsp:spPr>
        <a:xfrm>
          <a:off x="2151329" y="78099"/>
          <a:ext cx="1183741" cy="79337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EOIO: Strengthened responses to water related disasters in the South Fly</a:t>
          </a:r>
        </a:p>
      </dsp:txBody>
      <dsp:txXfrm>
        <a:off x="2151329" y="78099"/>
        <a:ext cx="1183741" cy="793373"/>
      </dsp:txXfrm>
    </dsp:sp>
    <dsp:sp modelId="{65805B4E-0AAA-4E4A-938D-CD922C096065}">
      <dsp:nvSpPr>
        <dsp:cNvPr id="0" name=""/>
        <dsp:cNvSpPr/>
      </dsp:nvSpPr>
      <dsp:spPr>
        <a:xfrm>
          <a:off x="2837" y="1120058"/>
          <a:ext cx="1183741" cy="79337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Increased access to a sustainable supply of drinking water, that is sufficient during drought events</a:t>
          </a:r>
        </a:p>
      </dsp:txBody>
      <dsp:txXfrm>
        <a:off x="2837" y="1120058"/>
        <a:ext cx="1183741" cy="793373"/>
      </dsp:txXfrm>
    </dsp:sp>
    <dsp:sp modelId="{E636002D-DA91-974E-832D-0BCE4FD3C42E}">
      <dsp:nvSpPr>
        <dsp:cNvPr id="0" name=""/>
        <dsp:cNvSpPr/>
      </dsp:nvSpPr>
      <dsp:spPr>
        <a:xfrm>
          <a:off x="1435165" y="1120058"/>
          <a:ext cx="1183741" cy="79337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Increased</a:t>
          </a:r>
          <a:r>
            <a:rPr lang="en-GB" sz="900" kern="1200" baseline="0"/>
            <a:t> access to a basis standard of WASH facilities, that prevent contamination during floods</a:t>
          </a:r>
          <a:endParaRPr lang="en-GB" sz="900" kern="1200"/>
        </a:p>
      </dsp:txBody>
      <dsp:txXfrm>
        <a:off x="1435165" y="1120058"/>
        <a:ext cx="1183741" cy="793373"/>
      </dsp:txXfrm>
    </dsp:sp>
    <dsp:sp modelId="{767C7D54-4202-8F48-8F07-E1EBC7B7DF48}">
      <dsp:nvSpPr>
        <dsp:cNvPr id="0" name=""/>
        <dsp:cNvSpPr/>
      </dsp:nvSpPr>
      <dsp:spPr>
        <a:xfrm>
          <a:off x="2867492" y="1120058"/>
          <a:ext cx="1183741" cy="79337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Strengthened governance capacity to design, finance, delvier and sustain inclusive WASH facilities</a:t>
          </a:r>
        </a:p>
      </dsp:txBody>
      <dsp:txXfrm>
        <a:off x="2867492" y="1120058"/>
        <a:ext cx="1183741" cy="793373"/>
      </dsp:txXfrm>
    </dsp:sp>
    <dsp:sp modelId="{06029156-77EE-DF49-BE8E-872B572E1BEF}">
      <dsp:nvSpPr>
        <dsp:cNvPr id="0" name=""/>
        <dsp:cNvSpPr/>
      </dsp:nvSpPr>
      <dsp:spPr>
        <a:xfrm>
          <a:off x="4299820" y="1120058"/>
          <a:ext cx="1183741" cy="79337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SFD has improved capacity to respond to water related disasters</a:t>
          </a:r>
        </a:p>
      </dsp:txBody>
      <dsp:txXfrm>
        <a:off x="4299820" y="1120058"/>
        <a:ext cx="1183741" cy="79337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PM_Arial">
  <a:themeElements>
    <a:clrScheme name="Custom 7">
      <a:dk1>
        <a:srgbClr val="000000"/>
      </a:dk1>
      <a:lt1>
        <a:srgbClr val="FFFFFF"/>
      </a:lt1>
      <a:dk2>
        <a:srgbClr val="0A1F50"/>
      </a:dk2>
      <a:lt2>
        <a:srgbClr val="DAE4EC"/>
      </a:lt2>
      <a:accent1>
        <a:srgbClr val="45A7E1"/>
      </a:accent1>
      <a:accent2>
        <a:srgbClr val="F04F48"/>
      </a:accent2>
      <a:accent3>
        <a:srgbClr val="4CD99D"/>
      </a:accent3>
      <a:accent4>
        <a:srgbClr val="FF7025"/>
      </a:accent4>
      <a:accent5>
        <a:srgbClr val="9187E9"/>
      </a:accent5>
      <a:accent6>
        <a:srgbClr val="FFCF0E"/>
      </a:accent6>
      <a:hlink>
        <a:srgbClr val="45A7E1"/>
      </a:hlink>
      <a:folHlink>
        <a:srgbClr val="45A7E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PM_Arial" id="{CD3B5AD6-1E9E-DE45-B6B9-4D05FC61B8FD}" vid="{5410EA13-B33E-A44F-860F-BBD43813C5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00680EF-031C-4110-A87E-EC2156B49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12352</Words>
  <Characters>70779</Characters>
  <Application>Microsoft Office Word</Application>
  <DocSecurity>0</DocSecurity>
  <Lines>1335</Lines>
  <Paragraphs>629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review South Fly Resilience Plan</dc:title>
  <dc:subject/>
  <dc:creator/>
  <cp:keywords/>
  <dc:description/>
  <cp:lastModifiedBy/>
  <cp:revision>1</cp:revision>
  <dcterms:created xsi:type="dcterms:W3CDTF">2022-08-10T01:28:00Z</dcterms:created>
  <dcterms:modified xsi:type="dcterms:W3CDTF">2022-08-10T01:29:00Z</dcterms:modified>
  <cp:category/>
</cp:coreProperties>
</file>