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F94C" w14:textId="05077CF1" w:rsidR="00025283" w:rsidRPr="000B28DD" w:rsidRDefault="00712211" w:rsidP="00DF166F">
      <w:pPr>
        <w:pStyle w:val="Title"/>
        <w:spacing w:line="276" w:lineRule="auto"/>
        <w:ind w:left="0"/>
        <w:rPr>
          <w:sz w:val="68"/>
          <w:szCs w:val="68"/>
        </w:rPr>
      </w:pPr>
      <w:bookmarkStart w:id="0" w:name="_Toc365884872"/>
      <w:r w:rsidRPr="00E508C0">
        <w:rPr>
          <w:sz w:val="68"/>
          <w:szCs w:val="68"/>
        </w:rPr>
        <w:t>Independent Review</w:t>
      </w:r>
      <w:r w:rsidR="00E508C0">
        <w:rPr>
          <w:sz w:val="68"/>
          <w:szCs w:val="68"/>
        </w:rPr>
        <w:t>:</w:t>
      </w:r>
      <w:r w:rsidRPr="00E508C0">
        <w:rPr>
          <w:sz w:val="68"/>
          <w:szCs w:val="68"/>
        </w:rPr>
        <w:t xml:space="preserve"> Tonga Health Promotion Foundation’s </w:t>
      </w:r>
      <w:r w:rsidR="00E508C0" w:rsidRPr="00E508C0">
        <w:rPr>
          <w:sz w:val="68"/>
          <w:szCs w:val="68"/>
        </w:rPr>
        <w:t>Implementation</w:t>
      </w:r>
      <w:r w:rsidRPr="00E508C0">
        <w:rPr>
          <w:sz w:val="68"/>
          <w:szCs w:val="68"/>
        </w:rPr>
        <w:t xml:space="preserve"> </w:t>
      </w:r>
      <w:r w:rsidR="00E508C0" w:rsidRPr="00E508C0">
        <w:rPr>
          <w:sz w:val="68"/>
          <w:szCs w:val="68"/>
        </w:rPr>
        <w:t>of responsibilities under the National NCD Strategy</w:t>
      </w:r>
      <w:r w:rsidR="00E508C0" w:rsidRPr="000B28DD">
        <w:rPr>
          <w:sz w:val="68"/>
          <w:szCs w:val="68"/>
        </w:rPr>
        <w:t>.</w:t>
      </w:r>
      <w:r w:rsidR="00A03FBE" w:rsidRPr="000B28DD">
        <w:rPr>
          <w:sz w:val="68"/>
          <w:szCs w:val="68"/>
        </w:rPr>
        <w:t xml:space="preserve"> </w:t>
      </w:r>
    </w:p>
    <w:p w14:paraId="045E9CE0" w14:textId="11519D9D" w:rsidR="00483358" w:rsidRDefault="002062D5" w:rsidP="00DF166F">
      <w:pPr>
        <w:pStyle w:val="Subtitle"/>
        <w:spacing w:line="276" w:lineRule="auto"/>
        <w:ind w:left="0"/>
      </w:pPr>
      <w:r>
        <w:t>January 2024</w:t>
      </w:r>
      <w:r w:rsidR="00483358">
        <w:t xml:space="preserve"> </w:t>
      </w:r>
    </w:p>
    <w:p w14:paraId="49E58EAD" w14:textId="21A6502D" w:rsidR="00E348EC" w:rsidRPr="00976841" w:rsidRDefault="00E348EC" w:rsidP="00DF166F">
      <w:pPr>
        <w:pStyle w:val="Subtitle"/>
        <w:spacing w:line="276" w:lineRule="auto"/>
        <w:ind w:left="0"/>
      </w:pPr>
      <w:r w:rsidRPr="00883579">
        <w:t xml:space="preserve">Prepared for </w:t>
      </w:r>
      <w:r w:rsidR="00E46FD0" w:rsidRPr="00883579">
        <w:t>DFAT</w:t>
      </w:r>
      <w:sdt>
        <w:sdtPr>
          <w:alias w:val="cover photo"/>
          <w:tag w:val="cover photo"/>
          <w:id w:val="1786767744"/>
          <w:lock w:val="sdtLocked"/>
          <w:showingPlcHdr/>
          <w:picture/>
        </w:sdtPr>
        <w:sdtEndPr/>
        <w:sdtContent/>
      </w:sdt>
      <w:r w:rsidRPr="00976841">
        <w:br w:type="page"/>
      </w:r>
    </w:p>
    <w:p w14:paraId="4BA7AF5D" w14:textId="5EC1BFBD" w:rsidR="008407B1" w:rsidRPr="00174B38" w:rsidRDefault="008407B1" w:rsidP="00DF166F">
      <w:pPr>
        <w:pStyle w:val="TOCHeading"/>
        <w:spacing w:line="276" w:lineRule="auto"/>
      </w:pPr>
      <w:r w:rsidRPr="00174B38">
        <w:lastRenderedPageBreak/>
        <w:t xml:space="preserve">Document </w:t>
      </w:r>
      <w:proofErr w:type="gramStart"/>
      <w:r w:rsidRPr="00174B38">
        <w:t>information</w:t>
      </w:r>
      <w:bookmarkEnd w:id="0"/>
      <w:proofErr w:type="gramEnd"/>
    </w:p>
    <w:p w14:paraId="16EE0058" w14:textId="0840C9BA" w:rsidR="00E46FD0" w:rsidRPr="009646EF" w:rsidRDefault="008407B1" w:rsidP="00DF166F">
      <w:pPr>
        <w:pStyle w:val="DocumentInformation"/>
        <w:tabs>
          <w:tab w:val="clear" w:pos="2268"/>
        </w:tabs>
        <w:spacing w:line="276" w:lineRule="auto"/>
        <w:ind w:left="1701" w:hanging="1701"/>
        <w:rPr>
          <w:rFonts w:asciiTheme="minorHAnsi" w:hAnsiTheme="minorHAnsi"/>
          <w:sz w:val="22"/>
        </w:rPr>
      </w:pPr>
      <w:r w:rsidRPr="009646EF">
        <w:rPr>
          <w:rFonts w:asciiTheme="minorHAnsi" w:hAnsiTheme="minorHAnsi"/>
          <w:sz w:val="22"/>
        </w:rPr>
        <w:t>Citation</w:t>
      </w:r>
      <w:r w:rsidRPr="009646EF">
        <w:rPr>
          <w:rFonts w:asciiTheme="minorHAnsi" w:hAnsiTheme="minorHAnsi"/>
          <w:sz w:val="22"/>
        </w:rPr>
        <w:tab/>
      </w:r>
      <w:r w:rsidR="00A03FBE" w:rsidRPr="009646EF">
        <w:rPr>
          <w:rFonts w:asciiTheme="minorHAnsi" w:hAnsiTheme="minorHAnsi"/>
          <w:sz w:val="22"/>
        </w:rPr>
        <w:t xml:space="preserve">Review Report: Tonga Health Promotion Foundation </w:t>
      </w:r>
    </w:p>
    <w:p w14:paraId="7AFF6B02" w14:textId="64AC7495" w:rsidR="008407B1" w:rsidRPr="009646EF" w:rsidRDefault="00E46FD0" w:rsidP="00DF166F">
      <w:pPr>
        <w:pStyle w:val="DocumentInformation"/>
        <w:tabs>
          <w:tab w:val="clear" w:pos="2268"/>
        </w:tabs>
        <w:spacing w:line="276" w:lineRule="auto"/>
        <w:ind w:left="1701" w:hanging="1701"/>
        <w:rPr>
          <w:rFonts w:asciiTheme="minorHAnsi" w:hAnsiTheme="minorHAnsi"/>
          <w:sz w:val="22"/>
        </w:rPr>
      </w:pPr>
      <w:r w:rsidRPr="009646EF">
        <w:rPr>
          <w:rFonts w:asciiTheme="minorHAnsi" w:hAnsiTheme="minorHAnsi"/>
          <w:sz w:val="22"/>
        </w:rPr>
        <w:tab/>
        <w:t>TASP</w:t>
      </w:r>
      <w:r w:rsidR="00645EC7" w:rsidRPr="009646EF">
        <w:rPr>
          <w:rFonts w:asciiTheme="minorHAnsi" w:hAnsiTheme="minorHAnsi"/>
          <w:sz w:val="22"/>
        </w:rPr>
        <w:t>,</w:t>
      </w:r>
      <w:r w:rsidR="008407B1" w:rsidRPr="009646EF">
        <w:rPr>
          <w:rFonts w:asciiTheme="minorHAnsi" w:hAnsiTheme="minorHAnsi"/>
          <w:sz w:val="22"/>
        </w:rPr>
        <w:t xml:space="preserve"> </w:t>
      </w:r>
      <w:r w:rsidR="00976841" w:rsidRPr="009646EF">
        <w:rPr>
          <w:rFonts w:asciiTheme="minorHAnsi" w:hAnsiTheme="minorHAnsi"/>
          <w:sz w:val="22"/>
        </w:rPr>
        <w:t xml:space="preserve">DT Global </w:t>
      </w:r>
      <w:r w:rsidR="009646EF" w:rsidRPr="009646EF">
        <w:rPr>
          <w:rFonts w:asciiTheme="minorHAnsi" w:hAnsiTheme="minorHAnsi"/>
          <w:sz w:val="22"/>
        </w:rPr>
        <w:t xml:space="preserve"> </w:t>
      </w:r>
      <w:r w:rsidR="00483358" w:rsidRPr="009646EF">
        <w:rPr>
          <w:rFonts w:asciiTheme="minorHAnsi" w:hAnsiTheme="minorHAnsi"/>
          <w:sz w:val="22"/>
        </w:rPr>
        <w:t xml:space="preserve"> </w:t>
      </w:r>
    </w:p>
    <w:p w14:paraId="33B91EF8" w14:textId="7A8663E3" w:rsidR="008407B1" w:rsidRPr="009646EF" w:rsidRDefault="008407B1" w:rsidP="00DF166F">
      <w:pPr>
        <w:pStyle w:val="DocumentInformation"/>
        <w:tabs>
          <w:tab w:val="clear" w:pos="2268"/>
        </w:tabs>
        <w:spacing w:line="276" w:lineRule="auto"/>
        <w:ind w:left="1701" w:hanging="1701"/>
        <w:rPr>
          <w:rFonts w:asciiTheme="minorHAnsi" w:hAnsiTheme="minorHAnsi"/>
          <w:sz w:val="22"/>
        </w:rPr>
      </w:pPr>
      <w:r w:rsidRPr="009646EF">
        <w:rPr>
          <w:rFonts w:asciiTheme="minorHAnsi" w:hAnsiTheme="minorHAnsi"/>
          <w:sz w:val="22"/>
        </w:rPr>
        <w:t xml:space="preserve">Prepared for </w:t>
      </w:r>
      <w:r w:rsidRPr="009646EF">
        <w:rPr>
          <w:rFonts w:asciiTheme="minorHAnsi" w:hAnsiTheme="minorHAnsi"/>
          <w:sz w:val="22"/>
        </w:rPr>
        <w:tab/>
      </w:r>
      <w:r w:rsidR="00E46FD0" w:rsidRPr="009646EF">
        <w:rPr>
          <w:rFonts w:asciiTheme="minorHAnsi" w:hAnsiTheme="minorHAnsi"/>
          <w:sz w:val="22"/>
        </w:rPr>
        <w:t>DFAT</w:t>
      </w:r>
    </w:p>
    <w:p w14:paraId="5FE5D1A8" w14:textId="017B5A89" w:rsidR="008407B1" w:rsidRPr="009646EF" w:rsidRDefault="008407B1" w:rsidP="00DF166F">
      <w:pPr>
        <w:pStyle w:val="DocumentInformation"/>
        <w:tabs>
          <w:tab w:val="clear" w:pos="2268"/>
        </w:tabs>
        <w:spacing w:line="276" w:lineRule="auto"/>
        <w:ind w:left="1701" w:right="-612" w:hanging="1701"/>
        <w:rPr>
          <w:rFonts w:asciiTheme="minorHAnsi" w:hAnsiTheme="minorHAnsi"/>
          <w:sz w:val="22"/>
        </w:rPr>
      </w:pPr>
      <w:r w:rsidRPr="009646EF">
        <w:rPr>
          <w:rFonts w:asciiTheme="minorHAnsi" w:hAnsiTheme="minorHAnsi"/>
          <w:sz w:val="22"/>
        </w:rPr>
        <w:t>Project name</w:t>
      </w:r>
      <w:r w:rsidRPr="009646EF">
        <w:rPr>
          <w:rFonts w:asciiTheme="minorHAnsi" w:hAnsiTheme="minorHAnsi"/>
          <w:sz w:val="22"/>
        </w:rPr>
        <w:tab/>
      </w:r>
      <w:r w:rsidR="00E46FD0" w:rsidRPr="009646EF">
        <w:rPr>
          <w:rFonts w:asciiTheme="minorHAnsi" w:hAnsiTheme="minorHAnsi"/>
          <w:sz w:val="22"/>
        </w:rPr>
        <w:t>T</w:t>
      </w:r>
      <w:r w:rsidR="00883579" w:rsidRPr="009646EF">
        <w:rPr>
          <w:rFonts w:asciiTheme="minorHAnsi" w:hAnsiTheme="minorHAnsi"/>
          <w:sz w:val="22"/>
        </w:rPr>
        <w:t>onga Australia Support Platform</w:t>
      </w:r>
    </w:p>
    <w:p w14:paraId="0EA8F167" w14:textId="198E32F8" w:rsidR="008407B1" w:rsidRPr="009646EF" w:rsidRDefault="008407B1" w:rsidP="00DF166F">
      <w:pPr>
        <w:pStyle w:val="DocumentInformation"/>
        <w:tabs>
          <w:tab w:val="clear" w:pos="2268"/>
        </w:tabs>
        <w:spacing w:line="276" w:lineRule="auto"/>
        <w:ind w:left="1701" w:hanging="1701"/>
        <w:rPr>
          <w:rFonts w:asciiTheme="minorHAnsi" w:hAnsiTheme="minorHAnsi"/>
          <w:sz w:val="22"/>
        </w:rPr>
      </w:pPr>
      <w:r w:rsidRPr="009646EF">
        <w:rPr>
          <w:rFonts w:asciiTheme="minorHAnsi" w:hAnsiTheme="minorHAnsi"/>
          <w:sz w:val="22"/>
        </w:rPr>
        <w:t xml:space="preserve">Date </w:t>
      </w:r>
      <w:r w:rsidRPr="009646EF">
        <w:rPr>
          <w:rFonts w:asciiTheme="minorHAnsi" w:hAnsiTheme="minorHAnsi"/>
          <w:sz w:val="22"/>
        </w:rPr>
        <w:tab/>
      </w:r>
      <w:r w:rsidR="002062D5">
        <w:rPr>
          <w:rFonts w:asciiTheme="minorHAnsi" w:hAnsiTheme="minorHAnsi"/>
          <w:sz w:val="22"/>
        </w:rPr>
        <w:t>January 2024</w:t>
      </w:r>
    </w:p>
    <w:p w14:paraId="0241A7F5" w14:textId="77777777" w:rsidR="008407B1" w:rsidRPr="00174B38" w:rsidRDefault="008407B1" w:rsidP="00DF166F">
      <w:pPr>
        <w:pStyle w:val="TOCHeading"/>
        <w:spacing w:line="276" w:lineRule="auto"/>
      </w:pPr>
      <w:bookmarkStart w:id="1" w:name="_Toc365884873"/>
      <w:r w:rsidRPr="00174B38">
        <w:t xml:space="preserve">Contact </w:t>
      </w:r>
      <w:proofErr w:type="gramStart"/>
      <w:r w:rsidRPr="00174B38">
        <w:t>information</w:t>
      </w:r>
      <w:bookmarkEnd w:id="1"/>
      <w:proofErr w:type="gramEnd"/>
    </w:p>
    <w:p w14:paraId="74A2CAA4" w14:textId="33828DD5" w:rsidR="002D53B2" w:rsidRPr="009646EF" w:rsidRDefault="008407B1" w:rsidP="00962FBE">
      <w:pPr>
        <w:pStyle w:val="BodyText"/>
      </w:pPr>
      <w:r w:rsidRPr="009646EF">
        <w:t>For further information, please contact:</w:t>
      </w:r>
    </w:p>
    <w:p w14:paraId="3287F467" w14:textId="08F2D94E" w:rsidR="00E46FD0" w:rsidRPr="009646EF" w:rsidRDefault="00A03FBE" w:rsidP="00962FBE">
      <w:pPr>
        <w:pStyle w:val="BodyText"/>
      </w:pPr>
      <w:r w:rsidRPr="009646EF">
        <w:t>Clare Whelan</w:t>
      </w:r>
    </w:p>
    <w:p w14:paraId="7D568BF7" w14:textId="4046E634" w:rsidR="00E46FD0" w:rsidRPr="009646EF" w:rsidRDefault="00A03FBE" w:rsidP="00962FBE">
      <w:pPr>
        <w:pStyle w:val="BodyText"/>
      </w:pPr>
      <w:r w:rsidRPr="009646EF">
        <w:t>THSSP3 Team Leader</w:t>
      </w:r>
    </w:p>
    <w:p w14:paraId="69B746D3" w14:textId="7357E532" w:rsidR="00E46FD0" w:rsidRPr="009646EF" w:rsidRDefault="00615294" w:rsidP="00962FBE">
      <w:pPr>
        <w:pStyle w:val="BodyText"/>
      </w:pPr>
      <w:r w:rsidRPr="009646EF">
        <w:t>whelanc.thssp3@gmail.com</w:t>
      </w:r>
    </w:p>
    <w:p w14:paraId="6A682669" w14:textId="77777777" w:rsidR="009646EF" w:rsidRPr="009646EF" w:rsidRDefault="009646EF" w:rsidP="00721F2D">
      <w:pPr>
        <w:pStyle w:val="BodyText"/>
      </w:pPr>
      <w:r w:rsidRPr="009646EF">
        <w:t>This document is produced by DT Global Asia Pacific, solely for the benefit and use by the client in accordance with the terms of the engagement. DT Global does not and shall not assume any responsibility or liability whatsoever to any third party arising out of any use or reliance by any third party on the content of this document.</w:t>
      </w:r>
    </w:p>
    <w:p w14:paraId="38967C90" w14:textId="77777777" w:rsidR="009646EF" w:rsidRPr="009646EF" w:rsidRDefault="009646EF" w:rsidP="00721F2D">
      <w:pPr>
        <w:pStyle w:val="BodyText"/>
      </w:pPr>
      <w:r w:rsidRPr="009646EF">
        <w:t>This publication has been funded by the Australian Government through the Department of Foreign Affairs and Trade. The views expressed in this publication are the author's alone and are not necessarily the views of the Australian Government.</w:t>
      </w:r>
    </w:p>
    <w:p w14:paraId="003561CE" w14:textId="77777777" w:rsidR="009646EF" w:rsidRPr="009646EF" w:rsidRDefault="009646EF" w:rsidP="00721F2D">
      <w:pPr>
        <w:pStyle w:val="BodyText"/>
      </w:pPr>
      <w:r w:rsidRPr="009646EF">
        <w:t>TASP is supported by the Australian Government and implemented by DT Global.</w:t>
      </w:r>
    </w:p>
    <w:p w14:paraId="61BE031A" w14:textId="77777777" w:rsidR="002D53B2" w:rsidRDefault="002D53B2" w:rsidP="00DF166F">
      <w:pPr>
        <w:spacing w:line="276" w:lineRule="auto"/>
      </w:pPr>
    </w:p>
    <w:p w14:paraId="5E954049" w14:textId="17C45358" w:rsidR="002D53B2" w:rsidRDefault="002D53B2" w:rsidP="00DF166F">
      <w:pPr>
        <w:spacing w:line="276" w:lineRule="auto"/>
        <w:sectPr w:rsidR="002D53B2" w:rsidSect="007E3A07">
          <w:footerReference w:type="default" r:id="rId11"/>
          <w:headerReference w:type="first" r:id="rId12"/>
          <w:type w:val="continuous"/>
          <w:pgSz w:w="11907" w:h="16840" w:code="9"/>
          <w:pgMar w:top="1440" w:right="1440" w:bottom="1440" w:left="1440" w:header="567" w:footer="567" w:gutter="0"/>
          <w:pgNumType w:fmt="lowerRoman"/>
          <w:cols w:space="708"/>
          <w:titlePg/>
          <w:docGrid w:linePitch="360"/>
        </w:sectPr>
      </w:pPr>
    </w:p>
    <w:p w14:paraId="7EC24F4B" w14:textId="77777777" w:rsidR="002D53B2" w:rsidRDefault="00F677EC" w:rsidP="00DF166F">
      <w:pPr>
        <w:pStyle w:val="TOCHeading"/>
        <w:spacing w:before="0" w:line="276" w:lineRule="auto"/>
      </w:pPr>
      <w:r>
        <w:lastRenderedPageBreak/>
        <w:t>C</w:t>
      </w:r>
      <w:r w:rsidR="00C0018E" w:rsidRPr="00837A62">
        <w:t>ontents</w:t>
      </w:r>
    </w:p>
    <w:p w14:paraId="121D97DB" w14:textId="6605EDAA" w:rsidR="00061CF4" w:rsidRDefault="002D53B2" w:rsidP="00962FBE">
      <w:pPr>
        <w:pStyle w:val="TOC1"/>
        <w:spacing w:line="276" w:lineRule="auto"/>
        <w:rPr>
          <w:rFonts w:asciiTheme="minorHAnsi" w:hAnsiTheme="minorHAnsi"/>
          <w:noProof/>
          <w:kern w:val="2"/>
          <w:szCs w:val="22"/>
          <w:lang w:val="en-AU" w:eastAsia="en-AU"/>
          <w14:ligatures w14:val="standardContextual"/>
        </w:rPr>
      </w:pPr>
      <w:r w:rsidRPr="00AD1988">
        <w:rPr>
          <w:rFonts w:cs="Arial"/>
          <w:bCs/>
          <w:iCs/>
          <w:noProof/>
          <w:sz w:val="20"/>
        </w:rPr>
        <w:fldChar w:fldCharType="begin"/>
      </w:r>
      <w:r w:rsidRPr="00AD1988">
        <w:rPr>
          <w:rFonts w:cs="Arial"/>
          <w:bCs/>
          <w:iCs/>
          <w:noProof/>
          <w:sz w:val="20"/>
        </w:rPr>
        <w:instrText xml:space="preserve"> TOC \o "1-2" \h \z \u </w:instrText>
      </w:r>
      <w:r w:rsidRPr="00AD1988">
        <w:rPr>
          <w:rFonts w:cs="Arial"/>
          <w:bCs/>
          <w:iCs/>
          <w:noProof/>
          <w:sz w:val="20"/>
        </w:rPr>
        <w:fldChar w:fldCharType="separate"/>
      </w:r>
      <w:hyperlink w:anchor="_Toc153899654" w:history="1">
        <w:r w:rsidR="00061CF4" w:rsidRPr="002A1E7D">
          <w:rPr>
            <w:rStyle w:val="Hyperlink"/>
            <w:noProof/>
          </w:rPr>
          <w:t>Executive</w:t>
        </w:r>
        <w:r w:rsidR="00061CF4" w:rsidRPr="002A1E7D">
          <w:rPr>
            <w:rStyle w:val="Hyperlink"/>
            <w:noProof/>
            <w:lang w:val="en-GB"/>
          </w:rPr>
          <w:t xml:space="preserve"> Summary</w:t>
        </w:r>
        <w:r w:rsidR="00061CF4">
          <w:rPr>
            <w:noProof/>
            <w:webHidden/>
          </w:rPr>
          <w:tab/>
        </w:r>
        <w:r w:rsidR="00061CF4">
          <w:rPr>
            <w:noProof/>
            <w:webHidden/>
          </w:rPr>
          <w:fldChar w:fldCharType="begin"/>
        </w:r>
        <w:r w:rsidR="00061CF4">
          <w:rPr>
            <w:noProof/>
            <w:webHidden/>
          </w:rPr>
          <w:instrText xml:space="preserve"> PAGEREF _Toc153899654 \h </w:instrText>
        </w:r>
        <w:r w:rsidR="00061CF4">
          <w:rPr>
            <w:noProof/>
            <w:webHidden/>
          </w:rPr>
        </w:r>
        <w:r w:rsidR="00061CF4">
          <w:rPr>
            <w:noProof/>
            <w:webHidden/>
          </w:rPr>
          <w:fldChar w:fldCharType="separate"/>
        </w:r>
        <w:r w:rsidR="00025283">
          <w:rPr>
            <w:noProof/>
            <w:webHidden/>
          </w:rPr>
          <w:t>iii</w:t>
        </w:r>
        <w:r w:rsidR="00061CF4">
          <w:rPr>
            <w:noProof/>
            <w:webHidden/>
          </w:rPr>
          <w:fldChar w:fldCharType="end"/>
        </w:r>
      </w:hyperlink>
    </w:p>
    <w:p w14:paraId="14577804" w14:textId="19B320FD" w:rsidR="00061CF4" w:rsidRDefault="00A13D02" w:rsidP="00962FBE">
      <w:pPr>
        <w:pStyle w:val="TOC2"/>
        <w:spacing w:line="276" w:lineRule="auto"/>
        <w:rPr>
          <w:noProof/>
          <w:kern w:val="2"/>
          <w:szCs w:val="22"/>
          <w:lang w:val="en-AU" w:eastAsia="en-AU"/>
          <w14:ligatures w14:val="standardContextual"/>
        </w:rPr>
      </w:pPr>
      <w:hyperlink w:anchor="_Toc153899655" w:history="1">
        <w:r w:rsidR="00061CF4" w:rsidRPr="002A1E7D">
          <w:rPr>
            <w:rStyle w:val="Hyperlink"/>
            <w:noProof/>
            <w:lang w:val="en-GB"/>
          </w:rPr>
          <w:t>Background</w:t>
        </w:r>
        <w:r w:rsidR="00061CF4">
          <w:rPr>
            <w:noProof/>
            <w:webHidden/>
          </w:rPr>
          <w:tab/>
        </w:r>
        <w:r w:rsidR="00061CF4">
          <w:rPr>
            <w:noProof/>
            <w:webHidden/>
          </w:rPr>
          <w:fldChar w:fldCharType="begin"/>
        </w:r>
        <w:r w:rsidR="00061CF4">
          <w:rPr>
            <w:noProof/>
            <w:webHidden/>
          </w:rPr>
          <w:instrText xml:space="preserve"> PAGEREF _Toc153899655 \h </w:instrText>
        </w:r>
        <w:r w:rsidR="00061CF4">
          <w:rPr>
            <w:noProof/>
            <w:webHidden/>
          </w:rPr>
        </w:r>
        <w:r w:rsidR="00061CF4">
          <w:rPr>
            <w:noProof/>
            <w:webHidden/>
          </w:rPr>
          <w:fldChar w:fldCharType="separate"/>
        </w:r>
        <w:r w:rsidR="00025283">
          <w:rPr>
            <w:noProof/>
            <w:webHidden/>
          </w:rPr>
          <w:t>iii</w:t>
        </w:r>
        <w:r w:rsidR="00061CF4">
          <w:rPr>
            <w:noProof/>
            <w:webHidden/>
          </w:rPr>
          <w:fldChar w:fldCharType="end"/>
        </w:r>
      </w:hyperlink>
    </w:p>
    <w:p w14:paraId="7AA3E18E" w14:textId="156C4280" w:rsidR="00061CF4" w:rsidRDefault="00A13D02" w:rsidP="00962FBE">
      <w:pPr>
        <w:pStyle w:val="TOC2"/>
        <w:spacing w:line="276" w:lineRule="auto"/>
        <w:rPr>
          <w:noProof/>
          <w:kern w:val="2"/>
          <w:szCs w:val="22"/>
          <w:lang w:val="en-AU" w:eastAsia="en-AU"/>
          <w14:ligatures w14:val="standardContextual"/>
        </w:rPr>
      </w:pPr>
      <w:hyperlink w:anchor="_Toc153899656" w:history="1">
        <w:r w:rsidR="00061CF4" w:rsidRPr="002A1E7D">
          <w:rPr>
            <w:rStyle w:val="Hyperlink"/>
            <w:noProof/>
          </w:rPr>
          <w:t>Findings</w:t>
        </w:r>
        <w:r w:rsidR="00061CF4">
          <w:rPr>
            <w:noProof/>
            <w:webHidden/>
          </w:rPr>
          <w:tab/>
        </w:r>
        <w:r w:rsidR="00061CF4">
          <w:rPr>
            <w:noProof/>
            <w:webHidden/>
          </w:rPr>
          <w:fldChar w:fldCharType="begin"/>
        </w:r>
        <w:r w:rsidR="00061CF4">
          <w:rPr>
            <w:noProof/>
            <w:webHidden/>
          </w:rPr>
          <w:instrText xml:space="preserve"> PAGEREF _Toc153899656 \h </w:instrText>
        </w:r>
        <w:r w:rsidR="00061CF4">
          <w:rPr>
            <w:noProof/>
            <w:webHidden/>
          </w:rPr>
        </w:r>
        <w:r w:rsidR="00061CF4">
          <w:rPr>
            <w:noProof/>
            <w:webHidden/>
          </w:rPr>
          <w:fldChar w:fldCharType="separate"/>
        </w:r>
        <w:r w:rsidR="00025283">
          <w:rPr>
            <w:noProof/>
            <w:webHidden/>
          </w:rPr>
          <w:t>iii</w:t>
        </w:r>
        <w:r w:rsidR="00061CF4">
          <w:rPr>
            <w:noProof/>
            <w:webHidden/>
          </w:rPr>
          <w:fldChar w:fldCharType="end"/>
        </w:r>
      </w:hyperlink>
    </w:p>
    <w:p w14:paraId="7C10F5F3" w14:textId="796F7DDC" w:rsidR="00061CF4" w:rsidRDefault="00A13D02" w:rsidP="00962FBE">
      <w:pPr>
        <w:pStyle w:val="TOC1"/>
        <w:spacing w:line="276" w:lineRule="auto"/>
        <w:rPr>
          <w:rFonts w:asciiTheme="minorHAnsi" w:hAnsiTheme="minorHAnsi"/>
          <w:noProof/>
          <w:kern w:val="2"/>
          <w:szCs w:val="22"/>
          <w:lang w:val="en-AU" w:eastAsia="en-AU"/>
          <w14:ligatures w14:val="standardContextual"/>
        </w:rPr>
      </w:pPr>
      <w:hyperlink w:anchor="_Toc153899657" w:history="1">
        <w:r w:rsidR="00061CF4" w:rsidRPr="002A1E7D">
          <w:rPr>
            <w:rStyle w:val="Hyperlink"/>
            <w:noProof/>
          </w:rPr>
          <w:t>1</w:t>
        </w:r>
        <w:r w:rsidR="00061CF4">
          <w:rPr>
            <w:rFonts w:asciiTheme="minorHAnsi" w:hAnsiTheme="minorHAnsi"/>
            <w:noProof/>
            <w:kern w:val="2"/>
            <w:szCs w:val="22"/>
            <w:lang w:val="en-AU" w:eastAsia="en-AU"/>
            <w14:ligatures w14:val="standardContextual"/>
          </w:rPr>
          <w:tab/>
        </w:r>
        <w:r w:rsidR="00061CF4" w:rsidRPr="002A1E7D">
          <w:rPr>
            <w:rStyle w:val="Hyperlink"/>
            <w:noProof/>
          </w:rPr>
          <w:t>Introduction</w:t>
        </w:r>
        <w:r w:rsidR="00061CF4">
          <w:rPr>
            <w:noProof/>
            <w:webHidden/>
          </w:rPr>
          <w:tab/>
        </w:r>
        <w:r w:rsidR="00061CF4">
          <w:rPr>
            <w:noProof/>
            <w:webHidden/>
          </w:rPr>
          <w:fldChar w:fldCharType="begin"/>
        </w:r>
        <w:r w:rsidR="00061CF4">
          <w:rPr>
            <w:noProof/>
            <w:webHidden/>
          </w:rPr>
          <w:instrText xml:space="preserve"> PAGEREF _Toc153899657 \h </w:instrText>
        </w:r>
        <w:r w:rsidR="00061CF4">
          <w:rPr>
            <w:noProof/>
            <w:webHidden/>
          </w:rPr>
        </w:r>
        <w:r w:rsidR="00061CF4">
          <w:rPr>
            <w:noProof/>
            <w:webHidden/>
          </w:rPr>
          <w:fldChar w:fldCharType="separate"/>
        </w:r>
        <w:r w:rsidR="00025283">
          <w:rPr>
            <w:noProof/>
            <w:webHidden/>
          </w:rPr>
          <w:t>1</w:t>
        </w:r>
        <w:r w:rsidR="00061CF4">
          <w:rPr>
            <w:noProof/>
            <w:webHidden/>
          </w:rPr>
          <w:fldChar w:fldCharType="end"/>
        </w:r>
      </w:hyperlink>
    </w:p>
    <w:p w14:paraId="31B864BD" w14:textId="7688062C" w:rsidR="00061CF4" w:rsidRDefault="00A13D02" w:rsidP="00962FBE">
      <w:pPr>
        <w:pStyle w:val="TOC2"/>
        <w:spacing w:line="276" w:lineRule="auto"/>
        <w:rPr>
          <w:noProof/>
          <w:kern w:val="2"/>
          <w:szCs w:val="22"/>
          <w:lang w:val="en-AU" w:eastAsia="en-AU"/>
          <w14:ligatures w14:val="standardContextual"/>
        </w:rPr>
      </w:pPr>
      <w:hyperlink w:anchor="_Toc153899658" w:history="1">
        <w:r w:rsidR="00061CF4" w:rsidRPr="002A1E7D">
          <w:rPr>
            <w:rStyle w:val="Hyperlink"/>
            <w:rFonts w:cstheme="majorHAnsi"/>
            <w:bCs/>
            <w:noProof/>
          </w:rPr>
          <w:t>1.1</w:t>
        </w:r>
        <w:r w:rsidR="00061CF4">
          <w:rPr>
            <w:noProof/>
            <w:kern w:val="2"/>
            <w:szCs w:val="22"/>
            <w:lang w:val="en-AU" w:eastAsia="en-AU"/>
            <w14:ligatures w14:val="standardContextual"/>
          </w:rPr>
          <w:tab/>
        </w:r>
        <w:r w:rsidR="00061CF4" w:rsidRPr="002A1E7D">
          <w:rPr>
            <w:rStyle w:val="Hyperlink"/>
            <w:noProof/>
          </w:rPr>
          <w:t>Background</w:t>
        </w:r>
        <w:r w:rsidR="00061CF4">
          <w:rPr>
            <w:noProof/>
            <w:webHidden/>
          </w:rPr>
          <w:tab/>
        </w:r>
        <w:r w:rsidR="00061CF4">
          <w:rPr>
            <w:noProof/>
            <w:webHidden/>
          </w:rPr>
          <w:fldChar w:fldCharType="begin"/>
        </w:r>
        <w:r w:rsidR="00061CF4">
          <w:rPr>
            <w:noProof/>
            <w:webHidden/>
          </w:rPr>
          <w:instrText xml:space="preserve"> PAGEREF _Toc153899658 \h </w:instrText>
        </w:r>
        <w:r w:rsidR="00061CF4">
          <w:rPr>
            <w:noProof/>
            <w:webHidden/>
          </w:rPr>
        </w:r>
        <w:r w:rsidR="00061CF4">
          <w:rPr>
            <w:noProof/>
            <w:webHidden/>
          </w:rPr>
          <w:fldChar w:fldCharType="separate"/>
        </w:r>
        <w:r w:rsidR="00025283">
          <w:rPr>
            <w:noProof/>
            <w:webHidden/>
          </w:rPr>
          <w:t>1</w:t>
        </w:r>
        <w:r w:rsidR="00061CF4">
          <w:rPr>
            <w:noProof/>
            <w:webHidden/>
          </w:rPr>
          <w:fldChar w:fldCharType="end"/>
        </w:r>
      </w:hyperlink>
    </w:p>
    <w:p w14:paraId="09FD6B13" w14:textId="24201B55" w:rsidR="00061CF4" w:rsidRDefault="00A13D02" w:rsidP="00962FBE">
      <w:pPr>
        <w:pStyle w:val="TOC2"/>
        <w:spacing w:line="276" w:lineRule="auto"/>
        <w:rPr>
          <w:noProof/>
          <w:kern w:val="2"/>
          <w:szCs w:val="22"/>
          <w:lang w:val="en-AU" w:eastAsia="en-AU"/>
          <w14:ligatures w14:val="standardContextual"/>
        </w:rPr>
      </w:pPr>
      <w:hyperlink w:anchor="_Toc153899659" w:history="1">
        <w:r w:rsidR="00061CF4" w:rsidRPr="002A1E7D">
          <w:rPr>
            <w:rStyle w:val="Hyperlink"/>
            <w:rFonts w:cstheme="majorHAnsi"/>
            <w:bCs/>
            <w:noProof/>
          </w:rPr>
          <w:t>1.2</w:t>
        </w:r>
        <w:r w:rsidR="00061CF4">
          <w:rPr>
            <w:noProof/>
            <w:kern w:val="2"/>
            <w:szCs w:val="22"/>
            <w:lang w:val="en-AU" w:eastAsia="en-AU"/>
            <w14:ligatures w14:val="standardContextual"/>
          </w:rPr>
          <w:tab/>
        </w:r>
        <w:r w:rsidR="00061CF4" w:rsidRPr="002A1E7D">
          <w:rPr>
            <w:rStyle w:val="Hyperlink"/>
            <w:noProof/>
          </w:rPr>
          <w:t>Review Purpose</w:t>
        </w:r>
        <w:r w:rsidR="00061CF4">
          <w:rPr>
            <w:noProof/>
            <w:webHidden/>
          </w:rPr>
          <w:tab/>
        </w:r>
        <w:r w:rsidR="00061CF4">
          <w:rPr>
            <w:noProof/>
            <w:webHidden/>
          </w:rPr>
          <w:fldChar w:fldCharType="begin"/>
        </w:r>
        <w:r w:rsidR="00061CF4">
          <w:rPr>
            <w:noProof/>
            <w:webHidden/>
          </w:rPr>
          <w:instrText xml:space="preserve"> PAGEREF _Toc153899659 \h </w:instrText>
        </w:r>
        <w:r w:rsidR="00061CF4">
          <w:rPr>
            <w:noProof/>
            <w:webHidden/>
          </w:rPr>
        </w:r>
        <w:r w:rsidR="00061CF4">
          <w:rPr>
            <w:noProof/>
            <w:webHidden/>
          </w:rPr>
          <w:fldChar w:fldCharType="separate"/>
        </w:r>
        <w:r w:rsidR="00025283">
          <w:rPr>
            <w:noProof/>
            <w:webHidden/>
          </w:rPr>
          <w:t>1</w:t>
        </w:r>
        <w:r w:rsidR="00061CF4">
          <w:rPr>
            <w:noProof/>
            <w:webHidden/>
          </w:rPr>
          <w:fldChar w:fldCharType="end"/>
        </w:r>
      </w:hyperlink>
    </w:p>
    <w:p w14:paraId="5A016528" w14:textId="4F89760E" w:rsidR="00061CF4" w:rsidRDefault="00A13D02" w:rsidP="00962FBE">
      <w:pPr>
        <w:pStyle w:val="TOC2"/>
        <w:spacing w:line="276" w:lineRule="auto"/>
        <w:rPr>
          <w:noProof/>
          <w:kern w:val="2"/>
          <w:szCs w:val="22"/>
          <w:lang w:val="en-AU" w:eastAsia="en-AU"/>
          <w14:ligatures w14:val="standardContextual"/>
        </w:rPr>
      </w:pPr>
      <w:hyperlink w:anchor="_Toc153899660" w:history="1">
        <w:r w:rsidR="00061CF4" w:rsidRPr="002A1E7D">
          <w:rPr>
            <w:rStyle w:val="Hyperlink"/>
            <w:rFonts w:cstheme="majorHAnsi"/>
            <w:bCs/>
            <w:noProof/>
          </w:rPr>
          <w:t>1.3</w:t>
        </w:r>
        <w:r w:rsidR="00061CF4">
          <w:rPr>
            <w:noProof/>
            <w:kern w:val="2"/>
            <w:szCs w:val="22"/>
            <w:lang w:val="en-AU" w:eastAsia="en-AU"/>
            <w14:ligatures w14:val="standardContextual"/>
          </w:rPr>
          <w:tab/>
        </w:r>
        <w:r w:rsidR="00061CF4" w:rsidRPr="002A1E7D">
          <w:rPr>
            <w:rStyle w:val="Hyperlink"/>
            <w:noProof/>
          </w:rPr>
          <w:t>Review Scope</w:t>
        </w:r>
        <w:r w:rsidR="00061CF4">
          <w:rPr>
            <w:noProof/>
            <w:webHidden/>
          </w:rPr>
          <w:tab/>
        </w:r>
        <w:r w:rsidR="00061CF4">
          <w:rPr>
            <w:noProof/>
            <w:webHidden/>
          </w:rPr>
          <w:fldChar w:fldCharType="begin"/>
        </w:r>
        <w:r w:rsidR="00061CF4">
          <w:rPr>
            <w:noProof/>
            <w:webHidden/>
          </w:rPr>
          <w:instrText xml:space="preserve"> PAGEREF _Toc153899660 \h </w:instrText>
        </w:r>
        <w:r w:rsidR="00061CF4">
          <w:rPr>
            <w:noProof/>
            <w:webHidden/>
          </w:rPr>
        </w:r>
        <w:r w:rsidR="00061CF4">
          <w:rPr>
            <w:noProof/>
            <w:webHidden/>
          </w:rPr>
          <w:fldChar w:fldCharType="separate"/>
        </w:r>
        <w:r w:rsidR="00025283">
          <w:rPr>
            <w:noProof/>
            <w:webHidden/>
          </w:rPr>
          <w:t>2</w:t>
        </w:r>
        <w:r w:rsidR="00061CF4">
          <w:rPr>
            <w:noProof/>
            <w:webHidden/>
          </w:rPr>
          <w:fldChar w:fldCharType="end"/>
        </w:r>
      </w:hyperlink>
    </w:p>
    <w:p w14:paraId="0292A4A6" w14:textId="616C8FC4" w:rsidR="00061CF4" w:rsidRDefault="00A13D02" w:rsidP="00962FBE">
      <w:pPr>
        <w:pStyle w:val="TOC1"/>
        <w:spacing w:line="276" w:lineRule="auto"/>
        <w:rPr>
          <w:rFonts w:asciiTheme="minorHAnsi" w:hAnsiTheme="minorHAnsi"/>
          <w:noProof/>
          <w:kern w:val="2"/>
          <w:szCs w:val="22"/>
          <w:lang w:val="en-AU" w:eastAsia="en-AU"/>
          <w14:ligatures w14:val="standardContextual"/>
        </w:rPr>
      </w:pPr>
      <w:hyperlink w:anchor="_Toc153899661" w:history="1">
        <w:r w:rsidR="00061CF4" w:rsidRPr="002A1E7D">
          <w:rPr>
            <w:rStyle w:val="Hyperlink"/>
            <w:noProof/>
          </w:rPr>
          <w:t>2</w:t>
        </w:r>
        <w:r w:rsidR="00061CF4">
          <w:rPr>
            <w:rFonts w:asciiTheme="minorHAnsi" w:hAnsiTheme="minorHAnsi"/>
            <w:noProof/>
            <w:kern w:val="2"/>
            <w:szCs w:val="22"/>
            <w:lang w:val="en-AU" w:eastAsia="en-AU"/>
            <w14:ligatures w14:val="standardContextual"/>
          </w:rPr>
          <w:tab/>
        </w:r>
        <w:r w:rsidR="00061CF4" w:rsidRPr="002A1E7D">
          <w:rPr>
            <w:rStyle w:val="Hyperlink"/>
            <w:noProof/>
          </w:rPr>
          <w:t>Methodology</w:t>
        </w:r>
        <w:r w:rsidR="00061CF4">
          <w:rPr>
            <w:noProof/>
            <w:webHidden/>
          </w:rPr>
          <w:tab/>
        </w:r>
        <w:r w:rsidR="00061CF4">
          <w:rPr>
            <w:noProof/>
            <w:webHidden/>
          </w:rPr>
          <w:fldChar w:fldCharType="begin"/>
        </w:r>
        <w:r w:rsidR="00061CF4">
          <w:rPr>
            <w:noProof/>
            <w:webHidden/>
          </w:rPr>
          <w:instrText xml:space="preserve"> PAGEREF _Toc153899661 \h </w:instrText>
        </w:r>
        <w:r w:rsidR="00061CF4">
          <w:rPr>
            <w:noProof/>
            <w:webHidden/>
          </w:rPr>
        </w:r>
        <w:r w:rsidR="00061CF4">
          <w:rPr>
            <w:noProof/>
            <w:webHidden/>
          </w:rPr>
          <w:fldChar w:fldCharType="separate"/>
        </w:r>
        <w:r w:rsidR="00025283">
          <w:rPr>
            <w:noProof/>
            <w:webHidden/>
          </w:rPr>
          <w:t>2</w:t>
        </w:r>
        <w:r w:rsidR="00061CF4">
          <w:rPr>
            <w:noProof/>
            <w:webHidden/>
          </w:rPr>
          <w:fldChar w:fldCharType="end"/>
        </w:r>
      </w:hyperlink>
    </w:p>
    <w:p w14:paraId="4EC3241C" w14:textId="4E952BDA" w:rsidR="00061CF4" w:rsidRDefault="00A13D02" w:rsidP="00962FBE">
      <w:pPr>
        <w:pStyle w:val="TOC2"/>
        <w:spacing w:line="276" w:lineRule="auto"/>
        <w:rPr>
          <w:noProof/>
          <w:kern w:val="2"/>
          <w:szCs w:val="22"/>
          <w:lang w:val="en-AU" w:eastAsia="en-AU"/>
          <w14:ligatures w14:val="standardContextual"/>
        </w:rPr>
      </w:pPr>
      <w:hyperlink w:anchor="_Toc153899662" w:history="1">
        <w:r w:rsidR="00061CF4" w:rsidRPr="002A1E7D">
          <w:rPr>
            <w:rStyle w:val="Hyperlink"/>
            <w:rFonts w:cstheme="majorHAnsi"/>
            <w:bCs/>
            <w:noProof/>
          </w:rPr>
          <w:t>2.1</w:t>
        </w:r>
        <w:r w:rsidR="00061CF4">
          <w:rPr>
            <w:noProof/>
            <w:kern w:val="2"/>
            <w:szCs w:val="22"/>
            <w:lang w:val="en-AU" w:eastAsia="en-AU"/>
            <w14:ligatures w14:val="standardContextual"/>
          </w:rPr>
          <w:tab/>
        </w:r>
        <w:r w:rsidR="00061CF4" w:rsidRPr="002A1E7D">
          <w:rPr>
            <w:rStyle w:val="Hyperlink"/>
            <w:noProof/>
          </w:rPr>
          <w:t>Key Review Questions</w:t>
        </w:r>
        <w:r w:rsidR="00061CF4">
          <w:rPr>
            <w:noProof/>
            <w:webHidden/>
          </w:rPr>
          <w:tab/>
        </w:r>
        <w:r w:rsidR="00061CF4">
          <w:rPr>
            <w:noProof/>
            <w:webHidden/>
          </w:rPr>
          <w:fldChar w:fldCharType="begin"/>
        </w:r>
        <w:r w:rsidR="00061CF4">
          <w:rPr>
            <w:noProof/>
            <w:webHidden/>
          </w:rPr>
          <w:instrText xml:space="preserve"> PAGEREF _Toc153899662 \h </w:instrText>
        </w:r>
        <w:r w:rsidR="00061CF4">
          <w:rPr>
            <w:noProof/>
            <w:webHidden/>
          </w:rPr>
        </w:r>
        <w:r w:rsidR="00061CF4">
          <w:rPr>
            <w:noProof/>
            <w:webHidden/>
          </w:rPr>
          <w:fldChar w:fldCharType="separate"/>
        </w:r>
        <w:r w:rsidR="00025283">
          <w:rPr>
            <w:noProof/>
            <w:webHidden/>
          </w:rPr>
          <w:t>2</w:t>
        </w:r>
        <w:r w:rsidR="00061CF4">
          <w:rPr>
            <w:noProof/>
            <w:webHidden/>
          </w:rPr>
          <w:fldChar w:fldCharType="end"/>
        </w:r>
      </w:hyperlink>
    </w:p>
    <w:p w14:paraId="2F4D1BAB" w14:textId="6D657D78" w:rsidR="00061CF4" w:rsidRDefault="00A13D02" w:rsidP="00962FBE">
      <w:pPr>
        <w:pStyle w:val="TOC2"/>
        <w:spacing w:line="276" w:lineRule="auto"/>
        <w:rPr>
          <w:noProof/>
          <w:kern w:val="2"/>
          <w:szCs w:val="22"/>
          <w:lang w:val="en-AU" w:eastAsia="en-AU"/>
          <w14:ligatures w14:val="standardContextual"/>
        </w:rPr>
      </w:pPr>
      <w:hyperlink w:anchor="_Toc153899663" w:history="1">
        <w:r w:rsidR="00061CF4" w:rsidRPr="002A1E7D">
          <w:rPr>
            <w:rStyle w:val="Hyperlink"/>
            <w:rFonts w:cstheme="majorHAnsi"/>
            <w:bCs/>
            <w:noProof/>
          </w:rPr>
          <w:t>2.2</w:t>
        </w:r>
        <w:r w:rsidR="00061CF4">
          <w:rPr>
            <w:noProof/>
            <w:kern w:val="2"/>
            <w:szCs w:val="22"/>
            <w:lang w:val="en-AU" w:eastAsia="en-AU"/>
            <w14:ligatures w14:val="standardContextual"/>
          </w:rPr>
          <w:tab/>
        </w:r>
        <w:r w:rsidR="00061CF4" w:rsidRPr="002A1E7D">
          <w:rPr>
            <w:rStyle w:val="Hyperlink"/>
            <w:noProof/>
          </w:rPr>
          <w:t>Data Collection and Analysis</w:t>
        </w:r>
        <w:r w:rsidR="00061CF4">
          <w:rPr>
            <w:noProof/>
            <w:webHidden/>
          </w:rPr>
          <w:tab/>
        </w:r>
        <w:r w:rsidR="00061CF4">
          <w:rPr>
            <w:noProof/>
            <w:webHidden/>
          </w:rPr>
          <w:fldChar w:fldCharType="begin"/>
        </w:r>
        <w:r w:rsidR="00061CF4">
          <w:rPr>
            <w:noProof/>
            <w:webHidden/>
          </w:rPr>
          <w:instrText xml:space="preserve"> PAGEREF _Toc153899663 \h </w:instrText>
        </w:r>
        <w:r w:rsidR="00061CF4">
          <w:rPr>
            <w:noProof/>
            <w:webHidden/>
          </w:rPr>
        </w:r>
        <w:r w:rsidR="00061CF4">
          <w:rPr>
            <w:noProof/>
            <w:webHidden/>
          </w:rPr>
          <w:fldChar w:fldCharType="separate"/>
        </w:r>
        <w:r w:rsidR="00025283">
          <w:rPr>
            <w:noProof/>
            <w:webHidden/>
          </w:rPr>
          <w:t>2</w:t>
        </w:r>
        <w:r w:rsidR="00061CF4">
          <w:rPr>
            <w:noProof/>
            <w:webHidden/>
          </w:rPr>
          <w:fldChar w:fldCharType="end"/>
        </w:r>
      </w:hyperlink>
    </w:p>
    <w:p w14:paraId="3C2B4344" w14:textId="0D6C03B3" w:rsidR="00061CF4" w:rsidRDefault="00A13D02" w:rsidP="00962FBE">
      <w:pPr>
        <w:pStyle w:val="TOC2"/>
        <w:spacing w:line="276" w:lineRule="auto"/>
        <w:rPr>
          <w:noProof/>
          <w:kern w:val="2"/>
          <w:szCs w:val="22"/>
          <w:lang w:val="en-AU" w:eastAsia="en-AU"/>
          <w14:ligatures w14:val="standardContextual"/>
        </w:rPr>
      </w:pPr>
      <w:hyperlink w:anchor="_Toc153899664" w:history="1">
        <w:r w:rsidR="00061CF4" w:rsidRPr="002A1E7D">
          <w:rPr>
            <w:rStyle w:val="Hyperlink"/>
            <w:rFonts w:cstheme="majorHAnsi"/>
            <w:bCs/>
            <w:noProof/>
          </w:rPr>
          <w:t>2.3</w:t>
        </w:r>
        <w:r w:rsidR="00061CF4">
          <w:rPr>
            <w:noProof/>
            <w:kern w:val="2"/>
            <w:szCs w:val="22"/>
            <w:lang w:val="en-AU" w:eastAsia="en-AU"/>
            <w14:ligatures w14:val="standardContextual"/>
          </w:rPr>
          <w:tab/>
        </w:r>
        <w:r w:rsidR="00061CF4" w:rsidRPr="002A1E7D">
          <w:rPr>
            <w:rStyle w:val="Hyperlink"/>
            <w:noProof/>
          </w:rPr>
          <w:t>Limitations</w:t>
        </w:r>
        <w:r w:rsidR="00061CF4">
          <w:rPr>
            <w:noProof/>
            <w:webHidden/>
          </w:rPr>
          <w:tab/>
        </w:r>
        <w:r w:rsidR="00061CF4">
          <w:rPr>
            <w:noProof/>
            <w:webHidden/>
          </w:rPr>
          <w:fldChar w:fldCharType="begin"/>
        </w:r>
        <w:r w:rsidR="00061CF4">
          <w:rPr>
            <w:noProof/>
            <w:webHidden/>
          </w:rPr>
          <w:instrText xml:space="preserve"> PAGEREF _Toc153899664 \h </w:instrText>
        </w:r>
        <w:r w:rsidR="00061CF4">
          <w:rPr>
            <w:noProof/>
            <w:webHidden/>
          </w:rPr>
        </w:r>
        <w:r w:rsidR="00061CF4">
          <w:rPr>
            <w:noProof/>
            <w:webHidden/>
          </w:rPr>
          <w:fldChar w:fldCharType="separate"/>
        </w:r>
        <w:r w:rsidR="00025283">
          <w:rPr>
            <w:noProof/>
            <w:webHidden/>
          </w:rPr>
          <w:t>3</w:t>
        </w:r>
        <w:r w:rsidR="00061CF4">
          <w:rPr>
            <w:noProof/>
            <w:webHidden/>
          </w:rPr>
          <w:fldChar w:fldCharType="end"/>
        </w:r>
      </w:hyperlink>
    </w:p>
    <w:p w14:paraId="62C060DE" w14:textId="1DB360E9" w:rsidR="00061CF4" w:rsidRDefault="00A13D02" w:rsidP="00962FBE">
      <w:pPr>
        <w:pStyle w:val="TOC1"/>
        <w:spacing w:line="276" w:lineRule="auto"/>
        <w:rPr>
          <w:rFonts w:asciiTheme="minorHAnsi" w:hAnsiTheme="minorHAnsi"/>
          <w:noProof/>
          <w:kern w:val="2"/>
          <w:szCs w:val="22"/>
          <w:lang w:val="en-AU" w:eastAsia="en-AU"/>
          <w14:ligatures w14:val="standardContextual"/>
        </w:rPr>
      </w:pPr>
      <w:hyperlink w:anchor="_Toc153899665" w:history="1">
        <w:r w:rsidR="00061CF4" w:rsidRPr="002A1E7D">
          <w:rPr>
            <w:rStyle w:val="Hyperlink"/>
            <w:noProof/>
          </w:rPr>
          <w:t>3</w:t>
        </w:r>
        <w:r w:rsidR="00061CF4">
          <w:rPr>
            <w:rFonts w:asciiTheme="minorHAnsi" w:hAnsiTheme="minorHAnsi"/>
            <w:noProof/>
            <w:kern w:val="2"/>
            <w:szCs w:val="22"/>
            <w:lang w:val="en-AU" w:eastAsia="en-AU"/>
            <w14:ligatures w14:val="standardContextual"/>
          </w:rPr>
          <w:tab/>
        </w:r>
        <w:r w:rsidR="00061CF4" w:rsidRPr="002A1E7D">
          <w:rPr>
            <w:rStyle w:val="Hyperlink"/>
            <w:noProof/>
          </w:rPr>
          <w:t>Findings</w:t>
        </w:r>
        <w:r w:rsidR="00061CF4">
          <w:rPr>
            <w:noProof/>
            <w:webHidden/>
          </w:rPr>
          <w:tab/>
        </w:r>
        <w:r w:rsidR="00061CF4">
          <w:rPr>
            <w:noProof/>
            <w:webHidden/>
          </w:rPr>
          <w:fldChar w:fldCharType="begin"/>
        </w:r>
        <w:r w:rsidR="00061CF4">
          <w:rPr>
            <w:noProof/>
            <w:webHidden/>
          </w:rPr>
          <w:instrText xml:space="preserve"> PAGEREF _Toc153899665 \h </w:instrText>
        </w:r>
        <w:r w:rsidR="00061CF4">
          <w:rPr>
            <w:noProof/>
            <w:webHidden/>
          </w:rPr>
        </w:r>
        <w:r w:rsidR="00061CF4">
          <w:rPr>
            <w:noProof/>
            <w:webHidden/>
          </w:rPr>
          <w:fldChar w:fldCharType="separate"/>
        </w:r>
        <w:r w:rsidR="00025283">
          <w:rPr>
            <w:noProof/>
            <w:webHidden/>
          </w:rPr>
          <w:t>3</w:t>
        </w:r>
        <w:r w:rsidR="00061CF4">
          <w:rPr>
            <w:noProof/>
            <w:webHidden/>
          </w:rPr>
          <w:fldChar w:fldCharType="end"/>
        </w:r>
      </w:hyperlink>
    </w:p>
    <w:p w14:paraId="09510456" w14:textId="5F196B38" w:rsidR="00061CF4" w:rsidRDefault="00A13D02" w:rsidP="00962FBE">
      <w:pPr>
        <w:pStyle w:val="TOC2"/>
        <w:spacing w:line="276" w:lineRule="auto"/>
        <w:rPr>
          <w:noProof/>
          <w:kern w:val="2"/>
          <w:szCs w:val="22"/>
          <w:lang w:val="en-AU" w:eastAsia="en-AU"/>
          <w14:ligatures w14:val="standardContextual"/>
        </w:rPr>
      </w:pPr>
      <w:hyperlink w:anchor="_Toc153899666" w:history="1">
        <w:r w:rsidR="00061CF4" w:rsidRPr="002A1E7D">
          <w:rPr>
            <w:rStyle w:val="Hyperlink"/>
            <w:rFonts w:cstheme="majorHAnsi"/>
            <w:bCs/>
            <w:noProof/>
          </w:rPr>
          <w:t>3.1</w:t>
        </w:r>
        <w:r w:rsidR="00061CF4">
          <w:rPr>
            <w:noProof/>
            <w:kern w:val="2"/>
            <w:szCs w:val="22"/>
            <w:lang w:val="en-AU" w:eastAsia="en-AU"/>
            <w14:ligatures w14:val="standardContextual"/>
          </w:rPr>
          <w:tab/>
        </w:r>
        <w:r w:rsidR="00061CF4" w:rsidRPr="002A1E7D">
          <w:rPr>
            <w:rStyle w:val="Hyperlink"/>
            <w:rFonts w:eastAsia="Calibri"/>
            <w:noProof/>
            <w:lang w:bidi="en-US"/>
          </w:rPr>
          <w:t>KRQ1: Effectiveness: To what extent is TongaHealth on track to deliver on its mandate under the NCD Strategy?</w:t>
        </w:r>
        <w:r w:rsidR="00061CF4">
          <w:rPr>
            <w:noProof/>
            <w:webHidden/>
          </w:rPr>
          <w:tab/>
        </w:r>
        <w:r w:rsidR="00061CF4">
          <w:rPr>
            <w:noProof/>
            <w:webHidden/>
          </w:rPr>
          <w:fldChar w:fldCharType="begin"/>
        </w:r>
        <w:r w:rsidR="00061CF4">
          <w:rPr>
            <w:noProof/>
            <w:webHidden/>
          </w:rPr>
          <w:instrText xml:space="preserve"> PAGEREF _Toc153899666 \h </w:instrText>
        </w:r>
        <w:r w:rsidR="00061CF4">
          <w:rPr>
            <w:noProof/>
            <w:webHidden/>
          </w:rPr>
        </w:r>
        <w:r w:rsidR="00061CF4">
          <w:rPr>
            <w:noProof/>
            <w:webHidden/>
          </w:rPr>
          <w:fldChar w:fldCharType="separate"/>
        </w:r>
        <w:r w:rsidR="00025283">
          <w:rPr>
            <w:noProof/>
            <w:webHidden/>
          </w:rPr>
          <w:t>3</w:t>
        </w:r>
        <w:r w:rsidR="00061CF4">
          <w:rPr>
            <w:noProof/>
            <w:webHidden/>
          </w:rPr>
          <w:fldChar w:fldCharType="end"/>
        </w:r>
      </w:hyperlink>
    </w:p>
    <w:p w14:paraId="04200900" w14:textId="6AF97006" w:rsidR="00061CF4" w:rsidRDefault="00A13D02" w:rsidP="00962FBE">
      <w:pPr>
        <w:pStyle w:val="TOC2"/>
        <w:spacing w:line="276" w:lineRule="auto"/>
        <w:rPr>
          <w:noProof/>
          <w:kern w:val="2"/>
          <w:szCs w:val="22"/>
          <w:lang w:val="en-AU" w:eastAsia="en-AU"/>
          <w14:ligatures w14:val="standardContextual"/>
        </w:rPr>
      </w:pPr>
      <w:hyperlink w:anchor="_Toc153899667" w:history="1">
        <w:r w:rsidR="00061CF4" w:rsidRPr="002A1E7D">
          <w:rPr>
            <w:rStyle w:val="Hyperlink"/>
            <w:rFonts w:eastAsia="MS Mincho" w:cstheme="majorHAnsi"/>
            <w:bCs/>
            <w:noProof/>
          </w:rPr>
          <w:t>3.2</w:t>
        </w:r>
        <w:r w:rsidR="00061CF4">
          <w:rPr>
            <w:noProof/>
            <w:kern w:val="2"/>
            <w:szCs w:val="22"/>
            <w:lang w:val="en-AU" w:eastAsia="en-AU"/>
            <w14:ligatures w14:val="standardContextual"/>
          </w:rPr>
          <w:tab/>
        </w:r>
        <w:r w:rsidR="00061CF4" w:rsidRPr="002A1E7D">
          <w:rPr>
            <w:rStyle w:val="Hyperlink"/>
            <w:rFonts w:eastAsia="Calibri"/>
            <w:noProof/>
            <w:lang w:bidi="en-US"/>
          </w:rPr>
          <w:t>KRQ2: Coherence: To what extent does TongaHealth effectively coordinate with and share learnings with other Tonga public health stakeholders?</w:t>
        </w:r>
        <w:r w:rsidR="00061CF4">
          <w:rPr>
            <w:noProof/>
            <w:webHidden/>
          </w:rPr>
          <w:tab/>
        </w:r>
        <w:r w:rsidR="00061CF4">
          <w:rPr>
            <w:noProof/>
            <w:webHidden/>
          </w:rPr>
          <w:fldChar w:fldCharType="begin"/>
        </w:r>
        <w:r w:rsidR="00061CF4">
          <w:rPr>
            <w:noProof/>
            <w:webHidden/>
          </w:rPr>
          <w:instrText xml:space="preserve"> PAGEREF _Toc153899667 \h </w:instrText>
        </w:r>
        <w:r w:rsidR="00061CF4">
          <w:rPr>
            <w:noProof/>
            <w:webHidden/>
          </w:rPr>
        </w:r>
        <w:r w:rsidR="00061CF4">
          <w:rPr>
            <w:noProof/>
            <w:webHidden/>
          </w:rPr>
          <w:fldChar w:fldCharType="separate"/>
        </w:r>
        <w:r w:rsidR="00025283">
          <w:rPr>
            <w:noProof/>
            <w:webHidden/>
          </w:rPr>
          <w:t>14</w:t>
        </w:r>
        <w:r w:rsidR="00061CF4">
          <w:rPr>
            <w:noProof/>
            <w:webHidden/>
          </w:rPr>
          <w:fldChar w:fldCharType="end"/>
        </w:r>
      </w:hyperlink>
    </w:p>
    <w:p w14:paraId="5C05E97D" w14:textId="7AB1908E" w:rsidR="00061CF4" w:rsidRDefault="00A13D02" w:rsidP="00962FBE">
      <w:pPr>
        <w:pStyle w:val="TOC2"/>
        <w:spacing w:line="276" w:lineRule="auto"/>
        <w:rPr>
          <w:noProof/>
          <w:kern w:val="2"/>
          <w:szCs w:val="22"/>
          <w:lang w:val="en-AU" w:eastAsia="en-AU"/>
          <w14:ligatures w14:val="standardContextual"/>
        </w:rPr>
      </w:pPr>
      <w:hyperlink w:anchor="_Toc153899668" w:history="1">
        <w:r w:rsidR="00061CF4" w:rsidRPr="002A1E7D">
          <w:rPr>
            <w:rStyle w:val="Hyperlink"/>
            <w:rFonts w:eastAsia="Calibri" w:cstheme="majorHAnsi"/>
            <w:bCs/>
            <w:noProof/>
            <w:lang w:bidi="en-US"/>
          </w:rPr>
          <w:t>3.3</w:t>
        </w:r>
        <w:r w:rsidR="00061CF4">
          <w:rPr>
            <w:noProof/>
            <w:kern w:val="2"/>
            <w:szCs w:val="22"/>
            <w:lang w:val="en-AU" w:eastAsia="en-AU"/>
            <w14:ligatures w14:val="standardContextual"/>
          </w:rPr>
          <w:tab/>
        </w:r>
        <w:r w:rsidR="00061CF4" w:rsidRPr="002A1E7D">
          <w:rPr>
            <w:rStyle w:val="Hyperlink"/>
            <w:rFonts w:eastAsia="Calibri"/>
            <w:noProof/>
            <w:lang w:bidi="en-US"/>
          </w:rPr>
          <w:t>KRQ3: Relevance: To what extent does TongaHealth’s work remain relevant to deliver on its mandate?</w:t>
        </w:r>
        <w:r w:rsidR="00061CF4">
          <w:rPr>
            <w:noProof/>
            <w:webHidden/>
          </w:rPr>
          <w:tab/>
        </w:r>
        <w:r w:rsidR="00061CF4">
          <w:rPr>
            <w:noProof/>
            <w:webHidden/>
          </w:rPr>
          <w:fldChar w:fldCharType="begin"/>
        </w:r>
        <w:r w:rsidR="00061CF4">
          <w:rPr>
            <w:noProof/>
            <w:webHidden/>
          </w:rPr>
          <w:instrText xml:space="preserve"> PAGEREF _Toc153899668 \h </w:instrText>
        </w:r>
        <w:r w:rsidR="00061CF4">
          <w:rPr>
            <w:noProof/>
            <w:webHidden/>
          </w:rPr>
        </w:r>
        <w:r w:rsidR="00061CF4">
          <w:rPr>
            <w:noProof/>
            <w:webHidden/>
          </w:rPr>
          <w:fldChar w:fldCharType="separate"/>
        </w:r>
        <w:r w:rsidR="00025283">
          <w:rPr>
            <w:noProof/>
            <w:webHidden/>
          </w:rPr>
          <w:t>15</w:t>
        </w:r>
        <w:r w:rsidR="00061CF4">
          <w:rPr>
            <w:noProof/>
            <w:webHidden/>
          </w:rPr>
          <w:fldChar w:fldCharType="end"/>
        </w:r>
      </w:hyperlink>
    </w:p>
    <w:p w14:paraId="69DB4BDB" w14:textId="68FA2ECB" w:rsidR="00061CF4" w:rsidRDefault="00A13D02" w:rsidP="00962FBE">
      <w:pPr>
        <w:pStyle w:val="TOC2"/>
        <w:spacing w:line="276" w:lineRule="auto"/>
        <w:rPr>
          <w:noProof/>
          <w:kern w:val="2"/>
          <w:szCs w:val="22"/>
          <w:lang w:val="en-AU" w:eastAsia="en-AU"/>
          <w14:ligatures w14:val="standardContextual"/>
        </w:rPr>
      </w:pPr>
      <w:hyperlink w:anchor="_Toc153899669" w:history="1">
        <w:r w:rsidR="00061CF4" w:rsidRPr="002A1E7D">
          <w:rPr>
            <w:rStyle w:val="Hyperlink"/>
            <w:rFonts w:eastAsia="Calibri" w:cstheme="majorHAnsi"/>
            <w:bCs/>
            <w:noProof/>
            <w:lang w:bidi="en-US"/>
          </w:rPr>
          <w:t>3.4</w:t>
        </w:r>
        <w:r w:rsidR="00061CF4">
          <w:rPr>
            <w:noProof/>
            <w:kern w:val="2"/>
            <w:szCs w:val="22"/>
            <w:lang w:val="en-AU" w:eastAsia="en-AU"/>
            <w14:ligatures w14:val="standardContextual"/>
          </w:rPr>
          <w:tab/>
        </w:r>
        <w:r w:rsidR="00061CF4" w:rsidRPr="002A1E7D">
          <w:rPr>
            <w:rStyle w:val="Hyperlink"/>
            <w:rFonts w:eastAsia="Calibri"/>
            <w:noProof/>
            <w:lang w:bidi="en-US"/>
          </w:rPr>
          <w:t>KRQ4: GEDSI/Equity: To what extent is TongaHealth actively and effectively addressing the needs of disadvantaged and marginalised groups?</w:t>
        </w:r>
        <w:r w:rsidR="00061CF4">
          <w:rPr>
            <w:noProof/>
            <w:webHidden/>
          </w:rPr>
          <w:tab/>
        </w:r>
        <w:r w:rsidR="00061CF4">
          <w:rPr>
            <w:noProof/>
            <w:webHidden/>
          </w:rPr>
          <w:fldChar w:fldCharType="begin"/>
        </w:r>
        <w:r w:rsidR="00061CF4">
          <w:rPr>
            <w:noProof/>
            <w:webHidden/>
          </w:rPr>
          <w:instrText xml:space="preserve"> PAGEREF _Toc153899669 \h </w:instrText>
        </w:r>
        <w:r w:rsidR="00061CF4">
          <w:rPr>
            <w:noProof/>
            <w:webHidden/>
          </w:rPr>
        </w:r>
        <w:r w:rsidR="00061CF4">
          <w:rPr>
            <w:noProof/>
            <w:webHidden/>
          </w:rPr>
          <w:fldChar w:fldCharType="separate"/>
        </w:r>
        <w:r w:rsidR="00025283">
          <w:rPr>
            <w:noProof/>
            <w:webHidden/>
          </w:rPr>
          <w:t>18</w:t>
        </w:r>
        <w:r w:rsidR="00061CF4">
          <w:rPr>
            <w:noProof/>
            <w:webHidden/>
          </w:rPr>
          <w:fldChar w:fldCharType="end"/>
        </w:r>
      </w:hyperlink>
    </w:p>
    <w:p w14:paraId="1CF9FC88" w14:textId="4A8A5E82" w:rsidR="00061CF4" w:rsidRDefault="00A13D02" w:rsidP="00962FBE">
      <w:pPr>
        <w:pStyle w:val="TOC2"/>
        <w:spacing w:line="276" w:lineRule="auto"/>
        <w:rPr>
          <w:noProof/>
          <w:kern w:val="2"/>
          <w:szCs w:val="22"/>
          <w:lang w:val="en-AU" w:eastAsia="en-AU"/>
          <w14:ligatures w14:val="standardContextual"/>
        </w:rPr>
      </w:pPr>
      <w:hyperlink w:anchor="_Toc153899670" w:history="1">
        <w:r w:rsidR="00061CF4" w:rsidRPr="002A1E7D">
          <w:rPr>
            <w:rStyle w:val="Hyperlink"/>
            <w:rFonts w:cstheme="majorHAnsi"/>
            <w:bCs/>
            <w:noProof/>
          </w:rPr>
          <w:t>3.5</w:t>
        </w:r>
        <w:r w:rsidR="00061CF4">
          <w:rPr>
            <w:noProof/>
            <w:kern w:val="2"/>
            <w:szCs w:val="22"/>
            <w:lang w:val="en-AU" w:eastAsia="en-AU"/>
            <w14:ligatures w14:val="standardContextual"/>
          </w:rPr>
          <w:tab/>
        </w:r>
        <w:r w:rsidR="00061CF4" w:rsidRPr="002A1E7D">
          <w:rPr>
            <w:rStyle w:val="Hyperlink"/>
            <w:noProof/>
          </w:rPr>
          <w:t>KRQ5: Recommendations: Noting all findings, what are strategic, practical and implementable actions that can be taken to strengthen TongaHealth’s impact and outcomes?</w:t>
        </w:r>
        <w:r w:rsidR="00061CF4">
          <w:rPr>
            <w:noProof/>
            <w:webHidden/>
          </w:rPr>
          <w:tab/>
        </w:r>
        <w:r w:rsidR="00061CF4">
          <w:rPr>
            <w:noProof/>
            <w:webHidden/>
          </w:rPr>
          <w:fldChar w:fldCharType="begin"/>
        </w:r>
        <w:r w:rsidR="00061CF4">
          <w:rPr>
            <w:noProof/>
            <w:webHidden/>
          </w:rPr>
          <w:instrText xml:space="preserve"> PAGEREF _Toc153899670 \h </w:instrText>
        </w:r>
        <w:r w:rsidR="00061CF4">
          <w:rPr>
            <w:noProof/>
            <w:webHidden/>
          </w:rPr>
        </w:r>
        <w:r w:rsidR="00061CF4">
          <w:rPr>
            <w:noProof/>
            <w:webHidden/>
          </w:rPr>
          <w:fldChar w:fldCharType="separate"/>
        </w:r>
        <w:r w:rsidR="00025283">
          <w:rPr>
            <w:noProof/>
            <w:webHidden/>
          </w:rPr>
          <w:t>19</w:t>
        </w:r>
        <w:r w:rsidR="00061CF4">
          <w:rPr>
            <w:noProof/>
            <w:webHidden/>
          </w:rPr>
          <w:fldChar w:fldCharType="end"/>
        </w:r>
      </w:hyperlink>
    </w:p>
    <w:p w14:paraId="3D59BD6E" w14:textId="419E3A4E" w:rsidR="00061CF4" w:rsidRDefault="00A13D02" w:rsidP="00962FBE">
      <w:pPr>
        <w:pStyle w:val="TOC1"/>
        <w:spacing w:line="276" w:lineRule="auto"/>
        <w:rPr>
          <w:rFonts w:asciiTheme="minorHAnsi" w:hAnsiTheme="minorHAnsi"/>
          <w:noProof/>
          <w:kern w:val="2"/>
          <w:szCs w:val="22"/>
          <w:lang w:val="en-AU" w:eastAsia="en-AU"/>
          <w14:ligatures w14:val="standardContextual"/>
        </w:rPr>
      </w:pPr>
      <w:hyperlink w:anchor="_Toc153899671" w:history="1">
        <w:r w:rsidR="00061CF4" w:rsidRPr="002A1E7D">
          <w:rPr>
            <w:rStyle w:val="Hyperlink"/>
            <w:noProof/>
          </w:rPr>
          <w:t>4</w:t>
        </w:r>
        <w:r w:rsidR="00061CF4">
          <w:rPr>
            <w:rFonts w:asciiTheme="minorHAnsi" w:hAnsiTheme="minorHAnsi"/>
            <w:noProof/>
            <w:kern w:val="2"/>
            <w:szCs w:val="22"/>
            <w:lang w:val="en-AU" w:eastAsia="en-AU"/>
            <w14:ligatures w14:val="standardContextual"/>
          </w:rPr>
          <w:tab/>
        </w:r>
        <w:r w:rsidR="00061CF4" w:rsidRPr="002A1E7D">
          <w:rPr>
            <w:rStyle w:val="Hyperlink"/>
            <w:noProof/>
          </w:rPr>
          <w:t>Annexes</w:t>
        </w:r>
        <w:r w:rsidR="00061CF4">
          <w:rPr>
            <w:noProof/>
            <w:webHidden/>
          </w:rPr>
          <w:tab/>
        </w:r>
        <w:r w:rsidR="00061CF4">
          <w:rPr>
            <w:noProof/>
            <w:webHidden/>
          </w:rPr>
          <w:fldChar w:fldCharType="begin"/>
        </w:r>
        <w:r w:rsidR="00061CF4">
          <w:rPr>
            <w:noProof/>
            <w:webHidden/>
          </w:rPr>
          <w:instrText xml:space="preserve"> PAGEREF _Toc153899671 \h </w:instrText>
        </w:r>
        <w:r w:rsidR="00061CF4">
          <w:rPr>
            <w:noProof/>
            <w:webHidden/>
          </w:rPr>
        </w:r>
        <w:r w:rsidR="00061CF4">
          <w:rPr>
            <w:noProof/>
            <w:webHidden/>
          </w:rPr>
          <w:fldChar w:fldCharType="separate"/>
        </w:r>
        <w:r w:rsidR="00025283">
          <w:rPr>
            <w:noProof/>
            <w:webHidden/>
          </w:rPr>
          <w:t>23</w:t>
        </w:r>
        <w:r w:rsidR="00061CF4">
          <w:rPr>
            <w:noProof/>
            <w:webHidden/>
          </w:rPr>
          <w:fldChar w:fldCharType="end"/>
        </w:r>
      </w:hyperlink>
    </w:p>
    <w:p w14:paraId="36C4FE80" w14:textId="511AFD69" w:rsidR="00061CF4" w:rsidRDefault="00A13D02" w:rsidP="00962FBE">
      <w:pPr>
        <w:pStyle w:val="TOC2"/>
        <w:spacing w:line="276" w:lineRule="auto"/>
        <w:rPr>
          <w:noProof/>
          <w:kern w:val="2"/>
          <w:szCs w:val="22"/>
          <w:lang w:val="en-AU" w:eastAsia="en-AU"/>
          <w14:ligatures w14:val="standardContextual"/>
        </w:rPr>
      </w:pPr>
      <w:hyperlink w:anchor="_Toc153899672" w:history="1">
        <w:r w:rsidR="00061CF4" w:rsidRPr="002A1E7D">
          <w:rPr>
            <w:rStyle w:val="Hyperlink"/>
            <w:rFonts w:cstheme="majorHAnsi"/>
            <w:bCs/>
            <w:noProof/>
          </w:rPr>
          <w:t>4.1</w:t>
        </w:r>
        <w:r w:rsidR="00061CF4">
          <w:rPr>
            <w:noProof/>
            <w:kern w:val="2"/>
            <w:szCs w:val="22"/>
            <w:lang w:val="en-AU" w:eastAsia="en-AU"/>
            <w14:ligatures w14:val="standardContextual"/>
          </w:rPr>
          <w:tab/>
        </w:r>
        <w:r w:rsidR="00061CF4" w:rsidRPr="002A1E7D">
          <w:rPr>
            <w:rStyle w:val="Hyperlink"/>
            <w:noProof/>
          </w:rPr>
          <w:t>Key review questions and sub-questions</w:t>
        </w:r>
        <w:r w:rsidR="00061CF4">
          <w:rPr>
            <w:noProof/>
            <w:webHidden/>
          </w:rPr>
          <w:tab/>
        </w:r>
        <w:r w:rsidR="00061CF4">
          <w:rPr>
            <w:noProof/>
            <w:webHidden/>
          </w:rPr>
          <w:fldChar w:fldCharType="begin"/>
        </w:r>
        <w:r w:rsidR="00061CF4">
          <w:rPr>
            <w:noProof/>
            <w:webHidden/>
          </w:rPr>
          <w:instrText xml:space="preserve"> PAGEREF _Toc153899672 \h </w:instrText>
        </w:r>
        <w:r w:rsidR="00061CF4">
          <w:rPr>
            <w:noProof/>
            <w:webHidden/>
          </w:rPr>
        </w:r>
        <w:r w:rsidR="00061CF4">
          <w:rPr>
            <w:noProof/>
            <w:webHidden/>
          </w:rPr>
          <w:fldChar w:fldCharType="separate"/>
        </w:r>
        <w:r w:rsidR="00025283">
          <w:rPr>
            <w:noProof/>
            <w:webHidden/>
          </w:rPr>
          <w:t>23</w:t>
        </w:r>
        <w:r w:rsidR="00061CF4">
          <w:rPr>
            <w:noProof/>
            <w:webHidden/>
          </w:rPr>
          <w:fldChar w:fldCharType="end"/>
        </w:r>
      </w:hyperlink>
    </w:p>
    <w:p w14:paraId="3E6450AA" w14:textId="4DD7F61E" w:rsidR="00061CF4" w:rsidRDefault="00A13D02" w:rsidP="00962FBE">
      <w:pPr>
        <w:pStyle w:val="TOC2"/>
        <w:spacing w:line="276" w:lineRule="auto"/>
        <w:rPr>
          <w:noProof/>
          <w:kern w:val="2"/>
          <w:szCs w:val="22"/>
          <w:lang w:val="en-AU" w:eastAsia="en-AU"/>
          <w14:ligatures w14:val="standardContextual"/>
        </w:rPr>
      </w:pPr>
      <w:hyperlink w:anchor="_Toc153899673" w:history="1">
        <w:r w:rsidR="00061CF4" w:rsidRPr="002A1E7D">
          <w:rPr>
            <w:rStyle w:val="Hyperlink"/>
            <w:rFonts w:cstheme="majorHAnsi"/>
            <w:bCs/>
            <w:noProof/>
          </w:rPr>
          <w:t>4.2</w:t>
        </w:r>
        <w:r w:rsidR="00061CF4">
          <w:rPr>
            <w:noProof/>
            <w:kern w:val="2"/>
            <w:szCs w:val="22"/>
            <w:lang w:val="en-AU" w:eastAsia="en-AU"/>
            <w14:ligatures w14:val="standardContextual"/>
          </w:rPr>
          <w:tab/>
        </w:r>
        <w:r w:rsidR="00061CF4" w:rsidRPr="002A1E7D">
          <w:rPr>
            <w:rStyle w:val="Hyperlink"/>
            <w:noProof/>
          </w:rPr>
          <w:t>List of documents reviewed</w:t>
        </w:r>
        <w:r w:rsidR="00061CF4">
          <w:rPr>
            <w:noProof/>
            <w:webHidden/>
          </w:rPr>
          <w:tab/>
        </w:r>
        <w:r w:rsidR="00061CF4">
          <w:rPr>
            <w:noProof/>
            <w:webHidden/>
          </w:rPr>
          <w:fldChar w:fldCharType="begin"/>
        </w:r>
        <w:r w:rsidR="00061CF4">
          <w:rPr>
            <w:noProof/>
            <w:webHidden/>
          </w:rPr>
          <w:instrText xml:space="preserve"> PAGEREF _Toc153899673 \h </w:instrText>
        </w:r>
        <w:r w:rsidR="00061CF4">
          <w:rPr>
            <w:noProof/>
            <w:webHidden/>
          </w:rPr>
        </w:r>
        <w:r w:rsidR="00061CF4">
          <w:rPr>
            <w:noProof/>
            <w:webHidden/>
          </w:rPr>
          <w:fldChar w:fldCharType="separate"/>
        </w:r>
        <w:r w:rsidR="00025283">
          <w:rPr>
            <w:noProof/>
            <w:webHidden/>
          </w:rPr>
          <w:t>24</w:t>
        </w:r>
        <w:r w:rsidR="00061CF4">
          <w:rPr>
            <w:noProof/>
            <w:webHidden/>
          </w:rPr>
          <w:fldChar w:fldCharType="end"/>
        </w:r>
      </w:hyperlink>
    </w:p>
    <w:p w14:paraId="29774D45" w14:textId="65E3023B" w:rsidR="00061CF4" w:rsidRDefault="00A13D02" w:rsidP="00962FBE">
      <w:pPr>
        <w:pStyle w:val="TOC2"/>
        <w:spacing w:line="276" w:lineRule="auto"/>
        <w:rPr>
          <w:noProof/>
          <w:kern w:val="2"/>
          <w:szCs w:val="22"/>
          <w:lang w:val="en-AU" w:eastAsia="en-AU"/>
          <w14:ligatures w14:val="standardContextual"/>
        </w:rPr>
      </w:pPr>
      <w:hyperlink w:anchor="_Toc153899674" w:history="1">
        <w:r w:rsidR="00061CF4" w:rsidRPr="002A1E7D">
          <w:rPr>
            <w:rStyle w:val="Hyperlink"/>
            <w:rFonts w:cstheme="majorHAnsi"/>
            <w:bCs/>
            <w:noProof/>
          </w:rPr>
          <w:t>4.3</w:t>
        </w:r>
        <w:r w:rsidR="00061CF4">
          <w:rPr>
            <w:noProof/>
            <w:kern w:val="2"/>
            <w:szCs w:val="22"/>
            <w:lang w:val="en-AU" w:eastAsia="en-AU"/>
            <w14:ligatures w14:val="standardContextual"/>
          </w:rPr>
          <w:tab/>
        </w:r>
        <w:r w:rsidR="00061CF4" w:rsidRPr="002A1E7D">
          <w:rPr>
            <w:rStyle w:val="Hyperlink"/>
            <w:noProof/>
          </w:rPr>
          <w:t>List of interviewees</w:t>
        </w:r>
        <w:r w:rsidR="00061CF4">
          <w:rPr>
            <w:noProof/>
            <w:webHidden/>
          </w:rPr>
          <w:tab/>
        </w:r>
        <w:r w:rsidR="00061CF4">
          <w:rPr>
            <w:noProof/>
            <w:webHidden/>
          </w:rPr>
          <w:fldChar w:fldCharType="begin"/>
        </w:r>
        <w:r w:rsidR="00061CF4">
          <w:rPr>
            <w:noProof/>
            <w:webHidden/>
          </w:rPr>
          <w:instrText xml:space="preserve"> PAGEREF _Toc153899674 \h </w:instrText>
        </w:r>
        <w:r w:rsidR="00061CF4">
          <w:rPr>
            <w:noProof/>
            <w:webHidden/>
          </w:rPr>
        </w:r>
        <w:r w:rsidR="00061CF4">
          <w:rPr>
            <w:noProof/>
            <w:webHidden/>
          </w:rPr>
          <w:fldChar w:fldCharType="separate"/>
        </w:r>
        <w:r w:rsidR="00025283">
          <w:rPr>
            <w:noProof/>
            <w:webHidden/>
          </w:rPr>
          <w:t>26</w:t>
        </w:r>
        <w:r w:rsidR="00061CF4">
          <w:rPr>
            <w:noProof/>
            <w:webHidden/>
          </w:rPr>
          <w:fldChar w:fldCharType="end"/>
        </w:r>
      </w:hyperlink>
    </w:p>
    <w:p w14:paraId="60DC1CCB" w14:textId="32DEFF24" w:rsidR="00061CF4" w:rsidRDefault="00A13D02" w:rsidP="00962FBE">
      <w:pPr>
        <w:pStyle w:val="TOC2"/>
        <w:spacing w:line="276" w:lineRule="auto"/>
        <w:rPr>
          <w:noProof/>
          <w:kern w:val="2"/>
          <w:szCs w:val="22"/>
          <w:lang w:val="en-AU" w:eastAsia="en-AU"/>
          <w14:ligatures w14:val="standardContextual"/>
        </w:rPr>
      </w:pPr>
      <w:hyperlink w:anchor="_Toc153899675" w:history="1">
        <w:r w:rsidR="00061CF4" w:rsidRPr="002A1E7D">
          <w:rPr>
            <w:rStyle w:val="Hyperlink"/>
            <w:rFonts w:cstheme="majorHAnsi"/>
            <w:bCs/>
            <w:noProof/>
          </w:rPr>
          <w:t>4.4</w:t>
        </w:r>
        <w:r w:rsidR="00061CF4">
          <w:rPr>
            <w:noProof/>
            <w:kern w:val="2"/>
            <w:szCs w:val="22"/>
            <w:lang w:val="en-AU" w:eastAsia="en-AU"/>
            <w14:ligatures w14:val="standardContextual"/>
          </w:rPr>
          <w:tab/>
        </w:r>
        <w:r w:rsidR="00061CF4" w:rsidRPr="002A1E7D">
          <w:rPr>
            <w:rStyle w:val="Hyperlink"/>
            <w:noProof/>
          </w:rPr>
          <w:t>Assessment of review report against DFAT Design and M&amp;E Standards (Standard 10: Independent Evaluation Reports)</w:t>
        </w:r>
        <w:r w:rsidR="00061CF4">
          <w:rPr>
            <w:noProof/>
            <w:webHidden/>
          </w:rPr>
          <w:tab/>
        </w:r>
        <w:r w:rsidR="00061CF4">
          <w:rPr>
            <w:noProof/>
            <w:webHidden/>
          </w:rPr>
          <w:fldChar w:fldCharType="begin"/>
        </w:r>
        <w:r w:rsidR="00061CF4">
          <w:rPr>
            <w:noProof/>
            <w:webHidden/>
          </w:rPr>
          <w:instrText xml:space="preserve"> PAGEREF _Toc153899675 \h </w:instrText>
        </w:r>
        <w:r w:rsidR="00061CF4">
          <w:rPr>
            <w:noProof/>
            <w:webHidden/>
          </w:rPr>
        </w:r>
        <w:r w:rsidR="00061CF4">
          <w:rPr>
            <w:noProof/>
            <w:webHidden/>
          </w:rPr>
          <w:fldChar w:fldCharType="separate"/>
        </w:r>
        <w:r w:rsidR="00025283">
          <w:rPr>
            <w:noProof/>
            <w:webHidden/>
          </w:rPr>
          <w:t>28</w:t>
        </w:r>
        <w:r w:rsidR="00061CF4">
          <w:rPr>
            <w:noProof/>
            <w:webHidden/>
          </w:rPr>
          <w:fldChar w:fldCharType="end"/>
        </w:r>
      </w:hyperlink>
    </w:p>
    <w:p w14:paraId="77497195" w14:textId="3DADB853" w:rsidR="00061CF4" w:rsidRDefault="00A13D02" w:rsidP="00962FBE">
      <w:pPr>
        <w:pStyle w:val="TOC2"/>
        <w:spacing w:line="276" w:lineRule="auto"/>
        <w:rPr>
          <w:noProof/>
          <w:kern w:val="2"/>
          <w:szCs w:val="22"/>
          <w:lang w:val="en-AU" w:eastAsia="en-AU"/>
          <w14:ligatures w14:val="standardContextual"/>
        </w:rPr>
      </w:pPr>
      <w:hyperlink w:anchor="_Toc153899676" w:history="1">
        <w:r w:rsidR="00061CF4" w:rsidRPr="002A1E7D">
          <w:rPr>
            <w:rStyle w:val="Hyperlink"/>
            <w:rFonts w:cstheme="majorHAnsi"/>
            <w:bCs/>
            <w:noProof/>
          </w:rPr>
          <w:t>4.5</w:t>
        </w:r>
        <w:r w:rsidR="00061CF4">
          <w:rPr>
            <w:noProof/>
            <w:kern w:val="2"/>
            <w:szCs w:val="22"/>
            <w:lang w:val="en-AU" w:eastAsia="en-AU"/>
            <w14:ligatures w14:val="standardContextual"/>
          </w:rPr>
          <w:tab/>
        </w:r>
        <w:r w:rsidR="00061CF4" w:rsidRPr="002A1E7D">
          <w:rPr>
            <w:rStyle w:val="Hyperlink"/>
            <w:noProof/>
          </w:rPr>
          <w:t>TongaHealth’s progress against outputs of the NCD Strategy</w:t>
        </w:r>
        <w:r w:rsidR="00061CF4">
          <w:rPr>
            <w:noProof/>
            <w:webHidden/>
          </w:rPr>
          <w:tab/>
        </w:r>
        <w:r w:rsidR="00061CF4">
          <w:rPr>
            <w:noProof/>
            <w:webHidden/>
          </w:rPr>
          <w:fldChar w:fldCharType="begin"/>
        </w:r>
        <w:r w:rsidR="00061CF4">
          <w:rPr>
            <w:noProof/>
            <w:webHidden/>
          </w:rPr>
          <w:instrText xml:space="preserve"> PAGEREF _Toc153899676 \h </w:instrText>
        </w:r>
        <w:r w:rsidR="00061CF4">
          <w:rPr>
            <w:noProof/>
            <w:webHidden/>
          </w:rPr>
        </w:r>
        <w:r w:rsidR="00061CF4">
          <w:rPr>
            <w:noProof/>
            <w:webHidden/>
          </w:rPr>
          <w:fldChar w:fldCharType="separate"/>
        </w:r>
        <w:r w:rsidR="00025283">
          <w:rPr>
            <w:noProof/>
            <w:webHidden/>
          </w:rPr>
          <w:t>31</w:t>
        </w:r>
        <w:r w:rsidR="00061CF4">
          <w:rPr>
            <w:noProof/>
            <w:webHidden/>
          </w:rPr>
          <w:fldChar w:fldCharType="end"/>
        </w:r>
      </w:hyperlink>
    </w:p>
    <w:p w14:paraId="79E865FC" w14:textId="5797592A" w:rsidR="002D53B2" w:rsidRDefault="002D53B2" w:rsidP="00DF166F">
      <w:pPr>
        <w:tabs>
          <w:tab w:val="right" w:pos="8931"/>
          <w:tab w:val="right" w:pos="9015"/>
          <w:tab w:val="right" w:pos="9072"/>
        </w:tabs>
        <w:spacing w:line="276" w:lineRule="auto"/>
        <w:ind w:left="227"/>
      </w:pPr>
      <w:r w:rsidRPr="00AD1988">
        <w:rPr>
          <w:rFonts w:cs="Arial"/>
          <w:b/>
          <w:bCs/>
          <w:iCs/>
          <w:noProof/>
        </w:rPr>
        <w:fldChar w:fldCharType="end"/>
      </w:r>
    </w:p>
    <w:p w14:paraId="28671496" w14:textId="1435D7BE" w:rsidR="002D53B2" w:rsidRDefault="00E46FD0" w:rsidP="00DF166F">
      <w:pPr>
        <w:pStyle w:val="TOCHeading"/>
        <w:spacing w:line="276" w:lineRule="auto"/>
      </w:pPr>
      <w:bookmarkStart w:id="2" w:name="List_of_Tables"/>
      <w:bookmarkEnd w:id="2"/>
      <w:r>
        <w:t>Tables and Figures</w:t>
      </w:r>
    </w:p>
    <w:p w14:paraId="38BACF35" w14:textId="2902EAF5" w:rsidR="00D4057E" w:rsidRPr="00061CF4" w:rsidRDefault="00C0018E" w:rsidP="00DF166F">
      <w:pPr>
        <w:pStyle w:val="TableofFigures"/>
        <w:spacing w:line="276" w:lineRule="auto"/>
        <w:rPr>
          <w:rFonts w:asciiTheme="minorHAnsi" w:eastAsiaTheme="minorEastAsia" w:hAnsiTheme="minorHAnsi" w:cstheme="minorHAnsi"/>
          <w:noProof/>
          <w:kern w:val="2"/>
          <w:sz w:val="20"/>
          <w:lang w:eastAsia="en-AU"/>
          <w14:ligatures w14:val="standardContextual"/>
        </w:rPr>
      </w:pPr>
      <w:r w:rsidRPr="00061CF4">
        <w:rPr>
          <w:rFonts w:asciiTheme="minorHAnsi" w:hAnsiTheme="minorHAnsi" w:cstheme="minorHAnsi"/>
          <w:sz w:val="20"/>
        </w:rPr>
        <w:fldChar w:fldCharType="begin"/>
      </w:r>
      <w:r w:rsidRPr="00061CF4">
        <w:rPr>
          <w:rFonts w:asciiTheme="minorHAnsi" w:hAnsiTheme="minorHAnsi" w:cstheme="minorHAnsi"/>
          <w:sz w:val="20"/>
        </w:rPr>
        <w:instrText xml:space="preserve"> TOC \h \z \c "Table" </w:instrText>
      </w:r>
      <w:r w:rsidRPr="00061CF4">
        <w:rPr>
          <w:rFonts w:asciiTheme="minorHAnsi" w:hAnsiTheme="minorHAnsi" w:cstheme="minorHAnsi"/>
          <w:sz w:val="20"/>
        </w:rPr>
        <w:fldChar w:fldCharType="separate"/>
      </w:r>
      <w:hyperlink w:anchor="_Toc152915088" w:history="1">
        <w:r w:rsidR="00D4057E" w:rsidRPr="00061CF4">
          <w:rPr>
            <w:rStyle w:val="Hyperlink"/>
            <w:rFonts w:asciiTheme="minorHAnsi" w:eastAsiaTheme="majorEastAsia" w:hAnsiTheme="minorHAnsi" w:cstheme="minorHAnsi"/>
            <w:noProof/>
            <w:sz w:val="20"/>
          </w:rPr>
          <w:t>Table 1: Key Results Areas and Objectives of the National NCD Strategy, and status of TongaHealth’s progress</w:t>
        </w:r>
        <w:r w:rsidR="00D4057E" w:rsidRPr="00061CF4">
          <w:rPr>
            <w:rFonts w:asciiTheme="minorHAnsi" w:hAnsiTheme="minorHAnsi" w:cstheme="minorHAnsi"/>
            <w:noProof/>
            <w:webHidden/>
            <w:sz w:val="20"/>
          </w:rPr>
          <w:tab/>
        </w:r>
        <w:r w:rsidR="00D4057E" w:rsidRPr="00061CF4">
          <w:rPr>
            <w:rFonts w:asciiTheme="minorHAnsi" w:hAnsiTheme="minorHAnsi" w:cstheme="minorHAnsi"/>
            <w:noProof/>
            <w:webHidden/>
            <w:sz w:val="20"/>
          </w:rPr>
          <w:fldChar w:fldCharType="begin"/>
        </w:r>
        <w:r w:rsidR="00D4057E" w:rsidRPr="00061CF4">
          <w:rPr>
            <w:rFonts w:asciiTheme="minorHAnsi" w:hAnsiTheme="minorHAnsi" w:cstheme="minorHAnsi"/>
            <w:noProof/>
            <w:webHidden/>
            <w:sz w:val="20"/>
          </w:rPr>
          <w:instrText xml:space="preserve"> PAGEREF _Toc152915088 \h </w:instrText>
        </w:r>
        <w:r w:rsidR="00D4057E" w:rsidRPr="00061CF4">
          <w:rPr>
            <w:rFonts w:asciiTheme="minorHAnsi" w:hAnsiTheme="minorHAnsi" w:cstheme="minorHAnsi"/>
            <w:noProof/>
            <w:webHidden/>
            <w:sz w:val="20"/>
          </w:rPr>
        </w:r>
        <w:r w:rsidR="00D4057E" w:rsidRPr="00061CF4">
          <w:rPr>
            <w:rFonts w:asciiTheme="minorHAnsi" w:hAnsiTheme="minorHAnsi" w:cstheme="minorHAnsi"/>
            <w:noProof/>
            <w:webHidden/>
            <w:sz w:val="20"/>
          </w:rPr>
          <w:fldChar w:fldCharType="separate"/>
        </w:r>
        <w:r w:rsidR="00A95913" w:rsidRPr="00061CF4">
          <w:rPr>
            <w:rFonts w:asciiTheme="minorHAnsi" w:hAnsiTheme="minorHAnsi" w:cstheme="minorHAnsi"/>
            <w:noProof/>
            <w:webHidden/>
            <w:sz w:val="20"/>
          </w:rPr>
          <w:t>4</w:t>
        </w:r>
        <w:r w:rsidR="00D4057E" w:rsidRPr="00061CF4">
          <w:rPr>
            <w:rFonts w:asciiTheme="minorHAnsi" w:hAnsiTheme="minorHAnsi" w:cstheme="minorHAnsi"/>
            <w:noProof/>
            <w:webHidden/>
            <w:sz w:val="20"/>
          </w:rPr>
          <w:fldChar w:fldCharType="end"/>
        </w:r>
      </w:hyperlink>
    </w:p>
    <w:p w14:paraId="71ABFD57" w14:textId="44A91C06" w:rsidR="00D4057E" w:rsidRPr="00061CF4" w:rsidRDefault="00A13D02" w:rsidP="00DF166F">
      <w:pPr>
        <w:pStyle w:val="TableofFigures"/>
        <w:spacing w:line="276" w:lineRule="auto"/>
        <w:rPr>
          <w:rFonts w:asciiTheme="minorHAnsi" w:eastAsiaTheme="minorEastAsia" w:hAnsiTheme="minorHAnsi" w:cstheme="minorHAnsi"/>
          <w:noProof/>
          <w:kern w:val="2"/>
          <w:sz w:val="20"/>
          <w:lang w:eastAsia="en-AU"/>
          <w14:ligatures w14:val="standardContextual"/>
        </w:rPr>
      </w:pPr>
      <w:hyperlink w:anchor="_Toc152915089" w:history="1">
        <w:r w:rsidR="00D4057E" w:rsidRPr="00061CF4">
          <w:rPr>
            <w:rStyle w:val="Hyperlink"/>
            <w:rFonts w:asciiTheme="minorHAnsi" w:eastAsiaTheme="majorEastAsia" w:hAnsiTheme="minorHAnsi" w:cstheme="minorHAnsi"/>
            <w:noProof/>
            <w:sz w:val="20"/>
          </w:rPr>
          <w:t>Table 2: Grants administered by TongaHealth, FY21/22 to FY23/24</w:t>
        </w:r>
        <w:r w:rsidR="00D4057E" w:rsidRPr="00061CF4">
          <w:rPr>
            <w:rFonts w:asciiTheme="minorHAnsi" w:hAnsiTheme="minorHAnsi" w:cstheme="minorHAnsi"/>
            <w:noProof/>
            <w:webHidden/>
            <w:sz w:val="20"/>
          </w:rPr>
          <w:tab/>
        </w:r>
        <w:r w:rsidR="00D4057E" w:rsidRPr="00061CF4">
          <w:rPr>
            <w:rFonts w:asciiTheme="minorHAnsi" w:hAnsiTheme="minorHAnsi" w:cstheme="minorHAnsi"/>
            <w:noProof/>
            <w:webHidden/>
            <w:sz w:val="20"/>
          </w:rPr>
          <w:fldChar w:fldCharType="begin"/>
        </w:r>
        <w:r w:rsidR="00D4057E" w:rsidRPr="00061CF4">
          <w:rPr>
            <w:rFonts w:asciiTheme="minorHAnsi" w:hAnsiTheme="minorHAnsi" w:cstheme="minorHAnsi"/>
            <w:noProof/>
            <w:webHidden/>
            <w:sz w:val="20"/>
          </w:rPr>
          <w:instrText xml:space="preserve"> PAGEREF _Toc152915089 \h </w:instrText>
        </w:r>
        <w:r w:rsidR="00D4057E" w:rsidRPr="00061CF4">
          <w:rPr>
            <w:rFonts w:asciiTheme="minorHAnsi" w:hAnsiTheme="minorHAnsi" w:cstheme="minorHAnsi"/>
            <w:noProof/>
            <w:webHidden/>
            <w:sz w:val="20"/>
          </w:rPr>
        </w:r>
        <w:r w:rsidR="00D4057E" w:rsidRPr="00061CF4">
          <w:rPr>
            <w:rFonts w:asciiTheme="minorHAnsi" w:hAnsiTheme="minorHAnsi" w:cstheme="minorHAnsi"/>
            <w:noProof/>
            <w:webHidden/>
            <w:sz w:val="20"/>
          </w:rPr>
          <w:fldChar w:fldCharType="separate"/>
        </w:r>
        <w:r w:rsidR="00A95913" w:rsidRPr="00061CF4">
          <w:rPr>
            <w:rFonts w:asciiTheme="minorHAnsi" w:hAnsiTheme="minorHAnsi" w:cstheme="minorHAnsi"/>
            <w:noProof/>
            <w:webHidden/>
            <w:sz w:val="20"/>
          </w:rPr>
          <w:t>8</w:t>
        </w:r>
        <w:r w:rsidR="00D4057E" w:rsidRPr="00061CF4">
          <w:rPr>
            <w:rFonts w:asciiTheme="minorHAnsi" w:hAnsiTheme="minorHAnsi" w:cstheme="minorHAnsi"/>
            <w:noProof/>
            <w:webHidden/>
            <w:sz w:val="20"/>
          </w:rPr>
          <w:fldChar w:fldCharType="end"/>
        </w:r>
      </w:hyperlink>
    </w:p>
    <w:p w14:paraId="29970D84" w14:textId="6E22F1AE" w:rsidR="00E46FD0" w:rsidRPr="00061CF4" w:rsidRDefault="00C0018E" w:rsidP="00DF166F">
      <w:pPr>
        <w:pStyle w:val="TableofFigures"/>
        <w:spacing w:line="276" w:lineRule="auto"/>
        <w:rPr>
          <w:rFonts w:asciiTheme="minorHAnsi" w:hAnsiTheme="minorHAnsi" w:cstheme="minorHAnsi"/>
          <w:sz w:val="20"/>
        </w:rPr>
      </w:pPr>
      <w:r w:rsidRPr="00061CF4">
        <w:rPr>
          <w:rFonts w:asciiTheme="minorHAnsi" w:hAnsiTheme="minorHAnsi" w:cstheme="minorHAnsi"/>
          <w:sz w:val="20"/>
        </w:rPr>
        <w:fldChar w:fldCharType="end"/>
      </w:r>
      <w:bookmarkStart w:id="3" w:name="_Toc366460299"/>
      <w:bookmarkStart w:id="4" w:name="_Toc402435317"/>
      <w:bookmarkStart w:id="5" w:name="_Toc367968584"/>
      <w:bookmarkStart w:id="6" w:name="Acronym"/>
      <w:bookmarkStart w:id="7" w:name="_Toc273715646"/>
    </w:p>
    <w:p w14:paraId="0EBDFEC9" w14:textId="77777777" w:rsidR="00E46FD0" w:rsidRDefault="00E46FD0" w:rsidP="00DF166F">
      <w:pPr>
        <w:pStyle w:val="TableofFigures"/>
        <w:spacing w:line="276" w:lineRule="auto"/>
        <w:rPr>
          <w:sz w:val="28"/>
          <w:szCs w:val="28"/>
        </w:rPr>
      </w:pPr>
    </w:p>
    <w:p w14:paraId="30EFAC9C" w14:textId="50DECF27" w:rsidR="00840ECD" w:rsidRDefault="00840ECD" w:rsidP="00DF166F">
      <w:pPr>
        <w:pStyle w:val="TableofFigures"/>
        <w:spacing w:line="276" w:lineRule="auto"/>
        <w:rPr>
          <w:sz w:val="28"/>
          <w:szCs w:val="28"/>
        </w:rPr>
      </w:pPr>
      <w:r>
        <w:rPr>
          <w:sz w:val="28"/>
          <w:szCs w:val="28"/>
        </w:rPr>
        <w:br w:type="page"/>
      </w:r>
    </w:p>
    <w:p w14:paraId="7B802E6C" w14:textId="0A10EB8D" w:rsidR="002D53B2" w:rsidRDefault="00566AC3" w:rsidP="00DF166F">
      <w:pPr>
        <w:pStyle w:val="TOCHeading"/>
        <w:spacing w:line="276" w:lineRule="auto"/>
      </w:pPr>
      <w:r>
        <w:lastRenderedPageBreak/>
        <w:t>A</w:t>
      </w:r>
      <w:r w:rsidR="00C0018E" w:rsidRPr="00837A62">
        <w:t xml:space="preserve">bbreviations </w:t>
      </w:r>
      <w:bookmarkEnd w:id="3"/>
      <w:bookmarkEnd w:id="4"/>
      <w:bookmarkEnd w:id="5"/>
      <w:bookmarkEnd w:id="6"/>
      <w:bookmarkEnd w:id="7"/>
    </w:p>
    <w:p w14:paraId="07CB3E29" w14:textId="6CDE4BFF" w:rsidR="00F35E51" w:rsidRDefault="00F35E51" w:rsidP="00962FBE">
      <w:pPr>
        <w:pStyle w:val="BodyText"/>
      </w:pPr>
      <w:r>
        <w:t>CEO</w:t>
      </w:r>
      <w:r>
        <w:tab/>
        <w:t>Chief Executive Officer</w:t>
      </w:r>
    </w:p>
    <w:p w14:paraId="7C7EB659" w14:textId="74C6C046" w:rsidR="006B351F" w:rsidRDefault="006B351F" w:rsidP="00962FBE">
      <w:pPr>
        <w:pStyle w:val="BodyText"/>
      </w:pPr>
      <w:r>
        <w:t>CSO</w:t>
      </w:r>
      <w:r>
        <w:tab/>
        <w:t>Civil Society Organisation</w:t>
      </w:r>
    </w:p>
    <w:p w14:paraId="4392A76E" w14:textId="0406307C" w:rsidR="00615294" w:rsidRPr="00615294" w:rsidRDefault="00615294" w:rsidP="00962FBE">
      <w:pPr>
        <w:pStyle w:val="BodyText"/>
      </w:pPr>
      <w:r w:rsidRPr="00615294">
        <w:t>DFAT</w:t>
      </w:r>
      <w:r>
        <w:tab/>
      </w:r>
      <w:r w:rsidRPr="00615294">
        <w:t>Department of Foreign Affairs and Trade</w:t>
      </w:r>
    </w:p>
    <w:p w14:paraId="503AA336" w14:textId="17D25774" w:rsidR="00933EA6" w:rsidRPr="00615294" w:rsidRDefault="00933EA6" w:rsidP="00962FBE">
      <w:pPr>
        <w:pStyle w:val="BodyText"/>
      </w:pPr>
      <w:r>
        <w:t>HPS</w:t>
      </w:r>
      <w:r>
        <w:tab/>
        <w:t>Health Promoting Schools</w:t>
      </w:r>
    </w:p>
    <w:p w14:paraId="3E290FE4" w14:textId="77777777" w:rsidR="00615294" w:rsidRPr="00615294" w:rsidRDefault="00615294" w:rsidP="00962FBE">
      <w:pPr>
        <w:pStyle w:val="BodyText"/>
      </w:pPr>
      <w:r w:rsidRPr="00615294">
        <w:t>GEDSI</w:t>
      </w:r>
      <w:r w:rsidRPr="00615294">
        <w:tab/>
        <w:t>Gender Equality, Disability and Social Inclusion</w:t>
      </w:r>
    </w:p>
    <w:p w14:paraId="48537EB6" w14:textId="77777777" w:rsidR="00615294" w:rsidRDefault="00615294" w:rsidP="00962FBE">
      <w:pPr>
        <w:pStyle w:val="BodyText"/>
      </w:pPr>
      <w:proofErr w:type="spellStart"/>
      <w:r w:rsidRPr="00615294">
        <w:t>GoT</w:t>
      </w:r>
      <w:proofErr w:type="spellEnd"/>
      <w:r w:rsidRPr="00615294">
        <w:tab/>
        <w:t>Government of Tonga</w:t>
      </w:r>
    </w:p>
    <w:p w14:paraId="15CE06D6" w14:textId="5A4DFB79" w:rsidR="00A25951" w:rsidRPr="00615294" w:rsidRDefault="00A25951" w:rsidP="00962FBE">
      <w:pPr>
        <w:pStyle w:val="BodyText"/>
      </w:pPr>
      <w:r>
        <w:t>KRA</w:t>
      </w:r>
      <w:r>
        <w:tab/>
        <w:t>Key Results Area</w:t>
      </w:r>
    </w:p>
    <w:p w14:paraId="4630E0A3" w14:textId="77777777" w:rsidR="00615294" w:rsidRPr="00615294" w:rsidRDefault="00615294" w:rsidP="00962FBE">
      <w:pPr>
        <w:pStyle w:val="BodyText"/>
      </w:pPr>
      <w:r w:rsidRPr="00615294">
        <w:t>KRQ</w:t>
      </w:r>
      <w:r w:rsidRPr="00615294">
        <w:tab/>
        <w:t>Key Review Question</w:t>
      </w:r>
    </w:p>
    <w:p w14:paraId="5C26A2DB" w14:textId="259F74B6" w:rsidR="00615294" w:rsidRDefault="00A25951" w:rsidP="00962FBE">
      <w:pPr>
        <w:pStyle w:val="BodyText"/>
      </w:pPr>
      <w:r>
        <w:t>M&amp;E</w:t>
      </w:r>
      <w:r>
        <w:tab/>
        <w:t>Monitoring and evaluation</w:t>
      </w:r>
    </w:p>
    <w:p w14:paraId="060F7F11" w14:textId="2E9E7F32" w:rsidR="00933EA6" w:rsidRDefault="00933EA6" w:rsidP="00962FBE">
      <w:pPr>
        <w:pStyle w:val="BodyText"/>
      </w:pPr>
      <w:r>
        <w:t>MAFF</w:t>
      </w:r>
      <w:r>
        <w:tab/>
        <w:t xml:space="preserve">Ministry of Agriculture, </w:t>
      </w:r>
      <w:r w:rsidR="001A4627">
        <w:t>Food and Forests</w:t>
      </w:r>
    </w:p>
    <w:p w14:paraId="6CFF7A09" w14:textId="5E628EDC" w:rsidR="00933EA6" w:rsidRPr="00615294" w:rsidRDefault="00933EA6" w:rsidP="00962FBE">
      <w:pPr>
        <w:pStyle w:val="BodyText"/>
      </w:pPr>
      <w:proofErr w:type="spellStart"/>
      <w:r>
        <w:t>MoE</w:t>
      </w:r>
      <w:proofErr w:type="spellEnd"/>
      <w:r>
        <w:tab/>
        <w:t>Ministry of Education</w:t>
      </w:r>
    </w:p>
    <w:p w14:paraId="51429D00" w14:textId="77777777" w:rsidR="00615294" w:rsidRDefault="00615294" w:rsidP="00962FBE">
      <w:pPr>
        <w:pStyle w:val="BodyText"/>
      </w:pPr>
      <w:r w:rsidRPr="00615294">
        <w:t>MoH</w:t>
      </w:r>
      <w:r w:rsidRPr="00615294">
        <w:tab/>
        <w:t>Ministry of Health</w:t>
      </w:r>
    </w:p>
    <w:p w14:paraId="5E7FCD53" w14:textId="209FA816" w:rsidR="00D6426E" w:rsidRDefault="00D6426E" w:rsidP="00962FBE">
      <w:pPr>
        <w:pStyle w:val="BodyText"/>
      </w:pPr>
      <w:r>
        <w:t>NCD</w:t>
      </w:r>
      <w:r>
        <w:tab/>
        <w:t>Non-communicable Disease</w:t>
      </w:r>
    </w:p>
    <w:p w14:paraId="2386F817" w14:textId="664DA44E" w:rsidR="00DB61CB" w:rsidRDefault="00DB61CB" w:rsidP="00962FBE">
      <w:pPr>
        <w:pStyle w:val="BodyText"/>
      </w:pPr>
      <w:r>
        <w:t>NRL</w:t>
      </w:r>
      <w:r>
        <w:tab/>
        <w:t>National Rugby League</w:t>
      </w:r>
    </w:p>
    <w:p w14:paraId="56062DD5" w14:textId="0079EDEA" w:rsidR="0060417B" w:rsidRDefault="0060417B" w:rsidP="00962FBE">
      <w:pPr>
        <w:pStyle w:val="BodyText"/>
      </w:pPr>
      <w:r>
        <w:t>OPD</w:t>
      </w:r>
      <w:r>
        <w:tab/>
        <w:t xml:space="preserve">Organisation of </w:t>
      </w:r>
      <w:r w:rsidR="007252D8">
        <w:t>People with Disabilities</w:t>
      </w:r>
    </w:p>
    <w:p w14:paraId="0F219038" w14:textId="02AD864F" w:rsidR="00933EA6" w:rsidRDefault="00933EA6" w:rsidP="00962FBE">
      <w:pPr>
        <w:pStyle w:val="BodyText"/>
      </w:pPr>
      <w:r>
        <w:t>SB</w:t>
      </w:r>
      <w:r w:rsidR="00DB61CB">
        <w:t>CC</w:t>
      </w:r>
      <w:r>
        <w:tab/>
        <w:t>Social Behaviour Change Communication</w:t>
      </w:r>
    </w:p>
    <w:p w14:paraId="72B15B0A" w14:textId="173CAAE3" w:rsidR="00535DE1" w:rsidRPr="00615294" w:rsidRDefault="00535DE1" w:rsidP="00962FBE">
      <w:pPr>
        <w:pStyle w:val="BodyText"/>
      </w:pPr>
      <w:r>
        <w:t>SPC</w:t>
      </w:r>
      <w:r>
        <w:tab/>
        <w:t>The Pacific Community</w:t>
      </w:r>
    </w:p>
    <w:p w14:paraId="31FB4858" w14:textId="7B98419D" w:rsidR="0042631C" w:rsidRDefault="00202653" w:rsidP="00962FBE">
      <w:pPr>
        <w:pStyle w:val="BodyText"/>
      </w:pPr>
      <w:r>
        <w:t>TASP</w:t>
      </w:r>
      <w:r>
        <w:tab/>
        <w:t>Tonga Australia Support Platform</w:t>
      </w:r>
    </w:p>
    <w:p w14:paraId="3EB15D7F" w14:textId="3A6207D3" w:rsidR="006B351F" w:rsidRDefault="006B351F" w:rsidP="00962FBE">
      <w:pPr>
        <w:pStyle w:val="BodyText"/>
      </w:pPr>
      <w:r>
        <w:t>THSSP</w:t>
      </w:r>
      <w:r>
        <w:tab/>
        <w:t>Tonga Health Sector Support Program</w:t>
      </w:r>
    </w:p>
    <w:p w14:paraId="0CE8CEF0" w14:textId="18F28135" w:rsidR="001C2269" w:rsidRDefault="001C2269" w:rsidP="00962FBE">
      <w:pPr>
        <w:pStyle w:val="BodyText"/>
      </w:pPr>
      <w:r>
        <w:t>WHO</w:t>
      </w:r>
      <w:r>
        <w:tab/>
        <w:t>World Health Organization</w:t>
      </w:r>
    </w:p>
    <w:p w14:paraId="43624386" w14:textId="77777777" w:rsidR="00933EA6" w:rsidRPr="001A29F1" w:rsidRDefault="00933EA6" w:rsidP="00962FBE">
      <w:pPr>
        <w:pStyle w:val="BodyText"/>
      </w:pPr>
    </w:p>
    <w:p w14:paraId="35AAC306" w14:textId="584004FE" w:rsidR="00783090" w:rsidRDefault="00783090" w:rsidP="00DF166F">
      <w:pPr>
        <w:spacing w:line="276" w:lineRule="auto"/>
      </w:pPr>
      <w:r>
        <w:br w:type="page"/>
      </w:r>
    </w:p>
    <w:p w14:paraId="5E7AE542" w14:textId="1007555D" w:rsidR="00C0018E" w:rsidRPr="00C0018E" w:rsidRDefault="00C0018E" w:rsidP="00DF166F">
      <w:pPr>
        <w:pStyle w:val="Heading1"/>
        <w:numPr>
          <w:ilvl w:val="0"/>
          <w:numId w:val="0"/>
        </w:numPr>
        <w:spacing w:before="0" w:after="0" w:line="276" w:lineRule="auto"/>
        <w:rPr>
          <w:lang w:val="en-GB"/>
        </w:rPr>
      </w:pPr>
      <w:bookmarkStart w:id="8" w:name="_Toc153899654"/>
      <w:r w:rsidRPr="00F677EC">
        <w:lastRenderedPageBreak/>
        <w:t>Executive</w:t>
      </w:r>
      <w:r w:rsidRPr="00C0018E">
        <w:rPr>
          <w:lang w:val="en-GB"/>
        </w:rPr>
        <w:t xml:space="preserve"> </w:t>
      </w:r>
      <w:r w:rsidR="00E46FD0">
        <w:rPr>
          <w:lang w:val="en-GB"/>
        </w:rPr>
        <w:t>S</w:t>
      </w:r>
      <w:r w:rsidRPr="00C0018E">
        <w:rPr>
          <w:lang w:val="en-GB"/>
        </w:rPr>
        <w:t>ummary</w:t>
      </w:r>
      <w:bookmarkEnd w:id="8"/>
    </w:p>
    <w:p w14:paraId="6C07D48C" w14:textId="77777777" w:rsidR="00A065F3" w:rsidRDefault="00A065F3" w:rsidP="00DF166F">
      <w:pPr>
        <w:pStyle w:val="Heading2"/>
        <w:numPr>
          <w:ilvl w:val="0"/>
          <w:numId w:val="0"/>
        </w:numPr>
        <w:spacing w:before="0" w:after="0" w:line="276" w:lineRule="auto"/>
        <w:ind w:left="851" w:hanging="851"/>
        <w:rPr>
          <w:lang w:val="en-GB"/>
        </w:rPr>
      </w:pPr>
      <w:bookmarkStart w:id="9" w:name="_Toc152938706"/>
      <w:bookmarkStart w:id="10" w:name="_Toc153899655"/>
      <w:r>
        <w:rPr>
          <w:lang w:val="en-GB"/>
        </w:rPr>
        <w:t>Background</w:t>
      </w:r>
      <w:bookmarkEnd w:id="9"/>
      <w:bookmarkEnd w:id="10"/>
    </w:p>
    <w:p w14:paraId="0AE02057" w14:textId="4A575A9C" w:rsidR="00D05623" w:rsidRDefault="00141B24" w:rsidP="00962FBE">
      <w:pPr>
        <w:pStyle w:val="BodyText"/>
      </w:pPr>
      <w:r w:rsidRPr="009A6F0B">
        <w:rPr>
          <w:rFonts w:eastAsiaTheme="minorEastAsia"/>
        </w:rPr>
        <w:t xml:space="preserve">Tonga’s response to the NCD crisis is guided by the </w:t>
      </w:r>
      <w:proofErr w:type="spellStart"/>
      <w:r w:rsidR="007E7345" w:rsidRPr="009A6F0B">
        <w:rPr>
          <w:rFonts w:eastAsiaTheme="minorEastAsia"/>
        </w:rPr>
        <w:t>T</w:t>
      </w:r>
      <w:r w:rsidR="00A06307" w:rsidRPr="009A6F0B">
        <w:rPr>
          <w:rFonts w:eastAsiaTheme="minorEastAsia"/>
        </w:rPr>
        <w:t>uiaki</w:t>
      </w:r>
      <w:proofErr w:type="spellEnd"/>
      <w:r w:rsidR="00A06307" w:rsidRPr="009A6F0B">
        <w:rPr>
          <w:rFonts w:eastAsiaTheme="minorEastAsia"/>
        </w:rPr>
        <w:t xml:space="preserve"> ‘I He ‘</w:t>
      </w:r>
      <w:proofErr w:type="spellStart"/>
      <w:r w:rsidR="00A06307" w:rsidRPr="009A6F0B">
        <w:rPr>
          <w:rFonts w:eastAsiaTheme="minorEastAsia"/>
        </w:rPr>
        <w:t>Amanaki</w:t>
      </w:r>
      <w:proofErr w:type="spellEnd"/>
      <w:r w:rsidR="00A06307" w:rsidRPr="009A6F0B">
        <w:rPr>
          <w:rFonts w:eastAsiaTheme="minorEastAsia"/>
        </w:rPr>
        <w:t xml:space="preserve"> Ki Ha Tonga </w:t>
      </w:r>
      <w:proofErr w:type="spellStart"/>
      <w:r w:rsidR="009A6F0B" w:rsidRPr="009A6F0B">
        <w:rPr>
          <w:rFonts w:eastAsiaTheme="minorEastAsia"/>
        </w:rPr>
        <w:t>Mo</w:t>
      </w:r>
      <w:r w:rsidR="00A06307" w:rsidRPr="009A6F0B">
        <w:rPr>
          <w:rFonts w:eastAsiaTheme="minorEastAsia"/>
        </w:rPr>
        <w:t>’ui</w:t>
      </w:r>
      <w:proofErr w:type="spellEnd"/>
      <w:r w:rsidR="00A06307" w:rsidRPr="009A6F0B">
        <w:rPr>
          <w:rFonts w:eastAsiaTheme="minorEastAsia"/>
        </w:rPr>
        <w:t xml:space="preserve"> </w:t>
      </w:r>
      <w:proofErr w:type="spellStart"/>
      <w:r w:rsidR="00A06307" w:rsidRPr="009A6F0B">
        <w:rPr>
          <w:rFonts w:eastAsiaTheme="minorEastAsia"/>
        </w:rPr>
        <w:t>Lelei</w:t>
      </w:r>
      <w:proofErr w:type="spellEnd"/>
      <w:r w:rsidR="00D16642" w:rsidRPr="009A6F0B">
        <w:rPr>
          <w:rFonts w:eastAsiaTheme="minorEastAsia"/>
        </w:rPr>
        <w:t xml:space="preserve"> </w:t>
      </w:r>
      <w:r w:rsidR="00921C9A" w:rsidRPr="009A6F0B">
        <w:rPr>
          <w:rFonts w:eastAsiaTheme="minorEastAsia"/>
        </w:rPr>
        <w:t>(</w:t>
      </w:r>
      <w:r w:rsidR="007A0B68" w:rsidRPr="009A6F0B">
        <w:rPr>
          <w:rFonts w:eastAsiaTheme="minorEastAsia"/>
        </w:rPr>
        <w:t>Tonga National Strategy for the Prevention and Control of Non-communicable Diseases (NCDs) 2021-2025)</w:t>
      </w:r>
      <w:r w:rsidR="009A6F0B" w:rsidRPr="00F44262">
        <w:rPr>
          <w:rFonts w:eastAsiaTheme="minorEastAsia"/>
        </w:rPr>
        <w:t>.</w:t>
      </w:r>
      <w:r w:rsidR="007A0B68" w:rsidRPr="00131B67">
        <w:t xml:space="preserve"> An important participant in the delivery of the Strategy is the Tonga Health Promotion </w:t>
      </w:r>
      <w:r w:rsidR="007A0B68" w:rsidRPr="00B13117">
        <w:t>Foundation (</w:t>
      </w:r>
      <w:hyperlink r:id="rId13" w:history="1">
        <w:r w:rsidR="007A0B68" w:rsidRPr="00B13117">
          <w:rPr>
            <w:rStyle w:val="Hyperlink"/>
            <w:color w:val="auto"/>
            <w:u w:val="none"/>
            <w:lang w:eastAsia="en-AU"/>
          </w:rPr>
          <w:t>TongaHealth</w:t>
        </w:r>
      </w:hyperlink>
      <w:r w:rsidR="007A0B68" w:rsidRPr="00B13117">
        <w:t>),</w:t>
      </w:r>
      <w:r w:rsidR="007A0B68" w:rsidRPr="00131B67">
        <w:t xml:space="preserve"> </w:t>
      </w:r>
      <w:r>
        <w:t xml:space="preserve">an independent body with a </w:t>
      </w:r>
      <w:r w:rsidR="007A0B68">
        <w:t>mandate to engage in a range of health promotion and policy activities and to coordinate and monitor implementation of national NCD strategies</w:t>
      </w:r>
      <w:r w:rsidR="007A0B68" w:rsidRPr="00131B67">
        <w:t>.</w:t>
      </w:r>
      <w:r w:rsidR="0096389A">
        <w:t xml:space="preserve"> </w:t>
      </w:r>
      <w:r w:rsidR="00F86923">
        <w:t>The Australian Government Department of Foreign Affairs and Trade (DFAT)</w:t>
      </w:r>
      <w:r w:rsidR="0096389A" w:rsidRPr="0C2689FC">
        <w:t xml:space="preserve"> has been supporting </w:t>
      </w:r>
      <w:r w:rsidR="0096389A">
        <w:t>TongaHealth</w:t>
      </w:r>
      <w:r w:rsidR="0096389A" w:rsidRPr="0C2689FC">
        <w:t xml:space="preserve"> since 2009</w:t>
      </w:r>
      <w:r w:rsidR="00CC08D6">
        <w:t xml:space="preserve">, </w:t>
      </w:r>
      <w:r w:rsidR="00554327">
        <w:t xml:space="preserve">most recently through </w:t>
      </w:r>
      <w:r w:rsidR="00BB4B0D">
        <w:t>a</w:t>
      </w:r>
      <w:r w:rsidR="00554327">
        <w:t>n</w:t>
      </w:r>
      <w:r w:rsidR="00BB4B0D">
        <w:t xml:space="preserve"> </w:t>
      </w:r>
      <w:r w:rsidR="0096389A">
        <w:t>AUD</w:t>
      </w:r>
      <w:r w:rsidR="00554327">
        <w:t xml:space="preserve"> </w:t>
      </w:r>
      <w:r w:rsidR="0096389A">
        <w:t>1.8 million</w:t>
      </w:r>
      <w:r w:rsidR="00BB4B0D">
        <w:t xml:space="preserve"> funding agreement for </w:t>
      </w:r>
      <w:r w:rsidR="0096389A">
        <w:t>the period June 2023 to June 2025</w:t>
      </w:r>
      <w:r w:rsidR="00C30EE6">
        <w:t xml:space="preserve"> including</w:t>
      </w:r>
      <w:r w:rsidR="00F41786">
        <w:t xml:space="preserve"> funding of key </w:t>
      </w:r>
      <w:r w:rsidR="0005416D">
        <w:t xml:space="preserve">locally engaged </w:t>
      </w:r>
      <w:r w:rsidR="00F41786">
        <w:t>positions within TongaHealth</w:t>
      </w:r>
      <w:r w:rsidR="003C4622">
        <w:t xml:space="preserve">, and provision of </w:t>
      </w:r>
      <w:r w:rsidR="0005416D">
        <w:t xml:space="preserve">international </w:t>
      </w:r>
      <w:r w:rsidR="003C4622">
        <w:t>technical assistance</w:t>
      </w:r>
      <w:r w:rsidR="00F41786">
        <w:t xml:space="preserve">. </w:t>
      </w:r>
      <w:r w:rsidR="0096389A">
        <w:t xml:space="preserve">TongaHealth </w:t>
      </w:r>
      <w:r w:rsidR="00BD79D8">
        <w:t xml:space="preserve">also </w:t>
      </w:r>
      <w:r w:rsidR="0096389A">
        <w:t>receives recurrent Government of Tonga (</w:t>
      </w:r>
      <w:proofErr w:type="spellStart"/>
      <w:r w:rsidR="0096389A">
        <w:t>GoT</w:t>
      </w:r>
      <w:proofErr w:type="spellEnd"/>
      <w:r w:rsidR="0096389A">
        <w:t>) funding of TOP 0.6 million per year</w:t>
      </w:r>
      <w:r w:rsidR="00BD79D8">
        <w:t xml:space="preserve"> (</w:t>
      </w:r>
      <w:r w:rsidR="0096389A">
        <w:t>TOP 0.5 million for FY23/24</w:t>
      </w:r>
      <w:r w:rsidR="00BD79D8">
        <w:t>)</w:t>
      </w:r>
      <w:r w:rsidR="0096389A">
        <w:t>.</w:t>
      </w:r>
    </w:p>
    <w:p w14:paraId="4E884AFA" w14:textId="77777777" w:rsidR="00411F2A" w:rsidRDefault="00411F2A" w:rsidP="00DF166F">
      <w:pPr>
        <w:spacing w:after="0" w:line="276" w:lineRule="auto"/>
      </w:pPr>
    </w:p>
    <w:p w14:paraId="3F4FEBD7" w14:textId="7B8BB8AF" w:rsidR="007116F2" w:rsidRPr="009032B9" w:rsidRDefault="00034775" w:rsidP="00DF166F">
      <w:pPr>
        <w:spacing w:after="0" w:line="276" w:lineRule="auto"/>
        <w:rPr>
          <w:lang w:val="en-GB"/>
        </w:rPr>
      </w:pPr>
      <w:r w:rsidRPr="00DF251B">
        <w:rPr>
          <w:lang w:val="en-GB"/>
        </w:rPr>
        <w:t>This Review was commissioned by DFAT to consider the effectiveness of TongaHealth’s contribution to the implementation of the NCD Strategy</w:t>
      </w:r>
      <w:r w:rsidR="0095118A">
        <w:rPr>
          <w:lang w:val="en-GB"/>
        </w:rPr>
        <w:t xml:space="preserve"> at its mid-point</w:t>
      </w:r>
      <w:r w:rsidR="006F124D" w:rsidRPr="00DF251B">
        <w:rPr>
          <w:lang w:val="en-GB"/>
        </w:rPr>
        <w:t>.</w:t>
      </w:r>
      <w:r w:rsidR="009032B9" w:rsidRPr="00DF251B">
        <w:rPr>
          <w:lang w:val="en-GB"/>
        </w:rPr>
        <w:t xml:space="preserve"> </w:t>
      </w:r>
      <w:r w:rsidR="007116F2" w:rsidRPr="00DF251B">
        <w:t>The</w:t>
      </w:r>
      <w:r w:rsidR="007116F2">
        <w:t xml:space="preserve"> Review was conducted by an independent </w:t>
      </w:r>
      <w:proofErr w:type="gramStart"/>
      <w:r w:rsidR="007116F2">
        <w:t>consultant</w:t>
      </w:r>
      <w:r w:rsidR="001B2F69">
        <w:t>, and</w:t>
      </w:r>
      <w:proofErr w:type="gramEnd"/>
      <w:r w:rsidR="001B2F69">
        <w:t xml:space="preserve"> involved a document review and interviews with fifty stakeholders during an in-country visit</w:t>
      </w:r>
      <w:r w:rsidR="00292760">
        <w:t xml:space="preserve"> in November 2023</w:t>
      </w:r>
      <w:r w:rsidR="001B2F69">
        <w:t xml:space="preserve">. </w:t>
      </w:r>
    </w:p>
    <w:p w14:paraId="60A86270" w14:textId="6097D06A" w:rsidR="0034538D" w:rsidRDefault="0034538D" w:rsidP="00406A81">
      <w:pPr>
        <w:pStyle w:val="Heading2"/>
        <w:numPr>
          <w:ilvl w:val="0"/>
          <w:numId w:val="0"/>
        </w:numPr>
        <w:spacing w:after="0" w:line="276" w:lineRule="auto"/>
        <w:ind w:left="851" w:hanging="851"/>
      </w:pPr>
      <w:bookmarkStart w:id="11" w:name="_Toc152938707"/>
      <w:bookmarkStart w:id="12" w:name="_Toc153899656"/>
      <w:r>
        <w:t>Findings</w:t>
      </w:r>
      <w:bookmarkEnd w:id="11"/>
      <w:bookmarkEnd w:id="12"/>
    </w:p>
    <w:p w14:paraId="60650E61" w14:textId="3828EF29" w:rsidR="0034538D" w:rsidRDefault="00E957AF" w:rsidP="00DF166F">
      <w:pPr>
        <w:pStyle w:val="Heading4"/>
        <w:spacing w:before="0" w:after="0" w:line="276" w:lineRule="auto"/>
      </w:pPr>
      <w:r>
        <w:t>Progress against</w:t>
      </w:r>
      <w:r w:rsidR="00D234BB">
        <w:t xml:space="preserve"> the NCD Strategy</w:t>
      </w:r>
      <w:r>
        <w:t xml:space="preserve"> </w:t>
      </w:r>
    </w:p>
    <w:p w14:paraId="13A20C97" w14:textId="77777777" w:rsidR="009A7414" w:rsidRDefault="009A7414" w:rsidP="00962FBE">
      <w:pPr>
        <w:pStyle w:val="BodyText"/>
      </w:pPr>
      <w:r>
        <w:t>N</w:t>
      </w:r>
      <w:r w:rsidR="006B2F7F">
        <w:t xml:space="preserve">otable achievements </w:t>
      </w:r>
      <w:r>
        <w:t xml:space="preserve">of TongaHealth since 2021 include: </w:t>
      </w:r>
    </w:p>
    <w:p w14:paraId="4762E2CC" w14:textId="13F6C5C8" w:rsidR="00D47556" w:rsidRPr="00835920" w:rsidRDefault="008E573E" w:rsidP="00C9374E">
      <w:pPr>
        <w:pStyle w:val="ListBullet"/>
      </w:pPr>
      <w:r w:rsidRPr="00835920">
        <w:t>A</w:t>
      </w:r>
      <w:r w:rsidR="00D04613" w:rsidRPr="00835920">
        <w:t xml:space="preserve"> high volume of grants</w:t>
      </w:r>
      <w:r w:rsidR="003059C5" w:rsidRPr="00835920">
        <w:t xml:space="preserve"> </w:t>
      </w:r>
      <w:proofErr w:type="gramStart"/>
      <w:r w:rsidR="003059C5" w:rsidRPr="00835920">
        <w:t>have</w:t>
      </w:r>
      <w:proofErr w:type="gramEnd"/>
      <w:r w:rsidR="003059C5" w:rsidRPr="00835920">
        <w:t xml:space="preserve"> been delivered</w:t>
      </w:r>
      <w:r w:rsidR="001B581E" w:rsidRPr="00835920">
        <w:t xml:space="preserve"> to partners including government </w:t>
      </w:r>
      <w:r w:rsidR="0002355C" w:rsidRPr="00835920">
        <w:t>agencies</w:t>
      </w:r>
      <w:r w:rsidR="001B581E" w:rsidRPr="00835920">
        <w:t>, non-government organisations (NGOs), schools, churches and community groups</w:t>
      </w:r>
      <w:r w:rsidR="00D47556" w:rsidRPr="00835920">
        <w:t>;</w:t>
      </w:r>
    </w:p>
    <w:p w14:paraId="06D93D84" w14:textId="5CD46A03" w:rsidR="00D47556" w:rsidRPr="00835920" w:rsidRDefault="008E573E" w:rsidP="00C9374E">
      <w:pPr>
        <w:pStyle w:val="ListBullet"/>
      </w:pPr>
      <w:r w:rsidRPr="00835920">
        <w:t>P</w:t>
      </w:r>
      <w:r w:rsidR="00C4327F" w:rsidRPr="00835920">
        <w:t xml:space="preserve">hysical activity programs have been delivered in community and workplace settings with high levels of </w:t>
      </w:r>
      <w:proofErr w:type="gramStart"/>
      <w:r w:rsidR="00C4327F" w:rsidRPr="00835920">
        <w:t>part</w:t>
      </w:r>
      <w:r w:rsidR="001B28D2" w:rsidRPr="00835920">
        <w:t>icipation;</w:t>
      </w:r>
      <w:proofErr w:type="gramEnd"/>
    </w:p>
    <w:p w14:paraId="5C61FA4D" w14:textId="7645B022" w:rsidR="00D47556" w:rsidRPr="00835920" w:rsidRDefault="000979B1" w:rsidP="00C9374E">
      <w:pPr>
        <w:pStyle w:val="ListBullet"/>
      </w:pPr>
      <w:r w:rsidRPr="00835920">
        <w:t>A high volume of s</w:t>
      </w:r>
      <w:r w:rsidR="008E573E" w:rsidRPr="00835920">
        <w:t>e</w:t>
      </w:r>
      <w:r w:rsidR="0080449A" w:rsidRPr="00835920">
        <w:t>edling distribution and gardening programs have been delivered</w:t>
      </w:r>
      <w:r w:rsidR="00AB688E" w:rsidRPr="00835920">
        <w:t xml:space="preserve">, with a focus on reaching outer </w:t>
      </w:r>
      <w:proofErr w:type="gramStart"/>
      <w:r w:rsidR="00AB688E" w:rsidRPr="00835920">
        <w:t>islands;</w:t>
      </w:r>
      <w:proofErr w:type="gramEnd"/>
    </w:p>
    <w:p w14:paraId="759AD030" w14:textId="77777777" w:rsidR="00D47556" w:rsidRPr="00835920" w:rsidRDefault="00A661F8" w:rsidP="00C9374E">
      <w:pPr>
        <w:pStyle w:val="ListBullet"/>
      </w:pPr>
      <w:r w:rsidRPr="00835920">
        <w:t xml:space="preserve">TongaHealth offices </w:t>
      </w:r>
      <w:r w:rsidR="00B26DD2" w:rsidRPr="00835920">
        <w:t>have been established in five outer islands, with the intent of</w:t>
      </w:r>
      <w:r w:rsidR="00FD49AF" w:rsidRPr="00835920">
        <w:t xml:space="preserve"> improving equitable access to grants and health promotion activities in these remote </w:t>
      </w:r>
      <w:proofErr w:type="gramStart"/>
      <w:r w:rsidR="00FD49AF" w:rsidRPr="00835920">
        <w:t>locations;</w:t>
      </w:r>
      <w:proofErr w:type="gramEnd"/>
    </w:p>
    <w:p w14:paraId="4DE8CED2" w14:textId="6C3982B4" w:rsidR="00FD49AF" w:rsidRPr="00835920" w:rsidRDefault="00D47556" w:rsidP="00C9374E">
      <w:pPr>
        <w:pStyle w:val="ListBullet"/>
      </w:pPr>
      <w:r w:rsidRPr="00835920">
        <w:t>A</w:t>
      </w:r>
      <w:r w:rsidR="00A0496E" w:rsidRPr="00835920">
        <w:t xml:space="preserve"> Monitoring and Evaluation (</w:t>
      </w:r>
      <w:r w:rsidR="0028054E" w:rsidRPr="00835920">
        <w:t>M&amp;E</w:t>
      </w:r>
      <w:r w:rsidR="00A0496E" w:rsidRPr="00835920">
        <w:t>)</w:t>
      </w:r>
      <w:r w:rsidR="0028054E" w:rsidRPr="00835920">
        <w:t xml:space="preserve"> Taskforce</w:t>
      </w:r>
      <w:r w:rsidRPr="00835920">
        <w:t xml:space="preserve"> has been established to </w:t>
      </w:r>
      <w:r w:rsidR="001E77DD" w:rsidRPr="00835920">
        <w:t>lead monitoring of progress against the NCD Strategy.</w:t>
      </w:r>
    </w:p>
    <w:p w14:paraId="5A0ED9F4" w14:textId="264CF05D" w:rsidR="00710379" w:rsidRDefault="007650A5" w:rsidP="00962FBE">
      <w:pPr>
        <w:pStyle w:val="BodyText"/>
      </w:pPr>
      <w:r>
        <w:t xml:space="preserve">While these achievements are positive, overall </w:t>
      </w:r>
      <w:r w:rsidRPr="00962FBE">
        <w:rPr>
          <w:b/>
          <w:bCs/>
          <w:i/>
          <w:iCs/>
          <w:u w:val="single"/>
        </w:rPr>
        <w:t>TongaHealth</w:t>
      </w:r>
      <w:r w:rsidR="00540DB7" w:rsidRPr="00962FBE">
        <w:rPr>
          <w:b/>
          <w:bCs/>
          <w:i/>
          <w:iCs/>
          <w:u w:val="single"/>
        </w:rPr>
        <w:t xml:space="preserve"> is not on track to deliver its</w:t>
      </w:r>
      <w:r w:rsidRPr="00962FBE">
        <w:rPr>
          <w:b/>
          <w:bCs/>
          <w:i/>
          <w:iCs/>
          <w:u w:val="single"/>
        </w:rPr>
        <w:t xml:space="preserve"> mandate under the NCD Strategy</w:t>
      </w:r>
      <w:r w:rsidR="00710379" w:rsidRPr="00962FBE">
        <w:rPr>
          <w:b/>
          <w:bCs/>
          <w:i/>
          <w:iCs/>
          <w:u w:val="single"/>
        </w:rPr>
        <w:t>.</w:t>
      </w:r>
      <w:r w:rsidR="00710379">
        <w:t xml:space="preserve"> Progress against </w:t>
      </w:r>
      <w:r w:rsidR="00841EAF">
        <w:t xml:space="preserve">the </w:t>
      </w:r>
      <w:r w:rsidR="00710379">
        <w:t>Key Results Area</w:t>
      </w:r>
      <w:r w:rsidR="00540DB7">
        <w:t>s</w:t>
      </w:r>
      <w:r w:rsidR="00710379">
        <w:t xml:space="preserve"> (KRA</w:t>
      </w:r>
      <w:r w:rsidR="00841EAF">
        <w:t>s</w:t>
      </w:r>
      <w:r w:rsidR="00710379">
        <w:t>) of the Strategy is as follows</w:t>
      </w:r>
      <w:r w:rsidR="00393395">
        <w:t xml:space="preserve"> (excluding KRA 4, which is not relevant to TongaHealth)</w:t>
      </w:r>
      <w:r w:rsidR="00710379">
        <w:t>:</w:t>
      </w:r>
    </w:p>
    <w:p w14:paraId="3CB81EF7" w14:textId="51AE4012" w:rsidR="00710379" w:rsidRDefault="00710379" w:rsidP="00C9374E">
      <w:pPr>
        <w:pStyle w:val="ListBullet"/>
      </w:pPr>
      <w:r w:rsidRPr="00BE40DF">
        <w:rPr>
          <w:b/>
        </w:rPr>
        <w:t>KRA</w:t>
      </w:r>
      <w:r w:rsidR="00F3634C" w:rsidRPr="00BE40DF">
        <w:rPr>
          <w:b/>
        </w:rPr>
        <w:t xml:space="preserve"> </w:t>
      </w:r>
      <w:r w:rsidRPr="00BE40DF">
        <w:rPr>
          <w:b/>
        </w:rPr>
        <w:t>1: Effective governance and leadership</w:t>
      </w:r>
      <w:r w:rsidR="005028C8" w:rsidRPr="00BE40DF">
        <w:rPr>
          <w:b/>
        </w:rPr>
        <w:t xml:space="preserve">: </w:t>
      </w:r>
      <w:r w:rsidR="005028C8" w:rsidRPr="00BE40DF">
        <w:rPr>
          <w:b/>
          <w:i/>
        </w:rPr>
        <w:t>Not on track</w:t>
      </w:r>
      <w:r w:rsidR="005028C8" w:rsidRPr="00BE40DF">
        <w:rPr>
          <w:i/>
        </w:rPr>
        <w:t>.</w:t>
      </w:r>
      <w:r w:rsidR="005028C8">
        <w:t xml:space="preserve"> Under this KRA, TongaHealth </w:t>
      </w:r>
      <w:r w:rsidR="00A90702">
        <w:t>is responsible for</w:t>
      </w:r>
      <w:r w:rsidR="005028C8">
        <w:t xml:space="preserve"> </w:t>
      </w:r>
      <w:r w:rsidR="00960EC4">
        <w:t>convening the National NCD Committee. However</w:t>
      </w:r>
      <w:r w:rsidR="00F60828">
        <w:t>, the Committee meets very infrequently</w:t>
      </w:r>
      <w:r w:rsidR="008D3B13">
        <w:t xml:space="preserve">, and </w:t>
      </w:r>
      <w:r w:rsidR="00960EC4">
        <w:t xml:space="preserve">has </w:t>
      </w:r>
      <w:r w:rsidR="008D3B13">
        <w:t>n</w:t>
      </w:r>
      <w:r w:rsidR="00960EC4">
        <w:t>ot fulfilled its mandate of overseeing implementation of the Strategy</w:t>
      </w:r>
      <w:r w:rsidR="00F60828">
        <w:t xml:space="preserve">. </w:t>
      </w:r>
    </w:p>
    <w:p w14:paraId="2C6EC046" w14:textId="24DCE542" w:rsidR="008D3B13" w:rsidRDefault="008D3B13" w:rsidP="00C9374E">
      <w:pPr>
        <w:pStyle w:val="ListBullet"/>
      </w:pPr>
      <w:r w:rsidRPr="00BE40DF">
        <w:rPr>
          <w:b/>
        </w:rPr>
        <w:t>KRA</w:t>
      </w:r>
      <w:r w:rsidR="00F3634C" w:rsidRPr="00BE40DF">
        <w:rPr>
          <w:b/>
        </w:rPr>
        <w:t xml:space="preserve"> 2: Multisectoral stakeholder engagement and partnerships: </w:t>
      </w:r>
      <w:r w:rsidR="00F676E1" w:rsidRPr="00F676E1">
        <w:rPr>
          <w:b/>
          <w:i/>
        </w:rPr>
        <w:t>Slow progress</w:t>
      </w:r>
      <w:r w:rsidR="003934F6" w:rsidRPr="00BE40DF">
        <w:rPr>
          <w:b/>
          <w:i/>
        </w:rPr>
        <w:t>.</w:t>
      </w:r>
      <w:r w:rsidR="003934F6">
        <w:t xml:space="preserve"> </w:t>
      </w:r>
      <w:r w:rsidR="00F3634C">
        <w:t xml:space="preserve">Under this KRA, TongaHealth </w:t>
      </w:r>
      <w:r w:rsidR="00A90702">
        <w:t>is responsible for</w:t>
      </w:r>
      <w:r w:rsidR="00F3634C">
        <w:t xml:space="preserve"> a range of activi</w:t>
      </w:r>
      <w:r w:rsidR="001A736F">
        <w:t xml:space="preserve">ties </w:t>
      </w:r>
      <w:r w:rsidR="008F096B">
        <w:t xml:space="preserve">to support multisectoral engagement on NCDs, </w:t>
      </w:r>
      <w:r w:rsidR="001A736F">
        <w:t xml:space="preserve">including convening an annual NCD forum, developing policy briefs and factsheets, and building </w:t>
      </w:r>
      <w:r w:rsidR="00A0496E">
        <w:t>civil society</w:t>
      </w:r>
      <w:r w:rsidR="001A736F">
        <w:t xml:space="preserve"> partnerships.</w:t>
      </w:r>
      <w:r w:rsidR="00A0496E">
        <w:t xml:space="preserve"> These have mostly not been delivered, and currently t</w:t>
      </w:r>
      <w:r w:rsidR="003934F6">
        <w:t>here are</w:t>
      </w:r>
      <w:r w:rsidR="006740E4">
        <w:t xml:space="preserve"> few mechanisms in place to support </w:t>
      </w:r>
      <w:r w:rsidR="00AA3C76">
        <w:t>multisectoral</w:t>
      </w:r>
      <w:r w:rsidR="006740E4">
        <w:t xml:space="preserve"> engagement on NCDs</w:t>
      </w:r>
      <w:r w:rsidR="003934F6">
        <w:t>.</w:t>
      </w:r>
    </w:p>
    <w:p w14:paraId="5701259F" w14:textId="77036EFE" w:rsidR="00A0496E" w:rsidRDefault="002C260B" w:rsidP="00C9374E">
      <w:pPr>
        <w:pStyle w:val="ListBullet"/>
      </w:pPr>
      <w:r w:rsidRPr="00A0496E">
        <w:rPr>
          <w:b/>
        </w:rPr>
        <w:t xml:space="preserve">KRA 3: Health promotion and disease prevention: </w:t>
      </w:r>
      <w:r w:rsidRPr="00A0496E">
        <w:rPr>
          <w:b/>
          <w:i/>
        </w:rPr>
        <w:t>Mixed progress.</w:t>
      </w:r>
      <w:r>
        <w:t xml:space="preserve"> TongaHealth has made </w:t>
      </w:r>
      <w:r w:rsidR="0029403A">
        <w:t xml:space="preserve">good progress in supporting settings-based health promotion, by providing </w:t>
      </w:r>
      <w:proofErr w:type="gramStart"/>
      <w:r w:rsidR="0029403A">
        <w:t>a large number of</w:t>
      </w:r>
      <w:proofErr w:type="gramEnd"/>
      <w:r w:rsidR="0029403A">
        <w:t xml:space="preserve"> grants to </w:t>
      </w:r>
      <w:proofErr w:type="spellStart"/>
      <w:r w:rsidR="0029403A">
        <w:t>GoT</w:t>
      </w:r>
      <w:proofErr w:type="spellEnd"/>
      <w:r w:rsidR="0029403A">
        <w:t xml:space="preserve"> implementers, NGOs, schools, </w:t>
      </w:r>
      <w:r w:rsidR="000B5AD7">
        <w:t>churches and communities to implement health promotion activities. However</w:t>
      </w:r>
      <w:r w:rsidR="008D22BD">
        <w:t>,</w:t>
      </w:r>
      <w:r w:rsidR="000B5AD7">
        <w:t xml:space="preserve"> progress has been slow on other key activities such as implementing </w:t>
      </w:r>
      <w:r w:rsidR="002112D7">
        <w:t>Tonga’s Social Behaviour Change Communication Strategy.</w:t>
      </w:r>
    </w:p>
    <w:p w14:paraId="25D95FC5" w14:textId="4953CBF9" w:rsidR="002112D7" w:rsidRDefault="00393395" w:rsidP="00C9374E">
      <w:pPr>
        <w:pStyle w:val="ListBullet"/>
      </w:pPr>
      <w:r w:rsidRPr="00A0496E">
        <w:rPr>
          <w:b/>
        </w:rPr>
        <w:t xml:space="preserve">KRA 5: M&amp;E, surveillance, </w:t>
      </w:r>
      <w:proofErr w:type="gramStart"/>
      <w:r w:rsidRPr="00A0496E">
        <w:rPr>
          <w:b/>
        </w:rPr>
        <w:t>research</w:t>
      </w:r>
      <w:proofErr w:type="gramEnd"/>
      <w:r w:rsidRPr="00A0496E">
        <w:rPr>
          <w:b/>
        </w:rPr>
        <w:t xml:space="preserve"> and learning: </w:t>
      </w:r>
      <w:r w:rsidR="00F269A0" w:rsidRPr="00A0496E">
        <w:rPr>
          <w:b/>
          <w:i/>
        </w:rPr>
        <w:t>Slow progress.</w:t>
      </w:r>
      <w:r w:rsidR="00F269A0">
        <w:t xml:space="preserve"> Under this KRA, TongaHealth </w:t>
      </w:r>
      <w:r w:rsidR="00A90702">
        <w:t>is responsible for</w:t>
      </w:r>
      <w:r w:rsidR="00F269A0">
        <w:t xml:space="preserve"> </w:t>
      </w:r>
      <w:r w:rsidR="00A0496E">
        <w:t>convening</w:t>
      </w:r>
      <w:r w:rsidR="00F269A0">
        <w:t xml:space="preserve"> an M&amp;E Taskforce to </w:t>
      </w:r>
      <w:r w:rsidR="00BE1234">
        <w:t>monitor p</w:t>
      </w:r>
      <w:r w:rsidR="00DE1951">
        <w:t xml:space="preserve">rogress against the NCD </w:t>
      </w:r>
      <w:proofErr w:type="gramStart"/>
      <w:r w:rsidR="00DE1951">
        <w:t>Strategy, and</w:t>
      </w:r>
      <w:proofErr w:type="gramEnd"/>
      <w:r w:rsidR="00DE1951">
        <w:t xml:space="preserve"> supporting locally-led research. </w:t>
      </w:r>
      <w:r w:rsidR="00A159DE">
        <w:t xml:space="preserve">The </w:t>
      </w:r>
      <w:r w:rsidR="00A159DE">
        <w:lastRenderedPageBreak/>
        <w:t>M&amp;E Taskforce was only established in mid-2023, and to date there has been no M&amp;E or reporting against the NCD Strategy</w:t>
      </w:r>
      <w:r w:rsidR="00732BCE">
        <w:t xml:space="preserve">. </w:t>
      </w:r>
    </w:p>
    <w:p w14:paraId="44F7F2EF" w14:textId="523C22AB" w:rsidR="00522AD6" w:rsidRPr="00112856" w:rsidRDefault="00B51907" w:rsidP="00962FBE">
      <w:pPr>
        <w:pStyle w:val="BodyText"/>
      </w:pPr>
      <w:r w:rsidRPr="00962FBE">
        <w:rPr>
          <w:b/>
          <w:bCs/>
        </w:rPr>
        <w:t>A range of activities in the NCD Strategy h</w:t>
      </w:r>
      <w:r w:rsidR="00522AD6" w:rsidRPr="00962FBE">
        <w:rPr>
          <w:b/>
          <w:bCs/>
        </w:rPr>
        <w:t>ave not progressed on schedule</w:t>
      </w:r>
      <w:r w:rsidR="009201AC" w:rsidRPr="00962FBE">
        <w:rPr>
          <w:b/>
          <w:bCs/>
        </w:rPr>
        <w:t xml:space="preserve">. Some of these </w:t>
      </w:r>
      <w:r w:rsidR="00702A4B" w:rsidRPr="00962FBE">
        <w:rPr>
          <w:b/>
          <w:bCs/>
        </w:rPr>
        <w:t>represent significant gaps in TongaHealth’s strategic focus</w:t>
      </w:r>
      <w:r w:rsidR="00C9374E" w:rsidRPr="00962FBE">
        <w:rPr>
          <w:b/>
          <w:bCs/>
        </w:rPr>
        <w:t>.</w:t>
      </w:r>
      <w:r w:rsidR="00C9374E">
        <w:t xml:space="preserve"> Priority areas which this Review considers need stronger attention from TongaHealth </w:t>
      </w:r>
      <w:r w:rsidR="00702A4B">
        <w:t>include s</w:t>
      </w:r>
      <w:r w:rsidR="00522AD6">
        <w:t>upporting accountability mechanisms for monitoring progress against the NCD Strategy</w:t>
      </w:r>
      <w:r w:rsidR="00AD6C3D">
        <w:t xml:space="preserve"> (e.g. supporting periodic health surveys, and </w:t>
      </w:r>
      <w:r w:rsidR="00522AD6">
        <w:t>reporting progress against the</w:t>
      </w:r>
      <w:r w:rsidR="00AD6C3D">
        <w:t xml:space="preserve"> NCD Strategy</w:t>
      </w:r>
      <w:r w:rsidR="00522AD6">
        <w:t xml:space="preserve"> implementation plan and M&amp;E Framework</w:t>
      </w:r>
      <w:r w:rsidR="00AD6C3D">
        <w:t>); s</w:t>
      </w:r>
      <w:r w:rsidR="00522AD6">
        <w:t xml:space="preserve">upporting </w:t>
      </w:r>
      <w:r w:rsidR="00522AD6" w:rsidRPr="005F52CD">
        <w:t>implementation of the S</w:t>
      </w:r>
      <w:r w:rsidR="00522AD6">
        <w:t>BCC Strategy (planned to commence in 2024);</w:t>
      </w:r>
      <w:r w:rsidR="0074756B">
        <w:t xml:space="preserve"> s</w:t>
      </w:r>
      <w:r w:rsidR="00522AD6">
        <w:t xml:space="preserve">upporting the review of </w:t>
      </w:r>
      <w:r w:rsidR="0074756B">
        <w:t>NCD-related</w:t>
      </w:r>
      <w:r w:rsidR="00522AD6" w:rsidRPr="00296A9E">
        <w:t xml:space="preserve"> legislation </w:t>
      </w:r>
      <w:r w:rsidR="0074756B">
        <w:t>(</w:t>
      </w:r>
      <w:r w:rsidR="00522AD6">
        <w:t xml:space="preserve">e.g. </w:t>
      </w:r>
      <w:r w:rsidR="00522AD6" w:rsidRPr="00296A9E">
        <w:t xml:space="preserve">for tobacco, alcohol, </w:t>
      </w:r>
      <w:r w:rsidR="00522AD6">
        <w:t>sugary drinks</w:t>
      </w:r>
      <w:r w:rsidR="00522AD6" w:rsidRPr="00296A9E">
        <w:t xml:space="preserve">, </w:t>
      </w:r>
      <w:r w:rsidR="00522AD6">
        <w:t>breastmilk substitutes</w:t>
      </w:r>
      <w:r w:rsidR="00800B33">
        <w:t>); and s</w:t>
      </w:r>
      <w:r w:rsidR="00522AD6">
        <w:t>upporting c</w:t>
      </w:r>
      <w:r w:rsidR="00522AD6" w:rsidRPr="00560DBB">
        <w:t>ost-effective</w:t>
      </w:r>
      <w:r w:rsidR="00522AD6">
        <w:t xml:space="preserve"> early childhood approaches</w:t>
      </w:r>
      <w:r w:rsidR="00522AD6" w:rsidRPr="00560DBB">
        <w:t xml:space="preserve"> (</w:t>
      </w:r>
      <w:r w:rsidR="00C9374E">
        <w:t xml:space="preserve">First </w:t>
      </w:r>
      <w:r w:rsidR="00522AD6" w:rsidRPr="00560DBB">
        <w:t>1,000</w:t>
      </w:r>
      <w:r w:rsidR="00C9374E">
        <w:t xml:space="preserve"> </w:t>
      </w:r>
      <w:r w:rsidR="00522AD6" w:rsidRPr="00560DBB">
        <w:t>Days initiatives, Baby Friendly Hospital</w:t>
      </w:r>
      <w:r w:rsidR="00591C49">
        <w:t>s</w:t>
      </w:r>
      <w:r w:rsidR="00522AD6" w:rsidRPr="00560DBB">
        <w:t>, Exclusive Breastfeeding Campaigns)</w:t>
      </w:r>
      <w:r w:rsidR="00A92B13">
        <w:t>.</w:t>
      </w:r>
    </w:p>
    <w:p w14:paraId="75759AE7" w14:textId="2B26B638" w:rsidR="00732BCE" w:rsidRDefault="00732BCE" w:rsidP="00406A81">
      <w:pPr>
        <w:pStyle w:val="Heading4"/>
        <w:spacing w:after="0" w:line="276" w:lineRule="auto"/>
      </w:pPr>
      <w:r>
        <w:t>Monitoring and evaluation</w:t>
      </w:r>
    </w:p>
    <w:p w14:paraId="64307174" w14:textId="6C89A496" w:rsidR="00732BCE" w:rsidRDefault="00732BCE" w:rsidP="00962FBE">
      <w:pPr>
        <w:pStyle w:val="BodyText"/>
      </w:pPr>
      <w:r>
        <w:t xml:space="preserve">The TongaHealth M&amp;E team </w:t>
      </w:r>
      <w:r w:rsidR="00E957AF">
        <w:t>primarily</w:t>
      </w:r>
      <w:r>
        <w:t xml:space="preserve"> supports grants monitoring. While this is an important function, there are major gaps in TongaHealth’s M&amp;E system. These include that TongaHealth does not have an M&amp;E Plan, </w:t>
      </w:r>
      <w:r w:rsidR="00BE08D7">
        <w:t>does not collect data or report against its Statement of Corporate Intent (equivalent to a workplan)</w:t>
      </w:r>
      <w:r w:rsidR="00041606">
        <w:t xml:space="preserve"> or its allocated activities under the NCD Strategy, and collects very little evidence of outcome-level change</w:t>
      </w:r>
      <w:r w:rsidR="00EC3644">
        <w:t xml:space="preserve"> emerging from grants. There are also concerns with the quality and timeliness of TongaHe</w:t>
      </w:r>
      <w:r w:rsidR="00C058B7">
        <w:t xml:space="preserve">alth reports, with annual reports not submitted to the Board since FY18/19. </w:t>
      </w:r>
    </w:p>
    <w:p w14:paraId="44A56E01" w14:textId="2363B3E9" w:rsidR="00815ECA" w:rsidRDefault="00F27B1D" w:rsidP="00406A81">
      <w:pPr>
        <w:pStyle w:val="Heading4"/>
        <w:spacing w:after="0" w:line="276" w:lineRule="auto"/>
      </w:pPr>
      <w:r>
        <w:t>Effectiveness of grants</w:t>
      </w:r>
    </w:p>
    <w:p w14:paraId="14752124" w14:textId="4FA95FBE" w:rsidR="00F96817" w:rsidRDefault="00073B7B" w:rsidP="00962FBE">
      <w:pPr>
        <w:pStyle w:val="BodyText"/>
      </w:pPr>
      <w:r>
        <w:t>TongaHealth</w:t>
      </w:r>
      <w:r w:rsidR="00F27B1D">
        <w:t xml:space="preserve"> administers a high volume of grants (116 </w:t>
      </w:r>
      <w:r w:rsidR="002E304E">
        <w:t xml:space="preserve">grants from June 2021 to present), predominantly focussed on </w:t>
      </w:r>
      <w:r w:rsidR="004E4F1C">
        <w:t xml:space="preserve">physical activity (e.g. funding </w:t>
      </w:r>
      <w:r>
        <w:t xml:space="preserve">for </w:t>
      </w:r>
      <w:r w:rsidR="004E4F1C">
        <w:t>Zumba</w:t>
      </w:r>
      <w:r w:rsidR="004931FE">
        <w:t xml:space="preserve">, </w:t>
      </w:r>
      <w:r w:rsidR="004E4F1C">
        <w:t xml:space="preserve">sports </w:t>
      </w:r>
      <w:proofErr w:type="gramStart"/>
      <w:r w:rsidR="005A3858">
        <w:t>programs</w:t>
      </w:r>
      <w:proofErr w:type="gramEnd"/>
      <w:r w:rsidR="004931FE">
        <w:t xml:space="preserve"> and </w:t>
      </w:r>
      <w:r w:rsidR="004E4F1C">
        <w:t>sports equipment</w:t>
      </w:r>
      <w:r w:rsidR="00030571">
        <w:t xml:space="preserve">) and healthy eating (e.g. </w:t>
      </w:r>
      <w:r w:rsidR="00FF26E7">
        <w:t>grants to nurseries to grow and distribute seedlings, grants to schools and community groups to establish fruit and vegetable gardens</w:t>
      </w:r>
      <w:r w:rsidR="00245857">
        <w:t>).</w:t>
      </w:r>
      <w:r w:rsidR="00E54CC3">
        <w:t xml:space="preserve"> G</w:t>
      </w:r>
      <w:r w:rsidR="003550D6">
        <w:t>rants are highly valued by recipients</w:t>
      </w:r>
      <w:r w:rsidR="003525FE">
        <w:t>, and</w:t>
      </w:r>
      <w:r w:rsidR="00656E4F">
        <w:t xml:space="preserve"> interviewees for this Review identified a range of positive outcomes </w:t>
      </w:r>
      <w:proofErr w:type="gramStart"/>
      <w:r w:rsidR="00656E4F">
        <w:t>as a result of</w:t>
      </w:r>
      <w:proofErr w:type="gramEnd"/>
      <w:r w:rsidR="00656E4F">
        <w:t xml:space="preserve"> grants</w:t>
      </w:r>
      <w:r w:rsidR="001E53CC">
        <w:t xml:space="preserve"> – however evidence of outcome-level change is rarely systematically collected. </w:t>
      </w:r>
      <w:r w:rsidR="006131B4">
        <w:t xml:space="preserve">Grants seem to be most effective when </w:t>
      </w:r>
      <w:r w:rsidR="001F2A80">
        <w:t xml:space="preserve">TongaHealth works in partnership with </w:t>
      </w:r>
      <w:proofErr w:type="spellStart"/>
      <w:r w:rsidR="0053356A">
        <w:t>GoT</w:t>
      </w:r>
      <w:proofErr w:type="spellEnd"/>
      <w:r w:rsidR="0053356A">
        <w:t xml:space="preserve"> implementing agencies, or with non-government agencies with significant tech</w:t>
      </w:r>
      <w:r w:rsidR="006131B4">
        <w:t>nical</w:t>
      </w:r>
      <w:r w:rsidR="0053356A">
        <w:t xml:space="preserve"> and implementation expertise. </w:t>
      </w:r>
    </w:p>
    <w:p w14:paraId="2AFC2396" w14:textId="77777777" w:rsidR="00352011" w:rsidRDefault="00352011" w:rsidP="00DF166F">
      <w:pPr>
        <w:pStyle w:val="Heading4"/>
        <w:spacing w:line="276" w:lineRule="auto"/>
      </w:pPr>
      <w:r>
        <w:t>Grant administration</w:t>
      </w:r>
    </w:p>
    <w:p w14:paraId="63C39482" w14:textId="109D4272" w:rsidR="00D66018" w:rsidRDefault="008A336C" w:rsidP="00962FBE">
      <w:pPr>
        <w:pStyle w:val="BodyText"/>
      </w:pPr>
      <w:r>
        <w:t>Grant administration is a significant workload for the TongaHealth team</w:t>
      </w:r>
      <w:r w:rsidR="007A1EA8">
        <w:t xml:space="preserve">. </w:t>
      </w:r>
      <w:r w:rsidR="00105FF5">
        <w:t xml:space="preserve">Despite a 2019 review recommending grant processes be simplified, </w:t>
      </w:r>
      <w:r w:rsidR="00772170">
        <w:t>grant proposal requirements remain complex</w:t>
      </w:r>
      <w:r w:rsidR="004424A9">
        <w:t xml:space="preserve">, </w:t>
      </w:r>
      <w:r w:rsidR="007A1EA8">
        <w:t xml:space="preserve">and approval processes are slow. </w:t>
      </w:r>
      <w:r w:rsidR="00B601D8">
        <w:t xml:space="preserve">This is compounded by TongaHealth awarding a high volume of </w:t>
      </w:r>
      <w:r w:rsidR="00210729">
        <w:t>low-value grants</w:t>
      </w:r>
      <w:r w:rsidR="00B601D8">
        <w:t xml:space="preserve">. </w:t>
      </w:r>
      <w:r w:rsidR="003550D6">
        <w:t xml:space="preserve"> </w:t>
      </w:r>
      <w:r w:rsidR="001C1044">
        <w:t xml:space="preserve">Other weaknesses include limited consideration of the </w:t>
      </w:r>
      <w:r w:rsidR="001419FD">
        <w:t>evidence</w:t>
      </w:r>
      <w:r w:rsidR="001C1044">
        <w:t xml:space="preserve"> base for proposed </w:t>
      </w:r>
      <w:r w:rsidR="001419FD">
        <w:t>projects</w:t>
      </w:r>
      <w:r w:rsidR="001C1044">
        <w:t xml:space="preserve">, </w:t>
      </w:r>
      <w:r w:rsidR="007F4C81">
        <w:t xml:space="preserve">and </w:t>
      </w:r>
      <w:r w:rsidR="001C1044">
        <w:t xml:space="preserve">limited </w:t>
      </w:r>
      <w:r w:rsidR="001419FD">
        <w:t xml:space="preserve">involvement of health experts or external stakeholders in selecting </w:t>
      </w:r>
      <w:r w:rsidR="004D637B">
        <w:t>grants</w:t>
      </w:r>
      <w:r w:rsidR="00210729">
        <w:t xml:space="preserve">. </w:t>
      </w:r>
      <w:r w:rsidR="0054067D">
        <w:t xml:space="preserve">There is </w:t>
      </w:r>
      <w:r w:rsidR="00261C2C">
        <w:t>significant</w:t>
      </w:r>
      <w:r w:rsidR="0054067D">
        <w:t xml:space="preserve"> scope fo</w:t>
      </w:r>
      <w:r w:rsidR="00EE2DD1">
        <w:t>r grants to be allocated more strategically – e.g</w:t>
      </w:r>
      <w:r w:rsidR="002E3160">
        <w:t>.</w:t>
      </w:r>
      <w:r w:rsidR="00EE2DD1">
        <w:t xml:space="preserve"> by focussing on </w:t>
      </w:r>
      <w:r w:rsidR="00261C2C">
        <w:t>projects</w:t>
      </w:r>
      <w:r w:rsidR="00EE2DD1">
        <w:t xml:space="preserve"> </w:t>
      </w:r>
      <w:r w:rsidR="00B91B88">
        <w:t xml:space="preserve">that have a </w:t>
      </w:r>
      <w:r w:rsidR="00EE2DD1">
        <w:t>sound evidence base</w:t>
      </w:r>
      <w:r w:rsidR="00DC0FE5">
        <w:t xml:space="preserve">, </w:t>
      </w:r>
      <w:r w:rsidR="00B91B88">
        <w:t xml:space="preserve">are </w:t>
      </w:r>
      <w:r w:rsidR="00DC0FE5">
        <w:t xml:space="preserve">closely aligned to priority outputs of the NCD </w:t>
      </w:r>
      <w:proofErr w:type="gramStart"/>
      <w:r w:rsidR="00DC0FE5">
        <w:t>Strategy,</w:t>
      </w:r>
      <w:r w:rsidR="00B91B88">
        <w:t xml:space="preserve"> </w:t>
      </w:r>
      <w:r w:rsidR="00D81345">
        <w:t>and</w:t>
      </w:r>
      <w:proofErr w:type="gramEnd"/>
      <w:r w:rsidR="00D81345">
        <w:t xml:space="preserve"> </w:t>
      </w:r>
      <w:r w:rsidR="0020422C">
        <w:t xml:space="preserve">address a broader range of NCD risk factors beyond physical activity and healthy </w:t>
      </w:r>
      <w:r w:rsidR="002E3160">
        <w:t>eatin</w:t>
      </w:r>
      <w:r w:rsidR="00D81345">
        <w:t>g.</w:t>
      </w:r>
    </w:p>
    <w:p w14:paraId="5520E938" w14:textId="77777777" w:rsidR="00D66018" w:rsidRDefault="00D66018" w:rsidP="00406A81">
      <w:pPr>
        <w:pStyle w:val="Heading4"/>
        <w:spacing w:after="0" w:line="276" w:lineRule="auto"/>
      </w:pPr>
      <w:r>
        <w:t>Barriers to effective delivery</w:t>
      </w:r>
    </w:p>
    <w:p w14:paraId="03E671BB" w14:textId="6982A0EF" w:rsidR="00F27B1D" w:rsidRDefault="003C090F" w:rsidP="00962FBE">
      <w:pPr>
        <w:pStyle w:val="BodyText"/>
      </w:pPr>
      <w:r>
        <w:t xml:space="preserve">TongaHealth’s </w:t>
      </w:r>
      <w:r w:rsidR="002E3160">
        <w:t>delivery</w:t>
      </w:r>
      <w:r>
        <w:t xml:space="preserve"> has been impacted by a range of external </w:t>
      </w:r>
      <w:r w:rsidR="002E3160">
        <w:t>factors</w:t>
      </w:r>
      <w:r>
        <w:t xml:space="preserve"> such as the COVID-19 pandemic and the </w:t>
      </w:r>
      <w:proofErr w:type="spellStart"/>
      <w:r>
        <w:t>H</w:t>
      </w:r>
      <w:r w:rsidR="002E3160">
        <w:t>u</w:t>
      </w:r>
      <w:r>
        <w:t>nga</w:t>
      </w:r>
      <w:proofErr w:type="spellEnd"/>
      <w:r>
        <w:t xml:space="preserve"> Tonga </w:t>
      </w:r>
      <w:proofErr w:type="spellStart"/>
      <w:r>
        <w:t>Hunga</w:t>
      </w:r>
      <w:proofErr w:type="spellEnd"/>
      <w:r>
        <w:t xml:space="preserve"> </w:t>
      </w:r>
      <w:proofErr w:type="spellStart"/>
      <w:r>
        <w:t>Ha’apai</w:t>
      </w:r>
      <w:proofErr w:type="spellEnd"/>
      <w:r>
        <w:t xml:space="preserve"> eruption and t</w:t>
      </w:r>
      <w:r w:rsidR="002E3160">
        <w:t>s</w:t>
      </w:r>
      <w:r>
        <w:t xml:space="preserve">unami. Delays in the THSSP3 design also disrupted programming, with TongaHealth </w:t>
      </w:r>
      <w:r w:rsidR="00546975">
        <w:t>operating on a much smaller budget than expected in the period December 2021 to June 2023</w:t>
      </w:r>
      <w:r w:rsidR="00FB0B5E">
        <w:t xml:space="preserve">. However, the most significant </w:t>
      </w:r>
      <w:r w:rsidR="002E3160">
        <w:t>barriers</w:t>
      </w:r>
      <w:r w:rsidR="00FB0B5E">
        <w:t xml:space="preserve"> to delivery are internal, namely the</w:t>
      </w:r>
      <w:r w:rsidR="00953F46">
        <w:t xml:space="preserve"> </w:t>
      </w:r>
      <w:r w:rsidR="002E3160">
        <w:t>significant</w:t>
      </w:r>
      <w:r w:rsidR="00953F46">
        <w:t xml:space="preserve"> capacity gaps in the TongaHealth team</w:t>
      </w:r>
      <w:r w:rsidR="00AA55FB">
        <w:t xml:space="preserve"> (e.g. in health, M&amp;E, project management</w:t>
      </w:r>
      <w:r w:rsidR="00292760">
        <w:t>, grants management</w:t>
      </w:r>
      <w:r w:rsidR="00AA55FB">
        <w:t xml:space="preserve"> and financial management)</w:t>
      </w:r>
      <w:r w:rsidR="00953F46">
        <w:t xml:space="preserve">, the team’s focus on grant administration rather </w:t>
      </w:r>
      <w:r w:rsidR="00D31588">
        <w:t>than</w:t>
      </w:r>
      <w:r w:rsidR="00953F46">
        <w:t xml:space="preserve"> </w:t>
      </w:r>
      <w:r w:rsidR="00D31588">
        <w:t>t</w:t>
      </w:r>
      <w:r w:rsidR="00953F46">
        <w:t xml:space="preserve">he broader suite of </w:t>
      </w:r>
      <w:r w:rsidR="00D31588">
        <w:t>functions</w:t>
      </w:r>
      <w:r w:rsidR="00953F46">
        <w:t xml:space="preserve"> in TongaHeal</w:t>
      </w:r>
      <w:r w:rsidR="00D31588">
        <w:t>th</w:t>
      </w:r>
      <w:r w:rsidR="00953F46">
        <w:t xml:space="preserve">’s mandate, and the lack of functioning governance and accountability mechanisms. </w:t>
      </w:r>
      <w:r w:rsidR="00DC0FE5">
        <w:t xml:space="preserve"> </w:t>
      </w:r>
    </w:p>
    <w:p w14:paraId="308DE273" w14:textId="78F72E84" w:rsidR="00815ECA" w:rsidRDefault="008714A7" w:rsidP="00406A81">
      <w:pPr>
        <w:pStyle w:val="Heading4"/>
        <w:spacing w:after="0" w:line="276" w:lineRule="auto"/>
      </w:pPr>
      <w:r>
        <w:t>Coordination with other stakeholders</w:t>
      </w:r>
    </w:p>
    <w:p w14:paraId="7987062F" w14:textId="6460FDAE" w:rsidR="00053E36" w:rsidRDefault="00A36439" w:rsidP="00962FBE">
      <w:pPr>
        <w:pStyle w:val="BodyText"/>
      </w:pPr>
      <w:r>
        <w:t>Engagement between TongaHealth and the Ministry of Health</w:t>
      </w:r>
      <w:r w:rsidR="00C52BB3">
        <w:t>’s</w:t>
      </w:r>
      <w:r>
        <w:t xml:space="preserve"> Health Promotion Unit (HPU) is much less than would be </w:t>
      </w:r>
      <w:r w:rsidR="00D31588">
        <w:t>expected</w:t>
      </w:r>
      <w:r>
        <w:t xml:space="preserve">, given their shared focus on NCDs. </w:t>
      </w:r>
      <w:r w:rsidR="00777C27">
        <w:t xml:space="preserve">There is a </w:t>
      </w:r>
      <w:r w:rsidR="00D72639">
        <w:t xml:space="preserve">need for stronger communication between the two agencies, as </w:t>
      </w:r>
      <w:r w:rsidR="00D72639">
        <w:lastRenderedPageBreak/>
        <w:t xml:space="preserve">well </w:t>
      </w:r>
      <w:r w:rsidR="00C142E0">
        <w:t xml:space="preserve">as opportunities to realise synergies by pairing TongaHealth’s funding with the HPU’s </w:t>
      </w:r>
      <w:r w:rsidR="00D31588">
        <w:t>significant</w:t>
      </w:r>
      <w:r w:rsidR="00C142E0">
        <w:t xml:space="preserve"> </w:t>
      </w:r>
      <w:r w:rsidR="00D31588">
        <w:t>technical</w:t>
      </w:r>
      <w:r w:rsidR="00C142E0">
        <w:t xml:space="preserve"> and implementation expertise. </w:t>
      </w:r>
      <w:r w:rsidR="00412F3A">
        <w:t>More broadly</w:t>
      </w:r>
      <w:r w:rsidR="00922DB8">
        <w:t>,</w:t>
      </w:r>
      <w:r w:rsidR="00922DB8" w:rsidRPr="00922DB8">
        <w:t xml:space="preserve"> </w:t>
      </w:r>
      <w:r w:rsidR="00922DB8">
        <w:t xml:space="preserve">there is significant demand for TongaHealth to have a leading role in mobilising and engaging stakeholders to address NCDs, for example by supporting harmonised planning of NCD activities across </w:t>
      </w:r>
      <w:proofErr w:type="spellStart"/>
      <w:r w:rsidR="00922DB8">
        <w:t>GoT</w:t>
      </w:r>
      <w:proofErr w:type="spellEnd"/>
      <w:r w:rsidR="00922DB8">
        <w:t xml:space="preserve"> agencies, establishing working groups to advise on priority topics, and promoting learning and sharing between grantees and other actors.</w:t>
      </w:r>
    </w:p>
    <w:p w14:paraId="55329CAB" w14:textId="0C423A03" w:rsidR="0000457C" w:rsidRDefault="0031799E" w:rsidP="00406A81">
      <w:pPr>
        <w:pStyle w:val="Heading4"/>
        <w:spacing w:after="0" w:line="276" w:lineRule="auto"/>
      </w:pPr>
      <w:r>
        <w:t>Relevance of TongaHealth’s work</w:t>
      </w:r>
    </w:p>
    <w:p w14:paraId="70C224C6" w14:textId="4DE75DE1" w:rsidR="00D05623" w:rsidRDefault="00C90E82" w:rsidP="0055506B">
      <w:pPr>
        <w:pStyle w:val="BodyText"/>
      </w:pPr>
      <w:r>
        <w:t xml:space="preserve">The NCD Strategy describes TongaHealth as having six functions: Stakeholder engagement; Grant administration; Monitoring, </w:t>
      </w:r>
      <w:proofErr w:type="gramStart"/>
      <w:r>
        <w:t>evaluation</w:t>
      </w:r>
      <w:proofErr w:type="gramEnd"/>
      <w:r>
        <w:t xml:space="preserve"> and research; Resource mobilisation; Policy development, and Facilitation and coordination</w:t>
      </w:r>
      <w:r w:rsidR="00931216">
        <w:t>.</w:t>
      </w:r>
      <w:r w:rsidR="00A65EFB">
        <w:t xml:space="preserve"> TongaHealth currently has a disproportionate focus on grant </w:t>
      </w:r>
      <w:proofErr w:type="gramStart"/>
      <w:r w:rsidR="00A65EFB">
        <w:t>administration</w:t>
      </w:r>
      <w:r w:rsidR="00F62319">
        <w:t>, and</w:t>
      </w:r>
      <w:proofErr w:type="gramEnd"/>
      <w:r w:rsidR="00F62319">
        <w:t xml:space="preserve"> is devoting relatively little attention to the other functions. </w:t>
      </w:r>
      <w:r w:rsidR="00B26114">
        <w:t xml:space="preserve">While </w:t>
      </w:r>
      <w:r w:rsidR="001E3656">
        <w:t xml:space="preserve">the team’s lack of health expertise somewhat constrains their ability to deliver some of these functions, </w:t>
      </w:r>
      <w:r w:rsidR="00922DB8">
        <w:t>there is scope for TongaHealth to take on a convening/facilitation role</w:t>
      </w:r>
      <w:r w:rsidR="005B5D8A">
        <w:t xml:space="preserve"> to mobilise </w:t>
      </w:r>
      <w:r w:rsidR="005D781C">
        <w:t>and support technical stakeholders to deliver priority activities</w:t>
      </w:r>
      <w:r w:rsidR="0083146D">
        <w:t>.</w:t>
      </w:r>
    </w:p>
    <w:p w14:paraId="5FFD2336" w14:textId="40DC09BB" w:rsidR="004138DC" w:rsidRDefault="004138DC" w:rsidP="00406A81">
      <w:pPr>
        <w:pStyle w:val="Heading4"/>
        <w:spacing w:after="0" w:line="276" w:lineRule="auto"/>
      </w:pPr>
      <w:r>
        <w:t>GEDSI</w:t>
      </w:r>
    </w:p>
    <w:p w14:paraId="09FA126A" w14:textId="0772B8A3" w:rsidR="004138DC" w:rsidRDefault="00423FC6" w:rsidP="00962FBE">
      <w:pPr>
        <w:pStyle w:val="BodyText"/>
      </w:pPr>
      <w:r>
        <w:t xml:space="preserve">TongaHealth has a strong focus on inclusion of residents outside </w:t>
      </w:r>
      <w:proofErr w:type="spellStart"/>
      <w:r>
        <w:t>Tongatapu</w:t>
      </w:r>
      <w:proofErr w:type="spellEnd"/>
      <w:r>
        <w:t xml:space="preserve">, evidenced by </w:t>
      </w:r>
      <w:r w:rsidR="00C566A0">
        <w:t>establishing</w:t>
      </w:r>
      <w:r w:rsidR="00AA1DB7">
        <w:t xml:space="preserve"> </w:t>
      </w:r>
      <w:r w:rsidR="00C566A0">
        <w:t xml:space="preserve">TongaHealth </w:t>
      </w:r>
      <w:r w:rsidR="00AA1DB7">
        <w:t xml:space="preserve">offices on </w:t>
      </w:r>
      <w:r w:rsidR="00C566A0">
        <w:t xml:space="preserve">five outer islands, </w:t>
      </w:r>
      <w:r w:rsidR="00ED0F81">
        <w:t>and the high volume of grants awar</w:t>
      </w:r>
      <w:r w:rsidR="00C566A0">
        <w:t>d</w:t>
      </w:r>
      <w:r w:rsidR="00ED0F81">
        <w:t>ed to outer islands in recent years. Ho</w:t>
      </w:r>
      <w:r w:rsidR="00C566A0">
        <w:t>w</w:t>
      </w:r>
      <w:r w:rsidR="00ED0F81">
        <w:t xml:space="preserve">ever, </w:t>
      </w:r>
      <w:r w:rsidR="00A314A8">
        <w:t>TongaHealth has made limited pro</w:t>
      </w:r>
      <w:r w:rsidR="00C566A0">
        <w:t>gres</w:t>
      </w:r>
      <w:r w:rsidR="00A314A8">
        <w:t>s in other areas of inclusion</w:t>
      </w:r>
      <w:r w:rsidR="009B0206">
        <w:t xml:space="preserve">, with very few grants </w:t>
      </w:r>
      <w:r w:rsidR="005E5616">
        <w:t xml:space="preserve">targeted to promoting inclusion of </w:t>
      </w:r>
      <w:r w:rsidR="00A25350">
        <w:t xml:space="preserve">people of </w:t>
      </w:r>
      <w:r w:rsidR="005E5616">
        <w:t xml:space="preserve">all genders, people with disabilities, elderly </w:t>
      </w:r>
      <w:proofErr w:type="gramStart"/>
      <w:r w:rsidR="005E5616">
        <w:t>people</w:t>
      </w:r>
      <w:proofErr w:type="gramEnd"/>
      <w:r w:rsidR="005E5616">
        <w:t xml:space="preserve"> or other marginalised groups. </w:t>
      </w:r>
      <w:r w:rsidR="00682107">
        <w:t xml:space="preserve"> </w:t>
      </w:r>
    </w:p>
    <w:p w14:paraId="5F419C56" w14:textId="33DE8A55" w:rsidR="008F08E4" w:rsidRDefault="008F08E4" w:rsidP="00406A81">
      <w:pPr>
        <w:pStyle w:val="Heading3"/>
        <w:numPr>
          <w:ilvl w:val="0"/>
          <w:numId w:val="0"/>
        </w:numPr>
        <w:spacing w:after="0" w:line="276" w:lineRule="auto"/>
        <w:ind w:left="851" w:hanging="851"/>
      </w:pPr>
      <w:r>
        <w:t>R</w:t>
      </w:r>
      <w:r w:rsidR="00B87F3A">
        <w:t>ecommendations</w:t>
      </w:r>
    </w:p>
    <w:p w14:paraId="341E6435" w14:textId="52D97F8F" w:rsidR="008F08E4" w:rsidRDefault="009F1918" w:rsidP="00962FBE">
      <w:pPr>
        <w:pStyle w:val="BodyText"/>
      </w:pPr>
      <w:r>
        <w:t xml:space="preserve">Recommendations are summarised </w:t>
      </w:r>
      <w:proofErr w:type="gramStart"/>
      <w:r>
        <w:t>below, and</w:t>
      </w:r>
      <w:proofErr w:type="gramEnd"/>
      <w:r>
        <w:t xml:space="preserve"> presented in full in Section </w:t>
      </w:r>
      <w:r w:rsidR="00A543AF">
        <w:fldChar w:fldCharType="begin"/>
      </w:r>
      <w:r w:rsidR="00A543AF">
        <w:instrText xml:space="preserve"> REF _Ref152922052 \r \h </w:instrText>
      </w:r>
      <w:r w:rsidR="00EB08C3">
        <w:instrText xml:space="preserve"> \* MERGEFORMAT </w:instrText>
      </w:r>
      <w:r w:rsidR="00A543AF">
        <w:fldChar w:fldCharType="separate"/>
      </w:r>
      <w:r w:rsidR="00A95913">
        <w:t>3.5</w:t>
      </w:r>
      <w:r w:rsidR="00A543AF">
        <w:fldChar w:fldCharType="end"/>
      </w:r>
      <w:r w:rsidR="00A543AF">
        <w:t>.</w:t>
      </w:r>
      <w:r w:rsidR="007E37C3">
        <w:t xml:space="preserve"> These recommendations are feasible within the existing TongaHealth budget, but </w:t>
      </w:r>
      <w:r w:rsidR="00A42B86">
        <w:t>some</w:t>
      </w:r>
      <w:r w:rsidR="007E37C3">
        <w:t xml:space="preserve"> </w:t>
      </w:r>
      <w:r w:rsidR="00A42B86">
        <w:t>are likely to</w:t>
      </w:r>
      <w:r w:rsidR="007E37C3">
        <w:t xml:space="preserve"> require </w:t>
      </w:r>
      <w:r w:rsidR="00D54687">
        <w:t>re-allocation of resources within the existing budget envelope.</w:t>
      </w:r>
    </w:p>
    <w:p w14:paraId="59FE0016" w14:textId="075528FD" w:rsidR="00AB1A00" w:rsidRDefault="003D3C2B" w:rsidP="00962FBE">
      <w:pPr>
        <w:pStyle w:val="ListBullet"/>
      </w:pPr>
      <w:r w:rsidRPr="005E6102">
        <w:t>TongaHealth should seek to strengthen its technical capacity by finalising and implementing an organisational capacity assessment, identifying sources of external technical assistance (e.g. volunteers</w:t>
      </w:r>
      <w:r w:rsidR="00537856">
        <w:t>, TASP</w:t>
      </w:r>
      <w:r w:rsidRPr="005E6102">
        <w:t>), and strengthening the partnership with the HPU given their significant technical and implementation expertise</w:t>
      </w:r>
      <w:r w:rsidR="004A1EC5">
        <w:t xml:space="preserve"> in the </w:t>
      </w:r>
      <w:r w:rsidR="00931203">
        <w:t xml:space="preserve">health </w:t>
      </w:r>
      <w:r w:rsidR="004A1EC5">
        <w:t>field</w:t>
      </w:r>
      <w:r w:rsidRPr="005E6102">
        <w:t xml:space="preserve">. </w:t>
      </w:r>
    </w:p>
    <w:p w14:paraId="5E2D7C4C" w14:textId="70D5ED50" w:rsidR="003D3C2B" w:rsidRPr="00AB1A00" w:rsidRDefault="003D3C2B" w:rsidP="00962FBE">
      <w:pPr>
        <w:pStyle w:val="ListBullet"/>
      </w:pPr>
      <w:r w:rsidRPr="005E6102">
        <w:t xml:space="preserve">TongaHealth should seek to strengthen </w:t>
      </w:r>
      <w:r w:rsidRPr="00AB1A00">
        <w:rPr>
          <w:rFonts w:eastAsiaTheme="minorEastAsia"/>
        </w:rPr>
        <w:t xml:space="preserve">partnership and communication with MoH, particularly the HPU. </w:t>
      </w:r>
    </w:p>
    <w:p w14:paraId="6030D09E" w14:textId="77777777" w:rsidR="003D3C2B" w:rsidRDefault="003D3C2B" w:rsidP="00962FBE">
      <w:pPr>
        <w:pStyle w:val="ListBullet"/>
      </w:pPr>
      <w:r w:rsidRPr="003D3C2B">
        <w:t>TongaHealth should lead on identifying an alternative governance mechanism for NCDs.</w:t>
      </w:r>
    </w:p>
    <w:p w14:paraId="56A05A8F" w14:textId="77777777" w:rsidR="003D3C2B" w:rsidRPr="003D3C2B" w:rsidRDefault="003D3C2B" w:rsidP="00962FBE">
      <w:pPr>
        <w:pStyle w:val="ListBullet"/>
      </w:pPr>
      <w:r w:rsidRPr="003D3C2B">
        <w:t>TongaHealth should reduce its grant administration workload, for example by simplifying grant application processes, introducing an annual grant management cycle, and reducing the overall number of grants.</w:t>
      </w:r>
    </w:p>
    <w:p w14:paraId="714228A5" w14:textId="77777777" w:rsidR="003D3C2B" w:rsidRPr="005E6102" w:rsidRDefault="003D3C2B" w:rsidP="00962FBE">
      <w:pPr>
        <w:pStyle w:val="ListBullet"/>
      </w:pPr>
      <w:r w:rsidRPr="005E6102">
        <w:t>TongaHealth should revise the grant selection process to ensure grants are allocated to projects that are evidence-based, have a population-level focus, and cover a broader range of NCD risk factors.</w:t>
      </w:r>
    </w:p>
    <w:p w14:paraId="33E11742" w14:textId="77777777" w:rsidR="00510CEA" w:rsidRPr="003D3C2B" w:rsidRDefault="00510CEA" w:rsidP="00962FBE">
      <w:pPr>
        <w:pStyle w:val="ListBullet"/>
      </w:pPr>
      <w:r w:rsidRPr="003D3C2B">
        <w:t xml:space="preserve">TongaHealth should transition away from a near-exclusive focus on grant </w:t>
      </w:r>
      <w:proofErr w:type="gramStart"/>
      <w:r w:rsidRPr="003D3C2B">
        <w:t>administration, and</w:t>
      </w:r>
      <w:proofErr w:type="gramEnd"/>
      <w:r w:rsidRPr="003D3C2B">
        <w:t xml:space="preserve"> reorient toward delivering other functions and activities mandated in the NCD Strategy. This should particularly involve TongaHealth positioning itself as a convenor and facilitator of multisectoral dialogue and collaboration to progress priority activities.</w:t>
      </w:r>
    </w:p>
    <w:p w14:paraId="189CCE57" w14:textId="77777777" w:rsidR="006A6C35" w:rsidRPr="00C01627" w:rsidRDefault="006A6C35" w:rsidP="00962FBE">
      <w:pPr>
        <w:pStyle w:val="ListBullet"/>
      </w:pPr>
      <w:r w:rsidRPr="00C01627">
        <w:t xml:space="preserve">TongaHealth should develop and implement a strategic approach to supporting stakeholder engagement and collaboration. </w:t>
      </w:r>
    </w:p>
    <w:p w14:paraId="2E7FC412" w14:textId="77777777" w:rsidR="006A6C35" w:rsidRPr="00B55EE1" w:rsidRDefault="006A6C35" w:rsidP="00962FBE">
      <w:pPr>
        <w:pStyle w:val="ListBullet"/>
      </w:pPr>
      <w:r w:rsidRPr="00B55EE1">
        <w:t xml:space="preserve">TongaHealth should strengthen its internal M&amp;E system, with a focus on generating evidence of TongaHealth’s progress against the NCD Strategy and Statement of Corporate Intent, generating evidence of outcome-level change </w:t>
      </w:r>
      <w:proofErr w:type="gramStart"/>
      <w:r w:rsidRPr="00B55EE1">
        <w:t>as a result of</w:t>
      </w:r>
      <w:proofErr w:type="gramEnd"/>
      <w:r w:rsidRPr="00B55EE1">
        <w:t xml:space="preserve"> grants, and producing timely and quality progress reports.</w:t>
      </w:r>
    </w:p>
    <w:p w14:paraId="74460D47" w14:textId="7C097F64" w:rsidR="000507F9" w:rsidRPr="00B55EE1" w:rsidRDefault="000507F9" w:rsidP="00962FBE">
      <w:pPr>
        <w:pStyle w:val="ListBullet"/>
      </w:pPr>
      <w:r w:rsidRPr="00B55EE1">
        <w:t>TongaHealth should adopt a stronger focus on GEDSI, including by building the capacity of the TongaHealth team, strengthening engagement of Organisations</w:t>
      </w:r>
      <w:r w:rsidR="00CA0CCC">
        <w:t xml:space="preserve"> of People with Disabilities</w:t>
      </w:r>
      <w:r w:rsidRPr="00B55EE1">
        <w:t xml:space="preserve"> </w:t>
      </w:r>
      <w:r w:rsidR="00D55C4C">
        <w:t xml:space="preserve">(OPDs) </w:t>
      </w:r>
      <w:r w:rsidRPr="00B55EE1">
        <w:t xml:space="preserve">and other GEDSI-focussed organisations, and strengthening inclusiveness in grants. </w:t>
      </w:r>
    </w:p>
    <w:p w14:paraId="3BE51D10" w14:textId="13692BBF" w:rsidR="00F437D9" w:rsidRPr="006C7AED" w:rsidRDefault="00F437D9" w:rsidP="00962FBE">
      <w:pPr>
        <w:pStyle w:val="ListBullet"/>
      </w:pPr>
      <w:r w:rsidRPr="006C7AED">
        <w:t>DFAT, as the major funder o</w:t>
      </w:r>
      <w:r w:rsidR="00F76B3E">
        <w:t>f</w:t>
      </w:r>
      <w:r w:rsidRPr="006C7AED">
        <w:t xml:space="preserve"> TongaHealth, should provide stronger strategic oversight, and introduce stronger accountability for delivering against the NCD Strategy and Statement of Corporate Intent. </w:t>
      </w:r>
    </w:p>
    <w:p w14:paraId="15A41AF2" w14:textId="77777777" w:rsidR="00560FF7" w:rsidRDefault="00560FF7" w:rsidP="00C9374E">
      <w:pPr>
        <w:pStyle w:val="ListBullet"/>
        <w:sectPr w:rsidR="00560FF7" w:rsidSect="007E3A07">
          <w:footerReference w:type="default" r:id="rId14"/>
          <w:type w:val="continuous"/>
          <w:pgSz w:w="11906" w:h="16838"/>
          <w:pgMar w:top="1440" w:right="1080" w:bottom="1440" w:left="1080" w:header="170" w:footer="340" w:gutter="0"/>
          <w:pgNumType w:fmt="lowerRoman" w:start="1"/>
          <w:cols w:space="720"/>
          <w:docGrid w:linePitch="272"/>
        </w:sectPr>
      </w:pPr>
    </w:p>
    <w:p w14:paraId="792FAA61" w14:textId="3CBF5F31" w:rsidR="002D53B2" w:rsidRPr="00E46FD0" w:rsidRDefault="009E181F" w:rsidP="00DF166F">
      <w:pPr>
        <w:pStyle w:val="Heading1"/>
        <w:spacing w:before="0" w:line="276" w:lineRule="auto"/>
      </w:pPr>
      <w:bookmarkStart w:id="13" w:name="_Toc153899657"/>
      <w:r w:rsidRPr="00E46FD0">
        <w:lastRenderedPageBreak/>
        <w:t>Introduction</w:t>
      </w:r>
      <w:bookmarkEnd w:id="13"/>
    </w:p>
    <w:p w14:paraId="27EC046B" w14:textId="77777777" w:rsidR="00615294" w:rsidRPr="009763C6" w:rsidRDefault="00615294" w:rsidP="00DF166F">
      <w:pPr>
        <w:pStyle w:val="Heading2"/>
        <w:spacing w:line="276" w:lineRule="auto"/>
      </w:pPr>
      <w:bookmarkStart w:id="14" w:name="_Toc101343924"/>
      <w:bookmarkStart w:id="15" w:name="_Toc153899658"/>
      <w:r w:rsidRPr="009763C6">
        <w:t>Background</w:t>
      </w:r>
      <w:bookmarkEnd w:id="14"/>
      <w:bookmarkEnd w:id="15"/>
    </w:p>
    <w:p w14:paraId="247247F4" w14:textId="29F70397" w:rsidR="00615294" w:rsidRDefault="000350FF" w:rsidP="00DF166F">
      <w:pPr>
        <w:spacing w:after="210" w:line="276" w:lineRule="auto"/>
        <w:rPr>
          <w:lang w:eastAsia="en-AU"/>
        </w:rPr>
      </w:pPr>
      <w:r>
        <w:rPr>
          <w:lang w:val="en-GB"/>
        </w:rPr>
        <w:t xml:space="preserve">Tonga’s response to the NCD crisis is guided by the </w:t>
      </w:r>
      <w:r w:rsidR="00615294" w:rsidRPr="00E211BA">
        <w:rPr>
          <w:i/>
          <w:iCs/>
          <w:lang w:eastAsia="en-AU"/>
        </w:rPr>
        <w:t>Tonga National Strategy for the Prevention and Control of Non-communicable Diseases (NCDs) (2021-2025)</w:t>
      </w:r>
      <w:r w:rsidR="00387472">
        <w:rPr>
          <w:lang w:eastAsia="en-AU"/>
        </w:rPr>
        <w:t>, which was endorsed by the National NCD Committee in December 2021.</w:t>
      </w:r>
      <w:r w:rsidR="00615294" w:rsidRPr="00131B67">
        <w:rPr>
          <w:lang w:eastAsia="en-AU"/>
        </w:rPr>
        <w:t xml:space="preserve"> An important participant in the delivery of the</w:t>
      </w:r>
      <w:r>
        <w:rPr>
          <w:lang w:eastAsia="en-AU"/>
        </w:rPr>
        <w:t xml:space="preserve"> NCD</w:t>
      </w:r>
      <w:r w:rsidR="00615294" w:rsidRPr="00131B67">
        <w:rPr>
          <w:lang w:eastAsia="en-AU"/>
        </w:rPr>
        <w:t xml:space="preserve"> Strategy is the Tonga Health Promotion </w:t>
      </w:r>
      <w:r w:rsidR="00615294" w:rsidRPr="00B13117">
        <w:rPr>
          <w:lang w:eastAsia="en-AU"/>
        </w:rPr>
        <w:t>Foundation (</w:t>
      </w:r>
      <w:hyperlink r:id="rId15" w:history="1">
        <w:r w:rsidR="00615294" w:rsidRPr="00B13117">
          <w:rPr>
            <w:rStyle w:val="Hyperlink"/>
            <w:color w:val="auto"/>
            <w:u w:val="none"/>
            <w:lang w:eastAsia="en-AU"/>
          </w:rPr>
          <w:t>TongaHealth</w:t>
        </w:r>
      </w:hyperlink>
      <w:r w:rsidR="00615294" w:rsidRPr="00B13117">
        <w:rPr>
          <w:lang w:eastAsia="en-AU"/>
        </w:rPr>
        <w:t>),</w:t>
      </w:r>
      <w:r w:rsidR="00615294" w:rsidRPr="00131B67">
        <w:rPr>
          <w:lang w:eastAsia="en-AU"/>
        </w:rPr>
        <w:t xml:space="preserve"> which was established </w:t>
      </w:r>
      <w:r w:rsidR="00BB45AE">
        <w:rPr>
          <w:lang w:eastAsia="en-AU"/>
        </w:rPr>
        <w:t xml:space="preserve">as in independent body </w:t>
      </w:r>
      <w:r w:rsidR="00615294" w:rsidRPr="00131B67">
        <w:rPr>
          <w:lang w:eastAsia="en-AU"/>
        </w:rPr>
        <w:t>by the Health Promotion Foundation Act 2007 (revised 2020)</w:t>
      </w:r>
      <w:r w:rsidR="00BB45AE">
        <w:rPr>
          <w:lang w:eastAsia="en-AU"/>
        </w:rPr>
        <w:t>, with</w:t>
      </w:r>
      <w:r w:rsidR="00093485">
        <w:t xml:space="preserve"> a mandate to engage in a range of health promotion and policy activities and to coordinate and monitor implementation of national NCD strategies</w:t>
      </w:r>
      <w:r w:rsidR="00615294" w:rsidRPr="00131B67">
        <w:rPr>
          <w:lang w:eastAsia="en-AU"/>
        </w:rPr>
        <w:t xml:space="preserve">. </w:t>
      </w:r>
      <w:r w:rsidR="00BB45AE">
        <w:rPr>
          <w:lang w:eastAsia="en-AU"/>
        </w:rPr>
        <w:t xml:space="preserve">TongaHealth’s vision is for a </w:t>
      </w:r>
      <w:r w:rsidR="00BB45AE" w:rsidRPr="00851B26">
        <w:rPr>
          <w:i/>
          <w:iCs/>
          <w:lang w:eastAsia="en-AU"/>
        </w:rPr>
        <w:t>“Healthy Tonga, where everyone is responsible for promoting health and everyone shares in the benefits of a healthy population”</w:t>
      </w:r>
      <w:r w:rsidR="00093485">
        <w:rPr>
          <w:lang w:eastAsia="en-AU"/>
        </w:rPr>
        <w:t xml:space="preserve">. </w:t>
      </w:r>
    </w:p>
    <w:p w14:paraId="74CEBA9F" w14:textId="434E9C06" w:rsidR="00093485" w:rsidRDefault="00C36C84" w:rsidP="00DF166F">
      <w:pPr>
        <w:spacing w:line="276" w:lineRule="auto"/>
      </w:pPr>
      <w:r w:rsidRPr="00940AA1">
        <w:t>While TongaHealth’s most</w:t>
      </w:r>
      <w:r w:rsidR="00093485" w:rsidRPr="00940AA1">
        <w:t xml:space="preserve"> visible role i</w:t>
      </w:r>
      <w:r w:rsidRPr="00940AA1">
        <w:t>s</w:t>
      </w:r>
      <w:r w:rsidR="00093485" w:rsidRPr="00940AA1">
        <w:t xml:space="preserve"> administering and financing grants for activities that support NCD prevention, </w:t>
      </w:r>
      <w:r w:rsidRPr="00940AA1">
        <w:t xml:space="preserve">the NCD Strategy notes that </w:t>
      </w:r>
      <w:r w:rsidR="00093485" w:rsidRPr="00940AA1">
        <w:t xml:space="preserve">TongaHealth also plays a key role in </w:t>
      </w:r>
      <w:proofErr w:type="spellStart"/>
      <w:r w:rsidR="00093485" w:rsidRPr="00940AA1">
        <w:t>mobilising</w:t>
      </w:r>
      <w:proofErr w:type="spellEnd"/>
      <w:r w:rsidR="00093485" w:rsidRPr="00940AA1">
        <w:t xml:space="preserve"> and engaging stakeholders, particularly at the community and </w:t>
      </w:r>
      <w:r w:rsidR="00B13117" w:rsidRPr="00940AA1">
        <w:t>civil society</w:t>
      </w:r>
      <w:r w:rsidR="00093485" w:rsidRPr="00940AA1">
        <w:t xml:space="preserve"> levels, to support </w:t>
      </w:r>
      <w:r w:rsidR="00B13117" w:rsidRPr="00940AA1">
        <w:t>the Ministry of Health</w:t>
      </w:r>
      <w:r w:rsidR="00093485" w:rsidRPr="00940AA1">
        <w:t>’s</w:t>
      </w:r>
      <w:r w:rsidR="00B13117" w:rsidRPr="00940AA1">
        <w:t xml:space="preserve"> (MoH)</w:t>
      </w:r>
      <w:r w:rsidR="00093485" w:rsidRPr="00940AA1">
        <w:t xml:space="preserve"> health promotion and disease prevention activities.</w:t>
      </w:r>
      <w:r w:rsidR="00093485">
        <w:t xml:space="preserve"> This includes the facilitation and coordination of activities, </w:t>
      </w:r>
      <w:proofErr w:type="gramStart"/>
      <w:r w:rsidR="00093485">
        <w:t>meetings</w:t>
      </w:r>
      <w:proofErr w:type="gramEnd"/>
      <w:r w:rsidR="00093485">
        <w:t xml:space="preserve"> and dialogues among stakeholders.</w:t>
      </w:r>
      <w:r>
        <w:t xml:space="preserve"> The NCD Strategy </w:t>
      </w:r>
      <w:r w:rsidR="00A62D6A">
        <w:t>describes</w:t>
      </w:r>
      <w:r>
        <w:t xml:space="preserve"> TongaHealth </w:t>
      </w:r>
      <w:r w:rsidR="00A62D6A">
        <w:t xml:space="preserve">as having </w:t>
      </w:r>
      <w:r w:rsidR="00843AD1">
        <w:t>six functions</w:t>
      </w:r>
      <w:r w:rsidR="005A12CB">
        <w:t xml:space="preserve">: </w:t>
      </w:r>
      <w:r w:rsidR="00E83D8F">
        <w:t>s</w:t>
      </w:r>
      <w:r w:rsidR="005A12CB">
        <w:t xml:space="preserve">takeholder engagement; </w:t>
      </w:r>
      <w:r w:rsidR="00E83D8F">
        <w:t>g</w:t>
      </w:r>
      <w:r w:rsidR="005A12CB">
        <w:t xml:space="preserve">rant administration; </w:t>
      </w:r>
      <w:r w:rsidR="00E83D8F">
        <w:t>m</w:t>
      </w:r>
      <w:r w:rsidR="005A12CB">
        <w:t xml:space="preserve">onitoring, </w:t>
      </w:r>
      <w:proofErr w:type="gramStart"/>
      <w:r w:rsidR="005A12CB">
        <w:t>evaluation</w:t>
      </w:r>
      <w:proofErr w:type="gramEnd"/>
      <w:r w:rsidR="005A12CB">
        <w:t xml:space="preserve"> and research; </w:t>
      </w:r>
      <w:r w:rsidR="00E83D8F">
        <w:t>r</w:t>
      </w:r>
      <w:r w:rsidR="005A12CB">
        <w:t xml:space="preserve">esource </w:t>
      </w:r>
      <w:proofErr w:type="spellStart"/>
      <w:r w:rsidR="005A12CB">
        <w:t>mobilisation</w:t>
      </w:r>
      <w:proofErr w:type="spellEnd"/>
      <w:r w:rsidR="005A12CB">
        <w:t xml:space="preserve">; </w:t>
      </w:r>
      <w:r w:rsidR="00E83D8F">
        <w:t>p</w:t>
      </w:r>
      <w:r w:rsidR="005A12CB">
        <w:t xml:space="preserve">olicy development, and </w:t>
      </w:r>
      <w:r w:rsidR="00E83D8F">
        <w:t>f</w:t>
      </w:r>
      <w:r w:rsidR="005A12CB">
        <w:t xml:space="preserve">acilitation and coordination. </w:t>
      </w:r>
    </w:p>
    <w:p w14:paraId="465B3862" w14:textId="2F723635" w:rsidR="00E54405" w:rsidRDefault="00851B26" w:rsidP="00DF166F">
      <w:pPr>
        <w:spacing w:before="120" w:line="276" w:lineRule="auto"/>
      </w:pPr>
      <w:bookmarkStart w:id="16" w:name="_Hlk148949719"/>
      <w:r>
        <w:rPr>
          <w:lang w:eastAsia="en-AU"/>
        </w:rPr>
        <w:t xml:space="preserve">The Government of </w:t>
      </w:r>
      <w:r w:rsidR="00615294" w:rsidRPr="0C2689FC">
        <w:rPr>
          <w:lang w:eastAsia="en-AU"/>
        </w:rPr>
        <w:t xml:space="preserve">Australia has been supporting </w:t>
      </w:r>
      <w:r w:rsidR="00615294">
        <w:rPr>
          <w:lang w:eastAsia="en-AU"/>
        </w:rPr>
        <w:t>TongaHealth</w:t>
      </w:r>
      <w:r w:rsidR="00615294" w:rsidRPr="0C2689FC">
        <w:rPr>
          <w:lang w:eastAsia="en-AU"/>
        </w:rPr>
        <w:t xml:space="preserve"> since 2009 through the </w:t>
      </w:r>
      <w:r w:rsidR="00615294">
        <w:t>Tonga Health Systems Support Program (THSSP), most recently involving a combination of technical assistance and grants</w:t>
      </w:r>
      <w:r w:rsidR="00615294" w:rsidRPr="0C2689FC">
        <w:rPr>
          <w:lang w:eastAsia="en-AU"/>
        </w:rPr>
        <w:t>.</w:t>
      </w:r>
      <w:r w:rsidR="00432459">
        <w:rPr>
          <w:lang w:eastAsia="en-AU"/>
        </w:rPr>
        <w:t xml:space="preserve"> Within the period of the current NCD Strategy, this has been</w:t>
      </w:r>
      <w:r w:rsidR="00A312FF">
        <w:rPr>
          <w:lang w:eastAsia="en-AU"/>
        </w:rPr>
        <w:t xml:space="preserve"> via a Complex Grant Agreement </w:t>
      </w:r>
      <w:r w:rsidR="006A757E">
        <w:rPr>
          <w:lang w:eastAsia="en-AU"/>
        </w:rPr>
        <w:t xml:space="preserve">for the period </w:t>
      </w:r>
      <w:r w:rsidR="00B43374">
        <w:rPr>
          <w:lang w:eastAsia="en-AU"/>
        </w:rPr>
        <w:t xml:space="preserve">2016 to </w:t>
      </w:r>
      <w:r w:rsidR="005F2B4E">
        <w:rPr>
          <w:lang w:eastAsia="en-AU"/>
        </w:rPr>
        <w:t>2021</w:t>
      </w:r>
      <w:r w:rsidR="00A312FF">
        <w:rPr>
          <w:lang w:eastAsia="en-AU"/>
        </w:rPr>
        <w:t xml:space="preserve">; </w:t>
      </w:r>
      <w:r w:rsidR="00EF0673">
        <w:rPr>
          <w:lang w:eastAsia="en-AU"/>
        </w:rPr>
        <w:t>a</w:t>
      </w:r>
      <w:r w:rsidR="00586CB4">
        <w:rPr>
          <w:lang w:eastAsia="en-AU"/>
        </w:rPr>
        <w:t>nd a</w:t>
      </w:r>
      <w:r w:rsidR="00EF0673">
        <w:rPr>
          <w:lang w:eastAsia="en-AU"/>
        </w:rPr>
        <w:t xml:space="preserve">n </w:t>
      </w:r>
      <w:r w:rsidR="00C02413">
        <w:rPr>
          <w:lang w:eastAsia="en-AU"/>
        </w:rPr>
        <w:t>AUD</w:t>
      </w:r>
      <w:r w:rsidR="00D54886">
        <w:rPr>
          <w:lang w:eastAsia="en-AU"/>
        </w:rPr>
        <w:t xml:space="preserve"> 0.3 million </w:t>
      </w:r>
      <w:r w:rsidR="00EF0673">
        <w:rPr>
          <w:lang w:eastAsia="en-AU"/>
        </w:rPr>
        <w:t>Interim Cash Grant from</w:t>
      </w:r>
      <w:r w:rsidR="00A62D6A">
        <w:rPr>
          <w:lang w:eastAsia="en-AU"/>
        </w:rPr>
        <w:t xml:space="preserve"> the Department of Foreign Affairs and Trade (</w:t>
      </w:r>
      <w:r w:rsidR="00EF0673">
        <w:rPr>
          <w:lang w:eastAsia="en-AU"/>
        </w:rPr>
        <w:t>DFAT</w:t>
      </w:r>
      <w:r w:rsidR="00A62D6A">
        <w:rPr>
          <w:lang w:eastAsia="en-AU"/>
        </w:rPr>
        <w:t>)</w:t>
      </w:r>
      <w:r w:rsidR="00EF0673">
        <w:rPr>
          <w:lang w:eastAsia="en-AU"/>
        </w:rPr>
        <w:t xml:space="preserve"> to TongaHealth </w:t>
      </w:r>
      <w:r w:rsidR="00D91520">
        <w:rPr>
          <w:lang w:eastAsia="en-AU"/>
        </w:rPr>
        <w:t xml:space="preserve">for the period </w:t>
      </w:r>
      <w:r w:rsidR="006944A7" w:rsidRPr="00C72BB4">
        <w:rPr>
          <w:lang w:eastAsia="en-AU"/>
        </w:rPr>
        <w:t>December 2021</w:t>
      </w:r>
      <w:r w:rsidR="0057143A" w:rsidRPr="00C72BB4">
        <w:rPr>
          <w:lang w:eastAsia="en-AU"/>
        </w:rPr>
        <w:t xml:space="preserve"> </w:t>
      </w:r>
      <w:r w:rsidR="00342BFD" w:rsidRPr="00C72BB4">
        <w:rPr>
          <w:lang w:eastAsia="en-AU"/>
        </w:rPr>
        <w:t>to June 2023 (19 months)</w:t>
      </w:r>
      <w:r w:rsidR="00D91520">
        <w:rPr>
          <w:lang w:eastAsia="en-AU"/>
        </w:rPr>
        <w:t xml:space="preserve"> (to cover the gap between the end of THSSP Phase 2 in September 2021 and the signing of the THSSP3 Pha</w:t>
      </w:r>
      <w:r w:rsidR="00586CB4">
        <w:rPr>
          <w:lang w:eastAsia="en-AU"/>
        </w:rPr>
        <w:t>se 3 funding agreement</w:t>
      </w:r>
      <w:r w:rsidR="006D040A">
        <w:rPr>
          <w:lang w:eastAsia="en-AU"/>
        </w:rPr>
        <w:t xml:space="preserve"> in June 2023</w:t>
      </w:r>
      <w:r w:rsidR="00586CB4">
        <w:rPr>
          <w:lang w:eastAsia="en-AU"/>
        </w:rPr>
        <w:t xml:space="preserve">). </w:t>
      </w:r>
      <w:r w:rsidR="006D040A">
        <w:rPr>
          <w:lang w:eastAsia="en-AU"/>
        </w:rPr>
        <w:t>Under Pha</w:t>
      </w:r>
      <w:r w:rsidR="00583456">
        <w:rPr>
          <w:lang w:eastAsia="en-AU"/>
        </w:rPr>
        <w:t xml:space="preserve">se 3 of THSSP, </w:t>
      </w:r>
      <w:r w:rsidR="00FF2031">
        <w:rPr>
          <w:lang w:eastAsia="en-AU"/>
        </w:rPr>
        <w:t xml:space="preserve">TongaHealth </w:t>
      </w:r>
      <w:r w:rsidR="00DF15B4">
        <w:rPr>
          <w:lang w:eastAsia="en-AU"/>
        </w:rPr>
        <w:t>w</w:t>
      </w:r>
      <w:r w:rsidR="00C36C84">
        <w:t xml:space="preserve">ill receive </w:t>
      </w:r>
      <w:r w:rsidR="00F02B23">
        <w:t xml:space="preserve">AUD1.8 million </w:t>
      </w:r>
      <w:r w:rsidR="00D379B0">
        <w:t xml:space="preserve">in the period June 2023 to June 2025, </w:t>
      </w:r>
      <w:r w:rsidR="00C36C84">
        <w:t>with the option of absorbing up to an additional AUD</w:t>
      </w:r>
      <w:r w:rsidR="00D379B0">
        <w:t xml:space="preserve"> 0.6 million ov</w:t>
      </w:r>
      <w:r w:rsidR="00C36C84">
        <w:t xml:space="preserve">er the life of the program should critical needs be </w:t>
      </w:r>
      <w:proofErr w:type="gramStart"/>
      <w:r w:rsidR="00C36C84">
        <w:t>identified</w:t>
      </w:r>
      <w:proofErr w:type="gramEnd"/>
      <w:r w:rsidR="00F74929">
        <w:t xml:space="preserve"> </w:t>
      </w:r>
      <w:r w:rsidR="00C36C84">
        <w:t>and funding is available.</w:t>
      </w:r>
      <w:r w:rsidR="002955CA">
        <w:t xml:space="preserve"> Within the </w:t>
      </w:r>
      <w:r w:rsidR="008F16AF">
        <w:t xml:space="preserve">grant funding, resources are specifically allocated to </w:t>
      </w:r>
      <w:r w:rsidR="00C36C84">
        <w:t xml:space="preserve">fund the </w:t>
      </w:r>
      <w:r w:rsidR="00F74929">
        <w:t>Monitoring and Evaluation (</w:t>
      </w:r>
      <w:r w:rsidR="00C36C84">
        <w:t>M&amp;E</w:t>
      </w:r>
      <w:r w:rsidR="00F74929">
        <w:t>)</w:t>
      </w:r>
      <w:r w:rsidR="00C36C84">
        <w:t xml:space="preserve"> Manager and Finance Manager positions within TongaHealth</w:t>
      </w:r>
      <w:r w:rsidR="008F16AF">
        <w:t xml:space="preserve">. In addition, </w:t>
      </w:r>
      <w:r w:rsidR="00F74929">
        <w:t>the THSSP3 NCD Adviser work</w:t>
      </w:r>
      <w:r w:rsidR="00C36C84">
        <w:t>s within TongaHealth to provide technical expertise and promote institutional strengthening. Ongoing program management and oversight of THSSP3 is provided by the Tonga Australia Support Platform (TASP)</w:t>
      </w:r>
      <w:r w:rsidR="004861B8">
        <w:t xml:space="preserve">, </w:t>
      </w:r>
      <w:r w:rsidR="0048774E">
        <w:t>including</w:t>
      </w:r>
      <w:r w:rsidR="004861B8">
        <w:t xml:space="preserve"> the THSSP3 Lead Adviser/Team Leader who is embedded in the Ministry of Health</w:t>
      </w:r>
      <w:r w:rsidR="00C36C84">
        <w:t xml:space="preserve">. TASP is the development delivery contractor </w:t>
      </w:r>
      <w:proofErr w:type="spellStart"/>
      <w:r w:rsidR="00C36C84">
        <w:t>mobilised</w:t>
      </w:r>
      <w:proofErr w:type="spellEnd"/>
      <w:r w:rsidR="00C36C84">
        <w:t xml:space="preserve"> by DFAT to support the Australian development program in Tonga. TASP also provides access to a Technical Adviser (TA) pool, which TongaHealth can draw on to support its work. </w:t>
      </w:r>
    </w:p>
    <w:p w14:paraId="40822DC5" w14:textId="628CD806" w:rsidR="00E54405" w:rsidRPr="00C36C84" w:rsidRDefault="00E54405" w:rsidP="00DF166F">
      <w:pPr>
        <w:spacing w:before="100" w:beforeAutospacing="1" w:after="100" w:afterAutospacing="1" w:line="276" w:lineRule="auto"/>
      </w:pPr>
      <w:r>
        <w:t xml:space="preserve">In addition to DFAT funding, TongaHealth receives </w:t>
      </w:r>
      <w:r w:rsidR="00793437">
        <w:t>recurrent Government of Tonga (</w:t>
      </w:r>
      <w:proofErr w:type="spellStart"/>
      <w:r w:rsidR="00793437">
        <w:t>GoT</w:t>
      </w:r>
      <w:proofErr w:type="spellEnd"/>
      <w:r w:rsidR="00793437">
        <w:t>) funding of TOP 0.</w:t>
      </w:r>
      <w:r w:rsidR="00193AEB">
        <w:t>6</w:t>
      </w:r>
      <w:r w:rsidR="00793437">
        <w:t xml:space="preserve"> million </w:t>
      </w:r>
      <w:r w:rsidR="004C00E6">
        <w:t>per year</w:t>
      </w:r>
      <w:r w:rsidR="00E83D8F">
        <w:t xml:space="preserve"> (</w:t>
      </w:r>
      <w:r w:rsidR="00BF3843">
        <w:t>reduced to TOP 0.5 million for FY23/24</w:t>
      </w:r>
      <w:r w:rsidR="00E83D8F">
        <w:t>)</w:t>
      </w:r>
      <w:r w:rsidR="00BF3843">
        <w:t>.</w:t>
      </w:r>
    </w:p>
    <w:p w14:paraId="0A8A9798" w14:textId="77777777" w:rsidR="00615294" w:rsidRPr="009763C6" w:rsidRDefault="00615294" w:rsidP="00DF166F">
      <w:pPr>
        <w:pStyle w:val="Heading2"/>
        <w:spacing w:line="276" w:lineRule="auto"/>
      </w:pPr>
      <w:bookmarkStart w:id="17" w:name="_Toc101343925"/>
      <w:bookmarkStart w:id="18" w:name="_Toc153899659"/>
      <w:bookmarkEnd w:id="16"/>
      <w:r w:rsidRPr="009763C6">
        <w:t>Review Purpose</w:t>
      </w:r>
      <w:bookmarkEnd w:id="17"/>
      <w:bookmarkEnd w:id="18"/>
    </w:p>
    <w:p w14:paraId="247647A2" w14:textId="0981159C" w:rsidR="00C36C84" w:rsidRDefault="00C36C84" w:rsidP="00DF166F">
      <w:pPr>
        <w:spacing w:before="120" w:line="276" w:lineRule="auto"/>
        <w:rPr>
          <w:lang w:val="en-GB"/>
        </w:rPr>
      </w:pPr>
      <w:r>
        <w:rPr>
          <w:lang w:val="en-GB"/>
        </w:rPr>
        <w:t xml:space="preserve">Given 2023 is the midpoint of the NCD Strategy, it is </w:t>
      </w:r>
      <w:r>
        <w:rPr>
          <w:lang w:eastAsia="en-AU"/>
        </w:rPr>
        <w:t xml:space="preserve">timely to review TongaHealth’s progress and contributions. The Australian High Commission in Tonga has commissioned this review, to </w:t>
      </w:r>
      <w:r w:rsidR="00770F43">
        <w:rPr>
          <w:lang w:eastAsia="en-AU"/>
        </w:rPr>
        <w:t xml:space="preserve">guide </w:t>
      </w:r>
      <w:r>
        <w:rPr>
          <w:lang w:eastAsia="en-AU"/>
        </w:rPr>
        <w:t xml:space="preserve">Australia’s partnership with TongaHealth, and provide recommendations to </w:t>
      </w:r>
      <w:proofErr w:type="spellStart"/>
      <w:r>
        <w:rPr>
          <w:lang w:eastAsia="en-AU"/>
        </w:rPr>
        <w:t>maximise</w:t>
      </w:r>
      <w:proofErr w:type="spellEnd"/>
      <w:r>
        <w:rPr>
          <w:lang w:eastAsia="en-AU"/>
        </w:rPr>
        <w:t xml:space="preserve"> TongaHealth’s impact in the final two years of the implementation of the NCD Strategy and beyond.  </w:t>
      </w:r>
    </w:p>
    <w:p w14:paraId="01E666EF" w14:textId="77777777" w:rsidR="00615294" w:rsidRDefault="00615294" w:rsidP="00DF166F">
      <w:pPr>
        <w:spacing w:before="120" w:line="276" w:lineRule="auto"/>
        <w:rPr>
          <w:lang w:val="en-GB"/>
        </w:rPr>
      </w:pPr>
      <w:r>
        <w:rPr>
          <w:lang w:val="en-GB"/>
        </w:rPr>
        <w:t>The purpose of the Review is to:</w:t>
      </w:r>
    </w:p>
    <w:p w14:paraId="7F078196" w14:textId="77777777" w:rsidR="00615294" w:rsidRPr="00824B55" w:rsidRDefault="00615294" w:rsidP="00C9374E">
      <w:pPr>
        <w:pStyle w:val="ListBullet"/>
      </w:pPr>
      <w:r w:rsidRPr="00824B55">
        <w:t xml:space="preserve">Consider the effectiveness of TongaHealth’s contribution to the implementation of the NCD </w:t>
      </w:r>
      <w:proofErr w:type="gramStart"/>
      <w:r w:rsidRPr="00824B55">
        <w:t>Strategy;</w:t>
      </w:r>
      <w:proofErr w:type="gramEnd"/>
    </w:p>
    <w:p w14:paraId="5E03627C" w14:textId="77777777" w:rsidR="00615294" w:rsidRPr="00824B55" w:rsidRDefault="00615294" w:rsidP="00C9374E">
      <w:pPr>
        <w:pStyle w:val="ListBullet"/>
      </w:pPr>
      <w:r w:rsidRPr="00824B55">
        <w:t>Recommend practical ways for TongaHealth to improve the effectiveness of its contribution to the Strategy specifically in the remaining two years, and beyond into the future; and</w:t>
      </w:r>
    </w:p>
    <w:p w14:paraId="110EDA30" w14:textId="3826C3FC" w:rsidR="00615294" w:rsidRPr="00824B55" w:rsidRDefault="00615294" w:rsidP="00C9374E">
      <w:pPr>
        <w:pStyle w:val="ListBullet"/>
      </w:pPr>
      <w:r w:rsidRPr="00824B55">
        <w:t xml:space="preserve">Recommend practical ways for Australia to better support TongaHealth </w:t>
      </w:r>
      <w:r w:rsidR="00D93E7B">
        <w:t>under its current partnership</w:t>
      </w:r>
      <w:r w:rsidRPr="00824B55">
        <w:t>.</w:t>
      </w:r>
    </w:p>
    <w:p w14:paraId="01D51BB6" w14:textId="42AD63DB" w:rsidR="00615294" w:rsidRPr="009763C6" w:rsidRDefault="00615294" w:rsidP="00DF166F">
      <w:pPr>
        <w:pStyle w:val="Heading2"/>
        <w:spacing w:line="276" w:lineRule="auto"/>
      </w:pPr>
      <w:bookmarkStart w:id="19" w:name="_Toc101343926"/>
      <w:bookmarkStart w:id="20" w:name="_Toc153899660"/>
      <w:r w:rsidRPr="009763C6">
        <w:lastRenderedPageBreak/>
        <w:t>Review Scope</w:t>
      </w:r>
      <w:bookmarkEnd w:id="19"/>
      <w:bookmarkEnd w:id="20"/>
    </w:p>
    <w:p w14:paraId="6794D867" w14:textId="7181AA46" w:rsidR="00615294" w:rsidRPr="00832B55" w:rsidRDefault="00615294" w:rsidP="00DF166F">
      <w:pPr>
        <w:spacing w:before="120" w:line="276" w:lineRule="auto"/>
      </w:pPr>
      <w:r w:rsidRPr="00D93E7B">
        <w:rPr>
          <w:lang w:val="en-GB"/>
        </w:rPr>
        <w:t xml:space="preserve">The Review is primarily focussed on TongaHealth’s technical work. DFAT requested the Review focus on four key areas: the </w:t>
      </w:r>
      <w:r w:rsidRPr="00D93E7B">
        <w:rPr>
          <w:b/>
          <w:bCs/>
          <w:lang w:val="en-GB"/>
        </w:rPr>
        <w:t>effectiveness</w:t>
      </w:r>
      <w:r w:rsidRPr="00D93E7B">
        <w:rPr>
          <w:lang w:val="en-GB"/>
        </w:rPr>
        <w:t xml:space="preserve"> of TongaHealth’s technical work; TongaHealth’s </w:t>
      </w:r>
      <w:r w:rsidRPr="00D93E7B">
        <w:rPr>
          <w:b/>
          <w:bCs/>
          <w:lang w:val="en-GB"/>
        </w:rPr>
        <w:t>coordination and engagement</w:t>
      </w:r>
      <w:r w:rsidRPr="00D93E7B">
        <w:rPr>
          <w:lang w:val="en-GB"/>
        </w:rPr>
        <w:t xml:space="preserve"> with other stakeholders; the </w:t>
      </w:r>
      <w:r w:rsidRPr="00D93E7B">
        <w:rPr>
          <w:b/>
          <w:bCs/>
          <w:lang w:val="en-GB"/>
        </w:rPr>
        <w:t>relevance</w:t>
      </w:r>
      <w:r w:rsidRPr="00D93E7B">
        <w:rPr>
          <w:lang w:val="en-GB"/>
        </w:rPr>
        <w:t xml:space="preserve"> of TongaHealth’s work to the mandate articulated in the NCD Strategy; and TongaHealth’s approach to</w:t>
      </w:r>
      <w:r w:rsidR="001F41AF" w:rsidRPr="00D93E7B">
        <w:rPr>
          <w:lang w:val="en-GB"/>
        </w:rPr>
        <w:t xml:space="preserve"> </w:t>
      </w:r>
      <w:r w:rsidR="001F41AF" w:rsidRPr="00D93E7B">
        <w:rPr>
          <w:b/>
          <w:bCs/>
          <w:lang w:val="en-GB"/>
        </w:rPr>
        <w:t xml:space="preserve">gender equality, </w:t>
      </w:r>
      <w:proofErr w:type="gramStart"/>
      <w:r w:rsidR="001F41AF" w:rsidRPr="00D93E7B">
        <w:rPr>
          <w:b/>
          <w:bCs/>
          <w:lang w:val="en-GB"/>
        </w:rPr>
        <w:t>disability</w:t>
      </w:r>
      <w:proofErr w:type="gramEnd"/>
      <w:r w:rsidR="001F41AF" w:rsidRPr="00D93E7B">
        <w:rPr>
          <w:b/>
          <w:bCs/>
          <w:lang w:val="en-GB"/>
        </w:rPr>
        <w:t xml:space="preserve"> and social inclusion</w:t>
      </w:r>
      <w:r w:rsidR="001F41AF" w:rsidRPr="00D93E7B">
        <w:rPr>
          <w:lang w:val="en-GB"/>
        </w:rPr>
        <w:t xml:space="preserve"> (</w:t>
      </w:r>
      <w:r w:rsidRPr="00D93E7B">
        <w:rPr>
          <w:lang w:val="en-GB"/>
        </w:rPr>
        <w:t>GEDSI</w:t>
      </w:r>
      <w:r w:rsidR="006F197C" w:rsidRPr="00D93E7B">
        <w:rPr>
          <w:lang w:val="en-GB"/>
        </w:rPr>
        <w:t>)</w:t>
      </w:r>
      <w:r w:rsidRPr="00D93E7B">
        <w:rPr>
          <w:lang w:val="en-GB"/>
        </w:rPr>
        <w:t>.</w:t>
      </w:r>
    </w:p>
    <w:p w14:paraId="072FA227" w14:textId="77777777" w:rsidR="00615294" w:rsidRPr="009763C6" w:rsidRDefault="00615294" w:rsidP="00DF166F">
      <w:pPr>
        <w:pStyle w:val="Heading1"/>
        <w:spacing w:line="276" w:lineRule="auto"/>
      </w:pPr>
      <w:bookmarkStart w:id="21" w:name="_Toc101343927"/>
      <w:bookmarkStart w:id="22" w:name="_Toc153899661"/>
      <w:r w:rsidRPr="009763C6">
        <w:t>Methodology</w:t>
      </w:r>
      <w:bookmarkEnd w:id="21"/>
      <w:bookmarkEnd w:id="22"/>
    </w:p>
    <w:p w14:paraId="684AC5F6" w14:textId="77777777" w:rsidR="00615294" w:rsidRPr="009763C6" w:rsidRDefault="00615294" w:rsidP="00DF166F">
      <w:pPr>
        <w:pStyle w:val="Heading2"/>
        <w:spacing w:line="276" w:lineRule="auto"/>
      </w:pPr>
      <w:bookmarkStart w:id="23" w:name="_Toc101343929"/>
      <w:bookmarkStart w:id="24" w:name="_Toc153899662"/>
      <w:r w:rsidRPr="009763C6">
        <w:t>Key Review Questions</w:t>
      </w:r>
      <w:bookmarkEnd w:id="23"/>
      <w:bookmarkEnd w:id="24"/>
      <w:r w:rsidRPr="009763C6">
        <w:t> </w:t>
      </w:r>
    </w:p>
    <w:p w14:paraId="17994CEE" w14:textId="4421DB72" w:rsidR="00615294" w:rsidRPr="009763C6" w:rsidRDefault="00615294" w:rsidP="00DF166F">
      <w:pPr>
        <w:spacing w:after="210" w:line="276" w:lineRule="auto"/>
      </w:pPr>
      <w:r w:rsidRPr="009763C6">
        <w:t xml:space="preserve">The Key Review Questions (KRQs) are listed below. </w:t>
      </w:r>
      <w:r w:rsidR="006F197C">
        <w:t xml:space="preserve">Underneath each KRQ are more detailed sub-questions. These are provided in </w:t>
      </w:r>
      <w:r w:rsidR="001D5F6B" w:rsidRPr="00E053DA">
        <w:t>Annex</w:t>
      </w:r>
      <w:r w:rsidR="001D5F6B">
        <w:t xml:space="preserve"> </w:t>
      </w:r>
      <w:r w:rsidR="001D5F6B">
        <w:rPr>
          <w:highlight w:val="yellow"/>
        </w:rPr>
        <w:fldChar w:fldCharType="begin"/>
      </w:r>
      <w:r w:rsidR="001D5F6B">
        <w:instrText xml:space="preserve"> REF _Ref151473919 \r \h </w:instrText>
      </w:r>
      <w:r w:rsidR="00971A95">
        <w:rPr>
          <w:highlight w:val="yellow"/>
        </w:rPr>
        <w:instrText xml:space="preserve"> \* MERGEFORMAT </w:instrText>
      </w:r>
      <w:r w:rsidR="001D5F6B">
        <w:rPr>
          <w:highlight w:val="yellow"/>
        </w:rPr>
      </w:r>
      <w:r w:rsidR="001D5F6B">
        <w:rPr>
          <w:highlight w:val="yellow"/>
        </w:rPr>
        <w:fldChar w:fldCharType="separate"/>
      </w:r>
      <w:r w:rsidR="00A95913">
        <w:t>4.1</w:t>
      </w:r>
      <w:r w:rsidR="001D5F6B">
        <w:rPr>
          <w:highlight w:val="yellow"/>
        </w:rPr>
        <w:fldChar w:fldCharType="end"/>
      </w:r>
      <w:r w:rsidRPr="009763C6">
        <w:t xml:space="preserve"> and used as sub-headings for presenting the findings. </w:t>
      </w:r>
    </w:p>
    <w:p w14:paraId="6F2902C7" w14:textId="028E4C36" w:rsidR="00615294" w:rsidRPr="00CE18EF" w:rsidRDefault="00615294" w:rsidP="00C9374E">
      <w:pPr>
        <w:pStyle w:val="ListBullet"/>
        <w:numPr>
          <w:ilvl w:val="0"/>
          <w:numId w:val="15"/>
        </w:numPr>
      </w:pPr>
      <w:r w:rsidRPr="00272D3D">
        <w:rPr>
          <w:b/>
        </w:rPr>
        <w:t>KRQ1: Effectiveness:</w:t>
      </w:r>
      <w:r w:rsidRPr="00CE18EF">
        <w:t xml:space="preserve"> To what extent is TongaHealth on track to deliver on its mandate under the </w:t>
      </w:r>
      <w:r w:rsidR="00E203EA" w:rsidRPr="00CE18EF">
        <w:t>NCD Strategy</w:t>
      </w:r>
      <w:r w:rsidRPr="00CE18EF">
        <w:t xml:space="preserve"> by 2025?</w:t>
      </w:r>
    </w:p>
    <w:p w14:paraId="135C6E9A" w14:textId="77777777" w:rsidR="00615294" w:rsidRPr="00CE18EF" w:rsidRDefault="00615294" w:rsidP="00C9374E">
      <w:pPr>
        <w:pStyle w:val="ListBullet"/>
        <w:numPr>
          <w:ilvl w:val="0"/>
          <w:numId w:val="15"/>
        </w:numPr>
      </w:pPr>
      <w:r w:rsidRPr="00272D3D">
        <w:rPr>
          <w:b/>
        </w:rPr>
        <w:t>KRQ2: Coherence:</w:t>
      </w:r>
      <w:r w:rsidRPr="00CE18EF">
        <w:t xml:space="preserve"> To what extent does TongaHealth effectively coordinate with and share learnings with other Tonga public health stakeholders?</w:t>
      </w:r>
    </w:p>
    <w:p w14:paraId="5C0BC968" w14:textId="77777777" w:rsidR="00615294" w:rsidRPr="00CE18EF" w:rsidRDefault="00615294" w:rsidP="00C9374E">
      <w:pPr>
        <w:pStyle w:val="ListBullet"/>
        <w:numPr>
          <w:ilvl w:val="0"/>
          <w:numId w:val="15"/>
        </w:numPr>
      </w:pPr>
      <w:r w:rsidRPr="00272D3D">
        <w:rPr>
          <w:b/>
        </w:rPr>
        <w:t>KRQ3: Relevance:</w:t>
      </w:r>
      <w:r w:rsidRPr="00CE18EF">
        <w:t xml:space="preserve"> To what extent does TongaHealth’s work remain relevant to deliver on its mandate?</w:t>
      </w:r>
    </w:p>
    <w:p w14:paraId="4B3A9537" w14:textId="77777777" w:rsidR="00615294" w:rsidRPr="00CE18EF" w:rsidRDefault="00615294" w:rsidP="00C9374E">
      <w:pPr>
        <w:pStyle w:val="ListBullet"/>
        <w:numPr>
          <w:ilvl w:val="0"/>
          <w:numId w:val="15"/>
        </w:numPr>
      </w:pPr>
      <w:r w:rsidRPr="00272D3D">
        <w:rPr>
          <w:b/>
        </w:rPr>
        <w:t>KRQ4: GEDSI / Equity:</w:t>
      </w:r>
      <w:r w:rsidRPr="00CE18EF">
        <w:t xml:space="preserve"> To what extent is TongaHealth actively and effectively addressing the needs of disadvantaged and marginalised groups?</w:t>
      </w:r>
    </w:p>
    <w:p w14:paraId="0E1A6F28" w14:textId="1C2F3339" w:rsidR="00615294" w:rsidRPr="00CE18EF" w:rsidRDefault="00615294" w:rsidP="00C9374E">
      <w:pPr>
        <w:pStyle w:val="ListBullet"/>
        <w:numPr>
          <w:ilvl w:val="0"/>
          <w:numId w:val="15"/>
        </w:numPr>
      </w:pPr>
      <w:r w:rsidRPr="00272D3D">
        <w:rPr>
          <w:b/>
        </w:rPr>
        <w:t>KRQ5: Recommendations:</w:t>
      </w:r>
      <w:r w:rsidRPr="00CE18EF">
        <w:t xml:space="preserve"> Noting all findings, what are strategic, </w:t>
      </w:r>
      <w:proofErr w:type="gramStart"/>
      <w:r w:rsidRPr="00CE18EF">
        <w:t>practical</w:t>
      </w:r>
      <w:proofErr w:type="gramEnd"/>
      <w:r w:rsidRPr="00CE18EF">
        <w:t xml:space="preserve"> and implementable actions that can be taken to strengthen TongaHealth’s impact and outcomes?  </w:t>
      </w:r>
    </w:p>
    <w:p w14:paraId="1EA77306" w14:textId="6B1A0BA4" w:rsidR="00615294" w:rsidRPr="009763C6" w:rsidRDefault="00615294" w:rsidP="00DF166F">
      <w:pPr>
        <w:pStyle w:val="Heading2"/>
        <w:spacing w:line="276" w:lineRule="auto"/>
      </w:pPr>
      <w:r w:rsidRPr="009763C6">
        <w:rPr>
          <w:rFonts w:ascii="Calibri" w:eastAsia="Times New Roman" w:hAnsi="Calibri" w:cs="Calibri"/>
          <w:sz w:val="12"/>
          <w:szCs w:val="12"/>
          <w:lang w:eastAsia="en-AU"/>
        </w:rPr>
        <w:t> </w:t>
      </w:r>
      <w:bookmarkStart w:id="25" w:name="_Toc101343930"/>
      <w:bookmarkStart w:id="26" w:name="_Toc153899663"/>
      <w:r w:rsidRPr="009763C6">
        <w:t>Data Collection and Analysis</w:t>
      </w:r>
      <w:bookmarkEnd w:id="25"/>
      <w:bookmarkEnd w:id="26"/>
      <w:r w:rsidRPr="009763C6">
        <w:t> </w:t>
      </w:r>
    </w:p>
    <w:p w14:paraId="18F46082" w14:textId="21E5513A" w:rsidR="00615294" w:rsidRPr="009763C6" w:rsidRDefault="001D5F6B" w:rsidP="00DF166F">
      <w:pPr>
        <w:spacing w:after="210" w:line="276" w:lineRule="auto"/>
        <w:rPr>
          <w:rFonts w:ascii="Segoe UI" w:hAnsi="Segoe UI" w:cs="Segoe UI"/>
          <w:sz w:val="18"/>
          <w:szCs w:val="18"/>
          <w:lang w:eastAsia="en-AU"/>
        </w:rPr>
      </w:pPr>
      <w:r>
        <w:rPr>
          <w:lang w:eastAsia="en-AU"/>
        </w:rPr>
        <w:t>The Review was conducted by Dr Erin Passmore, with logistical support and quality assurance provided by TASP.</w:t>
      </w:r>
      <w:r>
        <w:rPr>
          <w:rFonts w:ascii="Segoe UI" w:hAnsi="Segoe UI" w:cs="Segoe UI"/>
          <w:sz w:val="18"/>
          <w:szCs w:val="18"/>
          <w:lang w:eastAsia="en-AU"/>
        </w:rPr>
        <w:t xml:space="preserve"> </w:t>
      </w:r>
      <w:r w:rsidR="00615294" w:rsidRPr="009763C6">
        <w:rPr>
          <w:lang w:eastAsia="en-AU"/>
        </w:rPr>
        <w:t xml:space="preserve">The </w:t>
      </w:r>
      <w:r w:rsidR="00615294">
        <w:rPr>
          <w:lang w:eastAsia="en-AU"/>
        </w:rPr>
        <w:t>R</w:t>
      </w:r>
      <w:r w:rsidR="00615294" w:rsidRPr="009763C6">
        <w:rPr>
          <w:lang w:eastAsia="en-AU"/>
        </w:rPr>
        <w:t>eview drew on multiple data sources, including: </w:t>
      </w:r>
    </w:p>
    <w:p w14:paraId="72271EF6" w14:textId="2527935C" w:rsidR="00615294" w:rsidRPr="0090390F" w:rsidRDefault="00615294" w:rsidP="00DF166F">
      <w:pPr>
        <w:spacing w:after="210" w:line="276" w:lineRule="auto"/>
        <w:rPr>
          <w:rFonts w:ascii="Segoe UI" w:hAnsi="Segoe UI" w:cs="Segoe UI"/>
          <w:sz w:val="18"/>
          <w:szCs w:val="18"/>
          <w:lang w:eastAsia="en-AU"/>
        </w:rPr>
      </w:pPr>
      <w:r w:rsidRPr="009763C6">
        <w:rPr>
          <w:b/>
          <w:bCs/>
          <w:lang w:eastAsia="en-AU"/>
        </w:rPr>
        <w:t>Document review</w:t>
      </w:r>
      <w:r w:rsidRPr="009763C6">
        <w:rPr>
          <w:lang w:eastAsia="en-AU"/>
        </w:rPr>
        <w:t xml:space="preserve">: </w:t>
      </w:r>
      <w:r>
        <w:rPr>
          <w:lang w:eastAsia="en-AU"/>
        </w:rPr>
        <w:t>P</w:t>
      </w:r>
      <w:r w:rsidRPr="009763C6">
        <w:rPr>
          <w:lang w:eastAsia="en-AU"/>
        </w:rPr>
        <w:t xml:space="preserve">rogram documents provided by </w:t>
      </w:r>
      <w:r>
        <w:rPr>
          <w:lang w:eastAsia="en-AU"/>
        </w:rPr>
        <w:t>TongaHealth</w:t>
      </w:r>
      <w:r w:rsidR="004861B8">
        <w:rPr>
          <w:lang w:eastAsia="en-AU"/>
        </w:rPr>
        <w:t>,</w:t>
      </w:r>
      <w:r w:rsidR="0048774E">
        <w:rPr>
          <w:lang w:eastAsia="en-AU"/>
        </w:rPr>
        <w:t xml:space="preserve"> </w:t>
      </w:r>
      <w:r w:rsidR="004861B8">
        <w:rPr>
          <w:lang w:eastAsia="en-AU"/>
        </w:rPr>
        <w:t xml:space="preserve">THSSP3 and </w:t>
      </w:r>
      <w:r>
        <w:rPr>
          <w:lang w:eastAsia="en-AU"/>
        </w:rPr>
        <w:t>DFAT were reviewed, including annual planning documents</w:t>
      </w:r>
      <w:r w:rsidRPr="009763C6">
        <w:rPr>
          <w:lang w:eastAsia="en-AU"/>
        </w:rPr>
        <w:t xml:space="preserve">, progress reports, </w:t>
      </w:r>
      <w:r w:rsidR="00C36C84">
        <w:rPr>
          <w:lang w:eastAsia="en-AU"/>
        </w:rPr>
        <w:t xml:space="preserve">TongaHealth grantee </w:t>
      </w:r>
      <w:r w:rsidR="00C36C84" w:rsidRPr="0090390F">
        <w:rPr>
          <w:lang w:eastAsia="en-AU"/>
        </w:rPr>
        <w:t xml:space="preserve">reports, </w:t>
      </w:r>
      <w:r w:rsidRPr="0090390F">
        <w:rPr>
          <w:lang w:eastAsia="en-AU"/>
        </w:rPr>
        <w:t>and financial acquittals (see</w:t>
      </w:r>
      <w:r w:rsidR="001D5F6B" w:rsidRPr="0090390F">
        <w:rPr>
          <w:lang w:eastAsia="en-AU"/>
        </w:rPr>
        <w:t xml:space="preserve"> Annex</w:t>
      </w:r>
      <w:r w:rsidRPr="0090390F">
        <w:rPr>
          <w:lang w:eastAsia="en-AU"/>
        </w:rPr>
        <w:t xml:space="preserve"> </w:t>
      </w:r>
      <w:r w:rsidR="001D5F6B" w:rsidRPr="0090390F">
        <w:rPr>
          <w:lang w:eastAsia="en-AU"/>
        </w:rPr>
        <w:fldChar w:fldCharType="begin"/>
      </w:r>
      <w:r w:rsidR="001D5F6B" w:rsidRPr="0090390F">
        <w:rPr>
          <w:lang w:eastAsia="en-AU"/>
        </w:rPr>
        <w:instrText xml:space="preserve"> REF _Ref151473962 \r \h </w:instrText>
      </w:r>
      <w:r w:rsidR="0090390F" w:rsidRPr="0090390F">
        <w:rPr>
          <w:lang w:eastAsia="en-AU"/>
        </w:rPr>
        <w:instrText xml:space="preserve"> \* MERGEFORMAT </w:instrText>
      </w:r>
      <w:r w:rsidR="001D5F6B" w:rsidRPr="0090390F">
        <w:rPr>
          <w:lang w:eastAsia="en-AU"/>
        </w:rPr>
      </w:r>
      <w:r w:rsidR="001D5F6B" w:rsidRPr="0090390F">
        <w:rPr>
          <w:lang w:eastAsia="en-AU"/>
        </w:rPr>
        <w:fldChar w:fldCharType="separate"/>
      </w:r>
      <w:r w:rsidR="00A86B29">
        <w:rPr>
          <w:lang w:eastAsia="en-AU"/>
        </w:rPr>
        <w:t>4.2</w:t>
      </w:r>
      <w:r w:rsidR="001D5F6B" w:rsidRPr="0090390F">
        <w:rPr>
          <w:lang w:eastAsia="en-AU"/>
        </w:rPr>
        <w:fldChar w:fldCharType="end"/>
      </w:r>
      <w:r w:rsidR="001D5F6B" w:rsidRPr="0090390F">
        <w:rPr>
          <w:lang w:eastAsia="en-AU"/>
        </w:rPr>
        <w:t xml:space="preserve">). </w:t>
      </w:r>
      <w:r w:rsidRPr="0090390F">
        <w:rPr>
          <w:lang w:eastAsia="en-AU"/>
        </w:rPr>
        <w:t xml:space="preserve">The document review provided initial evidence for each KRQ and was used to guide the development of </w:t>
      </w:r>
      <w:r w:rsidR="009E35B1">
        <w:rPr>
          <w:lang w:eastAsia="en-AU"/>
        </w:rPr>
        <w:t>interview guides</w:t>
      </w:r>
      <w:r w:rsidRPr="0090390F">
        <w:rPr>
          <w:lang w:eastAsia="en-AU"/>
        </w:rPr>
        <w:t xml:space="preserve">. </w:t>
      </w:r>
    </w:p>
    <w:p w14:paraId="4255BE8D" w14:textId="2C4B066E" w:rsidR="00615294" w:rsidRPr="009A112A" w:rsidRDefault="00BB45AE" w:rsidP="00DF166F">
      <w:pPr>
        <w:spacing w:after="210" w:line="276" w:lineRule="auto"/>
        <w:rPr>
          <w:rFonts w:ascii="Segoe UI" w:hAnsi="Segoe UI" w:cs="Segoe UI"/>
          <w:sz w:val="18"/>
          <w:szCs w:val="18"/>
          <w:lang w:eastAsia="en-AU"/>
        </w:rPr>
      </w:pPr>
      <w:r w:rsidRPr="0090390F">
        <w:rPr>
          <w:b/>
          <w:bCs/>
          <w:lang w:eastAsia="en-AU"/>
        </w:rPr>
        <w:t>Stakeholder</w:t>
      </w:r>
      <w:r w:rsidR="00615294" w:rsidRPr="0090390F">
        <w:rPr>
          <w:b/>
          <w:bCs/>
          <w:lang w:eastAsia="en-AU"/>
        </w:rPr>
        <w:t xml:space="preserve"> interviews</w:t>
      </w:r>
      <w:r w:rsidR="00615294" w:rsidRPr="0090390F">
        <w:rPr>
          <w:lang w:eastAsia="en-AU"/>
        </w:rPr>
        <w:t>: Interviews were conducted f</w:t>
      </w:r>
      <w:r w:rsidR="00C36C84" w:rsidRPr="0090390F">
        <w:rPr>
          <w:lang w:eastAsia="en-AU"/>
        </w:rPr>
        <w:t>ace-to-face in Tonga f</w:t>
      </w:r>
      <w:r w:rsidR="00615294" w:rsidRPr="0090390F">
        <w:rPr>
          <w:lang w:eastAsia="en-AU"/>
        </w:rPr>
        <w:t xml:space="preserve">rom </w:t>
      </w:r>
      <w:r w:rsidRPr="0090390F">
        <w:rPr>
          <w:lang w:eastAsia="en-AU"/>
        </w:rPr>
        <w:t xml:space="preserve">November 6 to 23. </w:t>
      </w:r>
      <w:r w:rsidR="00615294" w:rsidRPr="0090390F">
        <w:rPr>
          <w:lang w:eastAsia="en-AU"/>
        </w:rPr>
        <w:t xml:space="preserve"> </w:t>
      </w:r>
      <w:r w:rsidR="00810E14" w:rsidRPr="0090390F">
        <w:rPr>
          <w:lang w:eastAsia="en-AU"/>
        </w:rPr>
        <w:t>F</w:t>
      </w:r>
      <w:r w:rsidR="002612D0">
        <w:rPr>
          <w:lang w:eastAsia="en-AU"/>
        </w:rPr>
        <w:t>ifty</w:t>
      </w:r>
      <w:r w:rsidR="00C36C84" w:rsidRPr="0090390F">
        <w:rPr>
          <w:lang w:eastAsia="en-AU"/>
        </w:rPr>
        <w:t xml:space="preserve"> stakeholders </w:t>
      </w:r>
      <w:r w:rsidR="002612D0">
        <w:rPr>
          <w:lang w:eastAsia="en-AU"/>
        </w:rPr>
        <w:t>were</w:t>
      </w:r>
      <w:r w:rsidR="00C36C84" w:rsidRPr="0090390F">
        <w:rPr>
          <w:lang w:eastAsia="en-AU"/>
        </w:rPr>
        <w:t xml:space="preserve"> interviewed. </w:t>
      </w:r>
      <w:r w:rsidR="00615294" w:rsidRPr="0090390F">
        <w:rPr>
          <w:lang w:eastAsia="en-AU"/>
        </w:rPr>
        <w:t xml:space="preserve">Interviewees were purposively selected, and included representatives from </w:t>
      </w:r>
      <w:r w:rsidR="004861B8">
        <w:rPr>
          <w:lang w:eastAsia="en-AU"/>
        </w:rPr>
        <w:t xml:space="preserve">THSSP3, </w:t>
      </w:r>
      <w:r w:rsidR="00615294" w:rsidRPr="0090390F">
        <w:rPr>
          <w:lang w:eastAsia="en-AU"/>
        </w:rPr>
        <w:t xml:space="preserve">DFAT, </w:t>
      </w:r>
      <w:r w:rsidRPr="0090390F">
        <w:rPr>
          <w:lang w:eastAsia="en-AU"/>
        </w:rPr>
        <w:t>TongaHealth, TongaHealth grantees, and Government of Tonga (</w:t>
      </w:r>
      <w:proofErr w:type="spellStart"/>
      <w:r w:rsidRPr="0090390F">
        <w:rPr>
          <w:lang w:eastAsia="en-AU"/>
        </w:rPr>
        <w:t>GoT</w:t>
      </w:r>
      <w:proofErr w:type="spellEnd"/>
      <w:r w:rsidRPr="0090390F">
        <w:rPr>
          <w:lang w:eastAsia="en-AU"/>
        </w:rPr>
        <w:t>) agencies</w:t>
      </w:r>
      <w:r w:rsidR="00615294" w:rsidRPr="0090390F">
        <w:rPr>
          <w:lang w:eastAsia="en-AU"/>
        </w:rPr>
        <w:t xml:space="preserve"> (see Annex </w:t>
      </w:r>
      <w:r w:rsidR="001D5F6B" w:rsidRPr="0090390F">
        <w:rPr>
          <w:lang w:eastAsia="en-AU"/>
        </w:rPr>
        <w:fldChar w:fldCharType="begin"/>
      </w:r>
      <w:r w:rsidR="001D5F6B" w:rsidRPr="0090390F">
        <w:rPr>
          <w:lang w:eastAsia="en-AU"/>
        </w:rPr>
        <w:instrText xml:space="preserve"> REF _Ref151473954 \r \h </w:instrText>
      </w:r>
      <w:r w:rsidR="0090390F" w:rsidRPr="0090390F">
        <w:rPr>
          <w:lang w:eastAsia="en-AU"/>
        </w:rPr>
        <w:instrText xml:space="preserve"> \* MERGEFORMAT </w:instrText>
      </w:r>
      <w:r w:rsidR="001D5F6B" w:rsidRPr="0090390F">
        <w:rPr>
          <w:lang w:eastAsia="en-AU"/>
        </w:rPr>
      </w:r>
      <w:r w:rsidR="001D5F6B" w:rsidRPr="0090390F">
        <w:rPr>
          <w:lang w:eastAsia="en-AU"/>
        </w:rPr>
        <w:fldChar w:fldCharType="separate"/>
      </w:r>
      <w:r w:rsidR="00A86B29">
        <w:rPr>
          <w:lang w:eastAsia="en-AU"/>
        </w:rPr>
        <w:t>4.3</w:t>
      </w:r>
      <w:r w:rsidR="001D5F6B" w:rsidRPr="0090390F">
        <w:rPr>
          <w:lang w:eastAsia="en-AU"/>
        </w:rPr>
        <w:fldChar w:fldCharType="end"/>
      </w:r>
      <w:r w:rsidR="00615294" w:rsidRPr="0090390F">
        <w:rPr>
          <w:lang w:eastAsia="en-AU"/>
        </w:rPr>
        <w:t>).</w:t>
      </w:r>
      <w:r w:rsidR="00615294" w:rsidRPr="009763C6">
        <w:rPr>
          <w:lang w:eastAsia="en-AU"/>
        </w:rPr>
        <w:t xml:space="preserve"> </w:t>
      </w:r>
      <w:r>
        <w:rPr>
          <w:lang w:eastAsia="en-AU"/>
        </w:rPr>
        <w:t xml:space="preserve">The Reviewer was supported by a member of the TongaHealth team, who introduced the Reviewer to interviewees and provided interpretation support if required. </w:t>
      </w:r>
      <w:r w:rsidR="00615294" w:rsidRPr="009763C6">
        <w:rPr>
          <w:lang w:eastAsia="en-AU"/>
        </w:rPr>
        <w:t xml:space="preserve">Interviewees </w:t>
      </w:r>
      <w:r>
        <w:rPr>
          <w:lang w:eastAsia="en-AU"/>
        </w:rPr>
        <w:t xml:space="preserve">were informed that participation was voluntary and confidential. </w:t>
      </w:r>
      <w:r w:rsidRPr="009763C6">
        <w:rPr>
          <w:lang w:eastAsia="en-AU"/>
        </w:rPr>
        <w:t xml:space="preserve">The interview approach followed the Australasian Evaluation Society Code of Ethics. </w:t>
      </w:r>
      <w:r>
        <w:rPr>
          <w:lang w:eastAsia="en-AU"/>
        </w:rPr>
        <w:t>Qu</w:t>
      </w:r>
      <w:r w:rsidR="00615294" w:rsidRPr="009763C6">
        <w:rPr>
          <w:lang w:eastAsia="en-AU"/>
        </w:rPr>
        <w:t>otes and data have been de-ide</w:t>
      </w:r>
      <w:r w:rsidR="00615294" w:rsidRPr="00C36C84">
        <w:rPr>
          <w:lang w:eastAsia="en-AU"/>
        </w:rPr>
        <w:t>ntified</w:t>
      </w:r>
      <w:r w:rsidRPr="00C36C84">
        <w:rPr>
          <w:lang w:eastAsia="en-AU"/>
        </w:rPr>
        <w:t xml:space="preserve"> in this report</w:t>
      </w:r>
      <w:r w:rsidR="00615294" w:rsidRPr="00C36C84">
        <w:rPr>
          <w:lang w:eastAsia="en-AU"/>
        </w:rPr>
        <w:t xml:space="preserve">. </w:t>
      </w:r>
    </w:p>
    <w:p w14:paraId="6E7C00FC" w14:textId="61B35586" w:rsidR="00615294" w:rsidRPr="00C36C84" w:rsidRDefault="00615294" w:rsidP="00DF166F">
      <w:pPr>
        <w:spacing w:after="210" w:line="276" w:lineRule="auto"/>
        <w:rPr>
          <w:lang w:eastAsia="en-AU"/>
        </w:rPr>
      </w:pPr>
      <w:r w:rsidRPr="00C36C84">
        <w:rPr>
          <w:b/>
          <w:bCs/>
          <w:lang w:eastAsia="en-AU"/>
        </w:rPr>
        <w:t>Site visits</w:t>
      </w:r>
      <w:r w:rsidR="00BB45AE" w:rsidRPr="00C36C84">
        <w:rPr>
          <w:b/>
          <w:bCs/>
          <w:lang w:eastAsia="en-AU"/>
        </w:rPr>
        <w:t xml:space="preserve">: </w:t>
      </w:r>
      <w:r w:rsidR="00BB45AE" w:rsidRPr="00C36C84">
        <w:rPr>
          <w:lang w:eastAsia="en-AU"/>
        </w:rPr>
        <w:t xml:space="preserve">The Reviewer </w:t>
      </w:r>
      <w:r w:rsidR="004861B8">
        <w:rPr>
          <w:lang w:eastAsia="en-AU"/>
        </w:rPr>
        <w:t xml:space="preserve">undertook </w:t>
      </w:r>
      <w:proofErr w:type="gramStart"/>
      <w:r w:rsidR="004861B8">
        <w:rPr>
          <w:lang w:eastAsia="en-AU"/>
        </w:rPr>
        <w:t>the majority of</w:t>
      </w:r>
      <w:proofErr w:type="gramEnd"/>
      <w:r w:rsidR="004861B8">
        <w:rPr>
          <w:lang w:eastAsia="en-AU"/>
        </w:rPr>
        <w:t xml:space="preserve"> stakeholder interviews in </w:t>
      </w:r>
      <w:proofErr w:type="spellStart"/>
      <w:r w:rsidR="004861B8">
        <w:rPr>
          <w:lang w:eastAsia="en-AU"/>
        </w:rPr>
        <w:t>Tongatapu</w:t>
      </w:r>
      <w:proofErr w:type="spellEnd"/>
      <w:r w:rsidR="004861B8">
        <w:rPr>
          <w:lang w:eastAsia="en-AU"/>
        </w:rPr>
        <w:t xml:space="preserve"> and </w:t>
      </w:r>
      <w:r w:rsidR="00BB45AE" w:rsidRPr="00C36C84">
        <w:rPr>
          <w:lang w:eastAsia="en-AU"/>
        </w:rPr>
        <w:t xml:space="preserve">travelled to </w:t>
      </w:r>
      <w:r w:rsidR="001D5F6B">
        <w:rPr>
          <w:lang w:eastAsia="en-AU"/>
        </w:rPr>
        <w:t xml:space="preserve">the outer island of </w:t>
      </w:r>
      <w:proofErr w:type="spellStart"/>
      <w:r w:rsidR="00BB45AE" w:rsidRPr="00C36C84">
        <w:rPr>
          <w:lang w:eastAsia="en-AU"/>
        </w:rPr>
        <w:t>Ha’apai</w:t>
      </w:r>
      <w:proofErr w:type="spellEnd"/>
      <w:r w:rsidR="00BB45AE" w:rsidRPr="00C36C84">
        <w:rPr>
          <w:lang w:eastAsia="en-AU"/>
        </w:rPr>
        <w:t xml:space="preserve"> to conduct </w:t>
      </w:r>
      <w:r w:rsidR="004861B8">
        <w:rPr>
          <w:lang w:eastAsia="en-AU"/>
        </w:rPr>
        <w:t xml:space="preserve">additional </w:t>
      </w:r>
      <w:r w:rsidR="00BB45AE" w:rsidRPr="00C36C84">
        <w:rPr>
          <w:lang w:eastAsia="en-AU"/>
        </w:rPr>
        <w:t>stakeholder interviews</w:t>
      </w:r>
      <w:r w:rsidR="001D5F6B">
        <w:rPr>
          <w:lang w:eastAsia="en-AU"/>
        </w:rPr>
        <w:t xml:space="preserve"> with the Outer Islands Project Officer and grantees. A visit to ‘</w:t>
      </w:r>
      <w:proofErr w:type="spellStart"/>
      <w:r w:rsidR="001D5F6B">
        <w:rPr>
          <w:lang w:eastAsia="en-AU"/>
        </w:rPr>
        <w:t>Eua</w:t>
      </w:r>
      <w:proofErr w:type="spellEnd"/>
      <w:r w:rsidR="001D5F6B">
        <w:rPr>
          <w:lang w:eastAsia="en-AU"/>
        </w:rPr>
        <w:t xml:space="preserve"> was also planned but could not proceed due to flight cancellations. Interviews of ‘</w:t>
      </w:r>
      <w:proofErr w:type="spellStart"/>
      <w:r w:rsidR="001D5F6B">
        <w:rPr>
          <w:lang w:eastAsia="en-AU"/>
        </w:rPr>
        <w:t>Eua</w:t>
      </w:r>
      <w:proofErr w:type="spellEnd"/>
      <w:r w:rsidR="001D5F6B">
        <w:rPr>
          <w:lang w:eastAsia="en-AU"/>
        </w:rPr>
        <w:t xml:space="preserve"> were conducted by </w:t>
      </w:r>
      <w:r w:rsidR="00FB617B">
        <w:rPr>
          <w:lang w:eastAsia="en-AU"/>
        </w:rPr>
        <w:t>Zoom</w:t>
      </w:r>
      <w:r w:rsidR="001D5F6B">
        <w:rPr>
          <w:lang w:eastAsia="en-AU"/>
        </w:rPr>
        <w:t xml:space="preserve"> instead.</w:t>
      </w:r>
    </w:p>
    <w:p w14:paraId="263EB49E" w14:textId="48D40930" w:rsidR="00615294" w:rsidRPr="00BB45AE" w:rsidRDefault="00615294" w:rsidP="00DF166F">
      <w:pPr>
        <w:spacing w:after="210" w:line="276" w:lineRule="auto"/>
      </w:pPr>
      <w:r w:rsidRPr="00BB45AE">
        <w:rPr>
          <w:b/>
          <w:bCs/>
          <w:lang w:eastAsia="en-AU"/>
        </w:rPr>
        <w:t>Synthesis of evidence for each KRQ</w:t>
      </w:r>
      <w:r w:rsidR="00BB45AE" w:rsidRPr="00BB45AE">
        <w:rPr>
          <w:b/>
          <w:bCs/>
          <w:lang w:eastAsia="en-AU"/>
        </w:rPr>
        <w:t>:</w:t>
      </w:r>
      <w:r w:rsidR="00BB45AE">
        <w:rPr>
          <w:lang w:eastAsia="en-AU"/>
        </w:rPr>
        <w:t xml:space="preserve"> </w:t>
      </w:r>
      <w:r w:rsidRPr="00BB45AE">
        <w:rPr>
          <w:lang w:eastAsia="en-AU"/>
        </w:rPr>
        <w:t xml:space="preserve">Evidence from the interviews and document review, and the Reviewer’s observations and interpretation, were captured in an ‘evidence matrix’ mapping evidence, </w:t>
      </w:r>
      <w:proofErr w:type="gramStart"/>
      <w:r w:rsidRPr="00BB45AE">
        <w:rPr>
          <w:lang w:eastAsia="en-AU"/>
        </w:rPr>
        <w:t>findings</w:t>
      </w:r>
      <w:proofErr w:type="gramEnd"/>
      <w:r w:rsidRPr="00BB45AE">
        <w:rPr>
          <w:lang w:eastAsia="en-AU"/>
        </w:rPr>
        <w:t xml:space="preserve"> and recommendations against each KRQ. Triangulation was used to cross-check findings that emerged from different data sources, and by addressing the same topics with different respondents across key informant interviews. </w:t>
      </w:r>
    </w:p>
    <w:p w14:paraId="4EA3C89F" w14:textId="0F76210C" w:rsidR="00615294" w:rsidRDefault="00615294" w:rsidP="00DF166F">
      <w:pPr>
        <w:spacing w:after="210" w:line="276" w:lineRule="auto"/>
        <w:rPr>
          <w:lang w:eastAsia="en-AU"/>
        </w:rPr>
      </w:pPr>
      <w:r w:rsidRPr="00BB45AE">
        <w:rPr>
          <w:b/>
          <w:bCs/>
          <w:lang w:eastAsia="en-AU"/>
        </w:rPr>
        <w:lastRenderedPageBreak/>
        <w:t>Preliminary findings</w:t>
      </w:r>
      <w:r w:rsidR="00BB45AE" w:rsidRPr="00BB45AE">
        <w:rPr>
          <w:b/>
          <w:bCs/>
          <w:lang w:eastAsia="en-AU"/>
        </w:rPr>
        <w:t xml:space="preserve">: </w:t>
      </w:r>
      <w:r w:rsidRPr="009763C6">
        <w:rPr>
          <w:lang w:eastAsia="en-AU"/>
        </w:rPr>
        <w:t xml:space="preserve">Preliminary </w:t>
      </w:r>
      <w:r w:rsidR="000E6FDD">
        <w:rPr>
          <w:lang w:eastAsia="en-AU"/>
        </w:rPr>
        <w:t>f</w:t>
      </w:r>
      <w:r w:rsidRPr="009763C6">
        <w:rPr>
          <w:lang w:eastAsia="en-AU"/>
        </w:rPr>
        <w:t>indings were presented to DFAT on</w:t>
      </w:r>
      <w:r w:rsidR="00BB45AE">
        <w:rPr>
          <w:lang w:eastAsia="en-AU"/>
        </w:rPr>
        <w:t xml:space="preserve"> November 24</w:t>
      </w:r>
      <w:r w:rsidR="00BB45AE" w:rsidRPr="00BB45AE">
        <w:rPr>
          <w:vertAlign w:val="superscript"/>
          <w:lang w:eastAsia="en-AU"/>
        </w:rPr>
        <w:t>th</w:t>
      </w:r>
      <w:proofErr w:type="gramStart"/>
      <w:r w:rsidR="00BB45AE">
        <w:rPr>
          <w:lang w:eastAsia="en-AU"/>
        </w:rPr>
        <w:t xml:space="preserve"> 2023</w:t>
      </w:r>
      <w:proofErr w:type="gramEnd"/>
      <w:r w:rsidRPr="009763C6">
        <w:rPr>
          <w:lang w:eastAsia="en-AU"/>
        </w:rPr>
        <w:t xml:space="preserve">. This report incorporates feedback from the preliminary </w:t>
      </w:r>
      <w:proofErr w:type="gramStart"/>
      <w:r w:rsidRPr="009763C6">
        <w:rPr>
          <w:lang w:eastAsia="en-AU"/>
        </w:rPr>
        <w:t>findings</w:t>
      </w:r>
      <w:proofErr w:type="gramEnd"/>
      <w:r w:rsidRPr="009763C6">
        <w:rPr>
          <w:lang w:eastAsia="en-AU"/>
        </w:rPr>
        <w:t xml:space="preserve"> sessions</w:t>
      </w:r>
      <w:r>
        <w:rPr>
          <w:lang w:eastAsia="en-AU"/>
        </w:rPr>
        <w:t xml:space="preserve">, as well as additional feedback provided by </w:t>
      </w:r>
      <w:r w:rsidRPr="00BB45AE">
        <w:rPr>
          <w:lang w:eastAsia="en-AU"/>
        </w:rPr>
        <w:t>TASP on an earlier draft of this report. The preliminary findings or draft report have not yet been shared with TongaHealth</w:t>
      </w:r>
      <w:r w:rsidR="00BB45AE">
        <w:rPr>
          <w:lang w:eastAsia="en-AU"/>
        </w:rPr>
        <w:t>; DFAT will be responsible for sharing the report with TongaHealth and other stakeholders</w:t>
      </w:r>
      <w:r w:rsidRPr="00BB45AE">
        <w:rPr>
          <w:lang w:eastAsia="en-AU"/>
        </w:rPr>
        <w:t xml:space="preserve">. </w:t>
      </w:r>
    </w:p>
    <w:p w14:paraId="191A88EF" w14:textId="62988096" w:rsidR="002A65A9" w:rsidRPr="00BB45AE" w:rsidRDefault="00910A59" w:rsidP="00DF166F">
      <w:pPr>
        <w:spacing w:after="210" w:line="276" w:lineRule="auto"/>
        <w:rPr>
          <w:lang w:eastAsia="en-AU"/>
        </w:rPr>
      </w:pPr>
      <w:r>
        <w:rPr>
          <w:lang w:eastAsia="en-AU"/>
        </w:rPr>
        <w:t xml:space="preserve">This report has been developed in adherence with DFAT’s Design and M&amp;E Standards. An assessment of the report against Standard 10: Independent Evaluation Reports is provided in Annex </w:t>
      </w:r>
      <w:r>
        <w:rPr>
          <w:lang w:eastAsia="en-AU"/>
        </w:rPr>
        <w:fldChar w:fldCharType="begin"/>
      </w:r>
      <w:r>
        <w:rPr>
          <w:lang w:eastAsia="en-AU"/>
        </w:rPr>
        <w:instrText xml:space="preserve"> REF _Ref153899535 \r \h </w:instrText>
      </w:r>
      <w:r w:rsidR="00DF166F">
        <w:rPr>
          <w:lang w:eastAsia="en-AU"/>
        </w:rPr>
        <w:instrText xml:space="preserve"> \* MERGEFORMAT </w:instrText>
      </w:r>
      <w:r>
        <w:rPr>
          <w:lang w:eastAsia="en-AU"/>
        </w:rPr>
      </w:r>
      <w:r>
        <w:rPr>
          <w:lang w:eastAsia="en-AU"/>
        </w:rPr>
        <w:fldChar w:fldCharType="separate"/>
      </w:r>
      <w:r>
        <w:rPr>
          <w:lang w:eastAsia="en-AU"/>
        </w:rPr>
        <w:t>4.4</w:t>
      </w:r>
      <w:r>
        <w:rPr>
          <w:lang w:eastAsia="en-AU"/>
        </w:rPr>
        <w:fldChar w:fldCharType="end"/>
      </w:r>
      <w:r>
        <w:rPr>
          <w:lang w:eastAsia="en-AU"/>
        </w:rPr>
        <w:t>.</w:t>
      </w:r>
    </w:p>
    <w:p w14:paraId="7C545094" w14:textId="77777777" w:rsidR="00615294" w:rsidRPr="009763C6" w:rsidRDefault="00615294" w:rsidP="00DF166F">
      <w:pPr>
        <w:pStyle w:val="Heading2"/>
        <w:spacing w:line="276" w:lineRule="auto"/>
      </w:pPr>
      <w:bookmarkStart w:id="27" w:name="_Toc101343931"/>
      <w:bookmarkStart w:id="28" w:name="_Toc153899664"/>
      <w:r w:rsidRPr="009763C6">
        <w:t>Limitations</w:t>
      </w:r>
      <w:bookmarkEnd w:id="27"/>
      <w:bookmarkEnd w:id="28"/>
      <w:r w:rsidRPr="009763C6">
        <w:t> </w:t>
      </w:r>
    </w:p>
    <w:p w14:paraId="49A42F48" w14:textId="4CDB5C98" w:rsidR="00615294" w:rsidRPr="00784D3F" w:rsidRDefault="00A66A31" w:rsidP="00DF166F">
      <w:pPr>
        <w:spacing w:after="210" w:line="276" w:lineRule="auto"/>
      </w:pPr>
      <w:r>
        <w:t xml:space="preserve">The following limitations </w:t>
      </w:r>
      <w:r w:rsidR="00615294" w:rsidRPr="00784D3F">
        <w:t>apply:</w:t>
      </w:r>
    </w:p>
    <w:p w14:paraId="3AB6BE30" w14:textId="2F52522B" w:rsidR="00615294" w:rsidRPr="00784D3F" w:rsidRDefault="00615294" w:rsidP="00DF166F">
      <w:pPr>
        <w:spacing w:after="210" w:line="276" w:lineRule="auto"/>
      </w:pPr>
      <w:r w:rsidRPr="00784D3F">
        <w:rPr>
          <w:b/>
          <w:bCs/>
        </w:rPr>
        <w:t>Language barriers</w:t>
      </w:r>
      <w:r w:rsidR="00BB45AE">
        <w:rPr>
          <w:b/>
          <w:bCs/>
        </w:rPr>
        <w:t>:</w:t>
      </w:r>
      <w:r w:rsidRPr="00784D3F">
        <w:t xml:space="preserve"> </w:t>
      </w:r>
      <w:r w:rsidR="00BB45AE">
        <w:t>Interviews</w:t>
      </w:r>
      <w:r w:rsidRPr="00784D3F">
        <w:t xml:space="preserve"> w</w:t>
      </w:r>
      <w:r>
        <w:t>ere</w:t>
      </w:r>
      <w:r w:rsidRPr="00784D3F">
        <w:t xml:space="preserve"> conducted in English, which is not the first language for some key informants, and there may </w:t>
      </w:r>
      <w:r>
        <w:t xml:space="preserve">have been </w:t>
      </w:r>
      <w:r w:rsidRPr="00784D3F">
        <w:t>difficulties in fully expressing their views.</w:t>
      </w:r>
      <w:r w:rsidR="00BB45AE">
        <w:t xml:space="preserve"> A representative from TongaHealth was available to provide interpretation if required, however no interviewees requested this.</w:t>
      </w:r>
    </w:p>
    <w:p w14:paraId="0FAB19E6" w14:textId="1E58805A" w:rsidR="00615294" w:rsidRDefault="00615294" w:rsidP="00DF166F">
      <w:pPr>
        <w:spacing w:line="276" w:lineRule="auto"/>
        <w:rPr>
          <w:szCs w:val="22"/>
        </w:rPr>
      </w:pPr>
      <w:r w:rsidRPr="002B4277">
        <w:rPr>
          <w:b/>
          <w:bCs/>
        </w:rPr>
        <w:t>Availability of key informants</w:t>
      </w:r>
      <w:r w:rsidR="00BB45AE">
        <w:rPr>
          <w:b/>
          <w:bCs/>
        </w:rPr>
        <w:t>:</w:t>
      </w:r>
      <w:r w:rsidRPr="002B4277">
        <w:rPr>
          <w:b/>
          <w:bCs/>
        </w:rPr>
        <w:t xml:space="preserve"> </w:t>
      </w:r>
      <w:r w:rsidR="0076670F" w:rsidRPr="0076670F">
        <w:t>Five</w:t>
      </w:r>
      <w:r w:rsidR="001D5F6B">
        <w:t xml:space="preserve"> interviews</w:t>
      </w:r>
      <w:r w:rsidR="0076670F">
        <w:t xml:space="preserve"> (four individual interviews, one joint interview with two interviewees)</w:t>
      </w:r>
      <w:r w:rsidR="001D5F6B">
        <w:t xml:space="preserve"> were conducted by </w:t>
      </w:r>
      <w:r w:rsidR="00153C86">
        <w:t>Zoom/</w:t>
      </w:r>
      <w:r w:rsidR="001D5F6B">
        <w:t>phone, due to stakeholders being unavailable during the in-country data collection, and the cancellation of the planned visit to ‘</w:t>
      </w:r>
      <w:proofErr w:type="spellStart"/>
      <w:r w:rsidR="001D5F6B">
        <w:t>Eua</w:t>
      </w:r>
      <w:proofErr w:type="spellEnd"/>
      <w:r w:rsidR="001D5F6B">
        <w:t xml:space="preserve">. </w:t>
      </w:r>
      <w:r w:rsidRPr="009763C6">
        <w:rPr>
          <w:szCs w:val="22"/>
        </w:rPr>
        <w:t xml:space="preserve">While this approach was successful (e.g. no interviews needed to be cancelled or shortened due to </w:t>
      </w:r>
      <w:r>
        <w:rPr>
          <w:szCs w:val="22"/>
        </w:rPr>
        <w:t>phone/</w:t>
      </w:r>
      <w:r w:rsidRPr="009763C6">
        <w:rPr>
          <w:szCs w:val="22"/>
        </w:rPr>
        <w:t xml:space="preserve">internet </w:t>
      </w:r>
      <w:proofErr w:type="gramStart"/>
      <w:r w:rsidRPr="009763C6">
        <w:rPr>
          <w:szCs w:val="22"/>
        </w:rPr>
        <w:t>drop-outs</w:t>
      </w:r>
      <w:proofErr w:type="gramEnd"/>
      <w:r w:rsidRPr="009763C6">
        <w:rPr>
          <w:szCs w:val="22"/>
        </w:rPr>
        <w:t>), the interview data may lack the nuance of information that can be gathered through face-to-face discussions (e.g. body language).</w:t>
      </w:r>
    </w:p>
    <w:p w14:paraId="320D3398" w14:textId="77777777" w:rsidR="00615294" w:rsidRPr="009763C6" w:rsidRDefault="00615294" w:rsidP="00DF166F">
      <w:pPr>
        <w:pStyle w:val="Heading1"/>
        <w:spacing w:line="276" w:lineRule="auto"/>
      </w:pPr>
      <w:bookmarkStart w:id="29" w:name="_Toc101343932"/>
      <w:bookmarkStart w:id="30" w:name="_Toc153899665"/>
      <w:r w:rsidRPr="009763C6">
        <w:t>Findings</w:t>
      </w:r>
      <w:bookmarkEnd w:id="29"/>
      <w:bookmarkEnd w:id="30"/>
    </w:p>
    <w:p w14:paraId="2D91BA19" w14:textId="6BE20C16" w:rsidR="00615294" w:rsidRDefault="00615294" w:rsidP="00DF166F">
      <w:pPr>
        <w:pStyle w:val="Heading2"/>
        <w:spacing w:line="276" w:lineRule="auto"/>
        <w:rPr>
          <w:color w:val="000000" w:themeColor="text1"/>
        </w:rPr>
      </w:pPr>
      <w:bookmarkStart w:id="31" w:name="_Ref151549298"/>
      <w:bookmarkStart w:id="32" w:name="_Toc153899666"/>
      <w:r>
        <w:rPr>
          <w:rFonts w:eastAsia="Calibri"/>
          <w:lang w:bidi="en-US"/>
        </w:rPr>
        <w:t xml:space="preserve">KRQ1: </w:t>
      </w:r>
      <w:r w:rsidRPr="00671F75">
        <w:rPr>
          <w:rFonts w:eastAsia="Calibri"/>
          <w:lang w:bidi="en-US"/>
        </w:rPr>
        <w:t>Effectiveness: To what extent is TongaHealth on track to deliver on its mandate under the</w:t>
      </w:r>
      <w:r>
        <w:rPr>
          <w:rFonts w:eastAsia="Calibri"/>
          <w:lang w:bidi="en-US"/>
        </w:rPr>
        <w:t xml:space="preserve"> NCD Strategy?</w:t>
      </w:r>
      <w:bookmarkEnd w:id="31"/>
      <w:bookmarkEnd w:id="32"/>
      <w:r>
        <w:rPr>
          <w:rFonts w:eastAsia="Calibri"/>
          <w:lang w:bidi="en-US"/>
        </w:rPr>
        <w:t xml:space="preserve"> </w:t>
      </w:r>
      <w:r w:rsidRPr="005E4323">
        <w:rPr>
          <w:color w:val="000000" w:themeColor="text1"/>
        </w:rPr>
        <w:tab/>
      </w:r>
    </w:p>
    <w:p w14:paraId="354F7A6D" w14:textId="68269C65" w:rsidR="00AD33C7" w:rsidRDefault="00615294" w:rsidP="00DF166F">
      <w:pPr>
        <w:pStyle w:val="Heading3"/>
        <w:spacing w:line="276" w:lineRule="auto"/>
      </w:pPr>
      <w:bookmarkStart w:id="33" w:name="_Ref152673264"/>
      <w:r w:rsidRPr="00671F75">
        <w:t>To what extent is TongaHealth on track to deliver against the objectives</w:t>
      </w:r>
      <w:r w:rsidR="00B30F7A">
        <w:t xml:space="preserve">, </w:t>
      </w:r>
      <w:r w:rsidRPr="00671F75">
        <w:t>Key Result</w:t>
      </w:r>
      <w:r w:rsidR="00B30F7A">
        <w:t>s</w:t>
      </w:r>
      <w:r w:rsidRPr="00671F75">
        <w:t xml:space="preserve"> Areas</w:t>
      </w:r>
      <w:r w:rsidR="00B30F7A">
        <w:t xml:space="preserve">, </w:t>
      </w:r>
      <w:proofErr w:type="gramStart"/>
      <w:r w:rsidR="00B30F7A">
        <w:t>outputs</w:t>
      </w:r>
      <w:proofErr w:type="gramEnd"/>
      <w:r w:rsidR="00B30F7A">
        <w:t xml:space="preserve"> and activities </w:t>
      </w:r>
      <w:r w:rsidRPr="00671F75">
        <w:t>under the NCD Strategy</w:t>
      </w:r>
      <w:r>
        <w:t>?</w:t>
      </w:r>
      <w:bookmarkEnd w:id="33"/>
    </w:p>
    <w:p w14:paraId="76EE0F65" w14:textId="77777777" w:rsidR="00D43C14" w:rsidRDefault="00E211BA" w:rsidP="00962FBE">
      <w:pPr>
        <w:pStyle w:val="BodyText"/>
      </w:pPr>
      <w:r>
        <w:t>The</w:t>
      </w:r>
      <w:r w:rsidR="008D4EC4">
        <w:t xml:space="preserve"> NCD Strategy was endorsed by the National NCD Committee in December 2021, and </w:t>
      </w:r>
      <w:r w:rsidR="000A50D2">
        <w:t>aims to guide and consolidate Tonga’s efforts to prevent and reduce NCDs in the period 2021 to 2025</w:t>
      </w:r>
      <w:r w:rsidR="00EA2EFB">
        <w:t xml:space="preserve">. </w:t>
      </w:r>
      <w:r w:rsidR="00D43C14">
        <w:t xml:space="preserve">As a lead implementer of the NCD Strategy, TongaHealth has initiated action in several key areas. Notable achievements of TongaHealth since 2021 include: </w:t>
      </w:r>
    </w:p>
    <w:p w14:paraId="25D183B0" w14:textId="77777777" w:rsidR="00D43C14" w:rsidRDefault="00D43C14" w:rsidP="00C9374E">
      <w:pPr>
        <w:pStyle w:val="ListBullet"/>
        <w:numPr>
          <w:ilvl w:val="0"/>
          <w:numId w:val="16"/>
        </w:numPr>
      </w:pPr>
      <w:r>
        <w:t xml:space="preserve">A high volume of grants </w:t>
      </w:r>
      <w:proofErr w:type="gramStart"/>
      <w:r>
        <w:t>have</w:t>
      </w:r>
      <w:proofErr w:type="gramEnd"/>
      <w:r>
        <w:t xml:space="preserve"> been delivered to partners including government departments, non-government organisations (NGOs), schools, churches and community groups;</w:t>
      </w:r>
    </w:p>
    <w:p w14:paraId="71B5C349" w14:textId="77777777" w:rsidR="00D43C14" w:rsidRDefault="00D43C14" w:rsidP="00C9374E">
      <w:pPr>
        <w:pStyle w:val="ListBullet"/>
        <w:numPr>
          <w:ilvl w:val="0"/>
          <w:numId w:val="16"/>
        </w:numPr>
      </w:pPr>
      <w:r>
        <w:t xml:space="preserve">Physical activity programs have been delivered in community and workplace settings with high levels of </w:t>
      </w:r>
      <w:proofErr w:type="gramStart"/>
      <w:r>
        <w:t>participation;</w:t>
      </w:r>
      <w:proofErr w:type="gramEnd"/>
    </w:p>
    <w:p w14:paraId="6511CB3E" w14:textId="77777777" w:rsidR="00D43C14" w:rsidRDefault="00D43C14" w:rsidP="00C9374E">
      <w:pPr>
        <w:pStyle w:val="ListBullet"/>
        <w:numPr>
          <w:ilvl w:val="0"/>
          <w:numId w:val="16"/>
        </w:numPr>
      </w:pPr>
      <w:r>
        <w:t xml:space="preserve">Seedling distribution and home gardening programs have been delivered, with a focus on reaching outer </w:t>
      </w:r>
      <w:proofErr w:type="gramStart"/>
      <w:r>
        <w:t>islands;</w:t>
      </w:r>
      <w:proofErr w:type="gramEnd"/>
    </w:p>
    <w:p w14:paraId="76AEEFF3" w14:textId="77777777" w:rsidR="00D43C14" w:rsidRDefault="00D43C14" w:rsidP="00C9374E">
      <w:pPr>
        <w:pStyle w:val="ListBullet"/>
        <w:numPr>
          <w:ilvl w:val="0"/>
          <w:numId w:val="16"/>
        </w:numPr>
      </w:pPr>
      <w:r>
        <w:t xml:space="preserve">TongaHealth offices have been established in five outer islands, with the intent of improving equitable access to grants and health promotion activities in these remote </w:t>
      </w:r>
      <w:proofErr w:type="gramStart"/>
      <w:r>
        <w:t>locations;</w:t>
      </w:r>
      <w:proofErr w:type="gramEnd"/>
    </w:p>
    <w:p w14:paraId="303822BB" w14:textId="77777777" w:rsidR="00D43C14" w:rsidRDefault="00D43C14" w:rsidP="00C9374E">
      <w:pPr>
        <w:pStyle w:val="ListBullet"/>
        <w:numPr>
          <w:ilvl w:val="0"/>
          <w:numId w:val="16"/>
        </w:numPr>
      </w:pPr>
      <w:r>
        <w:t>A Monitoring and Evaluation (M&amp;E) Taskforce has been established to lead monitoring of progress against the NCD Strategy.</w:t>
      </w:r>
    </w:p>
    <w:p w14:paraId="6DDE1FB0" w14:textId="0F89DF46" w:rsidR="00F83C6E" w:rsidRDefault="00F83C6E" w:rsidP="00DF166F">
      <w:pPr>
        <w:spacing w:after="210" w:line="276" w:lineRule="auto"/>
        <w:rPr>
          <w:lang w:val="en-AU"/>
        </w:rPr>
      </w:pPr>
      <w:r w:rsidRPr="00563EDC">
        <w:rPr>
          <w:lang w:val="en-AU"/>
        </w:rPr>
        <w:t>The NCD Strategy has five Key Results Areas (KRAs), each with a corresponding objective</w:t>
      </w:r>
      <w:r w:rsidR="00AD00F0">
        <w:rPr>
          <w:lang w:val="en-AU"/>
        </w:rPr>
        <w:t xml:space="preserve"> (</w:t>
      </w:r>
      <w:r w:rsidR="00AD00F0">
        <w:rPr>
          <w:lang w:val="en-AU"/>
        </w:rPr>
        <w:fldChar w:fldCharType="begin"/>
      </w:r>
      <w:r w:rsidR="00AD00F0">
        <w:rPr>
          <w:lang w:val="en-AU"/>
        </w:rPr>
        <w:instrText xml:space="preserve"> REF _Ref152406355 \h </w:instrText>
      </w:r>
      <w:r w:rsidR="00971A95">
        <w:rPr>
          <w:lang w:val="en-AU"/>
        </w:rPr>
        <w:instrText xml:space="preserve"> \* MERGEFORMAT </w:instrText>
      </w:r>
      <w:r w:rsidR="00AD00F0">
        <w:rPr>
          <w:lang w:val="en-AU"/>
        </w:rPr>
      </w:r>
      <w:r w:rsidR="00AD00F0">
        <w:rPr>
          <w:lang w:val="en-AU"/>
        </w:rPr>
        <w:fldChar w:fldCharType="separate"/>
      </w:r>
      <w:r w:rsidR="00A95913">
        <w:t xml:space="preserve">Table </w:t>
      </w:r>
      <w:r w:rsidR="00A95913">
        <w:rPr>
          <w:noProof/>
        </w:rPr>
        <w:t>1</w:t>
      </w:r>
      <w:r w:rsidR="00AD00F0">
        <w:rPr>
          <w:lang w:val="en-AU"/>
        </w:rPr>
        <w:fldChar w:fldCharType="end"/>
      </w:r>
      <w:r w:rsidR="00AD00F0">
        <w:rPr>
          <w:lang w:val="en-AU"/>
        </w:rPr>
        <w:t>)</w:t>
      </w:r>
      <w:r w:rsidR="00B9178B">
        <w:rPr>
          <w:lang w:val="en-AU"/>
        </w:rPr>
        <w:t xml:space="preserve">. The NCD Strategy also maps out a detailed set of outputs and activities under each KRA, </w:t>
      </w:r>
      <w:r w:rsidR="008E062E">
        <w:rPr>
          <w:lang w:val="en-AU"/>
        </w:rPr>
        <w:t>including the timeframe and responsible stakeholders for each</w:t>
      </w:r>
      <w:r w:rsidR="00DE7849">
        <w:rPr>
          <w:lang w:val="en-AU"/>
        </w:rPr>
        <w:t xml:space="preserve"> activity. TongaHealth, as one of the key stakeholders in the NCD Strategy, is </w:t>
      </w:r>
      <w:r w:rsidR="00491A06">
        <w:rPr>
          <w:lang w:val="en-AU"/>
        </w:rPr>
        <w:t xml:space="preserve">responsible for delivering </w:t>
      </w:r>
      <w:r w:rsidR="002E512A">
        <w:rPr>
          <w:lang w:val="en-AU"/>
        </w:rPr>
        <w:t>a range of activities</w:t>
      </w:r>
      <w:r w:rsidR="00A527D6">
        <w:rPr>
          <w:lang w:val="en-AU"/>
        </w:rPr>
        <w:t xml:space="preserve"> </w:t>
      </w:r>
      <w:r w:rsidR="002C7D9D">
        <w:rPr>
          <w:lang w:val="en-AU"/>
        </w:rPr>
        <w:t xml:space="preserve">and contributing (along with other stakeholders) to the </w:t>
      </w:r>
      <w:r w:rsidR="00A527D6">
        <w:rPr>
          <w:lang w:val="en-AU"/>
        </w:rPr>
        <w:t>Objectives of the NCD Strategy</w:t>
      </w:r>
      <w:r w:rsidR="002E512A">
        <w:rPr>
          <w:lang w:val="en-AU"/>
        </w:rPr>
        <w:t xml:space="preserve">. </w:t>
      </w:r>
      <w:r w:rsidR="00666DBE" w:rsidRPr="00563EDC">
        <w:rPr>
          <w:lang w:val="en-AU"/>
        </w:rPr>
        <w:t xml:space="preserve">This section </w:t>
      </w:r>
      <w:r w:rsidR="00064B44">
        <w:rPr>
          <w:lang w:val="en-AU"/>
        </w:rPr>
        <w:t xml:space="preserve">briefly </w:t>
      </w:r>
      <w:r w:rsidR="00064B44">
        <w:rPr>
          <w:lang w:val="en-AU"/>
        </w:rPr>
        <w:lastRenderedPageBreak/>
        <w:t xml:space="preserve">describes </w:t>
      </w:r>
      <w:r w:rsidR="00666DBE" w:rsidRPr="00563EDC">
        <w:rPr>
          <w:lang w:val="en-AU"/>
        </w:rPr>
        <w:t>TongaHealth’s contributions to each KRA</w:t>
      </w:r>
      <w:r w:rsidR="00C24C14">
        <w:rPr>
          <w:lang w:val="en-AU"/>
        </w:rPr>
        <w:t xml:space="preserve"> of the NCD Strategy</w:t>
      </w:r>
      <w:r w:rsidR="005679E8">
        <w:rPr>
          <w:lang w:val="en-AU"/>
        </w:rPr>
        <w:t>, drawn from</w:t>
      </w:r>
      <w:r w:rsidR="00D9172E">
        <w:rPr>
          <w:lang w:val="en-AU"/>
        </w:rPr>
        <w:t xml:space="preserve"> TongaHealth progress reports to DFAT and THSSP3</w:t>
      </w:r>
      <w:r w:rsidR="00666DBE" w:rsidRPr="00563EDC">
        <w:rPr>
          <w:lang w:val="en-AU"/>
        </w:rPr>
        <w:t xml:space="preserve">. </w:t>
      </w:r>
      <w:r w:rsidR="00BD62E4">
        <w:rPr>
          <w:lang w:val="en-AU"/>
        </w:rPr>
        <w:t xml:space="preserve">TongaHealth’s progress against specific outputs and activities </w:t>
      </w:r>
      <w:r w:rsidR="00563EDC" w:rsidRPr="00563EDC">
        <w:rPr>
          <w:lang w:val="en-AU"/>
        </w:rPr>
        <w:t>is provided in Annex</w:t>
      </w:r>
      <w:r w:rsidR="00A86B29">
        <w:rPr>
          <w:lang w:val="en-AU"/>
        </w:rPr>
        <w:t xml:space="preserve"> </w:t>
      </w:r>
      <w:r w:rsidR="00A86B29">
        <w:rPr>
          <w:lang w:val="en-AU"/>
        </w:rPr>
        <w:fldChar w:fldCharType="begin"/>
      </w:r>
      <w:r w:rsidR="00A86B29">
        <w:rPr>
          <w:lang w:val="en-AU"/>
        </w:rPr>
        <w:instrText xml:space="preserve"> REF _Ref153899743 \r \h </w:instrText>
      </w:r>
      <w:r w:rsidR="00DF166F">
        <w:rPr>
          <w:lang w:val="en-AU"/>
        </w:rPr>
        <w:instrText xml:space="preserve"> \* MERGEFORMAT </w:instrText>
      </w:r>
      <w:r w:rsidR="00A86B29">
        <w:rPr>
          <w:lang w:val="en-AU"/>
        </w:rPr>
      </w:r>
      <w:r w:rsidR="00A86B29">
        <w:rPr>
          <w:lang w:val="en-AU"/>
        </w:rPr>
        <w:fldChar w:fldCharType="separate"/>
      </w:r>
      <w:r w:rsidR="00A86B29">
        <w:rPr>
          <w:lang w:val="en-AU"/>
        </w:rPr>
        <w:t>4.5</w:t>
      </w:r>
      <w:r w:rsidR="00A86B29">
        <w:rPr>
          <w:lang w:val="en-AU"/>
        </w:rPr>
        <w:fldChar w:fldCharType="end"/>
      </w:r>
      <w:r w:rsidR="00563EDC" w:rsidRPr="00563EDC">
        <w:rPr>
          <w:lang w:val="en-AU"/>
        </w:rPr>
        <w:t>.</w:t>
      </w:r>
    </w:p>
    <w:p w14:paraId="07DBEF8A" w14:textId="473507BD" w:rsidR="00987EA5" w:rsidRPr="00563EDC" w:rsidRDefault="00987EA5" w:rsidP="00DF166F">
      <w:pPr>
        <w:pStyle w:val="Caption"/>
        <w:spacing w:line="276" w:lineRule="auto"/>
        <w:rPr>
          <w:lang w:val="en-AU"/>
        </w:rPr>
      </w:pPr>
      <w:bookmarkStart w:id="34" w:name="_Ref152406355"/>
      <w:bookmarkStart w:id="35" w:name="_Toc152915088"/>
      <w:r>
        <w:t xml:space="preserve">Table </w:t>
      </w:r>
      <w:r w:rsidR="000145B6">
        <w:fldChar w:fldCharType="begin"/>
      </w:r>
      <w:r w:rsidR="000145B6">
        <w:instrText xml:space="preserve"> SEQ Table \* ARABIC </w:instrText>
      </w:r>
      <w:r w:rsidR="000145B6">
        <w:fldChar w:fldCharType="separate"/>
      </w:r>
      <w:r w:rsidR="00A95913">
        <w:rPr>
          <w:noProof/>
        </w:rPr>
        <w:t>1</w:t>
      </w:r>
      <w:r w:rsidR="000145B6">
        <w:rPr>
          <w:noProof/>
        </w:rPr>
        <w:fldChar w:fldCharType="end"/>
      </w:r>
      <w:bookmarkEnd w:id="34"/>
      <w:r w:rsidR="001A7E7B">
        <w:rPr>
          <w:noProof/>
        </w:rPr>
        <w:t>:</w:t>
      </w:r>
      <w:r>
        <w:t xml:space="preserve"> Key Results Areas and Objectives of the National N</w:t>
      </w:r>
      <w:r w:rsidR="00D4057E">
        <w:t>C</w:t>
      </w:r>
      <w:r>
        <w:t>D Strategy, and status of TongaHealth’s progress</w:t>
      </w:r>
      <w:bookmarkEnd w:id="35"/>
    </w:p>
    <w:tbl>
      <w:tblPr>
        <w:tblStyle w:val="GridTable4-Accent1"/>
        <w:tblW w:w="5000" w:type="pct"/>
        <w:tblLook w:val="04A0" w:firstRow="1" w:lastRow="0" w:firstColumn="1" w:lastColumn="0" w:noHBand="0" w:noVBand="1"/>
      </w:tblPr>
      <w:tblGrid>
        <w:gridCol w:w="2239"/>
        <w:gridCol w:w="4253"/>
        <w:gridCol w:w="3244"/>
      </w:tblGrid>
      <w:tr w:rsidR="00B23204" w:rsidRPr="004870E1" w14:paraId="12D7C0C4" w14:textId="76818398" w:rsidTr="00903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pct"/>
          </w:tcPr>
          <w:p w14:paraId="5C87F5FC" w14:textId="7054D7F9" w:rsidR="00B23204" w:rsidRPr="00903096" w:rsidRDefault="00B23204" w:rsidP="00DF166F">
            <w:pPr>
              <w:spacing w:line="276" w:lineRule="auto"/>
              <w:rPr>
                <w:lang w:val="en-AU"/>
              </w:rPr>
            </w:pPr>
            <w:r w:rsidRPr="00903096">
              <w:t>Key Results Area</w:t>
            </w:r>
          </w:p>
        </w:tc>
        <w:tc>
          <w:tcPr>
            <w:tcW w:w="2184" w:type="pct"/>
          </w:tcPr>
          <w:p w14:paraId="66F4A055" w14:textId="102DD07A" w:rsidR="00B23204" w:rsidRPr="00903096" w:rsidRDefault="00B23204" w:rsidP="00DF166F">
            <w:pPr>
              <w:spacing w:line="276" w:lineRule="auto"/>
              <w:cnfStyle w:val="100000000000" w:firstRow="1" w:lastRow="0" w:firstColumn="0" w:lastColumn="0" w:oddVBand="0" w:evenVBand="0" w:oddHBand="0" w:evenHBand="0" w:firstRowFirstColumn="0" w:firstRowLastColumn="0" w:lastRowFirstColumn="0" w:lastRowLastColumn="0"/>
              <w:rPr>
                <w:lang w:val="en-AU"/>
              </w:rPr>
            </w:pPr>
            <w:r w:rsidRPr="00903096">
              <w:t>Objective</w:t>
            </w:r>
          </w:p>
        </w:tc>
        <w:tc>
          <w:tcPr>
            <w:tcW w:w="1666" w:type="pct"/>
          </w:tcPr>
          <w:p w14:paraId="61A25A00" w14:textId="19FDD79A" w:rsidR="00B23204" w:rsidRPr="00903096" w:rsidRDefault="00B23204" w:rsidP="00DF166F">
            <w:pPr>
              <w:spacing w:line="276" w:lineRule="auto"/>
              <w:cnfStyle w:val="100000000000" w:firstRow="1" w:lastRow="0" w:firstColumn="0" w:lastColumn="0" w:oddVBand="0" w:evenVBand="0" w:oddHBand="0" w:evenHBand="0" w:firstRowFirstColumn="0" w:firstRowLastColumn="0" w:lastRowFirstColumn="0" w:lastRowLastColumn="0"/>
            </w:pPr>
            <w:r w:rsidRPr="00903096">
              <w:t xml:space="preserve">TongaHealth’s </w:t>
            </w:r>
            <w:r w:rsidR="00AD00F0">
              <w:t>progress in</w:t>
            </w:r>
            <w:r w:rsidRPr="00903096">
              <w:t xml:space="preserve"> this Key Results Area</w:t>
            </w:r>
            <w:r w:rsidR="00F44170">
              <w:rPr>
                <w:rStyle w:val="FootnoteReference"/>
              </w:rPr>
              <w:footnoteReference w:id="2"/>
            </w:r>
          </w:p>
        </w:tc>
      </w:tr>
      <w:tr w:rsidR="00B23204" w:rsidRPr="004870E1" w14:paraId="27F453CD" w14:textId="388AF7BF" w:rsidTr="00903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pct"/>
          </w:tcPr>
          <w:p w14:paraId="7A0AD0CD" w14:textId="25D523DC" w:rsidR="00B23204" w:rsidRPr="004870E1" w:rsidRDefault="00B23204" w:rsidP="00DF166F">
            <w:pPr>
              <w:spacing w:line="276" w:lineRule="auto"/>
              <w:rPr>
                <w:b w:val="0"/>
                <w:bCs w:val="0"/>
                <w:i/>
                <w:iCs/>
                <w:lang w:val="en-AU"/>
              </w:rPr>
            </w:pPr>
            <w:r w:rsidRPr="004870E1">
              <w:rPr>
                <w:b w:val="0"/>
                <w:bCs w:val="0"/>
              </w:rPr>
              <w:t>K</w:t>
            </w:r>
            <w:r w:rsidR="00903096">
              <w:rPr>
                <w:b w:val="0"/>
                <w:bCs w:val="0"/>
              </w:rPr>
              <w:t>RA</w:t>
            </w:r>
            <w:r w:rsidRPr="004870E1">
              <w:rPr>
                <w:b w:val="0"/>
                <w:bCs w:val="0"/>
              </w:rPr>
              <w:t xml:space="preserve"> 1: Effective governance and leadership</w:t>
            </w:r>
          </w:p>
        </w:tc>
        <w:tc>
          <w:tcPr>
            <w:tcW w:w="2184" w:type="pct"/>
          </w:tcPr>
          <w:p w14:paraId="0BF9521F" w14:textId="386783AF" w:rsidR="00B23204" w:rsidRPr="004870E1" w:rsidRDefault="00B23204" w:rsidP="00DF166F">
            <w:pPr>
              <w:spacing w:line="276" w:lineRule="auto"/>
              <w:cnfStyle w:val="000000100000" w:firstRow="0" w:lastRow="0" w:firstColumn="0" w:lastColumn="0" w:oddVBand="0" w:evenVBand="0" w:oddHBand="1" w:evenHBand="0" w:firstRowFirstColumn="0" w:firstRowLastColumn="0" w:lastRowFirstColumn="0" w:lastRowLastColumn="0"/>
              <w:rPr>
                <w:i/>
                <w:iCs/>
                <w:lang w:val="en-AU"/>
              </w:rPr>
            </w:pPr>
            <w:r w:rsidRPr="004870E1">
              <w:t>OBJECTIVE 1: Strengthen governance to guide effective implementation of the NCD prevention and control strategy</w:t>
            </w:r>
          </w:p>
        </w:tc>
        <w:tc>
          <w:tcPr>
            <w:tcW w:w="1666" w:type="pct"/>
          </w:tcPr>
          <w:p w14:paraId="464F361A" w14:textId="42F16849" w:rsidR="00B23204" w:rsidRPr="004870E1" w:rsidRDefault="002735DC" w:rsidP="00DF166F">
            <w:pPr>
              <w:spacing w:line="276" w:lineRule="auto"/>
              <w:cnfStyle w:val="000000100000" w:firstRow="0" w:lastRow="0" w:firstColumn="0" w:lastColumn="0" w:oddVBand="0" w:evenVBand="0" w:oddHBand="1" w:evenHBand="0" w:firstRowFirstColumn="0" w:firstRowLastColumn="0" w:lastRowFirstColumn="0" w:lastRowLastColumn="0"/>
            </w:pPr>
            <w:r w:rsidRPr="004870E1">
              <w:t>Not on track</w:t>
            </w:r>
          </w:p>
        </w:tc>
      </w:tr>
      <w:tr w:rsidR="00B23204" w:rsidRPr="004870E1" w14:paraId="5CB58782" w14:textId="6B39623C" w:rsidTr="00903096">
        <w:tc>
          <w:tcPr>
            <w:cnfStyle w:val="001000000000" w:firstRow="0" w:lastRow="0" w:firstColumn="1" w:lastColumn="0" w:oddVBand="0" w:evenVBand="0" w:oddHBand="0" w:evenHBand="0" w:firstRowFirstColumn="0" w:firstRowLastColumn="0" w:lastRowFirstColumn="0" w:lastRowLastColumn="0"/>
            <w:tcW w:w="1150" w:type="pct"/>
          </w:tcPr>
          <w:p w14:paraId="633FB26B" w14:textId="4E757CEF" w:rsidR="00B23204" w:rsidRPr="004870E1" w:rsidRDefault="00B23204" w:rsidP="00DF166F">
            <w:pPr>
              <w:spacing w:line="276" w:lineRule="auto"/>
              <w:rPr>
                <w:b w:val="0"/>
                <w:bCs w:val="0"/>
                <w:i/>
                <w:iCs/>
                <w:lang w:val="en-AU"/>
              </w:rPr>
            </w:pPr>
            <w:r w:rsidRPr="004870E1">
              <w:rPr>
                <w:b w:val="0"/>
                <w:bCs w:val="0"/>
              </w:rPr>
              <w:t>K</w:t>
            </w:r>
            <w:r w:rsidR="00903096">
              <w:rPr>
                <w:b w:val="0"/>
                <w:bCs w:val="0"/>
              </w:rPr>
              <w:t>RA</w:t>
            </w:r>
            <w:r w:rsidRPr="004870E1">
              <w:rPr>
                <w:b w:val="0"/>
                <w:bCs w:val="0"/>
              </w:rPr>
              <w:t xml:space="preserve"> 2: Multisectoral stakeholder engagement and partnerships</w:t>
            </w:r>
          </w:p>
        </w:tc>
        <w:tc>
          <w:tcPr>
            <w:tcW w:w="2184" w:type="pct"/>
          </w:tcPr>
          <w:p w14:paraId="1DAC8FA2" w14:textId="00CA9FBE" w:rsidR="00B23204" w:rsidRPr="004870E1" w:rsidRDefault="00B23204" w:rsidP="00DF166F">
            <w:pPr>
              <w:spacing w:line="276" w:lineRule="auto"/>
              <w:cnfStyle w:val="000000000000" w:firstRow="0" w:lastRow="0" w:firstColumn="0" w:lastColumn="0" w:oddVBand="0" w:evenVBand="0" w:oddHBand="0" w:evenHBand="0" w:firstRowFirstColumn="0" w:firstRowLastColumn="0" w:lastRowFirstColumn="0" w:lastRowLastColumn="0"/>
              <w:rPr>
                <w:i/>
                <w:iCs/>
                <w:lang w:val="en-AU"/>
              </w:rPr>
            </w:pPr>
            <w:r w:rsidRPr="004870E1">
              <w:t xml:space="preserve">OBJECTIVE 2: Strengthen </w:t>
            </w:r>
            <w:r w:rsidR="00AA3C76">
              <w:t>multisectoral</w:t>
            </w:r>
            <w:r w:rsidRPr="004870E1">
              <w:t xml:space="preserve"> engagement and partnerships to accelerate and scale up the national response to NCDs</w:t>
            </w:r>
          </w:p>
        </w:tc>
        <w:tc>
          <w:tcPr>
            <w:tcW w:w="1666" w:type="pct"/>
          </w:tcPr>
          <w:p w14:paraId="137A7E87" w14:textId="2E847C70" w:rsidR="00B23204" w:rsidRPr="004870E1" w:rsidRDefault="00F87357" w:rsidP="00DF166F">
            <w:pPr>
              <w:spacing w:line="276" w:lineRule="auto"/>
              <w:cnfStyle w:val="000000000000" w:firstRow="0" w:lastRow="0" w:firstColumn="0" w:lastColumn="0" w:oddVBand="0" w:evenVBand="0" w:oddHBand="0" w:evenHBand="0" w:firstRowFirstColumn="0" w:firstRowLastColumn="0" w:lastRowFirstColumn="0" w:lastRowLastColumn="0"/>
            </w:pPr>
            <w:r>
              <w:t>Slow progress</w:t>
            </w:r>
          </w:p>
        </w:tc>
      </w:tr>
      <w:tr w:rsidR="00B23204" w:rsidRPr="004870E1" w14:paraId="0CC73426" w14:textId="533E188D" w:rsidTr="00903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pct"/>
          </w:tcPr>
          <w:p w14:paraId="3B1C6311" w14:textId="712ABB58" w:rsidR="00B23204" w:rsidRPr="004870E1" w:rsidRDefault="00B23204" w:rsidP="00DF166F">
            <w:pPr>
              <w:spacing w:line="276" w:lineRule="auto"/>
              <w:rPr>
                <w:b w:val="0"/>
                <w:bCs w:val="0"/>
                <w:i/>
                <w:iCs/>
                <w:lang w:val="en-AU"/>
              </w:rPr>
            </w:pPr>
            <w:r w:rsidRPr="004870E1">
              <w:rPr>
                <w:b w:val="0"/>
                <w:bCs w:val="0"/>
              </w:rPr>
              <w:t>K</w:t>
            </w:r>
            <w:r w:rsidR="00903096">
              <w:rPr>
                <w:b w:val="0"/>
                <w:bCs w:val="0"/>
              </w:rPr>
              <w:t xml:space="preserve">RA </w:t>
            </w:r>
            <w:r w:rsidRPr="004870E1">
              <w:rPr>
                <w:b w:val="0"/>
                <w:bCs w:val="0"/>
              </w:rPr>
              <w:t>3: Health promotion and disease prevention</w:t>
            </w:r>
          </w:p>
        </w:tc>
        <w:tc>
          <w:tcPr>
            <w:tcW w:w="2184" w:type="pct"/>
          </w:tcPr>
          <w:p w14:paraId="4B114650" w14:textId="05D2DEDB" w:rsidR="00B23204" w:rsidRPr="004870E1" w:rsidRDefault="00B23204" w:rsidP="00DF166F">
            <w:pPr>
              <w:spacing w:line="276" w:lineRule="auto"/>
              <w:cnfStyle w:val="000000100000" w:firstRow="0" w:lastRow="0" w:firstColumn="0" w:lastColumn="0" w:oddVBand="0" w:evenVBand="0" w:oddHBand="1" w:evenHBand="0" w:firstRowFirstColumn="0" w:firstRowLastColumn="0" w:lastRowFirstColumn="0" w:lastRowLastColumn="0"/>
              <w:rPr>
                <w:i/>
                <w:iCs/>
                <w:lang w:val="en-AU"/>
              </w:rPr>
            </w:pPr>
            <w:r w:rsidRPr="004870E1">
              <w:t xml:space="preserve">OBJECTIVE 3: Build the capacity of individuals, </w:t>
            </w:r>
            <w:proofErr w:type="gramStart"/>
            <w:r w:rsidRPr="004870E1">
              <w:t>families</w:t>
            </w:r>
            <w:proofErr w:type="gramEnd"/>
            <w:r w:rsidRPr="004870E1">
              <w:t xml:space="preserve"> and communities to make healthy choices by creating healthy environments</w:t>
            </w:r>
          </w:p>
        </w:tc>
        <w:tc>
          <w:tcPr>
            <w:tcW w:w="1666" w:type="pct"/>
          </w:tcPr>
          <w:p w14:paraId="1040AD72" w14:textId="2378C834" w:rsidR="00B23204" w:rsidRPr="004870E1" w:rsidRDefault="002735DC" w:rsidP="00DF166F">
            <w:pPr>
              <w:spacing w:line="276" w:lineRule="auto"/>
              <w:cnfStyle w:val="000000100000" w:firstRow="0" w:lastRow="0" w:firstColumn="0" w:lastColumn="0" w:oddVBand="0" w:evenVBand="0" w:oddHBand="1" w:evenHBand="0" w:firstRowFirstColumn="0" w:firstRowLastColumn="0" w:lastRowFirstColumn="0" w:lastRowLastColumn="0"/>
            </w:pPr>
            <w:r w:rsidRPr="004870E1">
              <w:t xml:space="preserve">Mixed </w:t>
            </w:r>
            <w:r w:rsidR="00DB2ED1">
              <w:t xml:space="preserve">- </w:t>
            </w:r>
            <w:r w:rsidR="00DB2ED1" w:rsidRPr="00DB2ED1">
              <w:t>good progress in settings-based health promotion, slow progress in other activities</w:t>
            </w:r>
          </w:p>
        </w:tc>
      </w:tr>
      <w:tr w:rsidR="00B23204" w:rsidRPr="004870E1" w14:paraId="78358F3D" w14:textId="1229BBB5" w:rsidTr="00903096">
        <w:tc>
          <w:tcPr>
            <w:cnfStyle w:val="001000000000" w:firstRow="0" w:lastRow="0" w:firstColumn="1" w:lastColumn="0" w:oddVBand="0" w:evenVBand="0" w:oddHBand="0" w:evenHBand="0" w:firstRowFirstColumn="0" w:firstRowLastColumn="0" w:lastRowFirstColumn="0" w:lastRowLastColumn="0"/>
            <w:tcW w:w="1150" w:type="pct"/>
          </w:tcPr>
          <w:p w14:paraId="51283F64" w14:textId="57D6011F" w:rsidR="00B23204" w:rsidRPr="004870E1" w:rsidRDefault="00B23204" w:rsidP="00DF166F">
            <w:pPr>
              <w:spacing w:line="276" w:lineRule="auto"/>
              <w:rPr>
                <w:b w:val="0"/>
                <w:bCs w:val="0"/>
                <w:i/>
                <w:iCs/>
                <w:lang w:val="en-AU"/>
              </w:rPr>
            </w:pPr>
            <w:r w:rsidRPr="004870E1">
              <w:rPr>
                <w:b w:val="0"/>
                <w:bCs w:val="0"/>
              </w:rPr>
              <w:t>K</w:t>
            </w:r>
            <w:r w:rsidR="00903096">
              <w:rPr>
                <w:b w:val="0"/>
                <w:bCs w:val="0"/>
              </w:rPr>
              <w:t xml:space="preserve">RA </w:t>
            </w:r>
            <w:r w:rsidRPr="004870E1">
              <w:rPr>
                <w:b w:val="0"/>
                <w:bCs w:val="0"/>
              </w:rPr>
              <w:t>4: Health system strengthening</w:t>
            </w:r>
          </w:p>
        </w:tc>
        <w:tc>
          <w:tcPr>
            <w:tcW w:w="2184" w:type="pct"/>
          </w:tcPr>
          <w:p w14:paraId="1014B1E7" w14:textId="42396ADF" w:rsidR="00B23204" w:rsidRPr="004870E1" w:rsidRDefault="00B23204" w:rsidP="00DF166F">
            <w:pPr>
              <w:spacing w:line="276" w:lineRule="auto"/>
              <w:cnfStyle w:val="000000000000" w:firstRow="0" w:lastRow="0" w:firstColumn="0" w:lastColumn="0" w:oddVBand="0" w:evenVBand="0" w:oddHBand="0" w:evenHBand="0" w:firstRowFirstColumn="0" w:firstRowLastColumn="0" w:lastRowFirstColumn="0" w:lastRowLastColumn="0"/>
              <w:rPr>
                <w:i/>
                <w:iCs/>
                <w:lang w:val="en-AU"/>
              </w:rPr>
            </w:pPr>
            <w:r w:rsidRPr="004870E1">
              <w:t xml:space="preserve">OBJECTIVE 4: Strengthen health system to provide accessible, </w:t>
            </w:r>
            <w:proofErr w:type="gramStart"/>
            <w:r w:rsidRPr="004870E1">
              <w:t>affordable</w:t>
            </w:r>
            <w:proofErr w:type="gramEnd"/>
            <w:r w:rsidRPr="004870E1">
              <w:t xml:space="preserve"> and good quality care to all people with or at risk of NCDs</w:t>
            </w:r>
          </w:p>
        </w:tc>
        <w:tc>
          <w:tcPr>
            <w:tcW w:w="1666" w:type="pct"/>
          </w:tcPr>
          <w:p w14:paraId="6612D629" w14:textId="4399B218" w:rsidR="00B23204" w:rsidRPr="004870E1" w:rsidRDefault="002735DC" w:rsidP="00DF166F">
            <w:pPr>
              <w:spacing w:line="276" w:lineRule="auto"/>
              <w:cnfStyle w:val="000000000000" w:firstRow="0" w:lastRow="0" w:firstColumn="0" w:lastColumn="0" w:oddVBand="0" w:evenVBand="0" w:oddHBand="0" w:evenHBand="0" w:firstRowFirstColumn="0" w:firstRowLastColumn="0" w:lastRowFirstColumn="0" w:lastRowLastColumn="0"/>
            </w:pPr>
            <w:r w:rsidRPr="004870E1">
              <w:t>Not on track</w:t>
            </w:r>
          </w:p>
        </w:tc>
      </w:tr>
      <w:tr w:rsidR="00B23204" w:rsidRPr="004870E1" w14:paraId="570CA85A" w14:textId="443574C3" w:rsidTr="00903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0" w:type="pct"/>
          </w:tcPr>
          <w:p w14:paraId="39C50DC6" w14:textId="45F8581B" w:rsidR="00B23204" w:rsidRPr="004870E1" w:rsidRDefault="00B23204" w:rsidP="00DF166F">
            <w:pPr>
              <w:spacing w:line="276" w:lineRule="auto"/>
              <w:rPr>
                <w:b w:val="0"/>
                <w:bCs w:val="0"/>
                <w:i/>
                <w:iCs/>
                <w:lang w:val="en-AU"/>
              </w:rPr>
            </w:pPr>
            <w:r w:rsidRPr="004870E1">
              <w:rPr>
                <w:b w:val="0"/>
                <w:bCs w:val="0"/>
              </w:rPr>
              <w:t>K</w:t>
            </w:r>
            <w:r w:rsidR="00903096">
              <w:rPr>
                <w:b w:val="0"/>
                <w:bCs w:val="0"/>
              </w:rPr>
              <w:t>RA</w:t>
            </w:r>
            <w:r w:rsidRPr="004870E1">
              <w:rPr>
                <w:b w:val="0"/>
                <w:bCs w:val="0"/>
              </w:rPr>
              <w:t xml:space="preserve"> 5: M&amp;E, surveillance, </w:t>
            </w:r>
            <w:proofErr w:type="gramStart"/>
            <w:r w:rsidRPr="004870E1">
              <w:rPr>
                <w:b w:val="0"/>
                <w:bCs w:val="0"/>
              </w:rPr>
              <w:t>research</w:t>
            </w:r>
            <w:proofErr w:type="gramEnd"/>
            <w:r w:rsidRPr="004870E1">
              <w:rPr>
                <w:b w:val="0"/>
                <w:bCs w:val="0"/>
              </w:rPr>
              <w:t xml:space="preserve"> and learning</w:t>
            </w:r>
          </w:p>
        </w:tc>
        <w:tc>
          <w:tcPr>
            <w:tcW w:w="2184" w:type="pct"/>
          </w:tcPr>
          <w:p w14:paraId="57AE2D16" w14:textId="2FC5BC10" w:rsidR="00B23204" w:rsidRPr="004870E1" w:rsidRDefault="00B23204" w:rsidP="00DF166F">
            <w:pPr>
              <w:spacing w:line="276" w:lineRule="auto"/>
              <w:cnfStyle w:val="000000100000" w:firstRow="0" w:lastRow="0" w:firstColumn="0" w:lastColumn="0" w:oddVBand="0" w:evenVBand="0" w:oddHBand="1" w:evenHBand="0" w:firstRowFirstColumn="0" w:firstRowLastColumn="0" w:lastRowFirstColumn="0" w:lastRowLastColumn="0"/>
              <w:rPr>
                <w:i/>
                <w:iCs/>
                <w:lang w:val="en-AU"/>
              </w:rPr>
            </w:pPr>
            <w:r w:rsidRPr="004870E1">
              <w:t xml:space="preserve">OBJECTIVE 5: Establish sustainable monitoring, </w:t>
            </w:r>
            <w:proofErr w:type="gramStart"/>
            <w:r w:rsidRPr="004870E1">
              <w:t>evaluation</w:t>
            </w:r>
            <w:proofErr w:type="gramEnd"/>
            <w:r w:rsidRPr="004870E1">
              <w:t xml:space="preserve"> and surveillance systems</w:t>
            </w:r>
          </w:p>
        </w:tc>
        <w:tc>
          <w:tcPr>
            <w:tcW w:w="1666" w:type="pct"/>
          </w:tcPr>
          <w:p w14:paraId="51CD45F7" w14:textId="0A398DA0" w:rsidR="00B23204" w:rsidRPr="004870E1" w:rsidRDefault="002735DC" w:rsidP="00DF166F">
            <w:pPr>
              <w:spacing w:line="276" w:lineRule="auto"/>
              <w:cnfStyle w:val="000000100000" w:firstRow="0" w:lastRow="0" w:firstColumn="0" w:lastColumn="0" w:oddVBand="0" w:evenVBand="0" w:oddHBand="1" w:evenHBand="0" w:firstRowFirstColumn="0" w:firstRowLastColumn="0" w:lastRowFirstColumn="0" w:lastRowLastColumn="0"/>
            </w:pPr>
            <w:r w:rsidRPr="004870E1">
              <w:t>Slow progress</w:t>
            </w:r>
          </w:p>
        </w:tc>
      </w:tr>
    </w:tbl>
    <w:p w14:paraId="7C5C0889" w14:textId="59762179" w:rsidR="00DF6270" w:rsidRPr="00DF6270" w:rsidRDefault="00DF6270" w:rsidP="00DF166F">
      <w:pPr>
        <w:pStyle w:val="Heading4"/>
        <w:spacing w:line="276" w:lineRule="auto"/>
        <w:rPr>
          <w:lang w:val="en-AU"/>
        </w:rPr>
      </w:pPr>
      <w:r w:rsidRPr="00DF6270">
        <w:t>KRA 1: E</w:t>
      </w:r>
      <w:r w:rsidR="005C4892">
        <w:t>ffective governance and leadership</w:t>
      </w:r>
    </w:p>
    <w:p w14:paraId="71C05D16" w14:textId="72F70FC8" w:rsidR="00DF6270" w:rsidRPr="00DF6270" w:rsidRDefault="005C4892" w:rsidP="00962FBE">
      <w:pPr>
        <w:pStyle w:val="BodyText"/>
      </w:pPr>
      <w:r>
        <w:t xml:space="preserve">Under KRA 1, </w:t>
      </w:r>
      <w:r w:rsidR="00DF6270" w:rsidRPr="00DF6270">
        <w:rPr>
          <w:rFonts w:eastAsiaTheme="minorEastAsia"/>
        </w:rPr>
        <w:t xml:space="preserve">TongaHealth </w:t>
      </w:r>
      <w:r w:rsidR="00261DAB">
        <w:rPr>
          <w:rFonts w:eastAsiaTheme="minorEastAsia"/>
        </w:rPr>
        <w:t>is responsible for</w:t>
      </w:r>
      <w:r w:rsidR="00DF6270" w:rsidRPr="00DF6270">
        <w:rPr>
          <w:rFonts w:eastAsiaTheme="minorEastAsia"/>
        </w:rPr>
        <w:t xml:space="preserve"> </w:t>
      </w:r>
      <w:r w:rsidR="008305C3">
        <w:rPr>
          <w:rFonts w:eastAsiaTheme="minorEastAsia"/>
        </w:rPr>
        <w:t>administering and supporting t</w:t>
      </w:r>
      <w:r>
        <w:t xml:space="preserve">he </w:t>
      </w:r>
      <w:r w:rsidR="00DF6270" w:rsidRPr="00DF6270">
        <w:rPr>
          <w:rFonts w:eastAsiaTheme="minorEastAsia"/>
        </w:rPr>
        <w:t>National NCD Committee</w:t>
      </w:r>
      <w:r w:rsidR="00F35E51">
        <w:t xml:space="preserve">. The </w:t>
      </w:r>
      <w:r w:rsidR="00115511">
        <w:t>TongaHealth</w:t>
      </w:r>
      <w:r w:rsidR="00F35E51">
        <w:t xml:space="preserve"> Chief Executive Officer (</w:t>
      </w:r>
      <w:r w:rsidR="00115511">
        <w:t>CEO</w:t>
      </w:r>
      <w:r w:rsidR="00F35E51">
        <w:t>)</w:t>
      </w:r>
      <w:r w:rsidR="00115511">
        <w:t xml:space="preserve"> </w:t>
      </w:r>
      <w:r w:rsidR="00F35E51">
        <w:t>i</w:t>
      </w:r>
      <w:r w:rsidR="00D0320C">
        <w:t>s</w:t>
      </w:r>
      <w:r w:rsidR="00115511">
        <w:t xml:space="preserve"> </w:t>
      </w:r>
      <w:r w:rsidR="009B4207">
        <w:t xml:space="preserve">the Secretariat for the Committee. </w:t>
      </w:r>
      <w:r w:rsidR="006B2F21">
        <w:t xml:space="preserve">TongaHealth’s progress against this KRA is </w:t>
      </w:r>
      <w:r w:rsidR="006B2F21" w:rsidRPr="006B2F21">
        <w:rPr>
          <w:b/>
          <w:bCs/>
        </w:rPr>
        <w:t>not on track.</w:t>
      </w:r>
    </w:p>
    <w:p w14:paraId="0CA7BE0C" w14:textId="0B2550AA" w:rsidR="008B2844" w:rsidRDefault="004E0DA5" w:rsidP="00962FBE">
      <w:pPr>
        <w:pStyle w:val="BodyText"/>
      </w:pPr>
      <w:r w:rsidRPr="004E0DA5">
        <w:rPr>
          <w:b/>
          <w:bCs/>
        </w:rPr>
        <w:t>T</w:t>
      </w:r>
      <w:r w:rsidR="009B4207" w:rsidRPr="007625C8">
        <w:rPr>
          <w:b/>
          <w:bCs/>
        </w:rPr>
        <w:t xml:space="preserve">he </w:t>
      </w:r>
      <w:r w:rsidR="00765892" w:rsidRPr="007625C8">
        <w:rPr>
          <w:b/>
          <w:bCs/>
        </w:rPr>
        <w:t xml:space="preserve">Committee has not fulfilled its mandate of </w:t>
      </w:r>
      <w:r w:rsidR="00286B43" w:rsidRPr="007625C8">
        <w:rPr>
          <w:b/>
          <w:bCs/>
        </w:rPr>
        <w:t>guiding effective implementation of the NCD Strategy.</w:t>
      </w:r>
      <w:r w:rsidR="00286B43">
        <w:t xml:space="preserve"> Meetings are infrequent, with the Committee only meeting twice since 2021, rather than the quarterly meetings envisioned in the Strategy. Moreover, the </w:t>
      </w:r>
      <w:r w:rsidR="00F4135E">
        <w:t>focus</w:t>
      </w:r>
      <w:r w:rsidR="00286B43">
        <w:t xml:space="preserve"> of those meetings was to</w:t>
      </w:r>
      <w:r w:rsidR="002F08C1">
        <w:t xml:space="preserve"> discuss operational matters (e.g. Terms of Reference for the Committee) and to</w:t>
      </w:r>
      <w:r w:rsidR="00286B43">
        <w:t xml:space="preserve"> endorse the TongaHealth</w:t>
      </w:r>
      <w:r w:rsidR="0022038B">
        <w:t xml:space="preserve"> Annual</w:t>
      </w:r>
      <w:r w:rsidR="00286B43">
        <w:t xml:space="preserve"> Statement of Corporate Intent</w:t>
      </w:r>
      <w:r w:rsidR="00B37180">
        <w:t xml:space="preserve"> (considered equivalent to an annual work plan)</w:t>
      </w:r>
      <w:r w:rsidR="00286B43">
        <w:t xml:space="preserve">, </w:t>
      </w:r>
      <w:r w:rsidR="00286B43" w:rsidRPr="006E49A3">
        <w:t>rather than providing</w:t>
      </w:r>
      <w:r w:rsidR="00C2625B" w:rsidRPr="006E49A3">
        <w:t xml:space="preserve"> more substantive</w:t>
      </w:r>
      <w:r w:rsidR="00D00E54" w:rsidRPr="006E49A3">
        <w:t xml:space="preserve"> technical</w:t>
      </w:r>
      <w:r w:rsidR="00C2625B" w:rsidRPr="006E49A3">
        <w:t xml:space="preserve"> oversight </w:t>
      </w:r>
      <w:r w:rsidR="00CE4060" w:rsidRPr="006E49A3">
        <w:t>of implementation of the NCD Strategy</w:t>
      </w:r>
      <w:r w:rsidR="00C2625B" w:rsidRPr="006E49A3">
        <w:t>.</w:t>
      </w:r>
      <w:r w:rsidR="00186A96" w:rsidRPr="006E49A3">
        <w:t xml:space="preserve"> </w:t>
      </w:r>
      <w:r w:rsidR="00CC1AAE" w:rsidRPr="006E49A3">
        <w:t xml:space="preserve">While external factors (e.g. the Strategy not being endorsed until December 2021, COVID-19 and the </w:t>
      </w:r>
      <w:proofErr w:type="spellStart"/>
      <w:r w:rsidR="00CC1AAE" w:rsidRPr="006E49A3">
        <w:t>Hunga</w:t>
      </w:r>
      <w:proofErr w:type="spellEnd"/>
      <w:r w:rsidR="00CC1AAE" w:rsidRPr="006E49A3">
        <w:t xml:space="preserve"> Tonga </w:t>
      </w:r>
      <w:proofErr w:type="spellStart"/>
      <w:r w:rsidR="00CC1AAE" w:rsidRPr="006E49A3">
        <w:t>Hunga</w:t>
      </w:r>
      <w:proofErr w:type="spellEnd"/>
      <w:r w:rsidR="00CC1AAE" w:rsidRPr="006E49A3">
        <w:t xml:space="preserve"> </w:t>
      </w:r>
      <w:proofErr w:type="spellStart"/>
      <w:r w:rsidR="00CC1AAE" w:rsidRPr="006E49A3">
        <w:t>Ha’apai</w:t>
      </w:r>
      <w:proofErr w:type="spellEnd"/>
      <w:r w:rsidR="00CC1AAE" w:rsidRPr="006E49A3">
        <w:t xml:space="preserve"> eruption) have impacted the frequency of meetings, this </w:t>
      </w:r>
      <w:r w:rsidR="00186A96" w:rsidRPr="006E49A3">
        <w:t>a</w:t>
      </w:r>
      <w:r w:rsidR="00186A96">
        <w:t xml:space="preserve">ppears to be a long-standing issue, with the </w:t>
      </w:r>
      <w:r w:rsidR="00B34301">
        <w:t>2019 Mid Term Review of THSSP2 also finding the National NCD Committee was not meeting regularly or providing oversight.</w:t>
      </w:r>
      <w:r w:rsidR="00C2625B">
        <w:t xml:space="preserve"> </w:t>
      </w:r>
      <w:r w:rsidR="00222D77">
        <w:t>TongaHealth interviewees cite</w:t>
      </w:r>
      <w:r w:rsidR="00CA6791">
        <w:t>d</w:t>
      </w:r>
      <w:r w:rsidR="00222D77">
        <w:t xml:space="preserve"> lack of stakeholder availability as the main reason the Committee has not met</w:t>
      </w:r>
      <w:r w:rsidR="0094333A">
        <w:t xml:space="preserve"> (the Committee </w:t>
      </w:r>
      <w:r w:rsidR="00031F9D">
        <w:t xml:space="preserve">comprises CEOs of several </w:t>
      </w:r>
      <w:proofErr w:type="spellStart"/>
      <w:r w:rsidR="00031F9D">
        <w:t>GoT</w:t>
      </w:r>
      <w:proofErr w:type="spellEnd"/>
      <w:r w:rsidR="00031F9D">
        <w:t xml:space="preserve"> Ministries and senior representatives from other organisations)</w:t>
      </w:r>
      <w:r w:rsidR="00073FBC">
        <w:t xml:space="preserve">. However, </w:t>
      </w:r>
      <w:r w:rsidR="005C5914">
        <w:t>other interviewees</w:t>
      </w:r>
      <w:r w:rsidR="00B146A9">
        <w:t xml:space="preserve"> fel</w:t>
      </w:r>
      <w:r w:rsidR="00073FBC">
        <w:t xml:space="preserve">t meetings have been infrequent because </w:t>
      </w:r>
      <w:r w:rsidR="00B146A9">
        <w:t>TongaHealth ha</w:t>
      </w:r>
      <w:r w:rsidR="00050F52">
        <w:t>ve</w:t>
      </w:r>
      <w:r w:rsidR="00B146A9">
        <w:t xml:space="preserve"> not been sufficiently proactive in convening the Committee</w:t>
      </w:r>
      <w:r w:rsidR="00AA7945">
        <w:t xml:space="preserve">. </w:t>
      </w:r>
      <w:r w:rsidR="002167AB">
        <w:t>Whatever</w:t>
      </w:r>
      <w:r w:rsidR="00194AE3">
        <w:t xml:space="preserve"> reason the Committee is not functioning as intended</w:t>
      </w:r>
      <w:r w:rsidR="00DF643D">
        <w:t xml:space="preserve">, </w:t>
      </w:r>
      <w:r w:rsidR="00DF643D" w:rsidRPr="007625C8">
        <w:rPr>
          <w:b/>
          <w:bCs/>
        </w:rPr>
        <w:t>th</w:t>
      </w:r>
      <w:r w:rsidR="00377833">
        <w:rPr>
          <w:b/>
          <w:bCs/>
        </w:rPr>
        <w:t>ere is a clear need for an alternative</w:t>
      </w:r>
      <w:r w:rsidR="002B4645">
        <w:rPr>
          <w:b/>
          <w:bCs/>
        </w:rPr>
        <w:t xml:space="preserve"> governance model</w:t>
      </w:r>
      <w:r w:rsidR="00DE1663">
        <w:rPr>
          <w:b/>
          <w:bCs/>
        </w:rPr>
        <w:t xml:space="preserve"> </w:t>
      </w:r>
      <w:r w:rsidR="00DE1663" w:rsidRPr="00031F9D">
        <w:t xml:space="preserve">that </w:t>
      </w:r>
      <w:r w:rsidR="007A4C59">
        <w:t xml:space="preserve">provides oversight and accountability </w:t>
      </w:r>
      <w:r w:rsidR="007B2FF4">
        <w:t xml:space="preserve">for </w:t>
      </w:r>
      <w:r w:rsidR="000F1230">
        <w:t>the NCD Strategy</w:t>
      </w:r>
      <w:r w:rsidR="008C35BE">
        <w:rPr>
          <w:b/>
          <w:bCs/>
        </w:rPr>
        <w:t>.</w:t>
      </w:r>
      <w:r w:rsidR="00076A11">
        <w:rPr>
          <w:b/>
          <w:bCs/>
        </w:rPr>
        <w:t xml:space="preserve"> </w:t>
      </w:r>
    </w:p>
    <w:p w14:paraId="0BCF4A35" w14:textId="600BD815" w:rsidR="00DF6270" w:rsidRPr="00DF6270" w:rsidRDefault="00DF6270" w:rsidP="00DF166F">
      <w:pPr>
        <w:pStyle w:val="Heading4"/>
        <w:spacing w:line="276" w:lineRule="auto"/>
      </w:pPr>
      <w:r w:rsidRPr="00DF6270">
        <w:lastRenderedPageBreak/>
        <w:t>KRA 2: M</w:t>
      </w:r>
      <w:r w:rsidR="008D2A49">
        <w:t>ultisectoral stakeholder engagement and partnerships</w:t>
      </w:r>
    </w:p>
    <w:p w14:paraId="33945172" w14:textId="109B1DC1" w:rsidR="006B2F21" w:rsidRDefault="008D2A49" w:rsidP="00962FBE">
      <w:pPr>
        <w:pStyle w:val="BodyText"/>
        <w:rPr>
          <w:rFonts w:eastAsiaTheme="minorEastAsia"/>
        </w:rPr>
      </w:pPr>
      <w:r>
        <w:rPr>
          <w:rFonts w:eastAsiaTheme="minorEastAsia"/>
        </w:rPr>
        <w:t xml:space="preserve">Under KRA 2, </w:t>
      </w:r>
      <w:r w:rsidR="00DF6270" w:rsidRPr="00DF6270">
        <w:rPr>
          <w:rFonts w:eastAsiaTheme="minorEastAsia"/>
        </w:rPr>
        <w:t xml:space="preserve">TongaHealth </w:t>
      </w:r>
      <w:r w:rsidR="00261DAB">
        <w:rPr>
          <w:rFonts w:eastAsiaTheme="minorEastAsia"/>
        </w:rPr>
        <w:t>is responsible for</w:t>
      </w:r>
      <w:r w:rsidR="00DF6270" w:rsidRPr="00DF6270">
        <w:rPr>
          <w:rFonts w:eastAsiaTheme="minorEastAsia"/>
        </w:rPr>
        <w:t xml:space="preserve"> a range of activities including convening </w:t>
      </w:r>
      <w:r>
        <w:rPr>
          <w:rFonts w:eastAsiaTheme="minorEastAsia"/>
        </w:rPr>
        <w:t xml:space="preserve">an </w:t>
      </w:r>
      <w:r w:rsidR="00DF6270" w:rsidRPr="00DF6270">
        <w:rPr>
          <w:rFonts w:eastAsiaTheme="minorEastAsia"/>
        </w:rPr>
        <w:t>annual NCD forum, developing policy briefs/factsheets, mapping NCD stakeholder activities, and building CSO partnerships</w:t>
      </w:r>
      <w:r>
        <w:rPr>
          <w:rFonts w:eastAsiaTheme="minorEastAsia"/>
        </w:rPr>
        <w:t xml:space="preserve">. </w:t>
      </w:r>
      <w:r w:rsidR="006B2F21">
        <w:rPr>
          <w:rFonts w:eastAsiaTheme="minorEastAsia"/>
        </w:rPr>
        <w:t>TongaHealth</w:t>
      </w:r>
      <w:r w:rsidR="00F87357">
        <w:rPr>
          <w:rFonts w:eastAsiaTheme="minorEastAsia"/>
        </w:rPr>
        <w:t xml:space="preserve"> is making </w:t>
      </w:r>
      <w:r w:rsidR="00F87357" w:rsidRPr="00F87357">
        <w:rPr>
          <w:rFonts w:eastAsiaTheme="minorEastAsia"/>
          <w:b/>
          <w:bCs/>
        </w:rPr>
        <w:t>slow progress</w:t>
      </w:r>
      <w:r w:rsidR="006B2F21">
        <w:rPr>
          <w:rFonts w:eastAsiaTheme="minorEastAsia"/>
        </w:rPr>
        <w:t xml:space="preserve"> against this KRA</w:t>
      </w:r>
      <w:r w:rsidR="00B403EF">
        <w:rPr>
          <w:rFonts w:eastAsiaTheme="minorEastAsia"/>
        </w:rPr>
        <w:t xml:space="preserve">. </w:t>
      </w:r>
      <w:r w:rsidR="00B82E55">
        <w:rPr>
          <w:rFonts w:eastAsiaTheme="minorEastAsia"/>
        </w:rPr>
        <w:t xml:space="preserve">Overall, despite strong stakeholder demand for TongaHealth to establish mechanisms for stakeholder engagement, few mechanisms are currently in place, and more concerted effort is required to strengthen </w:t>
      </w:r>
      <w:r w:rsidR="008361F4">
        <w:rPr>
          <w:rFonts w:eastAsiaTheme="minorEastAsia"/>
        </w:rPr>
        <w:t>multisectoral</w:t>
      </w:r>
      <w:r w:rsidR="00B82E55">
        <w:rPr>
          <w:rFonts w:eastAsiaTheme="minorEastAsia"/>
        </w:rPr>
        <w:t xml:space="preserve"> engagement on NCDs.</w:t>
      </w:r>
    </w:p>
    <w:p w14:paraId="591B38F2" w14:textId="23159926" w:rsidR="00993651" w:rsidRDefault="009F4EBE" w:rsidP="00962FBE">
      <w:pPr>
        <w:pStyle w:val="BodyText"/>
        <w:rPr>
          <w:rFonts w:eastAsiaTheme="minorEastAsia"/>
        </w:rPr>
      </w:pPr>
      <w:r>
        <w:rPr>
          <w:rFonts w:eastAsiaTheme="minorEastAsia"/>
        </w:rPr>
        <w:t xml:space="preserve">TongaHealth have commenced some </w:t>
      </w:r>
      <w:r w:rsidRPr="00540090">
        <w:rPr>
          <w:rFonts w:eastAsiaTheme="minorEastAsia"/>
          <w:b/>
          <w:bCs/>
        </w:rPr>
        <w:t xml:space="preserve">foundational activities to promote </w:t>
      </w:r>
      <w:r w:rsidR="00AA3C76" w:rsidRPr="00540090">
        <w:rPr>
          <w:rFonts w:eastAsiaTheme="minorEastAsia"/>
          <w:b/>
          <w:bCs/>
        </w:rPr>
        <w:t>multisectoral</w:t>
      </w:r>
      <w:r w:rsidRPr="00540090">
        <w:rPr>
          <w:rFonts w:eastAsiaTheme="minorEastAsia"/>
          <w:b/>
          <w:bCs/>
        </w:rPr>
        <w:t xml:space="preserve"> engagement</w:t>
      </w:r>
      <w:r>
        <w:rPr>
          <w:rFonts w:eastAsiaTheme="minorEastAsia"/>
        </w:rPr>
        <w:t xml:space="preserve">, including </w:t>
      </w:r>
      <w:r w:rsidR="006B2F21">
        <w:rPr>
          <w:rFonts w:eastAsiaTheme="minorEastAsia"/>
        </w:rPr>
        <w:t xml:space="preserve">drafting NCD factsheets and </w:t>
      </w:r>
      <w:r w:rsidR="00C07E81">
        <w:rPr>
          <w:rFonts w:eastAsiaTheme="minorEastAsia"/>
        </w:rPr>
        <w:t>mapping NCD stakeholder activities</w:t>
      </w:r>
      <w:r>
        <w:rPr>
          <w:rFonts w:eastAsiaTheme="minorEastAsia"/>
        </w:rPr>
        <w:t xml:space="preserve">, however these are not yet completed. </w:t>
      </w:r>
      <w:r w:rsidR="00E659A6">
        <w:rPr>
          <w:rFonts w:eastAsiaTheme="minorEastAsia"/>
        </w:rPr>
        <w:t>In terms of convening multisectoral pla</w:t>
      </w:r>
      <w:r>
        <w:rPr>
          <w:rFonts w:eastAsiaTheme="minorEastAsia"/>
        </w:rPr>
        <w:t>t</w:t>
      </w:r>
      <w:r w:rsidR="00E659A6">
        <w:rPr>
          <w:rFonts w:eastAsiaTheme="minorEastAsia"/>
        </w:rPr>
        <w:t xml:space="preserve">forms, </w:t>
      </w:r>
      <w:r w:rsidR="00425BD5">
        <w:rPr>
          <w:rFonts w:eastAsiaTheme="minorEastAsia"/>
        </w:rPr>
        <w:t xml:space="preserve">TongaHealth </w:t>
      </w:r>
      <w:r w:rsidR="0005569C">
        <w:rPr>
          <w:rFonts w:eastAsiaTheme="minorEastAsia"/>
        </w:rPr>
        <w:t xml:space="preserve">has convened one meeting of an Alcohol and Other Drugs Working </w:t>
      </w:r>
      <w:proofErr w:type="gramStart"/>
      <w:r w:rsidR="0005569C">
        <w:rPr>
          <w:rFonts w:eastAsiaTheme="minorEastAsia"/>
        </w:rPr>
        <w:t>Group</w:t>
      </w:r>
      <w:r w:rsidR="003728F2">
        <w:rPr>
          <w:rFonts w:eastAsiaTheme="minorEastAsia"/>
        </w:rPr>
        <w:t>, and</w:t>
      </w:r>
      <w:proofErr w:type="gramEnd"/>
      <w:r w:rsidR="003728F2">
        <w:rPr>
          <w:rFonts w:eastAsiaTheme="minorEastAsia"/>
        </w:rPr>
        <w:t xml:space="preserve"> has established multisectoral Healthy Island Committees on </w:t>
      </w:r>
      <w:proofErr w:type="spellStart"/>
      <w:r w:rsidR="003728F2">
        <w:rPr>
          <w:rFonts w:eastAsiaTheme="minorEastAsia"/>
        </w:rPr>
        <w:t>Ha’ap</w:t>
      </w:r>
      <w:r w:rsidR="00E00E65">
        <w:rPr>
          <w:rFonts w:eastAsiaTheme="minorEastAsia"/>
        </w:rPr>
        <w:t>ai</w:t>
      </w:r>
      <w:proofErr w:type="spellEnd"/>
      <w:r w:rsidR="003728F2">
        <w:rPr>
          <w:rFonts w:eastAsiaTheme="minorEastAsia"/>
        </w:rPr>
        <w:t xml:space="preserve"> and </w:t>
      </w:r>
      <w:proofErr w:type="spellStart"/>
      <w:r w:rsidR="003728F2">
        <w:rPr>
          <w:rFonts w:eastAsiaTheme="minorEastAsia"/>
        </w:rPr>
        <w:t>Vava’u</w:t>
      </w:r>
      <w:proofErr w:type="spellEnd"/>
      <w:r w:rsidR="00640C9A">
        <w:rPr>
          <w:rFonts w:eastAsiaTheme="minorEastAsia"/>
        </w:rPr>
        <w:t xml:space="preserve">. </w:t>
      </w:r>
      <w:r w:rsidR="00916631">
        <w:rPr>
          <w:rFonts w:eastAsiaTheme="minorEastAsia"/>
        </w:rPr>
        <w:t>However</w:t>
      </w:r>
      <w:r w:rsidR="002B3BFC">
        <w:rPr>
          <w:rFonts w:eastAsiaTheme="minorEastAsia"/>
        </w:rPr>
        <w:t>,</w:t>
      </w:r>
      <w:r w:rsidR="00916631">
        <w:rPr>
          <w:rFonts w:eastAsiaTheme="minorEastAsia"/>
        </w:rPr>
        <w:t xml:space="preserve"> </w:t>
      </w:r>
      <w:r w:rsidR="000B0385">
        <w:rPr>
          <w:rFonts w:eastAsiaTheme="minorEastAsia"/>
        </w:rPr>
        <w:t xml:space="preserve">these </w:t>
      </w:r>
      <w:r w:rsidR="001C2318">
        <w:rPr>
          <w:rFonts w:eastAsiaTheme="minorEastAsia"/>
        </w:rPr>
        <w:t>groups have only been convened recently, w</w:t>
      </w:r>
      <w:r w:rsidR="00916631">
        <w:rPr>
          <w:rFonts w:eastAsiaTheme="minorEastAsia"/>
        </w:rPr>
        <w:t>ith few concrete outcomes or collaborations arising from these meetings</w:t>
      </w:r>
      <w:r w:rsidR="001C2318">
        <w:rPr>
          <w:rFonts w:eastAsiaTheme="minorEastAsia"/>
        </w:rPr>
        <w:t xml:space="preserve"> </w:t>
      </w:r>
      <w:proofErr w:type="gramStart"/>
      <w:r w:rsidR="001C2318">
        <w:rPr>
          <w:rFonts w:eastAsiaTheme="minorEastAsia"/>
        </w:rPr>
        <w:t>as yet</w:t>
      </w:r>
      <w:proofErr w:type="gramEnd"/>
      <w:r w:rsidR="00916631">
        <w:rPr>
          <w:rFonts w:eastAsiaTheme="minorEastAsia"/>
        </w:rPr>
        <w:t>.</w:t>
      </w:r>
      <w:r w:rsidR="00640C9A">
        <w:rPr>
          <w:rFonts w:eastAsiaTheme="minorEastAsia"/>
        </w:rPr>
        <w:t xml:space="preserve"> TongaHealth has also successfully leveraged </w:t>
      </w:r>
      <w:r w:rsidR="00022715">
        <w:rPr>
          <w:rFonts w:eastAsiaTheme="minorEastAsia"/>
        </w:rPr>
        <w:t>meetings c</w:t>
      </w:r>
      <w:r w:rsidR="00923B9F">
        <w:rPr>
          <w:rFonts w:eastAsiaTheme="minorEastAsia"/>
        </w:rPr>
        <w:t>oo</w:t>
      </w:r>
      <w:r w:rsidR="002D03AA">
        <w:rPr>
          <w:rFonts w:eastAsiaTheme="minorEastAsia"/>
        </w:rPr>
        <w:t xml:space="preserve">rdinated by other </w:t>
      </w:r>
      <w:proofErr w:type="spellStart"/>
      <w:r w:rsidR="002D03AA">
        <w:rPr>
          <w:rFonts w:eastAsiaTheme="minorEastAsia"/>
        </w:rPr>
        <w:t>GoT</w:t>
      </w:r>
      <w:proofErr w:type="spellEnd"/>
      <w:r w:rsidR="002D03AA">
        <w:rPr>
          <w:rFonts w:eastAsiaTheme="minorEastAsia"/>
        </w:rPr>
        <w:t xml:space="preserve"> agencies, for example </w:t>
      </w:r>
      <w:r w:rsidR="00F87A2D">
        <w:rPr>
          <w:rFonts w:eastAsiaTheme="minorEastAsia"/>
        </w:rPr>
        <w:t xml:space="preserve">encouraging stakeholders to </w:t>
      </w:r>
      <w:r w:rsidR="008C20EE">
        <w:rPr>
          <w:rFonts w:eastAsiaTheme="minorEastAsia"/>
        </w:rPr>
        <w:t>mainstream</w:t>
      </w:r>
      <w:r w:rsidR="00F87A2D">
        <w:rPr>
          <w:rFonts w:eastAsiaTheme="minorEastAsia"/>
        </w:rPr>
        <w:t xml:space="preserve"> NC</w:t>
      </w:r>
      <w:r w:rsidR="008C20EE">
        <w:rPr>
          <w:rFonts w:eastAsiaTheme="minorEastAsia"/>
        </w:rPr>
        <w:t>D</w:t>
      </w:r>
      <w:r w:rsidR="00F87A2D">
        <w:rPr>
          <w:rFonts w:eastAsiaTheme="minorEastAsia"/>
        </w:rPr>
        <w:t xml:space="preserve">s in annual corporate plans as part </w:t>
      </w:r>
      <w:r w:rsidR="00B6206B">
        <w:rPr>
          <w:rFonts w:eastAsiaTheme="minorEastAsia"/>
        </w:rPr>
        <w:t>of sector</w:t>
      </w:r>
      <w:r w:rsidR="00F87A2D">
        <w:rPr>
          <w:rFonts w:eastAsiaTheme="minorEastAsia"/>
        </w:rPr>
        <w:t xml:space="preserve"> engagement workshops</w:t>
      </w:r>
      <w:r w:rsidR="00710551">
        <w:rPr>
          <w:rFonts w:eastAsiaTheme="minorEastAsia"/>
        </w:rPr>
        <w:t xml:space="preserve"> led by the Prime Minister’s Office</w:t>
      </w:r>
      <w:r w:rsidR="00F018FC">
        <w:rPr>
          <w:rFonts w:eastAsiaTheme="minorEastAsia"/>
        </w:rPr>
        <w:t xml:space="preserve">. </w:t>
      </w:r>
    </w:p>
    <w:p w14:paraId="3FE005C8" w14:textId="77777777" w:rsidR="000D565A" w:rsidRDefault="00DF6270" w:rsidP="00DF166F">
      <w:pPr>
        <w:pStyle w:val="Heading4"/>
        <w:spacing w:line="276" w:lineRule="auto"/>
      </w:pPr>
      <w:r w:rsidRPr="00DF6270">
        <w:t>KRA 3: H</w:t>
      </w:r>
      <w:r w:rsidR="000D565A">
        <w:t>ealth promotion and disease prevention</w:t>
      </w:r>
    </w:p>
    <w:p w14:paraId="7A55A9E1" w14:textId="105CD1FF" w:rsidR="00DF6270" w:rsidRPr="0082345A" w:rsidRDefault="000D565A" w:rsidP="00962FBE">
      <w:pPr>
        <w:pStyle w:val="BodyText"/>
        <w:rPr>
          <w:b/>
          <w:bCs/>
        </w:rPr>
      </w:pPr>
      <w:r>
        <w:t xml:space="preserve">Under KRA 3, TongaHealth </w:t>
      </w:r>
      <w:r w:rsidR="00FD710D">
        <w:t>is</w:t>
      </w:r>
      <w:r>
        <w:t xml:space="preserve"> </w:t>
      </w:r>
      <w:r w:rsidR="00DF6270" w:rsidRPr="00DF6270">
        <w:rPr>
          <w:rFonts w:eastAsiaTheme="minorEastAsia"/>
        </w:rPr>
        <w:t xml:space="preserve">(in collaboration with other actors) </w:t>
      </w:r>
      <w:r w:rsidR="00FD710D">
        <w:rPr>
          <w:rFonts w:eastAsiaTheme="minorEastAsia"/>
        </w:rPr>
        <w:t>responsible for</w:t>
      </w:r>
      <w:r w:rsidR="00DF6270" w:rsidRPr="00DF6270">
        <w:rPr>
          <w:rFonts w:eastAsiaTheme="minorEastAsia"/>
        </w:rPr>
        <w:t xml:space="preserve"> with supporting settings-based health promotion, implementing </w:t>
      </w:r>
      <w:r>
        <w:t xml:space="preserve">the </w:t>
      </w:r>
      <w:r w:rsidRPr="00845122">
        <w:t>Tonga</w:t>
      </w:r>
      <w:r w:rsidR="00D618EB" w:rsidRPr="00845122">
        <w:t>’s Social and Behaviour Change Communication (</w:t>
      </w:r>
      <w:r w:rsidR="00DF6270" w:rsidRPr="00845122">
        <w:rPr>
          <w:rFonts w:eastAsiaTheme="minorEastAsia"/>
        </w:rPr>
        <w:t>SBCC</w:t>
      </w:r>
      <w:r w:rsidR="00D618EB" w:rsidRPr="00845122">
        <w:rPr>
          <w:rFonts w:eastAsiaTheme="minorEastAsia"/>
        </w:rPr>
        <w:t>) s</w:t>
      </w:r>
      <w:r w:rsidR="00DF6270" w:rsidRPr="00845122">
        <w:rPr>
          <w:rFonts w:eastAsiaTheme="minorEastAsia"/>
        </w:rPr>
        <w:t>trategy,</w:t>
      </w:r>
      <w:r w:rsidRPr="00845122">
        <w:t xml:space="preserve"> providing</w:t>
      </w:r>
      <w:r w:rsidR="00DF6270" w:rsidRPr="00DF6270">
        <w:rPr>
          <w:rFonts w:eastAsiaTheme="minorEastAsia"/>
        </w:rPr>
        <w:t xml:space="preserve"> NCD training, </w:t>
      </w:r>
      <w:r>
        <w:t xml:space="preserve">supporting </w:t>
      </w:r>
      <w:r w:rsidR="00DF6270" w:rsidRPr="00DF6270">
        <w:rPr>
          <w:rFonts w:eastAsiaTheme="minorEastAsia"/>
        </w:rPr>
        <w:t>breastfeeding</w:t>
      </w:r>
      <w:r>
        <w:t xml:space="preserve"> and </w:t>
      </w:r>
      <w:r w:rsidR="00DF6270" w:rsidRPr="00DF6270">
        <w:rPr>
          <w:rFonts w:eastAsiaTheme="minorEastAsia"/>
        </w:rPr>
        <w:t>First 1,000 Days initiatives,</w:t>
      </w:r>
      <w:r>
        <w:t xml:space="preserve"> and conducting NCD</w:t>
      </w:r>
      <w:r w:rsidR="00DF6270" w:rsidRPr="00DF6270">
        <w:rPr>
          <w:rFonts w:eastAsiaTheme="minorEastAsia"/>
        </w:rPr>
        <w:t xml:space="preserve"> awareness-raising</w:t>
      </w:r>
      <w:r>
        <w:t xml:space="preserve">. </w:t>
      </w:r>
      <w:r w:rsidR="00BC388A">
        <w:t xml:space="preserve">TongaHealth’s progress against this </w:t>
      </w:r>
      <w:r w:rsidR="00BC388A" w:rsidRPr="00E00C90">
        <w:t>KRA is mixed, with</w:t>
      </w:r>
      <w:r w:rsidR="00BC388A">
        <w:t xml:space="preserve"> </w:t>
      </w:r>
      <w:r w:rsidR="00BC388A" w:rsidRPr="0082345A">
        <w:rPr>
          <w:b/>
          <w:bCs/>
        </w:rPr>
        <w:t xml:space="preserve">good progress in settings-based health promotion, but slow progress in other </w:t>
      </w:r>
      <w:r w:rsidR="00E133CC">
        <w:rPr>
          <w:b/>
          <w:bCs/>
        </w:rPr>
        <w:t>activities</w:t>
      </w:r>
      <w:r w:rsidR="00CD5E2E">
        <w:rPr>
          <w:b/>
          <w:bCs/>
        </w:rPr>
        <w:t xml:space="preserve"> </w:t>
      </w:r>
      <w:r w:rsidR="00B81730" w:rsidRPr="00B81730">
        <w:t xml:space="preserve">to create health promoting environments for individuals, </w:t>
      </w:r>
      <w:proofErr w:type="gramStart"/>
      <w:r w:rsidR="00B81730" w:rsidRPr="00B81730">
        <w:t>families</w:t>
      </w:r>
      <w:proofErr w:type="gramEnd"/>
      <w:r w:rsidR="00B81730" w:rsidRPr="00B81730">
        <w:t xml:space="preserve"> and communities</w:t>
      </w:r>
      <w:r w:rsidR="00BC388A" w:rsidRPr="00B81730">
        <w:t>.</w:t>
      </w:r>
      <w:r w:rsidR="00BC388A" w:rsidRPr="0082345A">
        <w:rPr>
          <w:b/>
          <w:bCs/>
        </w:rPr>
        <w:t xml:space="preserve"> </w:t>
      </w:r>
    </w:p>
    <w:p w14:paraId="43630B68" w14:textId="1943ED7B" w:rsidR="00DF6270" w:rsidRPr="00DF6270" w:rsidRDefault="00BC388A" w:rsidP="00962FBE">
      <w:pPr>
        <w:pStyle w:val="BodyText"/>
      </w:pPr>
      <w:r>
        <w:rPr>
          <w:rFonts w:eastAsiaTheme="minorEastAsia"/>
        </w:rPr>
        <w:t>TongaHealth has made substantial progress in supporting settings-based health promotion</w:t>
      </w:r>
      <w:r w:rsidR="0017549D">
        <w:rPr>
          <w:rFonts w:eastAsiaTheme="minorEastAsia"/>
        </w:rPr>
        <w:t>,</w:t>
      </w:r>
      <w:r w:rsidR="001D565A">
        <w:rPr>
          <w:rFonts w:eastAsiaTheme="minorEastAsia"/>
        </w:rPr>
        <w:t xml:space="preserve"> by</w:t>
      </w:r>
      <w:r w:rsidR="0017549D">
        <w:rPr>
          <w:rFonts w:eastAsiaTheme="minorEastAsia"/>
        </w:rPr>
        <w:t xml:space="preserve"> providing</w:t>
      </w:r>
      <w:r w:rsidR="0035537B">
        <w:rPr>
          <w:rFonts w:eastAsiaTheme="minorEastAsia"/>
        </w:rPr>
        <w:t xml:space="preserve"> </w:t>
      </w:r>
      <w:proofErr w:type="gramStart"/>
      <w:r w:rsidR="0035537B">
        <w:rPr>
          <w:rFonts w:eastAsiaTheme="minorEastAsia"/>
        </w:rPr>
        <w:t>a large number of</w:t>
      </w:r>
      <w:proofErr w:type="gramEnd"/>
      <w:r w:rsidR="0017549D">
        <w:rPr>
          <w:rFonts w:eastAsiaTheme="minorEastAsia"/>
        </w:rPr>
        <w:t xml:space="preserve"> grants to </w:t>
      </w:r>
      <w:proofErr w:type="spellStart"/>
      <w:r w:rsidR="00481BED">
        <w:rPr>
          <w:rFonts w:eastAsiaTheme="minorEastAsia"/>
        </w:rPr>
        <w:t>GoT</w:t>
      </w:r>
      <w:proofErr w:type="spellEnd"/>
      <w:r w:rsidR="00481BED">
        <w:rPr>
          <w:rFonts w:eastAsiaTheme="minorEastAsia"/>
        </w:rPr>
        <w:t xml:space="preserve"> implementers, schools, churches, workplaces and community groups to implement health promotion activities. </w:t>
      </w:r>
      <w:r w:rsidR="003371FE">
        <w:rPr>
          <w:rFonts w:eastAsiaTheme="minorEastAsia"/>
        </w:rPr>
        <w:t>T</w:t>
      </w:r>
      <w:r w:rsidR="00EB09F4">
        <w:rPr>
          <w:rFonts w:eastAsiaTheme="minorEastAsia"/>
        </w:rPr>
        <w:t>he</w:t>
      </w:r>
      <w:r w:rsidR="00481BED">
        <w:rPr>
          <w:rFonts w:eastAsiaTheme="minorEastAsia"/>
        </w:rPr>
        <w:t xml:space="preserve"> effectiveness of these activities is explored in Sectio</w:t>
      </w:r>
      <w:r w:rsidR="0019070A">
        <w:rPr>
          <w:rFonts w:eastAsiaTheme="minorEastAsia"/>
        </w:rPr>
        <w:t xml:space="preserve">n </w:t>
      </w:r>
      <w:r w:rsidR="0019070A">
        <w:rPr>
          <w:rFonts w:eastAsiaTheme="minorEastAsia"/>
        </w:rPr>
        <w:fldChar w:fldCharType="begin"/>
      </w:r>
      <w:r w:rsidR="0019070A">
        <w:rPr>
          <w:rFonts w:eastAsiaTheme="minorEastAsia"/>
        </w:rPr>
        <w:instrText xml:space="preserve"> REF _Ref151919651 \r \h </w:instrText>
      </w:r>
      <w:r w:rsidR="00971A95">
        <w:rPr>
          <w:rFonts w:eastAsiaTheme="minorEastAsia"/>
        </w:rPr>
        <w:instrText xml:space="preserve"> \* MERGEFORMAT </w:instrText>
      </w:r>
      <w:r w:rsidR="0019070A">
        <w:rPr>
          <w:rFonts w:eastAsiaTheme="minorEastAsia"/>
        </w:rPr>
      </w:r>
      <w:r w:rsidR="0019070A">
        <w:rPr>
          <w:rFonts w:eastAsiaTheme="minorEastAsia"/>
        </w:rPr>
        <w:fldChar w:fldCharType="separate"/>
      </w:r>
      <w:r w:rsidR="00A95913">
        <w:rPr>
          <w:rFonts w:eastAsiaTheme="minorEastAsia"/>
        </w:rPr>
        <w:t>3.1.4</w:t>
      </w:r>
      <w:r w:rsidR="0019070A">
        <w:rPr>
          <w:rFonts w:eastAsiaTheme="minorEastAsia"/>
        </w:rPr>
        <w:fldChar w:fldCharType="end"/>
      </w:r>
      <w:r w:rsidR="0019070A">
        <w:rPr>
          <w:rFonts w:eastAsiaTheme="minorEastAsia"/>
        </w:rPr>
        <w:t>.</w:t>
      </w:r>
    </w:p>
    <w:p w14:paraId="6B79488D" w14:textId="16A06C33" w:rsidR="00DF6270" w:rsidRDefault="00213215" w:rsidP="00962FBE">
      <w:pPr>
        <w:pStyle w:val="BodyText"/>
        <w:rPr>
          <w:rFonts w:eastAsiaTheme="minorEastAsia"/>
        </w:rPr>
      </w:pPr>
      <w:r w:rsidRPr="00AE7435">
        <w:rPr>
          <w:rFonts w:eastAsiaTheme="minorEastAsia"/>
          <w:b/>
          <w:bCs/>
        </w:rPr>
        <w:t>Progress has been slower on</w:t>
      </w:r>
      <w:r w:rsidR="006545C1" w:rsidRPr="00AE7435">
        <w:rPr>
          <w:rFonts w:eastAsiaTheme="minorEastAsia"/>
          <w:b/>
          <w:bCs/>
        </w:rPr>
        <w:t xml:space="preserve"> </w:t>
      </w:r>
      <w:r w:rsidRPr="00AE7435">
        <w:rPr>
          <w:rFonts w:eastAsiaTheme="minorEastAsia"/>
          <w:b/>
          <w:bCs/>
        </w:rPr>
        <w:t xml:space="preserve">activities that </w:t>
      </w:r>
      <w:r w:rsidR="00E65A56" w:rsidRPr="00AE7435">
        <w:rPr>
          <w:rFonts w:eastAsiaTheme="minorEastAsia"/>
          <w:b/>
          <w:bCs/>
        </w:rPr>
        <w:t>rely on TongaHealth’s internal capacity</w:t>
      </w:r>
      <w:r w:rsidR="00E65A56">
        <w:rPr>
          <w:rFonts w:eastAsiaTheme="minorEastAsia"/>
        </w:rPr>
        <w:t>, rather than on grants.</w:t>
      </w:r>
      <w:r w:rsidR="00641A6A">
        <w:rPr>
          <w:rFonts w:eastAsiaTheme="minorEastAsia"/>
        </w:rPr>
        <w:t xml:space="preserve"> Examples of activities from </w:t>
      </w:r>
      <w:r w:rsidR="009F58E1">
        <w:rPr>
          <w:rFonts w:eastAsiaTheme="minorEastAsia"/>
        </w:rPr>
        <w:t xml:space="preserve">KRA 3 of </w:t>
      </w:r>
      <w:r w:rsidR="00641A6A">
        <w:rPr>
          <w:rFonts w:eastAsiaTheme="minorEastAsia"/>
        </w:rPr>
        <w:t xml:space="preserve">the NCD Strategy that were intended to be driven from within TongaHealth include </w:t>
      </w:r>
      <w:r w:rsidR="00E12CAA">
        <w:rPr>
          <w:rFonts w:eastAsiaTheme="minorEastAsia"/>
        </w:rPr>
        <w:t>the identification of c</w:t>
      </w:r>
      <w:r w:rsidR="00DF6270" w:rsidRPr="00DF6270">
        <w:rPr>
          <w:rFonts w:eastAsiaTheme="minorEastAsia"/>
        </w:rPr>
        <w:t xml:space="preserve">ommunity champions, </w:t>
      </w:r>
      <w:r w:rsidR="00E12CAA">
        <w:rPr>
          <w:rFonts w:eastAsiaTheme="minorEastAsia"/>
        </w:rPr>
        <w:t xml:space="preserve">provision of </w:t>
      </w:r>
      <w:r w:rsidR="00DF6270" w:rsidRPr="00DF6270">
        <w:rPr>
          <w:rFonts w:eastAsiaTheme="minorEastAsia"/>
        </w:rPr>
        <w:t xml:space="preserve">NCD training, </w:t>
      </w:r>
      <w:r w:rsidR="00E12CAA">
        <w:rPr>
          <w:rFonts w:eastAsiaTheme="minorEastAsia"/>
        </w:rPr>
        <w:t xml:space="preserve">and </w:t>
      </w:r>
      <w:r w:rsidR="00DF6270" w:rsidRPr="00DF6270">
        <w:rPr>
          <w:rFonts w:eastAsiaTheme="minorEastAsia"/>
        </w:rPr>
        <w:t>implementing</w:t>
      </w:r>
      <w:r w:rsidR="00E12CAA">
        <w:rPr>
          <w:rFonts w:eastAsiaTheme="minorEastAsia"/>
        </w:rPr>
        <w:t xml:space="preserve"> the Tonga</w:t>
      </w:r>
      <w:r w:rsidR="00DF6270" w:rsidRPr="00DF6270">
        <w:rPr>
          <w:rFonts w:eastAsiaTheme="minorEastAsia"/>
        </w:rPr>
        <w:t xml:space="preserve"> </w:t>
      </w:r>
      <w:bookmarkStart w:id="36" w:name="_Hlk153190140"/>
      <w:r w:rsidR="00DF6270" w:rsidRPr="00DF6270">
        <w:rPr>
          <w:rFonts w:eastAsiaTheme="minorEastAsia"/>
        </w:rPr>
        <w:t>SBCC Strategy</w:t>
      </w:r>
      <w:bookmarkEnd w:id="36"/>
      <w:r w:rsidR="00E12CAA">
        <w:rPr>
          <w:rFonts w:eastAsiaTheme="minorEastAsia"/>
        </w:rPr>
        <w:t xml:space="preserve">. While </w:t>
      </w:r>
      <w:r w:rsidR="004F7D03">
        <w:rPr>
          <w:rFonts w:eastAsiaTheme="minorEastAsia"/>
        </w:rPr>
        <w:t>TongaHealth has made preliminary progress on some of these activities (for example,</w:t>
      </w:r>
      <w:r w:rsidR="00712A88">
        <w:rPr>
          <w:rFonts w:eastAsiaTheme="minorEastAsia"/>
        </w:rPr>
        <w:t xml:space="preserve"> agreeing with MoH to implement an SBCC campaign commencing in 2024</w:t>
      </w:r>
      <w:r w:rsidR="006B5E50">
        <w:rPr>
          <w:rFonts w:eastAsiaTheme="minorEastAsia"/>
        </w:rPr>
        <w:t>, and allocating budget for this</w:t>
      </w:r>
      <w:r w:rsidR="00712A88">
        <w:rPr>
          <w:rFonts w:eastAsiaTheme="minorEastAsia"/>
        </w:rPr>
        <w:t xml:space="preserve">), progress overall is </w:t>
      </w:r>
      <w:r w:rsidR="00C1205F">
        <w:rPr>
          <w:rFonts w:eastAsiaTheme="minorEastAsia"/>
        </w:rPr>
        <w:t xml:space="preserve">well behind the timeframes included in the NCD Strategy. </w:t>
      </w:r>
      <w:r w:rsidR="009700DD">
        <w:rPr>
          <w:rFonts w:eastAsiaTheme="minorEastAsia"/>
        </w:rPr>
        <w:t>There has also been limited progress on ear</w:t>
      </w:r>
      <w:r w:rsidR="00DF6270" w:rsidRPr="00DF6270">
        <w:rPr>
          <w:rFonts w:eastAsiaTheme="minorEastAsia"/>
        </w:rPr>
        <w:t xml:space="preserve">ly childhood activities </w:t>
      </w:r>
      <w:r w:rsidR="009700DD">
        <w:rPr>
          <w:rFonts w:eastAsiaTheme="minorEastAsia"/>
        </w:rPr>
        <w:t xml:space="preserve">intended </w:t>
      </w:r>
      <w:r w:rsidR="00DF6270" w:rsidRPr="00DF6270">
        <w:rPr>
          <w:rFonts w:eastAsiaTheme="minorEastAsia"/>
        </w:rPr>
        <w:t xml:space="preserve">to be delivered in partnership with MoH </w:t>
      </w:r>
      <w:r w:rsidR="009700DD">
        <w:rPr>
          <w:rFonts w:eastAsiaTheme="minorEastAsia"/>
        </w:rPr>
        <w:t>(</w:t>
      </w:r>
      <w:r w:rsidR="00DF6270" w:rsidRPr="00DF6270">
        <w:rPr>
          <w:rFonts w:eastAsiaTheme="minorEastAsia"/>
        </w:rPr>
        <w:t>First 1,000 Days</w:t>
      </w:r>
      <w:r w:rsidR="009700DD">
        <w:rPr>
          <w:rFonts w:eastAsiaTheme="minorEastAsia"/>
        </w:rPr>
        <w:t xml:space="preserve">, </w:t>
      </w:r>
      <w:r w:rsidR="00DF6270" w:rsidRPr="00DF6270">
        <w:rPr>
          <w:rFonts w:eastAsiaTheme="minorEastAsia"/>
        </w:rPr>
        <w:t>breastfeeding awareness)</w:t>
      </w:r>
      <w:r w:rsidR="00D36D9A">
        <w:rPr>
          <w:rFonts w:eastAsiaTheme="minorEastAsia"/>
        </w:rPr>
        <w:t>.</w:t>
      </w:r>
    </w:p>
    <w:p w14:paraId="792EA286" w14:textId="6AFE101F" w:rsidR="00B927A1" w:rsidRPr="000D0F90" w:rsidRDefault="00B927A1" w:rsidP="00962FBE">
      <w:pPr>
        <w:pStyle w:val="BodyText"/>
      </w:pPr>
      <w:r w:rsidRPr="000D0F90">
        <w:rPr>
          <w:rStyle w:val="Heading4Char"/>
        </w:rPr>
        <w:t>KRA 4:</w:t>
      </w:r>
      <w:r w:rsidR="000D0F90">
        <w:rPr>
          <w:rStyle w:val="Heading4Char"/>
        </w:rPr>
        <w:t xml:space="preserve"> Health system </w:t>
      </w:r>
      <w:proofErr w:type="gramStart"/>
      <w:r w:rsidR="000D0F90">
        <w:rPr>
          <w:rStyle w:val="Heading4Char"/>
        </w:rPr>
        <w:t>strengthening</w:t>
      </w:r>
      <w:proofErr w:type="gramEnd"/>
    </w:p>
    <w:p w14:paraId="0D1DDBDB" w14:textId="53BE91E9" w:rsidR="00B927A1" w:rsidRDefault="00036BE3" w:rsidP="00962FBE">
      <w:pPr>
        <w:pStyle w:val="BodyText"/>
      </w:pPr>
      <w:r>
        <w:rPr>
          <w:rFonts w:eastAsiaTheme="minorEastAsia"/>
        </w:rPr>
        <w:t xml:space="preserve">This KRA </w:t>
      </w:r>
      <w:r w:rsidR="00B3352F">
        <w:rPr>
          <w:rFonts w:eastAsiaTheme="minorEastAsia"/>
        </w:rPr>
        <w:t>primarily focusses o</w:t>
      </w:r>
      <w:r w:rsidR="002F0339">
        <w:rPr>
          <w:rFonts w:eastAsiaTheme="minorEastAsia"/>
        </w:rPr>
        <w:t xml:space="preserve">n clinical service delivery by MoH and primary care </w:t>
      </w:r>
      <w:proofErr w:type="gramStart"/>
      <w:r w:rsidR="002F0339">
        <w:rPr>
          <w:rFonts w:eastAsiaTheme="minorEastAsia"/>
        </w:rPr>
        <w:t xml:space="preserve">providers, </w:t>
      </w:r>
      <w:r w:rsidR="00D754CC">
        <w:rPr>
          <w:rFonts w:eastAsiaTheme="minorEastAsia"/>
        </w:rPr>
        <w:t>but</w:t>
      </w:r>
      <w:proofErr w:type="gramEnd"/>
      <w:r w:rsidR="00D754CC">
        <w:rPr>
          <w:rFonts w:eastAsiaTheme="minorEastAsia"/>
        </w:rPr>
        <w:t xml:space="preserve"> does include </w:t>
      </w:r>
      <w:r w:rsidR="005438C9">
        <w:rPr>
          <w:rFonts w:eastAsiaTheme="minorEastAsia"/>
        </w:rPr>
        <w:t>one activity relevant to TongaHealth</w:t>
      </w:r>
      <w:r w:rsidR="00D754CC">
        <w:rPr>
          <w:rFonts w:eastAsiaTheme="minorEastAsia"/>
        </w:rPr>
        <w:t xml:space="preserve">: </w:t>
      </w:r>
      <w:r w:rsidR="00274A47">
        <w:rPr>
          <w:rFonts w:eastAsiaTheme="minorEastAsia"/>
        </w:rPr>
        <w:t>to f</w:t>
      </w:r>
      <w:r w:rsidR="00274A47">
        <w:t xml:space="preserve">oster closer relationships between MoH and TongaHealth. </w:t>
      </w:r>
      <w:r w:rsidR="006013B6">
        <w:t xml:space="preserve">TongaHealth’s progress against this KRA is </w:t>
      </w:r>
      <w:r w:rsidR="006013B6" w:rsidRPr="006013B6">
        <w:rPr>
          <w:b/>
          <w:bCs/>
        </w:rPr>
        <w:t>not on track</w:t>
      </w:r>
      <w:r w:rsidR="006013B6">
        <w:t xml:space="preserve">, </w:t>
      </w:r>
      <w:r w:rsidR="00B948B7">
        <w:t xml:space="preserve">with limited collaboration and coordination between the MoH and TongaHealth. This is explored more in Section </w:t>
      </w:r>
      <w:r w:rsidR="00CA46F5">
        <w:fldChar w:fldCharType="begin"/>
      </w:r>
      <w:r w:rsidR="00CA46F5">
        <w:instrText xml:space="preserve"> REF _Ref151920605 \r \h </w:instrText>
      </w:r>
      <w:r w:rsidR="00971A95">
        <w:instrText xml:space="preserve"> \* MERGEFORMAT </w:instrText>
      </w:r>
      <w:r w:rsidR="00CA46F5">
        <w:fldChar w:fldCharType="separate"/>
      </w:r>
      <w:r w:rsidR="00670D08">
        <w:t>3.2.2</w:t>
      </w:r>
      <w:r w:rsidR="00CA46F5">
        <w:fldChar w:fldCharType="end"/>
      </w:r>
      <w:r w:rsidR="00CA46F5">
        <w:t>.</w:t>
      </w:r>
    </w:p>
    <w:p w14:paraId="4D8806B2" w14:textId="28323AFD" w:rsidR="00B927A1" w:rsidRPr="00B927A1" w:rsidRDefault="00B927A1" w:rsidP="00DF166F">
      <w:pPr>
        <w:pStyle w:val="Heading4"/>
        <w:spacing w:line="276" w:lineRule="auto"/>
      </w:pPr>
      <w:r w:rsidRPr="00B927A1">
        <w:t>KRA 5: M&amp;E,</w:t>
      </w:r>
      <w:r w:rsidR="00CA46F5">
        <w:t xml:space="preserve"> surveillance, </w:t>
      </w:r>
      <w:proofErr w:type="gramStart"/>
      <w:r w:rsidR="00CA46F5">
        <w:t>research</w:t>
      </w:r>
      <w:proofErr w:type="gramEnd"/>
      <w:r w:rsidR="00CA46F5">
        <w:t xml:space="preserve"> and learning</w:t>
      </w:r>
    </w:p>
    <w:p w14:paraId="0D1C3394" w14:textId="22A31CD4" w:rsidR="00CA46F5" w:rsidRDefault="00CA46F5" w:rsidP="00962FBE">
      <w:pPr>
        <w:pStyle w:val="BodyText"/>
        <w:rPr>
          <w:rFonts w:eastAsiaTheme="minorEastAsia"/>
        </w:rPr>
      </w:pPr>
      <w:r>
        <w:rPr>
          <w:rFonts w:eastAsiaTheme="minorEastAsia"/>
        </w:rPr>
        <w:t xml:space="preserve">Under KRA 5, TongaHealth </w:t>
      </w:r>
      <w:r w:rsidR="00683F15">
        <w:rPr>
          <w:rFonts w:eastAsiaTheme="minorEastAsia"/>
        </w:rPr>
        <w:t>is responsible for</w:t>
      </w:r>
      <w:r>
        <w:rPr>
          <w:rFonts w:eastAsiaTheme="minorEastAsia"/>
        </w:rPr>
        <w:t xml:space="preserve"> </w:t>
      </w:r>
      <w:r w:rsidR="00E91EB9">
        <w:rPr>
          <w:rFonts w:eastAsiaTheme="minorEastAsia"/>
        </w:rPr>
        <w:t xml:space="preserve">establishing an M&amp;E Taskforce to lead </w:t>
      </w:r>
      <w:r w:rsidR="007961FC">
        <w:rPr>
          <w:rFonts w:eastAsiaTheme="minorEastAsia"/>
        </w:rPr>
        <w:t xml:space="preserve">the development of robust accountability mechanisms to support M&amp;E of progress against the NCD </w:t>
      </w:r>
      <w:proofErr w:type="gramStart"/>
      <w:r w:rsidR="007961FC">
        <w:rPr>
          <w:rFonts w:eastAsiaTheme="minorEastAsia"/>
        </w:rPr>
        <w:t xml:space="preserve">Strategy, </w:t>
      </w:r>
      <w:r w:rsidR="00A12D8A">
        <w:rPr>
          <w:rFonts w:eastAsiaTheme="minorEastAsia"/>
        </w:rPr>
        <w:t>and</w:t>
      </w:r>
      <w:proofErr w:type="gramEnd"/>
      <w:r w:rsidR="00A12D8A">
        <w:rPr>
          <w:rFonts w:eastAsiaTheme="minorEastAsia"/>
        </w:rPr>
        <w:t xml:space="preserve"> developing the capacity of local researchers. </w:t>
      </w:r>
      <w:r w:rsidR="00C2269F">
        <w:rPr>
          <w:rFonts w:eastAsiaTheme="minorEastAsia"/>
        </w:rPr>
        <w:t>TongaHealth is making</w:t>
      </w:r>
      <w:r w:rsidR="00C2269F" w:rsidRPr="00C2269F">
        <w:rPr>
          <w:rFonts w:eastAsiaTheme="minorEastAsia"/>
          <w:b/>
          <w:bCs/>
        </w:rPr>
        <w:t xml:space="preserve"> slow progress</w:t>
      </w:r>
      <w:r w:rsidR="00C2269F">
        <w:rPr>
          <w:rFonts w:eastAsiaTheme="minorEastAsia"/>
        </w:rPr>
        <w:t xml:space="preserve"> against this KRA.</w:t>
      </w:r>
    </w:p>
    <w:p w14:paraId="7675C5F5" w14:textId="1869A85E" w:rsidR="00B927A1" w:rsidRPr="00B927A1" w:rsidRDefault="005677D6" w:rsidP="00962FBE">
      <w:pPr>
        <w:pStyle w:val="BodyText"/>
      </w:pPr>
      <w:r>
        <w:rPr>
          <w:rFonts w:eastAsiaTheme="minorEastAsia"/>
        </w:rPr>
        <w:t>The</w:t>
      </w:r>
      <w:r w:rsidR="005D2B89">
        <w:rPr>
          <w:rFonts w:eastAsiaTheme="minorEastAsia"/>
        </w:rPr>
        <w:t xml:space="preserve"> establishment of the M&amp;E Taskforce is a significant achievement under this KRA, but this was only established </w:t>
      </w:r>
      <w:r>
        <w:rPr>
          <w:rFonts w:eastAsiaTheme="minorEastAsia"/>
        </w:rPr>
        <w:t xml:space="preserve">by TongaHealth </w:t>
      </w:r>
      <w:r w:rsidR="00666919">
        <w:rPr>
          <w:rFonts w:eastAsiaTheme="minorEastAsia"/>
        </w:rPr>
        <w:t>in</w:t>
      </w:r>
      <w:r>
        <w:rPr>
          <w:rFonts w:eastAsiaTheme="minorEastAsia"/>
        </w:rPr>
        <w:t xml:space="preserve"> mid-2023. TongaHealth is the Secretariat to the M&amp;E Taskforce, and to date has convened two Taskforce meetings.  </w:t>
      </w:r>
      <w:r w:rsidR="000A0DFA">
        <w:rPr>
          <w:rFonts w:eastAsiaTheme="minorEastAsia"/>
        </w:rPr>
        <w:t xml:space="preserve">Currently there is </w:t>
      </w:r>
      <w:r w:rsidR="000A0DFA" w:rsidRPr="00AC15EC">
        <w:rPr>
          <w:rFonts w:eastAsiaTheme="minorEastAsia"/>
          <w:b/>
          <w:bCs/>
        </w:rPr>
        <w:t>n</w:t>
      </w:r>
      <w:r w:rsidR="00926B23" w:rsidRPr="00AC15EC">
        <w:rPr>
          <w:rFonts w:eastAsiaTheme="minorEastAsia"/>
          <w:b/>
          <w:bCs/>
        </w:rPr>
        <w:t>o monitoring, reporting or accountability mechanisms for progress against the NCD Strategy</w:t>
      </w:r>
      <w:r w:rsidR="00666919">
        <w:rPr>
          <w:rFonts w:eastAsiaTheme="minorEastAsia"/>
          <w:b/>
          <w:bCs/>
        </w:rPr>
        <w:t xml:space="preserve">, </w:t>
      </w:r>
      <w:r w:rsidR="00666919" w:rsidRPr="00666919">
        <w:rPr>
          <w:rFonts w:eastAsiaTheme="minorEastAsia"/>
        </w:rPr>
        <w:t>this was intended to be driven by the M&amp;E Taskforce</w:t>
      </w:r>
      <w:r w:rsidR="00926B23" w:rsidRPr="00666919">
        <w:rPr>
          <w:rFonts w:eastAsiaTheme="minorEastAsia"/>
        </w:rPr>
        <w:t>.</w:t>
      </w:r>
      <w:r w:rsidR="00926B23">
        <w:rPr>
          <w:rFonts w:eastAsiaTheme="minorEastAsia"/>
        </w:rPr>
        <w:t xml:space="preserve"> </w:t>
      </w:r>
    </w:p>
    <w:p w14:paraId="7C693758" w14:textId="009527EA" w:rsidR="007267F6" w:rsidRDefault="00A12A4D" w:rsidP="00962FBE">
      <w:pPr>
        <w:pStyle w:val="BodyText"/>
        <w:rPr>
          <w:rFonts w:eastAsiaTheme="minorEastAsia"/>
        </w:rPr>
      </w:pPr>
      <w:r>
        <w:rPr>
          <w:rFonts w:eastAsiaTheme="minorEastAsia"/>
        </w:rPr>
        <w:lastRenderedPageBreak/>
        <w:t xml:space="preserve">The NCD Strategy </w:t>
      </w:r>
      <w:r w:rsidR="00E10A23">
        <w:rPr>
          <w:rFonts w:eastAsiaTheme="minorEastAsia"/>
        </w:rPr>
        <w:t xml:space="preserve">also envisaged the M&amp;E Taskforce and TongaHealth </w:t>
      </w:r>
      <w:r w:rsidR="002C3658">
        <w:rPr>
          <w:rFonts w:eastAsiaTheme="minorEastAsia"/>
        </w:rPr>
        <w:t xml:space="preserve">supporting </w:t>
      </w:r>
      <w:r w:rsidR="002C3658" w:rsidRPr="00AC15EC">
        <w:rPr>
          <w:rFonts w:eastAsiaTheme="minorEastAsia"/>
          <w:b/>
          <w:bCs/>
        </w:rPr>
        <w:t xml:space="preserve">operational research and </w:t>
      </w:r>
      <w:proofErr w:type="gramStart"/>
      <w:r w:rsidR="002C3658" w:rsidRPr="00AC15EC">
        <w:rPr>
          <w:rFonts w:eastAsiaTheme="minorEastAsia"/>
          <w:b/>
          <w:bCs/>
        </w:rPr>
        <w:t>locally-led</w:t>
      </w:r>
      <w:proofErr w:type="gramEnd"/>
      <w:r w:rsidR="002C3658" w:rsidRPr="00AC15EC">
        <w:rPr>
          <w:rFonts w:eastAsiaTheme="minorEastAsia"/>
          <w:b/>
          <w:bCs/>
        </w:rPr>
        <w:t xml:space="preserve"> research</w:t>
      </w:r>
      <w:r w:rsidR="002C3658">
        <w:rPr>
          <w:rFonts w:eastAsiaTheme="minorEastAsia"/>
        </w:rPr>
        <w:t xml:space="preserve">, </w:t>
      </w:r>
      <w:r w:rsidR="007962AC">
        <w:rPr>
          <w:rFonts w:eastAsiaTheme="minorEastAsia"/>
        </w:rPr>
        <w:t xml:space="preserve">to build the evidence base of ‘what works’ for NCD prevention and control in the Tongan context. </w:t>
      </w:r>
      <w:r w:rsidR="00313EAE">
        <w:rPr>
          <w:rFonts w:eastAsiaTheme="minorEastAsia"/>
        </w:rPr>
        <w:t>This was reiterated in the 2019 Mid Term Review of THSSP2, which recommended that T</w:t>
      </w:r>
      <w:r w:rsidR="00F9185E">
        <w:rPr>
          <w:rFonts w:eastAsiaTheme="minorEastAsia"/>
        </w:rPr>
        <w:t>ongaHealth support local research to i</w:t>
      </w:r>
      <w:r w:rsidR="00C36BFA">
        <w:rPr>
          <w:rFonts w:eastAsiaTheme="minorEastAsia"/>
        </w:rPr>
        <w:t>n</w:t>
      </w:r>
      <w:r w:rsidR="00F9185E">
        <w:rPr>
          <w:rFonts w:eastAsiaTheme="minorEastAsia"/>
        </w:rPr>
        <w:t xml:space="preserve">form and evaluate health promotion </w:t>
      </w:r>
      <w:r w:rsidR="00696994">
        <w:rPr>
          <w:rFonts w:eastAsiaTheme="minorEastAsia"/>
        </w:rPr>
        <w:t xml:space="preserve">approaches. </w:t>
      </w:r>
      <w:r w:rsidR="00280AA0">
        <w:rPr>
          <w:rFonts w:eastAsiaTheme="minorEastAsia"/>
        </w:rPr>
        <w:t>In the lifetime of the current NCD Strategy</w:t>
      </w:r>
      <w:r w:rsidR="00395DCF">
        <w:rPr>
          <w:rFonts w:eastAsiaTheme="minorEastAsia"/>
        </w:rPr>
        <w:t xml:space="preserve">, </w:t>
      </w:r>
      <w:r w:rsidR="00F56FE5">
        <w:rPr>
          <w:rFonts w:eastAsiaTheme="minorEastAsia"/>
        </w:rPr>
        <w:t>TongaHealth</w:t>
      </w:r>
      <w:r w:rsidR="00395DCF">
        <w:rPr>
          <w:rFonts w:eastAsiaTheme="minorEastAsia"/>
        </w:rPr>
        <w:t xml:space="preserve"> has</w:t>
      </w:r>
      <w:r w:rsidR="00F56FE5">
        <w:rPr>
          <w:rFonts w:eastAsiaTheme="minorEastAsia"/>
        </w:rPr>
        <w:t xml:space="preserve"> commissioned </w:t>
      </w:r>
      <w:r w:rsidR="007F1EE6">
        <w:rPr>
          <w:rFonts w:eastAsiaTheme="minorEastAsia"/>
        </w:rPr>
        <w:t>an evaluation of the 2020 anti-tobacco mass media campaign</w:t>
      </w:r>
      <w:r w:rsidR="000A321C">
        <w:rPr>
          <w:rFonts w:eastAsiaTheme="minorEastAsia"/>
        </w:rPr>
        <w:t xml:space="preserve"> (report finalised 2021</w:t>
      </w:r>
      <w:proofErr w:type="gramStart"/>
      <w:r w:rsidR="000A321C">
        <w:rPr>
          <w:rFonts w:eastAsiaTheme="minorEastAsia"/>
        </w:rPr>
        <w:t>),</w:t>
      </w:r>
      <w:r w:rsidR="0020530C">
        <w:rPr>
          <w:rFonts w:eastAsiaTheme="minorEastAsia"/>
        </w:rPr>
        <w:t xml:space="preserve"> and</w:t>
      </w:r>
      <w:proofErr w:type="gramEnd"/>
      <w:r w:rsidR="0020530C">
        <w:rPr>
          <w:rFonts w:eastAsiaTheme="minorEastAsia"/>
        </w:rPr>
        <w:t xml:space="preserve"> have recently established a partnership with the </w:t>
      </w:r>
      <w:r w:rsidR="0020530C" w:rsidRPr="003E6AB2">
        <w:rPr>
          <w:rFonts w:eastAsiaTheme="minorEastAsia"/>
        </w:rPr>
        <w:t>Australian Centre for International Agricultural Research</w:t>
      </w:r>
      <w:r w:rsidR="0020530C">
        <w:rPr>
          <w:rFonts w:eastAsiaTheme="minorEastAsia"/>
        </w:rPr>
        <w:t xml:space="preserve"> for </w:t>
      </w:r>
      <w:r w:rsidR="007860F8">
        <w:rPr>
          <w:rFonts w:eastAsiaTheme="minorEastAsia"/>
        </w:rPr>
        <w:t>a project focussed on local food environments.</w:t>
      </w:r>
      <w:r w:rsidR="00017BDA">
        <w:rPr>
          <w:rFonts w:eastAsiaTheme="minorEastAsia"/>
        </w:rPr>
        <w:t xml:space="preserve"> </w:t>
      </w:r>
      <w:r w:rsidR="00C36BFA">
        <w:rPr>
          <w:rFonts w:eastAsiaTheme="minorEastAsia"/>
        </w:rPr>
        <w:t xml:space="preserve">While these are valuable </w:t>
      </w:r>
      <w:r w:rsidR="00252753">
        <w:rPr>
          <w:rFonts w:eastAsiaTheme="minorEastAsia"/>
        </w:rPr>
        <w:t xml:space="preserve">projects, there is significant scope for TongaHealth to have a stronger role in supporting research. </w:t>
      </w:r>
    </w:p>
    <w:p w14:paraId="7EF1B395" w14:textId="1AC796BA" w:rsidR="00B50A74" w:rsidRPr="00B50A74" w:rsidRDefault="007267F6" w:rsidP="00962FBE">
      <w:pPr>
        <w:pStyle w:val="BodyText"/>
      </w:pPr>
      <w:r>
        <w:rPr>
          <w:rFonts w:eastAsiaTheme="minorEastAsia"/>
        </w:rPr>
        <w:t>There were also several activities under this KRA for which the M&amp;E Taskforce was</w:t>
      </w:r>
      <w:r w:rsidR="002B488E">
        <w:rPr>
          <w:rFonts w:eastAsiaTheme="minorEastAsia"/>
        </w:rPr>
        <w:t xml:space="preserve"> responsible</w:t>
      </w:r>
      <w:r w:rsidR="0036032F">
        <w:rPr>
          <w:rFonts w:eastAsiaTheme="minorEastAsia"/>
        </w:rPr>
        <w:t xml:space="preserve"> </w:t>
      </w:r>
      <w:r w:rsidR="0074120B">
        <w:rPr>
          <w:rFonts w:eastAsiaTheme="minorEastAsia"/>
        </w:rPr>
        <w:t>–</w:t>
      </w:r>
      <w:r w:rsidR="002B488E">
        <w:rPr>
          <w:rFonts w:eastAsiaTheme="minorEastAsia"/>
        </w:rPr>
        <w:t xml:space="preserve"> including establishing mechanisms for monitoring and evaluating NCD </w:t>
      </w:r>
      <w:proofErr w:type="gramStart"/>
      <w:r w:rsidR="002B488E">
        <w:rPr>
          <w:rFonts w:eastAsiaTheme="minorEastAsia"/>
        </w:rPr>
        <w:t>interventions,</w:t>
      </w:r>
      <w:r w:rsidR="00B927A1" w:rsidRPr="00B927A1">
        <w:rPr>
          <w:rFonts w:eastAsiaTheme="minorEastAsia"/>
        </w:rPr>
        <w:t xml:space="preserve"> </w:t>
      </w:r>
      <w:r w:rsidR="00FC5E9D">
        <w:rPr>
          <w:rFonts w:eastAsiaTheme="minorEastAsia"/>
        </w:rPr>
        <w:t>and</w:t>
      </w:r>
      <w:proofErr w:type="gramEnd"/>
      <w:r w:rsidR="00FC5E9D">
        <w:rPr>
          <w:rFonts w:eastAsiaTheme="minorEastAsia"/>
        </w:rPr>
        <w:t xml:space="preserve"> providing </w:t>
      </w:r>
      <w:r w:rsidR="00B927A1" w:rsidRPr="00B927A1">
        <w:rPr>
          <w:rFonts w:eastAsiaTheme="minorEastAsia"/>
        </w:rPr>
        <w:t>research training</w:t>
      </w:r>
      <w:r w:rsidR="0036032F">
        <w:rPr>
          <w:rFonts w:eastAsiaTheme="minorEastAsia"/>
        </w:rPr>
        <w:t xml:space="preserve"> – that have not progressed</w:t>
      </w:r>
      <w:r w:rsidR="00FC5E9D">
        <w:rPr>
          <w:rFonts w:eastAsiaTheme="minorEastAsia"/>
        </w:rPr>
        <w:t xml:space="preserve">. </w:t>
      </w:r>
      <w:r w:rsidR="0033501C">
        <w:rPr>
          <w:rFonts w:eastAsiaTheme="minorEastAsia"/>
        </w:rPr>
        <w:t>W</w:t>
      </w:r>
      <w:r w:rsidR="00B817F3">
        <w:rPr>
          <w:rFonts w:eastAsiaTheme="minorEastAsia"/>
        </w:rPr>
        <w:t>hile these were the responsibility of the M&amp;E Taskforce, not TongaHealth specifically, it would be reasonable to expect that TongaHealt</w:t>
      </w:r>
      <w:r w:rsidR="00BC199D">
        <w:rPr>
          <w:rFonts w:eastAsiaTheme="minorEastAsia"/>
        </w:rPr>
        <w:t>h</w:t>
      </w:r>
      <w:r w:rsidR="00363FC8">
        <w:rPr>
          <w:rFonts w:eastAsiaTheme="minorEastAsia"/>
        </w:rPr>
        <w:t xml:space="preserve"> </w:t>
      </w:r>
      <w:r w:rsidR="00974C5D">
        <w:rPr>
          <w:rFonts w:eastAsiaTheme="minorEastAsia"/>
        </w:rPr>
        <w:t>as Secretariat of the M&amp;E Taskforce</w:t>
      </w:r>
      <w:r w:rsidR="00C36BFA">
        <w:rPr>
          <w:rFonts w:eastAsiaTheme="minorEastAsia"/>
        </w:rPr>
        <w:t xml:space="preserve"> </w:t>
      </w:r>
      <w:r w:rsidR="00974C5D">
        <w:rPr>
          <w:rFonts w:eastAsiaTheme="minorEastAsia"/>
        </w:rPr>
        <w:t xml:space="preserve">would have played a lead role in driving these activities. </w:t>
      </w:r>
    </w:p>
    <w:p w14:paraId="236FEAF7" w14:textId="77777777" w:rsidR="00735377" w:rsidRPr="00735377" w:rsidRDefault="00615294" w:rsidP="00DF166F">
      <w:pPr>
        <w:pStyle w:val="Heading3"/>
        <w:spacing w:line="276" w:lineRule="auto"/>
        <w:rPr>
          <w:lang w:val="en-AU"/>
        </w:rPr>
      </w:pPr>
      <w:bookmarkStart w:id="37" w:name="_Ref152658099"/>
      <w:r w:rsidRPr="00671F75">
        <w:t xml:space="preserve">How well is TongaHealth monitoring, </w:t>
      </w:r>
      <w:proofErr w:type="gramStart"/>
      <w:r w:rsidRPr="00671F75">
        <w:t>evaluating</w:t>
      </w:r>
      <w:proofErr w:type="gramEnd"/>
      <w:r w:rsidRPr="00671F75">
        <w:t xml:space="preserve"> and learning about its effectiveness?</w:t>
      </w:r>
      <w:bookmarkEnd w:id="37"/>
      <w:r w:rsidR="00735377" w:rsidRPr="00735377">
        <w:rPr>
          <w:rFonts w:hAnsi="Trebuchet MS"/>
          <w:color w:val="404040" w:themeColor="text1" w:themeTint="BF"/>
          <w:kern w:val="24"/>
          <w:sz w:val="34"/>
          <w:szCs w:val="34"/>
          <w:lang w:val="en-AU" w:eastAsia="en-AU"/>
        </w:rPr>
        <w:t xml:space="preserve"> </w:t>
      </w:r>
    </w:p>
    <w:p w14:paraId="66E69C92" w14:textId="641A90D0" w:rsidR="00C6473E" w:rsidRPr="00D5563C" w:rsidRDefault="00D5563C" w:rsidP="00962FBE">
      <w:pPr>
        <w:pStyle w:val="BodyText"/>
        <w:rPr>
          <w:rFonts w:eastAsiaTheme="minorEastAsia"/>
        </w:rPr>
      </w:pPr>
      <w:r>
        <w:rPr>
          <w:rFonts w:eastAsiaTheme="minorEastAsia"/>
          <w:b/>
          <w:bCs/>
        </w:rPr>
        <w:t>T</w:t>
      </w:r>
      <w:r w:rsidR="00E0670E" w:rsidRPr="00D5563C">
        <w:rPr>
          <w:rFonts w:eastAsiaTheme="minorEastAsia"/>
          <w:b/>
          <w:bCs/>
        </w:rPr>
        <w:t>he TongaHealth M&amp;E team primarily supports grant monitoring</w:t>
      </w:r>
      <w:r w:rsidR="0069096A" w:rsidRPr="00D5563C">
        <w:rPr>
          <w:rFonts w:eastAsiaTheme="minorEastAsia"/>
          <w:b/>
          <w:bCs/>
        </w:rPr>
        <w:t>.</w:t>
      </w:r>
      <w:r w:rsidR="0069096A" w:rsidRPr="00D5563C">
        <w:rPr>
          <w:rFonts w:eastAsiaTheme="minorEastAsia"/>
        </w:rPr>
        <w:t xml:space="preserve"> </w:t>
      </w:r>
      <w:r w:rsidR="00A95CC7" w:rsidRPr="00D5563C">
        <w:rPr>
          <w:rFonts w:eastAsiaTheme="minorEastAsia"/>
        </w:rPr>
        <w:t>The M&amp;E team currently comprises four staff</w:t>
      </w:r>
      <w:r w:rsidR="00FE6677" w:rsidRPr="00D5563C">
        <w:rPr>
          <w:rFonts w:eastAsiaTheme="minorEastAsia"/>
        </w:rPr>
        <w:t xml:space="preserve"> (</w:t>
      </w:r>
      <w:r w:rsidR="00A95CC7" w:rsidRPr="00D5563C">
        <w:rPr>
          <w:rFonts w:eastAsiaTheme="minorEastAsia"/>
        </w:rPr>
        <w:t xml:space="preserve">M&amp;E Manager, </w:t>
      </w:r>
      <w:r w:rsidR="00EE3BC7" w:rsidRPr="00D5563C">
        <w:rPr>
          <w:rFonts w:eastAsiaTheme="minorEastAsia"/>
        </w:rPr>
        <w:t>Senior M&amp;E Officer, and two M&amp;E Officers</w:t>
      </w:r>
      <w:r w:rsidR="00AC15EC" w:rsidRPr="00D5563C">
        <w:rPr>
          <w:rFonts w:eastAsiaTheme="minorEastAsia"/>
        </w:rPr>
        <w:t>). Their role is to a</w:t>
      </w:r>
      <w:r w:rsidR="00AA696E" w:rsidRPr="00D5563C">
        <w:rPr>
          <w:rFonts w:eastAsiaTheme="minorEastAsia"/>
        </w:rPr>
        <w:t>ssist grant applicants to develop the M&amp;E Framework required in their grant application</w:t>
      </w:r>
      <w:r w:rsidR="00655B0D" w:rsidRPr="00D5563C">
        <w:rPr>
          <w:rFonts w:eastAsiaTheme="minorEastAsia"/>
        </w:rPr>
        <w:t>; monitor g</w:t>
      </w:r>
      <w:r w:rsidR="00735377" w:rsidRPr="00D5563C">
        <w:rPr>
          <w:rFonts w:eastAsiaTheme="minorEastAsia"/>
        </w:rPr>
        <w:t>rantee outputs</w:t>
      </w:r>
      <w:r w:rsidR="00655B0D" w:rsidRPr="00D5563C">
        <w:rPr>
          <w:rFonts w:eastAsiaTheme="minorEastAsia"/>
        </w:rPr>
        <w:t xml:space="preserve"> (e.g. by conducting site visits to ensure activities are being delivered as per the grant proposal)</w:t>
      </w:r>
      <w:r w:rsidR="00227294" w:rsidRPr="00D5563C">
        <w:rPr>
          <w:rFonts w:eastAsiaTheme="minorEastAsia"/>
        </w:rPr>
        <w:t>;</w:t>
      </w:r>
      <w:r w:rsidR="00113A63" w:rsidRPr="00D5563C">
        <w:rPr>
          <w:rFonts w:eastAsiaTheme="minorEastAsia"/>
        </w:rPr>
        <w:t xml:space="preserve"> review </w:t>
      </w:r>
      <w:r w:rsidR="00735377" w:rsidRPr="00D5563C">
        <w:rPr>
          <w:rFonts w:eastAsiaTheme="minorEastAsia"/>
        </w:rPr>
        <w:t>final reports submitted by grantees</w:t>
      </w:r>
      <w:r w:rsidR="00227294" w:rsidRPr="00D5563C">
        <w:rPr>
          <w:rFonts w:eastAsiaTheme="minorEastAsia"/>
        </w:rPr>
        <w:t>;</w:t>
      </w:r>
      <w:r w:rsidR="00113A63" w:rsidRPr="00D5563C">
        <w:rPr>
          <w:rFonts w:eastAsiaTheme="minorEastAsia"/>
        </w:rPr>
        <w:t xml:space="preserve"> and prepare </w:t>
      </w:r>
      <w:r w:rsidR="00E0670E" w:rsidRPr="00D5563C">
        <w:rPr>
          <w:rFonts w:eastAsiaTheme="minorEastAsia"/>
        </w:rPr>
        <w:t>a</w:t>
      </w:r>
      <w:r w:rsidR="003C2176" w:rsidRPr="00D5563C">
        <w:rPr>
          <w:rFonts w:eastAsiaTheme="minorEastAsia"/>
        </w:rPr>
        <w:t xml:space="preserve"> final </w:t>
      </w:r>
      <w:r w:rsidR="00E0670E" w:rsidRPr="00D5563C">
        <w:rPr>
          <w:rFonts w:eastAsiaTheme="minorEastAsia"/>
        </w:rPr>
        <w:t>evaluation report for each project.</w:t>
      </w:r>
      <w:r w:rsidR="001F4B31" w:rsidRPr="00D5563C">
        <w:rPr>
          <w:rFonts w:eastAsiaTheme="minorEastAsia"/>
        </w:rPr>
        <w:t xml:space="preserve"> </w:t>
      </w:r>
      <w:r w:rsidR="00C6473E" w:rsidRPr="00D5563C">
        <w:rPr>
          <w:rFonts w:eastAsiaTheme="minorEastAsia"/>
        </w:rPr>
        <w:t>Interviewees for this Review reported that the grant monitoring process is working well</w:t>
      </w:r>
      <w:r w:rsidR="005C2640" w:rsidRPr="00D5563C">
        <w:rPr>
          <w:rFonts w:eastAsiaTheme="minorEastAsia"/>
        </w:rPr>
        <w:t xml:space="preserve">. For example, </w:t>
      </w:r>
      <w:r w:rsidR="00463DA0" w:rsidRPr="00D5563C">
        <w:rPr>
          <w:rFonts w:eastAsiaTheme="minorEastAsia"/>
        </w:rPr>
        <w:t>reporting from the M&amp;E team provides clear information on whether grant</w:t>
      </w:r>
      <w:r w:rsidR="004B5F23" w:rsidRPr="00D5563C">
        <w:rPr>
          <w:rFonts w:eastAsiaTheme="minorEastAsia"/>
        </w:rPr>
        <w:t xml:space="preserve">ees are delivering activities </w:t>
      </w:r>
      <w:r w:rsidR="00A52AD8" w:rsidRPr="00D5563C">
        <w:rPr>
          <w:rFonts w:eastAsiaTheme="minorEastAsia"/>
        </w:rPr>
        <w:t>as intended (</w:t>
      </w:r>
      <w:r w:rsidR="00D73568" w:rsidRPr="00D5563C">
        <w:rPr>
          <w:rFonts w:eastAsiaTheme="minorEastAsia"/>
        </w:rPr>
        <w:t>which they are, for the most part</w:t>
      </w:r>
      <w:r w:rsidR="00A52AD8" w:rsidRPr="00D5563C">
        <w:rPr>
          <w:rFonts w:eastAsiaTheme="minorEastAsia"/>
        </w:rPr>
        <w:t xml:space="preserve">); </w:t>
      </w:r>
      <w:r w:rsidR="001F4B31" w:rsidRPr="00D5563C">
        <w:rPr>
          <w:rFonts w:eastAsiaTheme="minorEastAsia"/>
        </w:rPr>
        <w:t>a</w:t>
      </w:r>
      <w:r w:rsidR="00A52AD8" w:rsidRPr="00D5563C">
        <w:rPr>
          <w:rFonts w:eastAsiaTheme="minorEastAsia"/>
        </w:rPr>
        <w:t xml:space="preserve">nd grantees stated </w:t>
      </w:r>
      <w:r w:rsidR="00744C05" w:rsidRPr="00D5563C">
        <w:rPr>
          <w:rFonts w:eastAsiaTheme="minorEastAsia"/>
        </w:rPr>
        <w:t>they were grateful for the support of the M&amp;E team for grant monitoring and end-of-grant reporting</w:t>
      </w:r>
      <w:r w:rsidR="0056261F" w:rsidRPr="00D5563C">
        <w:rPr>
          <w:rFonts w:eastAsiaTheme="minorEastAsia"/>
        </w:rPr>
        <w:t>.</w:t>
      </w:r>
      <w:r w:rsidR="00821C83" w:rsidRPr="00D5563C">
        <w:rPr>
          <w:rFonts w:eastAsiaTheme="minorEastAsia"/>
        </w:rPr>
        <w:t xml:space="preserve"> </w:t>
      </w:r>
    </w:p>
    <w:p w14:paraId="736A9D9B" w14:textId="1380CF61" w:rsidR="00242921" w:rsidRPr="00242921" w:rsidRDefault="00AA3893" w:rsidP="00962FBE">
      <w:pPr>
        <w:pStyle w:val="BodyText"/>
        <w:rPr>
          <w:rFonts w:eastAsiaTheme="minorEastAsia" w:cstheme="minorBidi"/>
          <w:iCs/>
          <w:lang w:val="en-NZ"/>
        </w:rPr>
      </w:pPr>
      <w:r w:rsidRPr="0001227B">
        <w:rPr>
          <w:rFonts w:eastAsiaTheme="majorEastAsia"/>
        </w:rPr>
        <w:t xml:space="preserve">While grant monitoring is an important function, </w:t>
      </w:r>
      <w:r w:rsidR="006F56CA">
        <w:rPr>
          <w:rFonts w:eastAsiaTheme="majorEastAsia"/>
        </w:rPr>
        <w:t>the</w:t>
      </w:r>
      <w:r w:rsidR="00884EE4">
        <w:rPr>
          <w:rFonts w:eastAsiaTheme="majorEastAsia"/>
        </w:rPr>
        <w:t>re are some major gaps in TongaHealth’s M&amp;E syste</w:t>
      </w:r>
      <w:r w:rsidR="002D132E">
        <w:rPr>
          <w:rFonts w:eastAsiaTheme="majorEastAsia"/>
        </w:rPr>
        <w:t xml:space="preserve">m. </w:t>
      </w:r>
      <w:r w:rsidR="009A2146" w:rsidRPr="009A2146">
        <w:rPr>
          <w:rFonts w:eastAsiaTheme="majorEastAsia"/>
        </w:rPr>
        <w:t>For example</w:t>
      </w:r>
      <w:r w:rsidR="000B51D8" w:rsidRPr="000B51D8">
        <w:rPr>
          <w:rFonts w:eastAsiaTheme="majorEastAsia"/>
        </w:rPr>
        <w:t>:</w:t>
      </w:r>
      <w:r w:rsidR="000B51D8">
        <w:rPr>
          <w:rFonts w:eastAsiaTheme="majorEastAsia"/>
        </w:rPr>
        <w:t xml:space="preserve"> </w:t>
      </w:r>
    </w:p>
    <w:p w14:paraId="1F60111E" w14:textId="3625283D" w:rsidR="005F1088" w:rsidRPr="005F1088" w:rsidRDefault="002D132E" w:rsidP="00C9374E">
      <w:pPr>
        <w:pStyle w:val="ListBullet"/>
        <w:numPr>
          <w:ilvl w:val="0"/>
          <w:numId w:val="41"/>
        </w:numPr>
      </w:pPr>
      <w:r>
        <w:rPr>
          <w:rFonts w:eastAsiaTheme="minorEastAsia"/>
        </w:rPr>
        <w:t>TongaHealth does not have an M&amp;E Plan</w:t>
      </w:r>
      <w:r w:rsidR="00A71AFF">
        <w:rPr>
          <w:rFonts w:eastAsiaTheme="minorEastAsia"/>
        </w:rPr>
        <w:t xml:space="preserve">. </w:t>
      </w:r>
      <w:r w:rsidR="00566501">
        <w:rPr>
          <w:rFonts w:eastAsiaTheme="minorEastAsia"/>
        </w:rPr>
        <w:t>Development of a</w:t>
      </w:r>
      <w:r w:rsidR="00F86FA0">
        <w:rPr>
          <w:rFonts w:eastAsiaTheme="minorEastAsia"/>
        </w:rPr>
        <w:t>n M</w:t>
      </w:r>
      <w:r w:rsidR="00566501">
        <w:rPr>
          <w:rFonts w:eastAsiaTheme="minorEastAsia"/>
        </w:rPr>
        <w:t>&amp;E Plan was included in the FY22/23 Statement of Corporate Intent but</w:t>
      </w:r>
      <w:r w:rsidR="00F86FA0">
        <w:rPr>
          <w:rFonts w:eastAsiaTheme="minorEastAsia"/>
        </w:rPr>
        <w:t xml:space="preserve"> not </w:t>
      </w:r>
      <w:proofErr w:type="gramStart"/>
      <w:r w:rsidR="00F86FA0">
        <w:rPr>
          <w:rFonts w:eastAsiaTheme="minorEastAsia"/>
        </w:rPr>
        <w:t>delivered, and</w:t>
      </w:r>
      <w:proofErr w:type="gramEnd"/>
      <w:r w:rsidR="00F86FA0">
        <w:rPr>
          <w:rFonts w:eastAsiaTheme="minorEastAsia"/>
        </w:rPr>
        <w:t xml:space="preserve"> has now b</w:t>
      </w:r>
      <w:r w:rsidR="00566501">
        <w:rPr>
          <w:rFonts w:eastAsiaTheme="minorEastAsia"/>
        </w:rPr>
        <w:t>een postponed to 2024 as part of developing TongaHealth’s 10</w:t>
      </w:r>
      <w:r w:rsidR="00F86FA0">
        <w:rPr>
          <w:rFonts w:eastAsiaTheme="minorEastAsia"/>
        </w:rPr>
        <w:t>-</w:t>
      </w:r>
      <w:r w:rsidR="00566501">
        <w:rPr>
          <w:rFonts w:eastAsiaTheme="minorEastAsia"/>
        </w:rPr>
        <w:t xml:space="preserve">year strategic plan. </w:t>
      </w:r>
    </w:p>
    <w:p w14:paraId="2888FD0F" w14:textId="51DE7700" w:rsidR="009B6D58" w:rsidRPr="009B6D58" w:rsidRDefault="005F1088" w:rsidP="00C9374E">
      <w:pPr>
        <w:pStyle w:val="ListBullet"/>
        <w:numPr>
          <w:ilvl w:val="0"/>
          <w:numId w:val="41"/>
        </w:numPr>
      </w:pPr>
      <w:r>
        <w:rPr>
          <w:rFonts w:eastAsiaTheme="minorEastAsia"/>
        </w:rPr>
        <w:t xml:space="preserve">TongaHealth does not collect data or report </w:t>
      </w:r>
      <w:r w:rsidR="00CC3819">
        <w:rPr>
          <w:rFonts w:eastAsiaTheme="minorEastAsia"/>
        </w:rPr>
        <w:t xml:space="preserve">against the TongaHealth </w:t>
      </w:r>
      <w:r w:rsidR="00383DCB">
        <w:rPr>
          <w:rFonts w:eastAsiaTheme="minorEastAsia"/>
        </w:rPr>
        <w:t xml:space="preserve">Annual </w:t>
      </w:r>
      <w:r w:rsidR="00CC3819">
        <w:rPr>
          <w:rFonts w:eastAsiaTheme="minorEastAsia"/>
        </w:rPr>
        <w:t>Statement of Corporate Intent</w:t>
      </w:r>
      <w:r>
        <w:rPr>
          <w:rFonts w:eastAsiaTheme="minorEastAsia"/>
        </w:rPr>
        <w:t xml:space="preserve"> </w:t>
      </w:r>
      <w:r w:rsidR="00235B11">
        <w:rPr>
          <w:rFonts w:eastAsiaTheme="minorEastAsia"/>
        </w:rPr>
        <w:t>or against TongaHealth’s allocated activities and outputs under the NCD Strategy</w:t>
      </w:r>
      <w:r w:rsidR="00DD1D6D">
        <w:rPr>
          <w:rFonts w:eastAsiaTheme="minorEastAsia"/>
        </w:rPr>
        <w:t>. These are the two main strategic documents intended to guide TongaHealth’s work</w:t>
      </w:r>
      <w:r w:rsidR="00F86FA0">
        <w:rPr>
          <w:rFonts w:eastAsiaTheme="minorEastAsia"/>
        </w:rPr>
        <w:t xml:space="preserve">, and therefore reporting against these documents is critical </w:t>
      </w:r>
      <w:r w:rsidR="001A2070">
        <w:rPr>
          <w:rFonts w:eastAsiaTheme="minorEastAsia"/>
        </w:rPr>
        <w:t>to track TongaHealth’s outputs and progress</w:t>
      </w:r>
      <w:r w:rsidR="00DD1D6D">
        <w:rPr>
          <w:rFonts w:eastAsiaTheme="minorEastAsia"/>
        </w:rPr>
        <w:t xml:space="preserve">. </w:t>
      </w:r>
    </w:p>
    <w:p w14:paraId="5ACCE10F" w14:textId="735D6C85" w:rsidR="00626E52" w:rsidRPr="00626E52" w:rsidRDefault="006B229B" w:rsidP="00C9374E">
      <w:pPr>
        <w:pStyle w:val="ListBullet"/>
        <w:numPr>
          <w:ilvl w:val="0"/>
          <w:numId w:val="41"/>
        </w:numPr>
      </w:pPr>
      <w:r>
        <w:rPr>
          <w:rFonts w:eastAsiaTheme="minorEastAsia"/>
        </w:rPr>
        <w:t xml:space="preserve">While the M&amp;E team monitors grantee outputs, they </w:t>
      </w:r>
      <w:r w:rsidR="001A2070">
        <w:rPr>
          <w:rFonts w:eastAsiaTheme="minorEastAsia"/>
        </w:rPr>
        <w:t>collect very little evidence o</w:t>
      </w:r>
      <w:r w:rsidR="00F13227">
        <w:rPr>
          <w:rFonts w:eastAsiaTheme="minorEastAsia"/>
        </w:rPr>
        <w:t>f outcome-level change from grantees,</w:t>
      </w:r>
      <w:r w:rsidR="006F56CA">
        <w:rPr>
          <w:rFonts w:eastAsiaTheme="minorEastAsia"/>
        </w:rPr>
        <w:t xml:space="preserve"> </w:t>
      </w:r>
      <w:r w:rsidR="00E82577">
        <w:rPr>
          <w:rFonts w:eastAsiaTheme="minorEastAsia"/>
        </w:rPr>
        <w:t xml:space="preserve">e.g. whether Zumba participants increase their overall physical activity levels, or whether </w:t>
      </w:r>
      <w:r w:rsidR="008763CF">
        <w:rPr>
          <w:rFonts w:eastAsiaTheme="minorEastAsia"/>
        </w:rPr>
        <w:t xml:space="preserve">beneficiaries </w:t>
      </w:r>
      <w:r w:rsidR="000D6232">
        <w:rPr>
          <w:rFonts w:eastAsiaTheme="minorEastAsia"/>
        </w:rPr>
        <w:t xml:space="preserve">provided with seedlings successfully grow them and consume more fruit and vegetables. </w:t>
      </w:r>
      <w:r w:rsidR="00F471FB">
        <w:rPr>
          <w:rFonts w:eastAsiaTheme="minorEastAsia"/>
        </w:rPr>
        <w:t>These could be assessed quantitatively (e.g. by pre-post survey</w:t>
      </w:r>
      <w:r w:rsidR="008D6F03">
        <w:rPr>
          <w:rFonts w:eastAsiaTheme="minorEastAsia"/>
        </w:rPr>
        <w:t>s</w:t>
      </w:r>
      <w:r w:rsidR="00F471FB">
        <w:rPr>
          <w:rFonts w:eastAsiaTheme="minorEastAsia"/>
        </w:rPr>
        <w:t xml:space="preserve">) and qualitatively (e.g. using a </w:t>
      </w:r>
      <w:r w:rsidR="00AE50FD">
        <w:rPr>
          <w:rFonts w:eastAsiaTheme="minorEastAsia"/>
        </w:rPr>
        <w:t>‘story of change’</w:t>
      </w:r>
      <w:r w:rsidR="00F471FB">
        <w:rPr>
          <w:rFonts w:eastAsiaTheme="minorEastAsia"/>
        </w:rPr>
        <w:t xml:space="preserve"> methodology)</w:t>
      </w:r>
      <w:r w:rsidR="00AB07C4">
        <w:rPr>
          <w:rFonts w:eastAsiaTheme="minorEastAsia"/>
        </w:rPr>
        <w:t xml:space="preserve"> to provide evidence of the effectiveness of TongaHealth’s activities.</w:t>
      </w:r>
      <w:r w:rsidR="000722AA">
        <w:rPr>
          <w:rFonts w:eastAsiaTheme="minorEastAsia"/>
        </w:rPr>
        <w:t xml:space="preserve"> </w:t>
      </w:r>
    </w:p>
    <w:p w14:paraId="68133DD0" w14:textId="39179EA9" w:rsidR="00AE14B1" w:rsidRPr="00AE14B1" w:rsidRDefault="00FB5DB1" w:rsidP="00C9374E">
      <w:pPr>
        <w:pStyle w:val="ListBullet"/>
        <w:numPr>
          <w:ilvl w:val="0"/>
          <w:numId w:val="41"/>
        </w:numPr>
      </w:pPr>
      <w:r>
        <w:rPr>
          <w:rFonts w:eastAsiaTheme="minorEastAsia"/>
        </w:rPr>
        <w:t xml:space="preserve">The M&amp;E team </w:t>
      </w:r>
      <w:r w:rsidR="00502371">
        <w:rPr>
          <w:rFonts w:eastAsiaTheme="minorEastAsia"/>
        </w:rPr>
        <w:t xml:space="preserve">does not systematically seek to build the capacity of </w:t>
      </w:r>
      <w:r w:rsidR="00AE14B1">
        <w:rPr>
          <w:rFonts w:eastAsiaTheme="minorEastAsia"/>
        </w:rPr>
        <w:t>grantees to monitor outputs; instead doing the monitoring themselves</w:t>
      </w:r>
      <w:r w:rsidR="00DA6BB0">
        <w:rPr>
          <w:rFonts w:eastAsiaTheme="minorEastAsia"/>
        </w:rPr>
        <w:t>. For example, TongaHealth representatives attend Zumba sessions to coordinate registration of participants, rather than grant recipients being responsible for this</w:t>
      </w:r>
      <w:r w:rsidR="00AE14B1">
        <w:rPr>
          <w:rFonts w:eastAsiaTheme="minorEastAsia"/>
        </w:rPr>
        <w:t xml:space="preserve">. </w:t>
      </w:r>
      <w:r w:rsidR="008D6F03">
        <w:rPr>
          <w:rFonts w:eastAsiaTheme="minorEastAsia"/>
        </w:rPr>
        <w:t xml:space="preserve">This represents a significant workload for the team. </w:t>
      </w:r>
    </w:p>
    <w:p w14:paraId="282517B7" w14:textId="25B4AC20" w:rsidR="00242921" w:rsidRPr="00242921" w:rsidRDefault="00A048C2" w:rsidP="00C9374E">
      <w:pPr>
        <w:pStyle w:val="ListBullet"/>
        <w:numPr>
          <w:ilvl w:val="0"/>
          <w:numId w:val="41"/>
        </w:numPr>
      </w:pPr>
      <w:r>
        <w:rPr>
          <w:rFonts w:eastAsiaTheme="minorEastAsia"/>
        </w:rPr>
        <w:t>There are no s</w:t>
      </w:r>
      <w:r w:rsidR="0021030C">
        <w:rPr>
          <w:rFonts w:eastAsiaTheme="minorEastAsia"/>
        </w:rPr>
        <w:t xml:space="preserve">tructured </w:t>
      </w:r>
      <w:r w:rsidR="00242921" w:rsidRPr="00242921">
        <w:rPr>
          <w:rFonts w:eastAsiaTheme="minorEastAsia"/>
        </w:rPr>
        <w:t>learning and reflection</w:t>
      </w:r>
      <w:r w:rsidR="0021030C">
        <w:rPr>
          <w:rFonts w:eastAsiaTheme="minorEastAsia"/>
        </w:rPr>
        <w:t xml:space="preserve"> events</w:t>
      </w:r>
      <w:r>
        <w:rPr>
          <w:rFonts w:eastAsiaTheme="minorEastAsia"/>
        </w:rPr>
        <w:t xml:space="preserve"> (e.g. annual reflection workshops)</w:t>
      </w:r>
      <w:r w:rsidR="00242921" w:rsidRPr="00242921">
        <w:rPr>
          <w:rFonts w:eastAsiaTheme="minorEastAsia"/>
        </w:rPr>
        <w:t xml:space="preserve"> within TongaHealth</w:t>
      </w:r>
      <w:r w:rsidR="0021030C">
        <w:rPr>
          <w:rFonts w:eastAsiaTheme="minorEastAsia"/>
        </w:rPr>
        <w:t>.</w:t>
      </w:r>
    </w:p>
    <w:p w14:paraId="0097F6BA" w14:textId="6CB213F4" w:rsidR="00242921" w:rsidRPr="00242921" w:rsidRDefault="00887BC2" w:rsidP="00962FBE">
      <w:pPr>
        <w:pStyle w:val="BodyText"/>
      </w:pPr>
      <w:r>
        <w:rPr>
          <w:rFonts w:eastAsiaTheme="minorEastAsia"/>
        </w:rPr>
        <w:t xml:space="preserve">In addition, implementation of </w:t>
      </w:r>
      <w:r w:rsidR="00242921" w:rsidRPr="00242921">
        <w:rPr>
          <w:rFonts w:eastAsiaTheme="minorEastAsia"/>
        </w:rPr>
        <w:t>KRA 5 (M&amp;E, Surveillance, Research and Learning)</w:t>
      </w:r>
      <w:r w:rsidR="00102E72">
        <w:rPr>
          <w:rFonts w:eastAsiaTheme="minorEastAsia"/>
        </w:rPr>
        <w:t xml:space="preserve"> of the NCD Strategy would logically be driven by the TongaHealth M&amp;E team</w:t>
      </w:r>
      <w:r w:rsidR="00FA4F95">
        <w:rPr>
          <w:rFonts w:eastAsiaTheme="minorEastAsia"/>
        </w:rPr>
        <w:t xml:space="preserve"> in their role as Secretariat of the M&amp;E Taskforce</w:t>
      </w:r>
      <w:r w:rsidR="00102E72">
        <w:rPr>
          <w:rFonts w:eastAsiaTheme="minorEastAsia"/>
        </w:rPr>
        <w:t xml:space="preserve">, </w:t>
      </w:r>
      <w:r w:rsidR="00316FF9">
        <w:rPr>
          <w:rFonts w:eastAsiaTheme="minorEastAsia"/>
        </w:rPr>
        <w:t>however as noted earlier in</w:t>
      </w:r>
      <w:r w:rsidR="000F2A45">
        <w:rPr>
          <w:rFonts w:eastAsiaTheme="minorEastAsia"/>
        </w:rPr>
        <w:t xml:space="preserve"> Section</w:t>
      </w:r>
      <w:r w:rsidR="00316FF9">
        <w:rPr>
          <w:rFonts w:eastAsiaTheme="minorEastAsia"/>
        </w:rPr>
        <w:t xml:space="preserve"> </w:t>
      </w:r>
      <w:r w:rsidR="000F2A45">
        <w:rPr>
          <w:rFonts w:eastAsiaTheme="minorEastAsia"/>
        </w:rPr>
        <w:fldChar w:fldCharType="begin"/>
      </w:r>
      <w:r w:rsidR="000F2A45">
        <w:rPr>
          <w:rFonts w:eastAsiaTheme="minorEastAsia"/>
        </w:rPr>
        <w:instrText xml:space="preserve"> REF _Ref151549298 \r \h </w:instrText>
      </w:r>
      <w:r w:rsidR="00971A95">
        <w:rPr>
          <w:rFonts w:eastAsiaTheme="minorEastAsia"/>
        </w:rPr>
        <w:instrText xml:space="preserve"> \* MERGEFORMAT </w:instrText>
      </w:r>
      <w:r w:rsidR="000F2A45">
        <w:rPr>
          <w:rFonts w:eastAsiaTheme="minorEastAsia"/>
        </w:rPr>
      </w:r>
      <w:r w:rsidR="000F2A45">
        <w:rPr>
          <w:rFonts w:eastAsiaTheme="minorEastAsia"/>
        </w:rPr>
        <w:fldChar w:fldCharType="separate"/>
      </w:r>
      <w:r w:rsidR="00A95913">
        <w:rPr>
          <w:rFonts w:eastAsiaTheme="minorEastAsia"/>
        </w:rPr>
        <w:t>3.1</w:t>
      </w:r>
      <w:r w:rsidR="000F2A45">
        <w:rPr>
          <w:rFonts w:eastAsiaTheme="minorEastAsia"/>
        </w:rPr>
        <w:fldChar w:fldCharType="end"/>
      </w:r>
      <w:r w:rsidR="000F2A45">
        <w:rPr>
          <w:rFonts w:eastAsiaTheme="minorEastAsia"/>
        </w:rPr>
        <w:t xml:space="preserve"> there has been limited progress to date. </w:t>
      </w:r>
    </w:p>
    <w:p w14:paraId="2B9EC4D4" w14:textId="5CABA750" w:rsidR="00615294" w:rsidRDefault="006F494D" w:rsidP="00962FBE">
      <w:pPr>
        <w:pStyle w:val="BodyText"/>
        <w:rPr>
          <w:rFonts w:eastAsiaTheme="majorEastAsia"/>
        </w:rPr>
      </w:pPr>
      <w:r w:rsidRPr="00B7187D">
        <w:rPr>
          <w:rFonts w:eastAsiaTheme="majorEastAsia"/>
          <w:b/>
          <w:bCs/>
        </w:rPr>
        <w:t>A key challenge for the M&amp;E team is the</w:t>
      </w:r>
      <w:r w:rsidR="003D1720">
        <w:rPr>
          <w:rFonts w:eastAsiaTheme="majorEastAsia"/>
          <w:b/>
          <w:bCs/>
        </w:rPr>
        <w:t>ir</w:t>
      </w:r>
      <w:r w:rsidRPr="00B7187D">
        <w:rPr>
          <w:rFonts w:eastAsiaTheme="majorEastAsia"/>
          <w:b/>
          <w:bCs/>
        </w:rPr>
        <w:t xml:space="preserve"> lack of </w:t>
      </w:r>
      <w:r w:rsidR="003D1720">
        <w:rPr>
          <w:rFonts w:eastAsiaTheme="majorEastAsia"/>
          <w:b/>
          <w:bCs/>
        </w:rPr>
        <w:t>M&amp;E</w:t>
      </w:r>
      <w:r w:rsidRPr="00B7187D">
        <w:rPr>
          <w:rFonts w:eastAsiaTheme="majorEastAsia"/>
          <w:b/>
          <w:bCs/>
        </w:rPr>
        <w:t xml:space="preserve"> </w:t>
      </w:r>
      <w:r w:rsidR="003D1720">
        <w:rPr>
          <w:rFonts w:eastAsiaTheme="majorEastAsia"/>
          <w:b/>
          <w:bCs/>
        </w:rPr>
        <w:t>skills and experience</w:t>
      </w:r>
      <w:r w:rsidRPr="00B7187D">
        <w:rPr>
          <w:rFonts w:eastAsiaTheme="majorEastAsia"/>
          <w:b/>
          <w:bCs/>
        </w:rPr>
        <w:t>.</w:t>
      </w:r>
      <w:r>
        <w:rPr>
          <w:rFonts w:eastAsiaTheme="majorEastAsia"/>
        </w:rPr>
        <w:t xml:space="preserve"> The M&amp;E Manager position was vacant from June 202</w:t>
      </w:r>
      <w:r w:rsidR="005B18A7">
        <w:rPr>
          <w:rFonts w:eastAsiaTheme="majorEastAsia"/>
        </w:rPr>
        <w:t>1</w:t>
      </w:r>
      <w:r>
        <w:rPr>
          <w:rFonts w:eastAsiaTheme="majorEastAsia"/>
        </w:rPr>
        <w:t xml:space="preserve"> to May 2023, due to difficulties finding a suitably skilled</w:t>
      </w:r>
      <w:r w:rsidR="0052634B">
        <w:rPr>
          <w:rFonts w:eastAsiaTheme="majorEastAsia"/>
        </w:rPr>
        <w:t xml:space="preserve"> candidate for the role. </w:t>
      </w:r>
      <w:r w:rsidR="005B18A7">
        <w:rPr>
          <w:rFonts w:eastAsiaTheme="majorEastAsia"/>
        </w:rPr>
        <w:t xml:space="preserve">While this position is now filled, </w:t>
      </w:r>
      <w:r w:rsidR="003A6C2C">
        <w:rPr>
          <w:rFonts w:eastAsiaTheme="majorEastAsia"/>
        </w:rPr>
        <w:t>neither the M&amp;E Manager nor the</w:t>
      </w:r>
      <w:r w:rsidR="00B7187D">
        <w:rPr>
          <w:rFonts w:eastAsiaTheme="majorEastAsia"/>
        </w:rPr>
        <w:t xml:space="preserve"> </w:t>
      </w:r>
      <w:r w:rsidR="00F13CCB">
        <w:rPr>
          <w:rFonts w:eastAsiaTheme="majorEastAsia"/>
        </w:rPr>
        <w:t>three</w:t>
      </w:r>
      <w:r w:rsidR="00B7187D">
        <w:rPr>
          <w:rFonts w:eastAsiaTheme="majorEastAsia"/>
        </w:rPr>
        <w:t xml:space="preserve"> other members of the M&amp;E team have M&amp;E skills or experience, beyond </w:t>
      </w:r>
      <w:r w:rsidR="00B7187D">
        <w:rPr>
          <w:rFonts w:eastAsiaTheme="majorEastAsia"/>
        </w:rPr>
        <w:lastRenderedPageBreak/>
        <w:t xml:space="preserve">on-the-job learning in their current roles. </w:t>
      </w:r>
      <w:r w:rsidR="009F3388">
        <w:rPr>
          <w:rFonts w:eastAsiaTheme="majorEastAsia"/>
        </w:rPr>
        <w:t xml:space="preserve">It is therefore unlikely that TongaHealth have the internal capacity to develop and </w:t>
      </w:r>
      <w:r w:rsidR="00307231">
        <w:rPr>
          <w:rFonts w:eastAsiaTheme="majorEastAsia"/>
        </w:rPr>
        <w:t xml:space="preserve">implement a comprehensive M&amp;E </w:t>
      </w:r>
      <w:proofErr w:type="gramStart"/>
      <w:r w:rsidR="00307231">
        <w:rPr>
          <w:rFonts w:eastAsiaTheme="majorEastAsia"/>
        </w:rPr>
        <w:t xml:space="preserve">system, </w:t>
      </w:r>
      <w:r w:rsidR="00CA7468">
        <w:rPr>
          <w:rFonts w:eastAsiaTheme="majorEastAsia"/>
        </w:rPr>
        <w:t>and</w:t>
      </w:r>
      <w:proofErr w:type="gramEnd"/>
      <w:r w:rsidR="00CA7468">
        <w:rPr>
          <w:rFonts w:eastAsiaTheme="majorEastAsia"/>
        </w:rPr>
        <w:t xml:space="preserve"> will require </w:t>
      </w:r>
      <w:r w:rsidR="00307231">
        <w:rPr>
          <w:rFonts w:eastAsiaTheme="majorEastAsia"/>
        </w:rPr>
        <w:t>external TA and capacity building</w:t>
      </w:r>
      <w:r w:rsidR="00CA7468">
        <w:rPr>
          <w:rFonts w:eastAsiaTheme="majorEastAsia"/>
        </w:rPr>
        <w:t xml:space="preserve"> for this</w:t>
      </w:r>
      <w:r w:rsidR="00307231">
        <w:rPr>
          <w:rFonts w:eastAsiaTheme="majorEastAsia"/>
        </w:rPr>
        <w:t xml:space="preserve">. </w:t>
      </w:r>
    </w:p>
    <w:p w14:paraId="36899BBB" w14:textId="77777777" w:rsidR="007A15C0" w:rsidRDefault="00075724" w:rsidP="00962FBE">
      <w:pPr>
        <w:pStyle w:val="BodyText"/>
        <w:rPr>
          <w:rFonts w:eastAsiaTheme="minorEastAsia"/>
        </w:rPr>
      </w:pPr>
      <w:r w:rsidRPr="00BC59DF">
        <w:rPr>
          <w:b/>
          <w:bCs/>
        </w:rPr>
        <w:t xml:space="preserve">Reporting from TongaHealth is not meeting donor expectations. </w:t>
      </w:r>
      <w:r w:rsidR="00BC59DF">
        <w:rPr>
          <w:rFonts w:eastAsiaTheme="minorEastAsia"/>
        </w:rPr>
        <w:t>In interviews for this Review,</w:t>
      </w:r>
      <w:r w:rsidR="0051141D">
        <w:rPr>
          <w:rFonts w:eastAsiaTheme="minorEastAsia"/>
        </w:rPr>
        <w:t xml:space="preserve"> representatives from</w:t>
      </w:r>
      <w:r w:rsidR="00BC59DF">
        <w:rPr>
          <w:rFonts w:eastAsiaTheme="minorEastAsia"/>
        </w:rPr>
        <w:t xml:space="preserve"> </w:t>
      </w:r>
      <w:r w:rsidR="008819CE">
        <w:rPr>
          <w:rFonts w:eastAsiaTheme="minorEastAsia"/>
        </w:rPr>
        <w:t xml:space="preserve">THSSP3, TASP and </w:t>
      </w:r>
      <w:r w:rsidR="00BC59DF">
        <w:rPr>
          <w:rFonts w:eastAsiaTheme="minorEastAsia"/>
        </w:rPr>
        <w:t xml:space="preserve">DFAT expressed </w:t>
      </w:r>
      <w:r w:rsidR="00242921" w:rsidRPr="00242921">
        <w:rPr>
          <w:rFonts w:eastAsiaTheme="minorEastAsia"/>
        </w:rPr>
        <w:t>dissatisf</w:t>
      </w:r>
      <w:r w:rsidR="00BC59DF">
        <w:rPr>
          <w:rFonts w:eastAsiaTheme="minorEastAsia"/>
        </w:rPr>
        <w:t xml:space="preserve">action with the </w:t>
      </w:r>
      <w:r w:rsidR="00242921" w:rsidRPr="00242921">
        <w:rPr>
          <w:rFonts w:eastAsiaTheme="minorEastAsia"/>
        </w:rPr>
        <w:t>quality</w:t>
      </w:r>
      <w:r w:rsidR="00BC59DF">
        <w:rPr>
          <w:rFonts w:eastAsiaTheme="minorEastAsia"/>
        </w:rPr>
        <w:t>, timeliness and accuracy of progress reports and financial reports</w:t>
      </w:r>
      <w:r w:rsidR="002B10FF">
        <w:rPr>
          <w:rFonts w:eastAsiaTheme="minorEastAsia"/>
        </w:rPr>
        <w:t>, and extensive delays in TongaHealth responding to DFAT’s requests for information</w:t>
      </w:r>
      <w:r w:rsidR="002F31DD">
        <w:rPr>
          <w:rFonts w:eastAsiaTheme="minorEastAsia"/>
        </w:rPr>
        <w:t xml:space="preserve">. </w:t>
      </w:r>
      <w:r w:rsidR="00F32454">
        <w:rPr>
          <w:rFonts w:eastAsiaTheme="minorEastAsia"/>
        </w:rPr>
        <w:t xml:space="preserve">Regarding </w:t>
      </w:r>
      <w:r w:rsidR="00F32454" w:rsidRPr="00F32454">
        <w:rPr>
          <w:rFonts w:eastAsiaTheme="minorEastAsia"/>
          <w:b/>
          <w:bCs/>
        </w:rPr>
        <w:t>timeliness</w:t>
      </w:r>
      <w:r w:rsidR="00762EB8">
        <w:rPr>
          <w:rFonts w:eastAsiaTheme="minorEastAsia"/>
          <w:b/>
          <w:bCs/>
        </w:rPr>
        <w:t xml:space="preserve"> of reporting</w:t>
      </w:r>
      <w:r w:rsidR="00F32454">
        <w:rPr>
          <w:rFonts w:eastAsiaTheme="minorEastAsia"/>
        </w:rPr>
        <w:t xml:space="preserve">, </w:t>
      </w:r>
      <w:r w:rsidR="00DC16FD">
        <w:rPr>
          <w:rFonts w:eastAsiaTheme="minorEastAsia"/>
        </w:rPr>
        <w:t>annual reports to the TongaHealth Board</w:t>
      </w:r>
      <w:r w:rsidR="00F8023C">
        <w:rPr>
          <w:rFonts w:eastAsiaTheme="minorEastAsia"/>
        </w:rPr>
        <w:t xml:space="preserve"> and National NCD Committee</w:t>
      </w:r>
      <w:r w:rsidR="00DC16FD">
        <w:rPr>
          <w:rFonts w:eastAsiaTheme="minorEastAsia"/>
        </w:rPr>
        <w:t xml:space="preserve"> have not been submitted</w:t>
      </w:r>
      <w:r w:rsidR="001B43C3">
        <w:rPr>
          <w:rFonts w:eastAsiaTheme="minorEastAsia"/>
        </w:rPr>
        <w:t xml:space="preserve"> since FY18/19;</w:t>
      </w:r>
      <w:r w:rsidR="009635BB">
        <w:rPr>
          <w:rFonts w:eastAsiaTheme="minorEastAsia"/>
        </w:rPr>
        <w:t xml:space="preserve"> audit reports to the </w:t>
      </w:r>
      <w:proofErr w:type="spellStart"/>
      <w:r w:rsidR="009635BB">
        <w:rPr>
          <w:rFonts w:eastAsiaTheme="minorEastAsia"/>
        </w:rPr>
        <w:t>GoT</w:t>
      </w:r>
      <w:proofErr w:type="spellEnd"/>
      <w:r w:rsidR="009635BB">
        <w:rPr>
          <w:rFonts w:eastAsiaTheme="minorEastAsia"/>
        </w:rPr>
        <w:t xml:space="preserve"> Audit Committee </w:t>
      </w:r>
      <w:r w:rsidR="00B327C4">
        <w:rPr>
          <w:rFonts w:eastAsiaTheme="minorEastAsia"/>
        </w:rPr>
        <w:t>have not been completed since FY18/19</w:t>
      </w:r>
      <w:r w:rsidR="00B35E2C">
        <w:rPr>
          <w:rFonts w:eastAsiaTheme="minorEastAsia"/>
        </w:rPr>
        <w:t>;</w:t>
      </w:r>
      <w:r w:rsidR="001B43C3">
        <w:rPr>
          <w:rFonts w:eastAsiaTheme="minorEastAsia"/>
        </w:rPr>
        <w:t xml:space="preserve"> and </w:t>
      </w:r>
      <w:r w:rsidR="00ED414E">
        <w:rPr>
          <w:rFonts w:eastAsiaTheme="minorEastAsia"/>
        </w:rPr>
        <w:t xml:space="preserve">at the time of writing this Review (December 2023), </w:t>
      </w:r>
      <w:r w:rsidR="001B43C3">
        <w:rPr>
          <w:rFonts w:eastAsiaTheme="minorEastAsia"/>
        </w:rPr>
        <w:t>the final report for the Interim Cash Grant (due July 2023)</w:t>
      </w:r>
      <w:r w:rsidR="00ED414E">
        <w:rPr>
          <w:rFonts w:eastAsiaTheme="minorEastAsia"/>
        </w:rPr>
        <w:t xml:space="preserve"> ha</w:t>
      </w:r>
      <w:r w:rsidR="00006696">
        <w:rPr>
          <w:rFonts w:eastAsiaTheme="minorEastAsia"/>
        </w:rPr>
        <w:t xml:space="preserve">s </w:t>
      </w:r>
      <w:r w:rsidR="001F225E">
        <w:rPr>
          <w:rFonts w:eastAsiaTheme="minorEastAsia"/>
        </w:rPr>
        <w:t>not yet</w:t>
      </w:r>
      <w:r w:rsidR="00006696">
        <w:rPr>
          <w:rFonts w:eastAsiaTheme="minorEastAsia"/>
        </w:rPr>
        <w:t xml:space="preserve"> been</w:t>
      </w:r>
      <w:r w:rsidR="001F225E">
        <w:rPr>
          <w:rFonts w:eastAsiaTheme="minorEastAsia"/>
        </w:rPr>
        <w:t xml:space="preserve"> </w:t>
      </w:r>
      <w:r w:rsidR="00ED414E">
        <w:rPr>
          <w:rFonts w:eastAsiaTheme="minorEastAsia"/>
        </w:rPr>
        <w:t>submitted</w:t>
      </w:r>
      <w:r w:rsidR="00006696">
        <w:rPr>
          <w:rFonts w:eastAsiaTheme="minorEastAsia"/>
        </w:rPr>
        <w:t xml:space="preserve"> to DFAT</w:t>
      </w:r>
      <w:r w:rsidR="00ED414E">
        <w:rPr>
          <w:rFonts w:eastAsiaTheme="minorEastAsia"/>
        </w:rPr>
        <w:t>.</w:t>
      </w:r>
    </w:p>
    <w:p w14:paraId="590BCDDA" w14:textId="445CFB89" w:rsidR="00450863" w:rsidRDefault="00B35E2C" w:rsidP="00962FBE">
      <w:pPr>
        <w:pStyle w:val="BodyText"/>
        <w:rPr>
          <w:rFonts w:eastAsiaTheme="minorEastAsia"/>
        </w:rPr>
      </w:pPr>
      <w:r>
        <w:rPr>
          <w:rFonts w:eastAsiaTheme="minorEastAsia"/>
        </w:rPr>
        <w:t xml:space="preserve">Regarding </w:t>
      </w:r>
      <w:r w:rsidRPr="00B35E2C">
        <w:rPr>
          <w:rFonts w:eastAsiaTheme="minorEastAsia"/>
          <w:b/>
          <w:bCs/>
        </w:rPr>
        <w:t>quality</w:t>
      </w:r>
      <w:r w:rsidRPr="00762EB8">
        <w:rPr>
          <w:rFonts w:eastAsiaTheme="minorEastAsia"/>
          <w:b/>
          <w:bCs/>
        </w:rPr>
        <w:t xml:space="preserve"> of reporting</w:t>
      </w:r>
      <w:r>
        <w:rPr>
          <w:rFonts w:eastAsiaTheme="minorEastAsia"/>
        </w:rPr>
        <w:t>,</w:t>
      </w:r>
      <w:r w:rsidR="003312D8">
        <w:rPr>
          <w:rFonts w:eastAsiaTheme="minorEastAsia"/>
        </w:rPr>
        <w:t xml:space="preserve"> in the absence of annual reports</w:t>
      </w:r>
      <w:r w:rsidR="0001056D">
        <w:rPr>
          <w:rFonts w:eastAsiaTheme="minorEastAsia"/>
        </w:rPr>
        <w:t xml:space="preserve"> since FY</w:t>
      </w:r>
      <w:r w:rsidR="001B7B4C">
        <w:rPr>
          <w:rFonts w:eastAsiaTheme="minorEastAsia"/>
        </w:rPr>
        <w:t>18/19</w:t>
      </w:r>
      <w:r w:rsidR="003312D8">
        <w:rPr>
          <w:rFonts w:eastAsiaTheme="minorEastAsia"/>
        </w:rPr>
        <w:t xml:space="preserve">, </w:t>
      </w:r>
      <w:r w:rsidR="001004C6">
        <w:rPr>
          <w:rFonts w:eastAsiaTheme="minorEastAsia"/>
        </w:rPr>
        <w:t xml:space="preserve">the </w:t>
      </w:r>
      <w:r w:rsidR="0001056D">
        <w:rPr>
          <w:rFonts w:eastAsiaTheme="minorEastAsia"/>
        </w:rPr>
        <w:t xml:space="preserve">main reporting mechanisms are </w:t>
      </w:r>
      <w:r w:rsidR="008272AA">
        <w:rPr>
          <w:rFonts w:eastAsiaTheme="minorEastAsia"/>
        </w:rPr>
        <w:t xml:space="preserve">monthly </w:t>
      </w:r>
      <w:r w:rsidR="00965EF1">
        <w:rPr>
          <w:rFonts w:eastAsiaTheme="minorEastAsia"/>
        </w:rPr>
        <w:t xml:space="preserve">updates to the Board (which </w:t>
      </w:r>
      <w:r w:rsidR="00357183">
        <w:rPr>
          <w:rFonts w:eastAsiaTheme="minorEastAsia"/>
        </w:rPr>
        <w:t>provide basic updates on grant status, e.g. whether milestone payments have been made)</w:t>
      </w:r>
      <w:r w:rsidR="00965EF1">
        <w:rPr>
          <w:rFonts w:eastAsiaTheme="minorEastAsia"/>
        </w:rPr>
        <w:t xml:space="preserve">, </w:t>
      </w:r>
      <w:r w:rsidR="00EB37EB">
        <w:rPr>
          <w:rFonts w:eastAsiaTheme="minorEastAsia"/>
        </w:rPr>
        <w:t xml:space="preserve">and </w:t>
      </w:r>
      <w:r w:rsidR="00965EF1">
        <w:rPr>
          <w:rFonts w:eastAsiaTheme="minorEastAsia"/>
        </w:rPr>
        <w:t>quarterly reports by the NCD Adviser</w:t>
      </w:r>
      <w:r w:rsidR="00EB37EB">
        <w:rPr>
          <w:rFonts w:eastAsiaTheme="minorEastAsia"/>
        </w:rPr>
        <w:t xml:space="preserve"> (which </w:t>
      </w:r>
      <w:r w:rsidR="00766680">
        <w:rPr>
          <w:rFonts w:eastAsiaTheme="minorEastAsia"/>
        </w:rPr>
        <w:t xml:space="preserve">provide updates on </w:t>
      </w:r>
      <w:r w:rsidR="00C84B0D">
        <w:rPr>
          <w:rFonts w:eastAsiaTheme="minorEastAsia"/>
        </w:rPr>
        <w:t>grants</w:t>
      </w:r>
      <w:r w:rsidR="00C64454">
        <w:rPr>
          <w:rFonts w:eastAsiaTheme="minorEastAsia"/>
        </w:rPr>
        <w:t xml:space="preserve"> and other activities e.g. networking, and an update against the THSSP3 workplan</w:t>
      </w:r>
      <w:r w:rsidR="004229D8">
        <w:rPr>
          <w:rFonts w:eastAsiaTheme="minorEastAsia"/>
        </w:rPr>
        <w:t>). These reports</w:t>
      </w:r>
      <w:r w:rsidR="00006696">
        <w:rPr>
          <w:rFonts w:eastAsiaTheme="minorEastAsia"/>
        </w:rPr>
        <w:t xml:space="preserve"> are output-focussed and</w:t>
      </w:r>
      <w:r w:rsidR="004229D8">
        <w:rPr>
          <w:rFonts w:eastAsiaTheme="minorEastAsia"/>
        </w:rPr>
        <w:t xml:space="preserve"> provide ver</w:t>
      </w:r>
      <w:r w:rsidR="00D4735E">
        <w:rPr>
          <w:rFonts w:eastAsiaTheme="minorEastAsia"/>
        </w:rPr>
        <w:t>y little evidence of outcome-level change</w:t>
      </w:r>
      <w:r w:rsidR="003436B9">
        <w:rPr>
          <w:rFonts w:eastAsiaTheme="minorEastAsia"/>
        </w:rPr>
        <w:t xml:space="preserve">; do not report against the NCD Strategy or Statement of Corporate Intent; and </w:t>
      </w:r>
      <w:r w:rsidR="004229D8">
        <w:rPr>
          <w:rFonts w:eastAsiaTheme="minorEastAsia"/>
        </w:rPr>
        <w:t xml:space="preserve">provide limited information on </w:t>
      </w:r>
      <w:r w:rsidR="00C116A0">
        <w:rPr>
          <w:rFonts w:eastAsiaTheme="minorEastAsia"/>
        </w:rPr>
        <w:t>TongaHealth’s broader activities beyond grants.</w:t>
      </w:r>
      <w:r w:rsidR="004D434F">
        <w:rPr>
          <w:rFonts w:eastAsiaTheme="minorEastAsia"/>
        </w:rPr>
        <w:t xml:space="preserve"> </w:t>
      </w:r>
    </w:p>
    <w:p w14:paraId="42CDB9F7" w14:textId="707C8A6C" w:rsidR="00DB60E5" w:rsidRDefault="004D434F" w:rsidP="00962FBE">
      <w:pPr>
        <w:pStyle w:val="BodyText"/>
        <w:rPr>
          <w:rFonts w:eastAsiaTheme="minorEastAsia"/>
        </w:rPr>
      </w:pPr>
      <w:r w:rsidRPr="002B4232">
        <w:rPr>
          <w:rFonts w:eastAsiaTheme="minorEastAsia"/>
        </w:rPr>
        <w:t>As a result</w:t>
      </w:r>
      <w:r w:rsidR="00384365" w:rsidRPr="002B4232">
        <w:rPr>
          <w:rFonts w:eastAsiaTheme="minorEastAsia"/>
        </w:rPr>
        <w:t xml:space="preserve"> of these limitations</w:t>
      </w:r>
      <w:r w:rsidRPr="002B4232">
        <w:rPr>
          <w:rFonts w:eastAsiaTheme="minorEastAsia"/>
        </w:rPr>
        <w:t xml:space="preserve">, there is </w:t>
      </w:r>
      <w:r w:rsidRPr="00450863">
        <w:rPr>
          <w:rFonts w:eastAsiaTheme="minorEastAsia"/>
          <w:b/>
          <w:bCs/>
        </w:rPr>
        <w:t xml:space="preserve">very little visibility </w:t>
      </w:r>
      <w:r w:rsidR="00841229" w:rsidRPr="00450863">
        <w:rPr>
          <w:rFonts w:eastAsiaTheme="minorEastAsia"/>
          <w:b/>
          <w:bCs/>
        </w:rPr>
        <w:t>of what TongaHealth is delivering against the NCD Strategy</w:t>
      </w:r>
      <w:r w:rsidR="000F6B95" w:rsidRPr="002B4232">
        <w:rPr>
          <w:rFonts w:eastAsiaTheme="minorEastAsia"/>
        </w:rPr>
        <w:t xml:space="preserve"> (besides grant outputs), or what outcomes are being achieved </w:t>
      </w:r>
      <w:proofErr w:type="gramStart"/>
      <w:r w:rsidR="000F6B95" w:rsidRPr="002B4232">
        <w:rPr>
          <w:rFonts w:eastAsiaTheme="minorEastAsia"/>
        </w:rPr>
        <w:t>as a result of</w:t>
      </w:r>
      <w:proofErr w:type="gramEnd"/>
      <w:r w:rsidR="000F6B95" w:rsidRPr="002B4232">
        <w:rPr>
          <w:rFonts w:eastAsiaTheme="minorEastAsia"/>
        </w:rPr>
        <w:t xml:space="preserve"> TongaHealth’s work</w:t>
      </w:r>
      <w:r w:rsidR="000F6B95">
        <w:rPr>
          <w:rFonts w:eastAsiaTheme="minorEastAsia"/>
        </w:rPr>
        <w:t xml:space="preserve">. </w:t>
      </w:r>
      <w:r w:rsidR="009B42AA">
        <w:rPr>
          <w:rFonts w:eastAsiaTheme="minorEastAsia"/>
        </w:rPr>
        <w:t>This also presented a significant challenge for this Review</w:t>
      </w:r>
      <w:r w:rsidR="00BD0CE3">
        <w:rPr>
          <w:rFonts w:eastAsiaTheme="minorEastAsia"/>
        </w:rPr>
        <w:t xml:space="preserve">, as </w:t>
      </w:r>
      <w:r w:rsidR="003F0BDF">
        <w:rPr>
          <w:rFonts w:eastAsiaTheme="minorEastAsia"/>
        </w:rPr>
        <w:t xml:space="preserve">very little information was available about </w:t>
      </w:r>
      <w:r w:rsidR="00BD0CE3">
        <w:rPr>
          <w:rFonts w:eastAsiaTheme="minorEastAsia"/>
        </w:rPr>
        <w:t>TongaHealth’s activities</w:t>
      </w:r>
      <w:r w:rsidR="000A5E44">
        <w:rPr>
          <w:rFonts w:eastAsiaTheme="minorEastAsia"/>
        </w:rPr>
        <w:t xml:space="preserve"> and achievements</w:t>
      </w:r>
      <w:r w:rsidR="00BD0CE3">
        <w:rPr>
          <w:rFonts w:eastAsiaTheme="minorEastAsia"/>
        </w:rPr>
        <w:t xml:space="preserve"> beyond grant administration</w:t>
      </w:r>
      <w:r w:rsidR="003F0BDF">
        <w:rPr>
          <w:rFonts w:eastAsiaTheme="minorEastAsia"/>
        </w:rPr>
        <w:t>.</w:t>
      </w:r>
    </w:p>
    <w:p w14:paraId="04F1C705" w14:textId="23E048C1" w:rsidR="00615294" w:rsidRDefault="00615294" w:rsidP="00DF166F">
      <w:pPr>
        <w:pStyle w:val="Heading3"/>
        <w:spacing w:line="276" w:lineRule="auto"/>
      </w:pPr>
      <w:bookmarkStart w:id="38" w:name="_Ref151585809"/>
      <w:r w:rsidRPr="00671F75">
        <w:t xml:space="preserve">What is the quality of </w:t>
      </w:r>
      <w:proofErr w:type="spellStart"/>
      <w:r w:rsidRPr="00671F75">
        <w:t>Behavioural</w:t>
      </w:r>
      <w:proofErr w:type="spellEnd"/>
      <w:r w:rsidRPr="00671F75">
        <w:t xml:space="preserve"> Change Communications (BCC) / Information, Education and Communication (IEC) strategies, plans, messages, tools, </w:t>
      </w:r>
      <w:proofErr w:type="gramStart"/>
      <w:r w:rsidRPr="00671F75">
        <w:t>materials</w:t>
      </w:r>
      <w:proofErr w:type="gramEnd"/>
      <w:r w:rsidRPr="00671F75">
        <w:t xml:space="preserve"> and activities?</w:t>
      </w:r>
      <w:bookmarkEnd w:id="38"/>
      <w:r w:rsidRPr="00671F75">
        <w:t xml:space="preserve"> </w:t>
      </w:r>
    </w:p>
    <w:p w14:paraId="60B9E55A" w14:textId="22400616" w:rsidR="00F860F7" w:rsidRDefault="00F564AD" w:rsidP="00DF166F">
      <w:pPr>
        <w:spacing w:line="276" w:lineRule="auto"/>
      </w:pPr>
      <w:r>
        <w:rPr>
          <w:b/>
          <w:bCs/>
        </w:rPr>
        <w:t xml:space="preserve">Tonga has a sound </w:t>
      </w:r>
      <w:r w:rsidR="00BF0E78">
        <w:rPr>
          <w:b/>
          <w:bCs/>
        </w:rPr>
        <w:t>S</w:t>
      </w:r>
      <w:r w:rsidR="00F860F7">
        <w:rPr>
          <w:b/>
          <w:bCs/>
        </w:rPr>
        <w:t xml:space="preserve">BCC strategy and action plan. </w:t>
      </w:r>
      <w:r w:rsidR="005971FA">
        <w:t xml:space="preserve">The </w:t>
      </w:r>
      <w:r w:rsidR="00301AA1" w:rsidRPr="00301AA1">
        <w:rPr>
          <w:i/>
          <w:iCs/>
        </w:rPr>
        <w:t xml:space="preserve">Social and </w:t>
      </w:r>
      <w:proofErr w:type="spellStart"/>
      <w:r w:rsidR="00301AA1" w:rsidRPr="00301AA1">
        <w:rPr>
          <w:i/>
          <w:iCs/>
        </w:rPr>
        <w:t>Behaviour</w:t>
      </w:r>
      <w:proofErr w:type="spellEnd"/>
      <w:r w:rsidR="00301AA1" w:rsidRPr="00301AA1">
        <w:rPr>
          <w:i/>
          <w:iCs/>
        </w:rPr>
        <w:t xml:space="preserve"> Change Communication Strategy and Action Plan to address Obesity and NCDs (2021-2025)</w:t>
      </w:r>
      <w:r w:rsidR="005971FA">
        <w:rPr>
          <w:i/>
          <w:iCs/>
        </w:rPr>
        <w:t xml:space="preserve">, </w:t>
      </w:r>
      <w:r w:rsidR="005971FA" w:rsidRPr="005971FA">
        <w:t>developed by</w:t>
      </w:r>
      <w:r w:rsidR="00ED18AB">
        <w:t xml:space="preserve"> World Bank</w:t>
      </w:r>
      <w:r w:rsidR="005971FA">
        <w:t xml:space="preserve">, presents a sound, comprehensive and evidence-based </w:t>
      </w:r>
      <w:r w:rsidR="00172BB4">
        <w:t xml:space="preserve">action plan for NCD-related </w:t>
      </w:r>
      <w:r w:rsidR="00A10A58">
        <w:t>S</w:t>
      </w:r>
      <w:r w:rsidR="00172BB4">
        <w:t xml:space="preserve">BCC. However, </w:t>
      </w:r>
      <w:r w:rsidR="003E0954">
        <w:t xml:space="preserve">TongaHealth have not until recently taken an active role in implementation of the </w:t>
      </w:r>
      <w:r w:rsidR="00533D08">
        <w:t xml:space="preserve">SBCC Strategy, despite it being in place since </w:t>
      </w:r>
      <w:r w:rsidR="00172BB4">
        <w:t>2021</w:t>
      </w:r>
      <w:r w:rsidR="00533D08">
        <w:t xml:space="preserve">. </w:t>
      </w:r>
    </w:p>
    <w:p w14:paraId="79F1D979" w14:textId="5855BB5F" w:rsidR="00301AA1" w:rsidRPr="00301AA1" w:rsidRDefault="00F860F7" w:rsidP="00DF166F">
      <w:pPr>
        <w:spacing w:line="276" w:lineRule="auto"/>
        <w:rPr>
          <w:b/>
          <w:bCs/>
        </w:rPr>
      </w:pPr>
      <w:r w:rsidRPr="0086360A">
        <w:rPr>
          <w:b/>
          <w:bCs/>
        </w:rPr>
        <w:t xml:space="preserve">TongaHealth does not directly implement any </w:t>
      </w:r>
      <w:r w:rsidR="00A10A58">
        <w:rPr>
          <w:b/>
          <w:bCs/>
        </w:rPr>
        <w:t>SBCC</w:t>
      </w:r>
      <w:r w:rsidRPr="0086360A">
        <w:rPr>
          <w:b/>
          <w:bCs/>
        </w:rPr>
        <w:t xml:space="preserve"> activities.</w:t>
      </w:r>
      <w:r w:rsidR="00172BB4">
        <w:t xml:space="preserve"> </w:t>
      </w:r>
      <w:r w:rsidR="00502419" w:rsidRPr="00502419">
        <w:t xml:space="preserve"> </w:t>
      </w:r>
      <w:r w:rsidR="00502419">
        <w:t xml:space="preserve">The NCD Strategy tasks TongaHealth, along with MoH and media </w:t>
      </w:r>
      <w:proofErr w:type="spellStart"/>
      <w:r w:rsidR="00502419">
        <w:t>organisations</w:t>
      </w:r>
      <w:proofErr w:type="spellEnd"/>
      <w:r w:rsidR="00502419">
        <w:t xml:space="preserve">, with developing mass media campaigns on NCD risk factors and health </w:t>
      </w:r>
      <w:proofErr w:type="spellStart"/>
      <w:r w:rsidR="00502419">
        <w:t>behaviour</w:t>
      </w:r>
      <w:proofErr w:type="spellEnd"/>
      <w:r w:rsidR="00502419">
        <w:t xml:space="preserve"> change</w:t>
      </w:r>
      <w:r w:rsidR="00196EE9">
        <w:t xml:space="preserve">. While TongaHealth invested significantly in SBCC under the last NCD Strategy (e.g. </w:t>
      </w:r>
      <w:r w:rsidR="00552C8F">
        <w:t xml:space="preserve">via grants to </w:t>
      </w:r>
      <w:r w:rsidR="00255316">
        <w:t>MoH to deliver mass media campaigns on sugar</w:t>
      </w:r>
      <w:r w:rsidR="008E38C7">
        <w:t xml:space="preserve">, </w:t>
      </w:r>
      <w:proofErr w:type="gramStart"/>
      <w:r w:rsidR="008E38C7">
        <w:t>salt</w:t>
      </w:r>
      <w:proofErr w:type="gramEnd"/>
      <w:r w:rsidR="008E38C7">
        <w:t xml:space="preserve"> and tobacco)</w:t>
      </w:r>
      <w:r w:rsidR="00502419">
        <w:t>, limited progress has been made</w:t>
      </w:r>
      <w:r w:rsidR="00552C8F">
        <w:t xml:space="preserve"> under the current NCD Strategy</w:t>
      </w:r>
      <w:r w:rsidR="00502419">
        <w:t>. T</w:t>
      </w:r>
      <w:r w:rsidR="00533D08">
        <w:t xml:space="preserve">here are plans for TongaHealth to </w:t>
      </w:r>
      <w:r w:rsidR="002D044F">
        <w:t xml:space="preserve">collaborate with MoH in 2024 to deliver a </w:t>
      </w:r>
      <w:r w:rsidR="00301AA1" w:rsidRPr="00301AA1">
        <w:t>‘Live Lighter’ obesity</w:t>
      </w:r>
      <w:r w:rsidR="002D044F">
        <w:t xml:space="preserve"> prevention</w:t>
      </w:r>
      <w:r w:rsidR="00301AA1" w:rsidRPr="00301AA1">
        <w:t xml:space="preserve"> campaign</w:t>
      </w:r>
      <w:r w:rsidR="002D044F">
        <w:t xml:space="preserve">, one of three </w:t>
      </w:r>
      <w:r w:rsidR="00A10A58">
        <w:t>S</w:t>
      </w:r>
      <w:r w:rsidR="002D044F">
        <w:t>BCC campaigns proposed in the SBCC Strategy</w:t>
      </w:r>
      <w:r w:rsidR="00F564AD">
        <w:t xml:space="preserve">. </w:t>
      </w:r>
      <w:r w:rsidR="00EA1CB6">
        <w:t>TongaHealth’s support</w:t>
      </w:r>
      <w:r w:rsidR="00172649">
        <w:t xml:space="preserve"> to SBCC</w:t>
      </w:r>
      <w:r w:rsidR="00EA1CB6">
        <w:t xml:space="preserve"> is financial only, with no technical input into </w:t>
      </w:r>
      <w:r w:rsidR="00277EDC">
        <w:t>campaign content</w:t>
      </w:r>
      <w:r w:rsidR="00172649">
        <w:t xml:space="preserve"> – however this is appropriate as the </w:t>
      </w:r>
      <w:r w:rsidR="003E789A">
        <w:t xml:space="preserve">HPU and World Health Organization </w:t>
      </w:r>
      <w:r w:rsidR="004A51AB">
        <w:t xml:space="preserve">(WHO) </w:t>
      </w:r>
      <w:r w:rsidR="00172649">
        <w:t xml:space="preserve">lead technical and implementation aspects of </w:t>
      </w:r>
      <w:r w:rsidR="003E789A">
        <w:t>SBCC</w:t>
      </w:r>
      <w:r w:rsidR="00172649">
        <w:t>.</w:t>
      </w:r>
    </w:p>
    <w:p w14:paraId="1F6ACB71" w14:textId="3546806D" w:rsidR="006F5913" w:rsidRPr="006F5913" w:rsidRDefault="00301AA1" w:rsidP="00DF166F">
      <w:pPr>
        <w:spacing w:line="276" w:lineRule="auto"/>
      </w:pPr>
      <w:r w:rsidRPr="003E4E79">
        <w:rPr>
          <w:b/>
          <w:bCs/>
        </w:rPr>
        <w:t>TongaHealth has an active Facebook page</w:t>
      </w:r>
      <w:r w:rsidRPr="00301AA1">
        <w:t>, which promotes healthy lifestyle messages,</w:t>
      </w:r>
      <w:r w:rsidR="003E4E79">
        <w:t xml:space="preserve"> promotes TongaHealth</w:t>
      </w:r>
      <w:r w:rsidRPr="00301AA1">
        <w:t xml:space="preserve"> grants and events</w:t>
      </w:r>
      <w:r w:rsidR="003E4E79">
        <w:t>, and includes engaging videos of previous TongaHealth-funded activities.</w:t>
      </w:r>
      <w:r w:rsidR="00E55865">
        <w:t xml:space="preserve"> The Facebook page has a large following (</w:t>
      </w:r>
      <w:r w:rsidR="00057CEC">
        <w:t>over 10,000</w:t>
      </w:r>
      <w:r w:rsidR="00657DCE">
        <w:t xml:space="preserve"> </w:t>
      </w:r>
      <w:r w:rsidR="00E55865">
        <w:t>followers as o</w:t>
      </w:r>
      <w:r w:rsidR="00057CEC">
        <w:t xml:space="preserve">f December </w:t>
      </w:r>
      <w:r w:rsidR="00E55865">
        <w:t>2023</w:t>
      </w:r>
      <w:proofErr w:type="gramStart"/>
      <w:r w:rsidR="00E55865">
        <w:t>), and</w:t>
      </w:r>
      <w:proofErr w:type="gramEnd"/>
      <w:r w:rsidR="00E55865">
        <w:t xml:space="preserve"> could be further </w:t>
      </w:r>
      <w:proofErr w:type="spellStart"/>
      <w:r w:rsidR="00E55865">
        <w:t>utili</w:t>
      </w:r>
      <w:r w:rsidR="00057CEC">
        <w:t>s</w:t>
      </w:r>
      <w:r w:rsidR="00E55865">
        <w:t>ed</w:t>
      </w:r>
      <w:proofErr w:type="spellEnd"/>
      <w:r w:rsidR="00E55865">
        <w:t xml:space="preserve"> for </w:t>
      </w:r>
      <w:r w:rsidR="00801095">
        <w:t>S</w:t>
      </w:r>
      <w:r w:rsidR="00E55865">
        <w:t>BCC messaging.</w:t>
      </w:r>
      <w:r w:rsidR="003E4E79">
        <w:t xml:space="preserve"> </w:t>
      </w:r>
    </w:p>
    <w:p w14:paraId="4A6CC1AA" w14:textId="3B4B88AB" w:rsidR="00615294" w:rsidRDefault="00615294" w:rsidP="00DF166F">
      <w:pPr>
        <w:pStyle w:val="Heading3"/>
        <w:spacing w:line="276" w:lineRule="auto"/>
      </w:pPr>
      <w:bookmarkStart w:id="39" w:name="_Ref151919651"/>
      <w:r w:rsidRPr="00671F75">
        <w:t>To what extent are grants and sponsorship</w:t>
      </w:r>
      <w:r w:rsidR="008212E9">
        <w:t xml:space="preserve"> </w:t>
      </w:r>
      <w:r w:rsidRPr="00671F75">
        <w:t>activities effective?</w:t>
      </w:r>
      <w:bookmarkEnd w:id="39"/>
    </w:p>
    <w:p w14:paraId="20FF6B1E" w14:textId="65CC6754" w:rsidR="00453F95" w:rsidRDefault="00453F95" w:rsidP="00DF166F">
      <w:pPr>
        <w:spacing w:line="276" w:lineRule="auto"/>
      </w:pPr>
      <w:r>
        <w:t>TongaHealth administers two types of funding, referred to as grants (for amounts over TOP2,000, with applications accepted year-round) and sponsorships (for amounts up to TOP2,000, with applications accepted quarterly)</w:t>
      </w:r>
      <w:r w:rsidR="008212E9">
        <w:t>.</w:t>
      </w:r>
      <w:r>
        <w:rPr>
          <w:rStyle w:val="FootnoteReference"/>
        </w:rPr>
        <w:footnoteReference w:id="3"/>
      </w:r>
      <w:r>
        <w:t xml:space="preserve"> The </w:t>
      </w:r>
      <w:r w:rsidR="008212E9">
        <w:t xml:space="preserve">grant administration process is as follows: </w:t>
      </w:r>
      <w:r>
        <w:t xml:space="preserve"> </w:t>
      </w:r>
    </w:p>
    <w:p w14:paraId="01BD235C" w14:textId="77777777" w:rsidR="00453F95" w:rsidRDefault="00453F95" w:rsidP="00DF166F">
      <w:pPr>
        <w:pStyle w:val="ListParagraph"/>
        <w:numPr>
          <w:ilvl w:val="0"/>
          <w:numId w:val="13"/>
        </w:numPr>
        <w:spacing w:line="276" w:lineRule="auto"/>
      </w:pPr>
      <w:r w:rsidRPr="00CB643E">
        <w:rPr>
          <w:b/>
          <w:bCs/>
        </w:rPr>
        <w:t>Proposal development:</w:t>
      </w:r>
      <w:r>
        <w:t xml:space="preserve"> TongaHealth work with potential applicants to develop or strengthen their </w:t>
      </w:r>
      <w:proofErr w:type="gramStart"/>
      <w:r>
        <w:t>proposal;</w:t>
      </w:r>
      <w:proofErr w:type="gramEnd"/>
    </w:p>
    <w:p w14:paraId="50024282" w14:textId="77777777" w:rsidR="00453F95" w:rsidRDefault="00453F95" w:rsidP="00DF166F">
      <w:pPr>
        <w:pStyle w:val="ListParagraph"/>
        <w:numPr>
          <w:ilvl w:val="0"/>
          <w:numId w:val="13"/>
        </w:numPr>
        <w:spacing w:line="276" w:lineRule="auto"/>
      </w:pPr>
      <w:r w:rsidRPr="00CB643E">
        <w:rPr>
          <w:b/>
          <w:bCs/>
        </w:rPr>
        <w:lastRenderedPageBreak/>
        <w:t>Assessment:</w:t>
      </w:r>
      <w:r w:rsidRPr="009022FB">
        <w:t xml:space="preserve"> </w:t>
      </w:r>
      <w:r>
        <w:t>TongaHealth r</w:t>
      </w:r>
      <w:r w:rsidRPr="009022FB">
        <w:t>eview applications against an assessment checklist</w:t>
      </w:r>
      <w:r>
        <w:t xml:space="preserve">, and make recommendations of whether applications should be approved or </w:t>
      </w:r>
      <w:proofErr w:type="gramStart"/>
      <w:r>
        <w:t>modified;</w:t>
      </w:r>
      <w:proofErr w:type="gramEnd"/>
    </w:p>
    <w:p w14:paraId="01BE5704" w14:textId="77777777" w:rsidR="00453F95" w:rsidRDefault="00453F95" w:rsidP="00DF166F">
      <w:pPr>
        <w:pStyle w:val="ListParagraph"/>
        <w:numPr>
          <w:ilvl w:val="0"/>
          <w:numId w:val="13"/>
        </w:numPr>
        <w:spacing w:line="276" w:lineRule="auto"/>
      </w:pPr>
      <w:r w:rsidRPr="00CB643E">
        <w:rPr>
          <w:b/>
          <w:bCs/>
        </w:rPr>
        <w:t>Approval:</w:t>
      </w:r>
      <w:r>
        <w:t xml:space="preserve"> Grants under</w:t>
      </w:r>
      <w:r w:rsidRPr="009022FB">
        <w:t xml:space="preserve"> TOP10,000</w:t>
      </w:r>
      <w:r>
        <w:t xml:space="preserve"> are submitted to the Grants Subcommittee (comprising the </w:t>
      </w:r>
      <w:r w:rsidRPr="009022FB">
        <w:t>TongaHealth CEO, TongaHealth Program Manager,</w:t>
      </w:r>
      <w:r>
        <w:t xml:space="preserve"> and</w:t>
      </w:r>
      <w:r w:rsidRPr="009022FB">
        <w:t xml:space="preserve"> one Board Member)</w:t>
      </w:r>
      <w:r>
        <w:t xml:space="preserve"> for approval. Grants over </w:t>
      </w:r>
      <w:r w:rsidRPr="009022FB">
        <w:t>TOP10,000</w:t>
      </w:r>
      <w:r>
        <w:t xml:space="preserve"> are </w:t>
      </w:r>
      <w:r w:rsidRPr="009022FB">
        <w:t>reviewed by Subcommittee,</w:t>
      </w:r>
      <w:r>
        <w:t xml:space="preserve"> who make a recommendation to the Board to either approve or reject the </w:t>
      </w:r>
      <w:proofErr w:type="gramStart"/>
      <w:r>
        <w:t>application;</w:t>
      </w:r>
      <w:proofErr w:type="gramEnd"/>
    </w:p>
    <w:p w14:paraId="7E1CDA23" w14:textId="0F847C74" w:rsidR="00453F95" w:rsidRPr="00662B49" w:rsidRDefault="00453F95" w:rsidP="00DF166F">
      <w:pPr>
        <w:pStyle w:val="ListParagraph"/>
        <w:numPr>
          <w:ilvl w:val="0"/>
          <w:numId w:val="13"/>
        </w:numPr>
        <w:spacing w:line="276" w:lineRule="auto"/>
        <w:rPr>
          <w:b/>
          <w:bCs/>
        </w:rPr>
      </w:pPr>
      <w:r w:rsidRPr="00662B49">
        <w:rPr>
          <w:b/>
          <w:bCs/>
        </w:rPr>
        <w:t xml:space="preserve">Disbursement: </w:t>
      </w:r>
      <w:r w:rsidRPr="00662B49">
        <w:t>TongaHealth</w:t>
      </w:r>
      <w:r w:rsidR="00094BAD">
        <w:t xml:space="preserve"> makes payments for goods and services on the behalf of grantees. For physical items, TongaHealth</w:t>
      </w:r>
      <w:r w:rsidRPr="00662B49">
        <w:t xml:space="preserve"> purchases</w:t>
      </w:r>
      <w:r w:rsidR="00094BAD">
        <w:t xml:space="preserve"> the</w:t>
      </w:r>
      <w:r w:rsidRPr="00662B49">
        <w:t xml:space="preserve"> </w:t>
      </w:r>
      <w:r w:rsidR="001B79A5">
        <w:t xml:space="preserve">items on behalf of grantees, and either delivers the items or has the grantee collect them from the </w:t>
      </w:r>
      <w:proofErr w:type="gramStart"/>
      <w:r w:rsidR="001B79A5">
        <w:t>supplier</w:t>
      </w:r>
      <w:r>
        <w:t>;</w:t>
      </w:r>
      <w:proofErr w:type="gramEnd"/>
    </w:p>
    <w:p w14:paraId="33E97EEF" w14:textId="77777777" w:rsidR="00453F95" w:rsidRDefault="00453F95" w:rsidP="00DF166F">
      <w:pPr>
        <w:pStyle w:val="ListParagraph"/>
        <w:numPr>
          <w:ilvl w:val="0"/>
          <w:numId w:val="13"/>
        </w:numPr>
        <w:spacing w:line="276" w:lineRule="auto"/>
      </w:pPr>
      <w:r w:rsidRPr="00CB643E">
        <w:rPr>
          <w:b/>
          <w:bCs/>
        </w:rPr>
        <w:t>Monitoring:</w:t>
      </w:r>
      <w:r>
        <w:t xml:space="preserve"> The </w:t>
      </w:r>
      <w:r w:rsidRPr="009022FB">
        <w:t xml:space="preserve">TongaHealth M&amp;E team monitor outputs over the lifetime of the </w:t>
      </w:r>
      <w:proofErr w:type="gramStart"/>
      <w:r w:rsidRPr="009022FB">
        <w:t>grant</w:t>
      </w:r>
      <w:r>
        <w:t>;</w:t>
      </w:r>
      <w:proofErr w:type="gramEnd"/>
    </w:p>
    <w:p w14:paraId="1FB757F0" w14:textId="77777777" w:rsidR="00453F95" w:rsidRDefault="00453F95" w:rsidP="00DF166F">
      <w:pPr>
        <w:pStyle w:val="ListParagraph"/>
        <w:numPr>
          <w:ilvl w:val="0"/>
          <w:numId w:val="13"/>
        </w:numPr>
        <w:spacing w:line="276" w:lineRule="auto"/>
      </w:pPr>
      <w:r w:rsidRPr="00CB643E">
        <w:rPr>
          <w:b/>
          <w:bCs/>
        </w:rPr>
        <w:t>Reporting:</w:t>
      </w:r>
      <w:r>
        <w:t xml:space="preserve"> At the end of the grant period, g</w:t>
      </w:r>
      <w:r w:rsidRPr="009022FB">
        <w:t>rantees submit</w:t>
      </w:r>
      <w:r>
        <w:t xml:space="preserve"> a</w:t>
      </w:r>
      <w:r w:rsidRPr="009022FB">
        <w:t xml:space="preserve"> final report</w:t>
      </w:r>
      <w:r>
        <w:t>, and the M&amp;E team prepare an evaluation report.</w:t>
      </w:r>
    </w:p>
    <w:p w14:paraId="116E100E" w14:textId="20D22367" w:rsidR="00F32B90" w:rsidRPr="00351CC1" w:rsidRDefault="00F64580" w:rsidP="00962FBE">
      <w:pPr>
        <w:pStyle w:val="BodyText"/>
      </w:pPr>
      <w:r w:rsidRPr="00B84E4B">
        <w:rPr>
          <w:b/>
          <w:bCs/>
        </w:rPr>
        <w:t>TongaHealth administers a very high volume of grants</w:t>
      </w:r>
      <w:r w:rsidR="00F67F99">
        <w:rPr>
          <w:b/>
          <w:bCs/>
        </w:rPr>
        <w:t>.</w:t>
      </w:r>
      <w:r w:rsidR="002A15B3">
        <w:t xml:space="preserve"> </w:t>
      </w:r>
      <w:r w:rsidR="003E42E5">
        <w:t xml:space="preserve">From </w:t>
      </w:r>
      <w:r w:rsidR="002A15B3">
        <w:t>FY21/22 to present (i.e. the period of the current NCD Strategy</w:t>
      </w:r>
      <w:r w:rsidR="003E42E5">
        <w:t>)</w:t>
      </w:r>
      <w:r w:rsidR="00F67F99">
        <w:t xml:space="preserve">, TongaHealth has administered </w:t>
      </w:r>
      <w:r w:rsidR="007C77AD">
        <w:t xml:space="preserve">116 </w:t>
      </w:r>
      <w:r w:rsidR="00F67F99">
        <w:t xml:space="preserve">grants </w:t>
      </w:r>
      <w:r w:rsidR="00C1381D">
        <w:t xml:space="preserve">with a total budget of </w:t>
      </w:r>
      <w:r w:rsidR="00536318">
        <w:t>TOP645,501</w:t>
      </w:r>
      <w:r w:rsidR="00C1381D">
        <w:rPr>
          <w:rStyle w:val="FootnoteReference"/>
        </w:rPr>
        <w:footnoteReference w:id="4"/>
      </w:r>
      <w:r w:rsidR="00C1381D">
        <w:t xml:space="preserve">. </w:t>
      </w:r>
      <w:r w:rsidR="00BD7417">
        <w:t>Grant recipients have included community groups (34%</w:t>
      </w:r>
      <w:r w:rsidR="003E7D4C">
        <w:t xml:space="preserve"> of recipients</w:t>
      </w:r>
      <w:r w:rsidR="00BD7417">
        <w:t>), NGOs (22%), church groups (21%), schools (15%) and government agencies (8%)</w:t>
      </w:r>
      <w:r w:rsidR="00502419">
        <w:t>.</w:t>
      </w:r>
      <w:r w:rsidR="00351CC1" w:rsidRPr="00351CC1">
        <w:t xml:space="preserve"> </w:t>
      </w:r>
      <w:r w:rsidR="00351CC1">
        <w:t xml:space="preserve">Other characteristics of grants are summarised in </w:t>
      </w:r>
      <w:r w:rsidR="00351CC1">
        <w:fldChar w:fldCharType="begin"/>
      </w:r>
      <w:r w:rsidR="00351CC1">
        <w:instrText xml:space="preserve"> REF _Ref152943935 \h </w:instrText>
      </w:r>
      <w:r w:rsidR="00B55EE1">
        <w:instrText xml:space="preserve"> \* MERGEFORMAT </w:instrText>
      </w:r>
      <w:r w:rsidR="00351CC1">
        <w:fldChar w:fldCharType="separate"/>
      </w:r>
      <w:r w:rsidR="00A95913">
        <w:t xml:space="preserve">Table </w:t>
      </w:r>
      <w:r w:rsidR="00A95913">
        <w:rPr>
          <w:noProof/>
        </w:rPr>
        <w:t>2</w:t>
      </w:r>
      <w:r w:rsidR="00351CC1">
        <w:fldChar w:fldCharType="end"/>
      </w:r>
      <w:r w:rsidR="00351CC1">
        <w:t xml:space="preserve">. </w:t>
      </w:r>
      <w:r w:rsidR="00F32B90">
        <w:rPr>
          <w:rFonts w:eastAsiaTheme="minorEastAsia"/>
        </w:rPr>
        <w:t>Grants are most commonly for:</w:t>
      </w:r>
    </w:p>
    <w:p w14:paraId="171F0769" w14:textId="49F1E375" w:rsidR="00F32B90" w:rsidRPr="00F32B90" w:rsidRDefault="00F32B90" w:rsidP="00962FBE">
      <w:pPr>
        <w:pStyle w:val="ListBullet"/>
      </w:pPr>
      <w:r>
        <w:rPr>
          <w:rFonts w:eastAsiaTheme="minorEastAsia"/>
          <w:b/>
        </w:rPr>
        <w:t xml:space="preserve">Zumba and sports </w:t>
      </w:r>
      <w:r>
        <w:rPr>
          <w:rFonts w:eastAsiaTheme="minorEastAsia"/>
        </w:rPr>
        <w:t xml:space="preserve">(67 grants, 60%): e.g. </w:t>
      </w:r>
      <w:r w:rsidR="000C47BA">
        <w:rPr>
          <w:rFonts w:eastAsiaTheme="minorEastAsia"/>
        </w:rPr>
        <w:t>grants to purchase sports equipment and Zumba speakers</w:t>
      </w:r>
      <w:r w:rsidR="004326B2">
        <w:rPr>
          <w:rFonts w:eastAsiaTheme="minorEastAsia"/>
        </w:rPr>
        <w:t>;</w:t>
      </w:r>
      <w:r w:rsidR="000C47BA">
        <w:rPr>
          <w:rFonts w:eastAsiaTheme="minorEastAsia"/>
        </w:rPr>
        <w:t xml:space="preserve"> payment for Zumba instructors</w:t>
      </w:r>
      <w:r w:rsidR="004326B2">
        <w:rPr>
          <w:rFonts w:eastAsiaTheme="minorEastAsia"/>
        </w:rPr>
        <w:t>;</w:t>
      </w:r>
      <w:r w:rsidR="000C47BA">
        <w:rPr>
          <w:rFonts w:eastAsiaTheme="minorEastAsia"/>
        </w:rPr>
        <w:t xml:space="preserve"> </w:t>
      </w:r>
      <w:r>
        <w:rPr>
          <w:rFonts w:eastAsiaTheme="minorEastAsia"/>
        </w:rPr>
        <w:t xml:space="preserve">funds to run </w:t>
      </w:r>
      <w:r w:rsidR="000C47BA">
        <w:rPr>
          <w:rFonts w:eastAsiaTheme="minorEastAsia"/>
        </w:rPr>
        <w:t>sports tournaments</w:t>
      </w:r>
      <w:r>
        <w:rPr>
          <w:rFonts w:eastAsiaTheme="minorEastAsia"/>
        </w:rPr>
        <w:t xml:space="preserve"> and workplace sports/wellness programs</w:t>
      </w:r>
      <w:r w:rsidR="004326B2">
        <w:rPr>
          <w:rFonts w:eastAsiaTheme="minorEastAsia"/>
        </w:rPr>
        <w:t>.</w:t>
      </w:r>
    </w:p>
    <w:p w14:paraId="678842C9" w14:textId="430A7A1C" w:rsidR="00F32B90" w:rsidRPr="00F32B90" w:rsidRDefault="00F32B90" w:rsidP="00962FBE">
      <w:pPr>
        <w:pStyle w:val="ListBullet"/>
      </w:pPr>
      <w:r w:rsidRPr="00F32B90">
        <w:rPr>
          <w:rFonts w:eastAsiaTheme="minorEastAsia"/>
          <w:b/>
        </w:rPr>
        <w:t>Seedlings and gardening</w:t>
      </w:r>
      <w:r>
        <w:rPr>
          <w:rFonts w:eastAsiaTheme="minorEastAsia"/>
        </w:rPr>
        <w:t xml:space="preserve"> (25 grants, 22%): </w:t>
      </w:r>
      <w:r w:rsidR="000C47BA">
        <w:rPr>
          <w:rFonts w:eastAsiaTheme="minorEastAsia"/>
        </w:rPr>
        <w:t>e.g. grants to nurseries to grow and distribute seedlings</w:t>
      </w:r>
      <w:r w:rsidR="004326B2">
        <w:rPr>
          <w:rFonts w:eastAsiaTheme="minorEastAsia"/>
        </w:rPr>
        <w:t>;</w:t>
      </w:r>
      <w:r w:rsidR="000C47BA">
        <w:rPr>
          <w:rFonts w:eastAsiaTheme="minorEastAsia"/>
        </w:rPr>
        <w:t xml:space="preserve"> grants to schools, </w:t>
      </w:r>
      <w:proofErr w:type="gramStart"/>
      <w:r w:rsidR="000C47BA">
        <w:rPr>
          <w:rFonts w:eastAsiaTheme="minorEastAsia"/>
        </w:rPr>
        <w:t>churches</w:t>
      </w:r>
      <w:proofErr w:type="gramEnd"/>
      <w:r w:rsidR="000C47BA">
        <w:rPr>
          <w:rFonts w:eastAsiaTheme="minorEastAsia"/>
        </w:rPr>
        <w:t xml:space="preserve"> and community groups </w:t>
      </w:r>
      <w:r>
        <w:rPr>
          <w:rFonts w:eastAsiaTheme="minorEastAsia"/>
        </w:rPr>
        <w:t xml:space="preserve">for materials </w:t>
      </w:r>
      <w:r w:rsidR="000C47BA">
        <w:rPr>
          <w:rFonts w:eastAsiaTheme="minorEastAsia"/>
        </w:rPr>
        <w:t xml:space="preserve">to establish </w:t>
      </w:r>
      <w:r w:rsidR="004326B2">
        <w:rPr>
          <w:rFonts w:eastAsiaTheme="minorEastAsia"/>
        </w:rPr>
        <w:t>small fruit and vegetable</w:t>
      </w:r>
      <w:r w:rsidR="000C47BA">
        <w:rPr>
          <w:rFonts w:eastAsiaTheme="minorEastAsia"/>
        </w:rPr>
        <w:t xml:space="preserve"> gardens</w:t>
      </w:r>
      <w:r w:rsidR="004326B2">
        <w:rPr>
          <w:rFonts w:eastAsiaTheme="minorEastAsia"/>
        </w:rPr>
        <w:t>.</w:t>
      </w:r>
    </w:p>
    <w:p w14:paraId="7F7B7192" w14:textId="5A0CB0CF" w:rsidR="00F32B90" w:rsidRDefault="00F32B90" w:rsidP="00962FBE">
      <w:pPr>
        <w:pStyle w:val="ListBullet"/>
      </w:pPr>
      <w:r w:rsidRPr="00F32B90">
        <w:rPr>
          <w:b/>
        </w:rPr>
        <w:t>TV/radio programs</w:t>
      </w:r>
      <w:r>
        <w:t xml:space="preserve"> (7 grants, 6%): e.g. cooking shows</w:t>
      </w:r>
      <w:r w:rsidR="004326B2">
        <w:t>;</w:t>
      </w:r>
      <w:r>
        <w:t xml:space="preserve"> radio programs on household budgeting, </w:t>
      </w:r>
      <w:proofErr w:type="gramStart"/>
      <w:r>
        <w:t>drugs</w:t>
      </w:r>
      <w:proofErr w:type="gramEnd"/>
      <w:r>
        <w:t xml:space="preserve"> and alcohol</w:t>
      </w:r>
      <w:r w:rsidR="004326B2">
        <w:t xml:space="preserve">; </w:t>
      </w:r>
      <w:r>
        <w:t>Drop Everything and Shake physical activity breaks.</w:t>
      </w:r>
    </w:p>
    <w:p w14:paraId="5656884C" w14:textId="212FD2D5" w:rsidR="00F32B90" w:rsidRPr="00F32B90" w:rsidRDefault="00F32B90" w:rsidP="00962FBE">
      <w:pPr>
        <w:pStyle w:val="ListBullet"/>
      </w:pPr>
      <w:r>
        <w:rPr>
          <w:b/>
        </w:rPr>
        <w:t xml:space="preserve">Other activities </w:t>
      </w:r>
      <w:r w:rsidRPr="00F32B90">
        <w:t>(17 grants, 15%):</w:t>
      </w:r>
      <w:r>
        <w:rPr>
          <w:b/>
        </w:rPr>
        <w:t xml:space="preserve"> </w:t>
      </w:r>
      <w:r w:rsidRPr="00F32B90">
        <w:t>include, but are not limited to, provision of healthy foods, building of school playgrounds, ‘fun day’ celebrations, Health Promoting Schools Awards.</w:t>
      </w:r>
    </w:p>
    <w:p w14:paraId="5C082D0C" w14:textId="77777777" w:rsidR="00943087" w:rsidRDefault="00943087" w:rsidP="00962FBE">
      <w:pPr>
        <w:pStyle w:val="ListBullet"/>
        <w:numPr>
          <w:ilvl w:val="0"/>
          <w:numId w:val="0"/>
        </w:numPr>
        <w:ind w:left="360"/>
        <w:rPr>
          <w:rFonts w:eastAsiaTheme="minorEastAsia"/>
        </w:rPr>
      </w:pPr>
    </w:p>
    <w:p w14:paraId="419576D1" w14:textId="754F0440" w:rsidR="00BD7417" w:rsidRDefault="00F32B90" w:rsidP="00962FBE">
      <w:pPr>
        <w:pStyle w:val="BodyText"/>
        <w:rPr>
          <w:rFonts w:eastAsiaTheme="minorEastAsia"/>
        </w:rPr>
      </w:pPr>
      <w:r>
        <w:rPr>
          <w:rFonts w:eastAsiaTheme="minorEastAsia"/>
        </w:rPr>
        <w:t>F</w:t>
      </w:r>
      <w:r w:rsidR="00F1750B">
        <w:rPr>
          <w:rFonts w:eastAsiaTheme="minorEastAsia"/>
        </w:rPr>
        <w:t xml:space="preserve">rom FY21/22 to present, </w:t>
      </w:r>
      <w:r w:rsidR="00F1750B" w:rsidRPr="008E1FFD">
        <w:rPr>
          <w:rFonts w:eastAsiaTheme="minorEastAsia"/>
          <w:b/>
          <w:bCs/>
        </w:rPr>
        <w:t xml:space="preserve">only </w:t>
      </w:r>
      <w:r w:rsidR="004E203B">
        <w:rPr>
          <w:rFonts w:eastAsiaTheme="minorEastAsia"/>
          <w:b/>
          <w:bCs/>
        </w:rPr>
        <w:t>fou</w:t>
      </w:r>
      <w:r w:rsidR="007F2D59">
        <w:rPr>
          <w:rFonts w:eastAsiaTheme="minorEastAsia"/>
          <w:b/>
          <w:bCs/>
        </w:rPr>
        <w:t>r</w:t>
      </w:r>
      <w:r w:rsidR="00F1750B" w:rsidRPr="008E1FFD">
        <w:rPr>
          <w:rFonts w:eastAsiaTheme="minorEastAsia"/>
          <w:b/>
          <w:bCs/>
        </w:rPr>
        <w:t xml:space="preserve"> grants have been </w:t>
      </w:r>
      <w:r w:rsidR="00AA60CB" w:rsidRPr="008E1FFD">
        <w:rPr>
          <w:rFonts w:eastAsiaTheme="minorEastAsia"/>
          <w:b/>
          <w:bCs/>
        </w:rPr>
        <w:t>on topics other than physical activity and nutrition</w:t>
      </w:r>
      <w:r w:rsidR="00AA60CB">
        <w:rPr>
          <w:rFonts w:eastAsiaTheme="minorEastAsia"/>
        </w:rPr>
        <w:t xml:space="preserve">: </w:t>
      </w:r>
      <w:r w:rsidR="00BD7417">
        <w:rPr>
          <w:rFonts w:eastAsiaTheme="minorEastAsia"/>
        </w:rPr>
        <w:t>two programs to</w:t>
      </w:r>
      <w:r w:rsidR="00AA60CB">
        <w:rPr>
          <w:rFonts w:eastAsiaTheme="minorEastAsia"/>
        </w:rPr>
        <w:t xml:space="preserve"> raise awareness </w:t>
      </w:r>
      <w:r w:rsidR="00F54078">
        <w:rPr>
          <w:rFonts w:eastAsiaTheme="minorEastAsia"/>
        </w:rPr>
        <w:t>about alcohol and other drugs</w:t>
      </w:r>
      <w:r w:rsidR="00BD7417">
        <w:rPr>
          <w:rFonts w:eastAsiaTheme="minorEastAsia"/>
        </w:rPr>
        <w:t xml:space="preserve"> (one on radio, one community-based</w:t>
      </w:r>
      <w:r w:rsidR="009D766F">
        <w:rPr>
          <w:rFonts w:eastAsiaTheme="minorEastAsia"/>
        </w:rPr>
        <w:t>;</w:t>
      </w:r>
      <w:r w:rsidR="00BD7417">
        <w:rPr>
          <w:rFonts w:eastAsiaTheme="minorEastAsia"/>
        </w:rPr>
        <w:t xml:space="preserve"> </w:t>
      </w:r>
      <w:r w:rsidR="00EA1989">
        <w:rPr>
          <w:rFonts w:eastAsiaTheme="minorEastAsia"/>
        </w:rPr>
        <w:t>a radio program on household planning and budgeting (</w:t>
      </w:r>
      <w:r w:rsidR="00751ED0">
        <w:rPr>
          <w:rFonts w:eastAsiaTheme="minorEastAsia"/>
        </w:rPr>
        <w:t>which includes messaging about healthy food choices)</w:t>
      </w:r>
      <w:r w:rsidR="009D766F">
        <w:rPr>
          <w:rFonts w:eastAsiaTheme="minorEastAsia"/>
        </w:rPr>
        <w:t xml:space="preserve">; </w:t>
      </w:r>
      <w:r w:rsidR="00AA60CB">
        <w:rPr>
          <w:rFonts w:eastAsiaTheme="minorEastAsia"/>
        </w:rPr>
        <w:t xml:space="preserve">and funding </w:t>
      </w:r>
      <w:r w:rsidR="007F2D59">
        <w:rPr>
          <w:rFonts w:eastAsiaTheme="minorEastAsia"/>
        </w:rPr>
        <w:t>to establish</w:t>
      </w:r>
      <w:r w:rsidR="00AA60CB">
        <w:rPr>
          <w:rFonts w:eastAsiaTheme="minorEastAsia"/>
        </w:rPr>
        <w:t xml:space="preserve"> TongaHealth’s Outer Islands Offices.</w:t>
      </w:r>
      <w:r w:rsidR="00C41B3C">
        <w:rPr>
          <w:rStyle w:val="FootnoteReference"/>
          <w:rFonts w:eastAsiaTheme="minorEastAsia"/>
        </w:rPr>
        <w:footnoteReference w:id="5"/>
      </w:r>
      <w:r w:rsidR="00502419">
        <w:rPr>
          <w:rFonts w:eastAsiaTheme="minorEastAsia"/>
        </w:rPr>
        <w:t xml:space="preserve"> </w:t>
      </w:r>
    </w:p>
    <w:p w14:paraId="3D3761D8" w14:textId="263B8D01" w:rsidR="008B6752" w:rsidRPr="009E0E70" w:rsidRDefault="004304F6" w:rsidP="00962FBE">
      <w:pPr>
        <w:pStyle w:val="BodyText"/>
        <w:rPr>
          <w:rFonts w:eastAsiaTheme="minorEastAsia"/>
        </w:rPr>
      </w:pPr>
      <w:r w:rsidRPr="009E0E70">
        <w:rPr>
          <w:rFonts w:eastAsiaTheme="minorEastAsia"/>
          <w:b/>
          <w:bCs/>
        </w:rPr>
        <w:t xml:space="preserve">TongaHealth has invested heavily in promoting physical activity and healthy eating, </w:t>
      </w:r>
      <w:r w:rsidRPr="00D35CE1">
        <w:rPr>
          <w:rFonts w:eastAsiaTheme="minorEastAsia"/>
        </w:rPr>
        <w:t xml:space="preserve">with </w:t>
      </w:r>
      <w:proofErr w:type="gramStart"/>
      <w:r w:rsidRPr="009E0E70">
        <w:rPr>
          <w:rFonts w:eastAsiaTheme="minorEastAsia"/>
        </w:rPr>
        <w:t>the vast majority of</w:t>
      </w:r>
      <w:proofErr w:type="gramEnd"/>
      <w:r w:rsidRPr="009E0E70">
        <w:rPr>
          <w:rFonts w:eastAsiaTheme="minorEastAsia"/>
        </w:rPr>
        <w:t xml:space="preserve"> grants targeting these risk factors </w:t>
      </w:r>
      <w:r w:rsidR="0090440E" w:rsidRPr="009E0E70">
        <w:rPr>
          <w:rFonts w:eastAsiaTheme="minorEastAsia"/>
        </w:rPr>
        <w:t>(112 of a total of 116 grants)</w:t>
      </w:r>
      <w:r w:rsidRPr="009E0E70">
        <w:rPr>
          <w:rFonts w:eastAsiaTheme="minorEastAsia"/>
        </w:rPr>
        <w:t>.</w:t>
      </w:r>
      <w:r w:rsidR="00482C1E" w:rsidRPr="009E0E70">
        <w:rPr>
          <w:rFonts w:eastAsiaTheme="minorEastAsia"/>
        </w:rPr>
        <w:t xml:space="preserve"> Programs such as </w:t>
      </w:r>
      <w:proofErr w:type="spellStart"/>
      <w:r w:rsidR="00482C1E" w:rsidRPr="009E0E70">
        <w:rPr>
          <w:rFonts w:eastAsiaTheme="minorEastAsia"/>
        </w:rPr>
        <w:t>Fiefia</w:t>
      </w:r>
      <w:proofErr w:type="spellEnd"/>
      <w:r w:rsidR="00482C1E" w:rsidRPr="009E0E70">
        <w:rPr>
          <w:rFonts w:eastAsiaTheme="minorEastAsia"/>
        </w:rPr>
        <w:t xml:space="preserve"> </w:t>
      </w:r>
      <w:r w:rsidR="00FA40CF" w:rsidRPr="009E0E70">
        <w:rPr>
          <w:rFonts w:eastAsiaTheme="minorEastAsia"/>
        </w:rPr>
        <w:t>Sports and Zumba classes</w:t>
      </w:r>
      <w:r w:rsidR="00482C1E" w:rsidRPr="009E0E70">
        <w:rPr>
          <w:rFonts w:eastAsiaTheme="minorEastAsia"/>
        </w:rPr>
        <w:t xml:space="preserve"> are very popular, with high rates of attendance, and </w:t>
      </w:r>
      <w:proofErr w:type="spellStart"/>
      <w:r w:rsidR="00482C1E" w:rsidRPr="009E0E70">
        <w:rPr>
          <w:rFonts w:eastAsiaTheme="minorEastAsia"/>
        </w:rPr>
        <w:t>Fiefia</w:t>
      </w:r>
      <w:proofErr w:type="spellEnd"/>
      <w:r w:rsidR="00482C1E" w:rsidRPr="009E0E70">
        <w:rPr>
          <w:rFonts w:eastAsiaTheme="minorEastAsia"/>
        </w:rPr>
        <w:t xml:space="preserve"> Sports demonstrating year-on-year growth in participant numbers</w:t>
      </w:r>
      <w:r w:rsidR="007644B4" w:rsidRPr="009E0E70">
        <w:rPr>
          <w:rFonts w:eastAsiaTheme="minorEastAsia"/>
        </w:rPr>
        <w:t xml:space="preserve">. However, monitoring reports for these activities </w:t>
      </w:r>
      <w:r w:rsidR="007F4092" w:rsidRPr="009E0E70">
        <w:rPr>
          <w:rFonts w:eastAsiaTheme="minorEastAsia"/>
        </w:rPr>
        <w:t xml:space="preserve">mostly </w:t>
      </w:r>
      <w:r w:rsidR="007644B4" w:rsidRPr="009E0E70">
        <w:rPr>
          <w:rFonts w:eastAsiaTheme="minorEastAsia"/>
        </w:rPr>
        <w:t>focus on participant numbers, rather than outcome-level measure</w:t>
      </w:r>
      <w:r w:rsidR="006357C6" w:rsidRPr="009E0E70">
        <w:rPr>
          <w:rFonts w:eastAsiaTheme="minorEastAsia"/>
        </w:rPr>
        <w:t>ments such as participants levels of physical activity, or the proportion of participants in a healthy weight range.</w:t>
      </w:r>
      <w:r w:rsidR="003D1B82">
        <w:rPr>
          <w:rStyle w:val="FootnoteReference"/>
          <w:rFonts w:eastAsiaTheme="minorEastAsia"/>
        </w:rPr>
        <w:footnoteReference w:id="6"/>
      </w:r>
      <w:r w:rsidR="007F4092" w:rsidRPr="009E0E70">
        <w:rPr>
          <w:rFonts w:eastAsiaTheme="minorEastAsia"/>
        </w:rPr>
        <w:t xml:space="preserve"> </w:t>
      </w:r>
      <w:r w:rsidR="00863BE9" w:rsidRPr="009E0E70">
        <w:rPr>
          <w:rFonts w:eastAsiaTheme="minorEastAsia"/>
        </w:rPr>
        <w:lastRenderedPageBreak/>
        <w:t xml:space="preserve">Multiple interviewees also </w:t>
      </w:r>
      <w:r w:rsidR="0072783A" w:rsidRPr="009E0E70">
        <w:rPr>
          <w:rFonts w:eastAsiaTheme="minorEastAsia"/>
        </w:rPr>
        <w:t xml:space="preserve">commented that they have noticed some population-level changes they feel TongaHealth has contributed to. Interviewees commented that there are visible increases in the number of people engaging in </w:t>
      </w:r>
      <w:r w:rsidR="00B76F76" w:rsidRPr="009E0E70">
        <w:rPr>
          <w:rFonts w:eastAsiaTheme="minorEastAsia"/>
        </w:rPr>
        <w:t xml:space="preserve">physical activity, </w:t>
      </w:r>
      <w:proofErr w:type="gramStart"/>
      <w:r w:rsidR="00B76F76" w:rsidRPr="009E0E70">
        <w:rPr>
          <w:rFonts w:eastAsiaTheme="minorEastAsia"/>
        </w:rPr>
        <w:t>and also</w:t>
      </w:r>
      <w:proofErr w:type="gramEnd"/>
      <w:r w:rsidR="00B76F76" w:rsidRPr="009E0E70">
        <w:rPr>
          <w:rFonts w:eastAsiaTheme="minorEastAsia"/>
        </w:rPr>
        <w:t xml:space="preserve"> reported that TongaHealth’s funding has contributed to shifts in the social acceptability of engaging in physical activity (and for women, wearing </w:t>
      </w:r>
      <w:r w:rsidR="00FC0136" w:rsidRPr="009E0E70">
        <w:rPr>
          <w:rFonts w:eastAsiaTheme="minorEastAsia"/>
        </w:rPr>
        <w:t xml:space="preserve">sportswear e.g. leggings that are more conducive to </w:t>
      </w:r>
      <w:r w:rsidR="008308DD" w:rsidRPr="009E0E70">
        <w:rPr>
          <w:rFonts w:eastAsiaTheme="minorEastAsia"/>
        </w:rPr>
        <w:t xml:space="preserve">physical activity). </w:t>
      </w:r>
    </w:p>
    <w:p w14:paraId="2AFA16E1" w14:textId="5E930DA7" w:rsidR="008F5518" w:rsidRDefault="00C075A5" w:rsidP="00962FBE">
      <w:pPr>
        <w:pStyle w:val="BodyText"/>
        <w:rPr>
          <w:lang w:eastAsia="en-AU"/>
        </w:rPr>
      </w:pPr>
      <w:r w:rsidRPr="00FA2369">
        <w:rPr>
          <w:rFonts w:eastAsiaTheme="minorEastAsia"/>
          <w:b/>
          <w:bCs/>
        </w:rPr>
        <w:t xml:space="preserve">TongaHealth’s </w:t>
      </w:r>
      <w:r w:rsidR="00FA2369" w:rsidRPr="00FA2369">
        <w:rPr>
          <w:rFonts w:eastAsiaTheme="minorEastAsia"/>
          <w:b/>
          <w:bCs/>
        </w:rPr>
        <w:t>initiatives</w:t>
      </w:r>
      <w:r w:rsidR="007C6C28" w:rsidRPr="00FA2369">
        <w:rPr>
          <w:rFonts w:eastAsiaTheme="minorEastAsia"/>
          <w:b/>
          <w:bCs/>
        </w:rPr>
        <w:t xml:space="preserve"> to promote healthy eating</w:t>
      </w:r>
      <w:r w:rsidR="00627568">
        <w:rPr>
          <w:rFonts w:eastAsiaTheme="minorEastAsia"/>
        </w:rPr>
        <w:t xml:space="preserve"> have mostly been grants for </w:t>
      </w:r>
      <w:r w:rsidR="007C6C28">
        <w:rPr>
          <w:rFonts w:eastAsiaTheme="minorEastAsia"/>
        </w:rPr>
        <w:t>seedling distribution and gardening equipment.</w:t>
      </w:r>
      <w:r w:rsidR="008F5518">
        <w:rPr>
          <w:rFonts w:eastAsiaTheme="minorEastAsia"/>
        </w:rPr>
        <w:t xml:space="preserve"> While outcomes (e.g. increases in consumption of fruit and vegetables) are not measured, i</w:t>
      </w:r>
      <w:r w:rsidR="004D08A2">
        <w:rPr>
          <w:lang w:eastAsia="en-AU"/>
        </w:rPr>
        <w:t>nterviewees for this Review reported a range of positive outcomes, including people growing fruit and vegetables for home consumption, and generating additional income by selling fruit and vegetables at the market.</w:t>
      </w:r>
    </w:p>
    <w:p w14:paraId="7F04D889" w14:textId="55F572B5" w:rsidR="007719D7" w:rsidRDefault="001A7E7B" w:rsidP="00DF166F">
      <w:pPr>
        <w:pStyle w:val="Caption"/>
        <w:spacing w:line="276" w:lineRule="auto"/>
      </w:pPr>
      <w:bookmarkStart w:id="40" w:name="_Ref152943935"/>
      <w:bookmarkStart w:id="41" w:name="_Toc152915089"/>
      <w:r>
        <w:t xml:space="preserve">Table </w:t>
      </w:r>
      <w:r w:rsidR="000145B6">
        <w:fldChar w:fldCharType="begin"/>
      </w:r>
      <w:r w:rsidR="000145B6">
        <w:instrText xml:space="preserve"> SEQ Table \* ARABIC </w:instrText>
      </w:r>
      <w:r w:rsidR="000145B6">
        <w:fldChar w:fldCharType="separate"/>
      </w:r>
      <w:r w:rsidR="00A95913">
        <w:rPr>
          <w:noProof/>
        </w:rPr>
        <w:t>2</w:t>
      </w:r>
      <w:r w:rsidR="000145B6">
        <w:rPr>
          <w:noProof/>
        </w:rPr>
        <w:fldChar w:fldCharType="end"/>
      </w:r>
      <w:bookmarkEnd w:id="40"/>
      <w:r w:rsidR="003E4647">
        <w:t>:</w:t>
      </w:r>
      <w:r w:rsidR="00095427">
        <w:t xml:space="preserve"> G</w:t>
      </w:r>
      <w:r w:rsidR="003E4647">
        <w:t>rants administered by TongaHealth</w:t>
      </w:r>
      <w:r w:rsidR="00095427">
        <w:t>, F</w:t>
      </w:r>
      <w:r w:rsidR="007719D7">
        <w:t>Y21/22 to FY23/24</w:t>
      </w:r>
      <w:bookmarkEnd w:id="41"/>
    </w:p>
    <w:tbl>
      <w:tblPr>
        <w:tblStyle w:val="GridTable4-Accent1"/>
        <w:tblW w:w="0" w:type="auto"/>
        <w:tblLook w:val="04A0" w:firstRow="1" w:lastRow="0" w:firstColumn="1" w:lastColumn="0" w:noHBand="0" w:noVBand="1"/>
      </w:tblPr>
      <w:tblGrid>
        <w:gridCol w:w="1764"/>
        <w:gridCol w:w="2382"/>
        <w:gridCol w:w="2353"/>
        <w:gridCol w:w="2363"/>
        <w:gridCol w:w="874"/>
      </w:tblGrid>
      <w:tr w:rsidR="00BA0A1D" w:rsidRPr="00E80B29" w14:paraId="40C5C640" w14:textId="77777777" w:rsidTr="003A0A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0C8BEED" w14:textId="26B8C248" w:rsidR="00882CCA" w:rsidRPr="00E80B29" w:rsidRDefault="005727A1" w:rsidP="00962FBE">
            <w:pPr>
              <w:pStyle w:val="BodyText"/>
            </w:pPr>
            <w:r>
              <w:t xml:space="preserve">Financial </w:t>
            </w:r>
            <w:r w:rsidR="001172CE">
              <w:t>Year:</w:t>
            </w:r>
          </w:p>
        </w:tc>
        <w:tc>
          <w:tcPr>
            <w:tcW w:w="0" w:type="dxa"/>
          </w:tcPr>
          <w:p w14:paraId="30512F6A" w14:textId="2BD152F9" w:rsidR="00882CCA" w:rsidRPr="00E80B29" w:rsidRDefault="00882CCA" w:rsidP="00962FBE">
            <w:pPr>
              <w:pStyle w:val="BodyText"/>
              <w:cnfStyle w:val="100000000000" w:firstRow="1" w:lastRow="0" w:firstColumn="0" w:lastColumn="0" w:oddVBand="0" w:evenVBand="0" w:oddHBand="0" w:evenHBand="0" w:firstRowFirstColumn="0" w:firstRowLastColumn="0" w:lastRowFirstColumn="0" w:lastRowLastColumn="0"/>
            </w:pPr>
            <w:r w:rsidRPr="00E80B29">
              <w:t>FY21/22</w:t>
            </w:r>
          </w:p>
        </w:tc>
        <w:tc>
          <w:tcPr>
            <w:tcW w:w="0" w:type="dxa"/>
          </w:tcPr>
          <w:p w14:paraId="3594BA85" w14:textId="0D923D70" w:rsidR="00882CCA" w:rsidRPr="00E80B29" w:rsidRDefault="00882CCA" w:rsidP="00962FBE">
            <w:pPr>
              <w:pStyle w:val="BodyText"/>
              <w:cnfStyle w:val="100000000000" w:firstRow="1" w:lastRow="0" w:firstColumn="0" w:lastColumn="0" w:oddVBand="0" w:evenVBand="0" w:oddHBand="0" w:evenHBand="0" w:firstRowFirstColumn="0" w:firstRowLastColumn="0" w:lastRowFirstColumn="0" w:lastRowLastColumn="0"/>
            </w:pPr>
            <w:r w:rsidRPr="00E80B29">
              <w:t>FY22/23</w:t>
            </w:r>
          </w:p>
        </w:tc>
        <w:tc>
          <w:tcPr>
            <w:tcW w:w="0" w:type="dxa"/>
          </w:tcPr>
          <w:p w14:paraId="25C44A76" w14:textId="7EC31276" w:rsidR="00882CCA" w:rsidRPr="00E80B29" w:rsidRDefault="00882CCA" w:rsidP="00962FBE">
            <w:pPr>
              <w:pStyle w:val="BodyText"/>
              <w:cnfStyle w:val="100000000000" w:firstRow="1" w:lastRow="0" w:firstColumn="0" w:lastColumn="0" w:oddVBand="0" w:evenVBand="0" w:oddHBand="0" w:evenHBand="0" w:firstRowFirstColumn="0" w:firstRowLastColumn="0" w:lastRowFirstColumn="0" w:lastRowLastColumn="0"/>
            </w:pPr>
            <w:r w:rsidRPr="00E80B29">
              <w:t>FY23/24 (to November 2023)</w:t>
            </w:r>
          </w:p>
        </w:tc>
        <w:tc>
          <w:tcPr>
            <w:tcW w:w="0" w:type="dxa"/>
          </w:tcPr>
          <w:p w14:paraId="76694D42" w14:textId="0C592C64" w:rsidR="00882CCA" w:rsidRPr="00E80B29" w:rsidRDefault="00882CCA" w:rsidP="00962FBE">
            <w:pPr>
              <w:pStyle w:val="BodyText"/>
              <w:cnfStyle w:val="100000000000" w:firstRow="1" w:lastRow="0" w:firstColumn="0" w:lastColumn="0" w:oddVBand="0" w:evenVBand="0" w:oddHBand="0" w:evenHBand="0" w:firstRowFirstColumn="0" w:firstRowLastColumn="0" w:lastRowFirstColumn="0" w:lastRowLastColumn="0"/>
            </w:pPr>
            <w:r w:rsidRPr="00E80B29">
              <w:t>Total</w:t>
            </w:r>
          </w:p>
        </w:tc>
      </w:tr>
      <w:tr w:rsidR="00BA0A1D" w:rsidRPr="00E80B29" w14:paraId="7D599560" w14:textId="77777777" w:rsidTr="00E80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dxa"/>
          </w:tcPr>
          <w:p w14:paraId="7E536707" w14:textId="1D36840D" w:rsidR="00882CCA" w:rsidRPr="00E80B29" w:rsidRDefault="00882CCA" w:rsidP="00962FBE">
            <w:pPr>
              <w:pStyle w:val="BodyText"/>
            </w:pPr>
            <w:r w:rsidRPr="00E80B29">
              <w:t>Number of grant</w:t>
            </w:r>
            <w:r w:rsidR="000A0FE4" w:rsidRPr="00E80B29">
              <w:t>s</w:t>
            </w:r>
            <w:r w:rsidR="00814299" w:rsidRPr="00E80B29">
              <w:t xml:space="preserve"> (over TOP</w:t>
            </w:r>
            <w:r w:rsidR="00F070CE">
              <w:t xml:space="preserve"> </w:t>
            </w:r>
            <w:r w:rsidR="00814299" w:rsidRPr="00E80B29">
              <w:t>2,000)</w:t>
            </w:r>
          </w:p>
        </w:tc>
        <w:tc>
          <w:tcPr>
            <w:tcW w:w="2675" w:type="dxa"/>
          </w:tcPr>
          <w:p w14:paraId="60A47951" w14:textId="1E90FFA1" w:rsidR="00882CCA" w:rsidRPr="00E80B29" w:rsidRDefault="0020174B" w:rsidP="00962FBE">
            <w:pPr>
              <w:pStyle w:val="BodyText"/>
              <w:cnfStyle w:val="000000100000" w:firstRow="0" w:lastRow="0" w:firstColumn="0" w:lastColumn="0" w:oddVBand="0" w:evenVBand="0" w:oddHBand="1" w:evenHBand="0" w:firstRowFirstColumn="0" w:firstRowLastColumn="0" w:lastRowFirstColumn="0" w:lastRowLastColumn="0"/>
            </w:pPr>
            <w:r w:rsidRPr="00E80B29">
              <w:t>23</w:t>
            </w:r>
          </w:p>
        </w:tc>
        <w:tc>
          <w:tcPr>
            <w:tcW w:w="2675" w:type="dxa"/>
          </w:tcPr>
          <w:p w14:paraId="20CF0958" w14:textId="6DD99B40" w:rsidR="00882CCA" w:rsidRPr="00E80B29" w:rsidRDefault="00275308" w:rsidP="00962FBE">
            <w:pPr>
              <w:pStyle w:val="BodyText"/>
              <w:cnfStyle w:val="000000100000" w:firstRow="0" w:lastRow="0" w:firstColumn="0" w:lastColumn="0" w:oddVBand="0" w:evenVBand="0" w:oddHBand="1" w:evenHBand="0" w:firstRowFirstColumn="0" w:firstRowLastColumn="0" w:lastRowFirstColumn="0" w:lastRowLastColumn="0"/>
            </w:pPr>
            <w:r w:rsidRPr="00E80B29">
              <w:t>9</w:t>
            </w:r>
          </w:p>
        </w:tc>
        <w:tc>
          <w:tcPr>
            <w:tcW w:w="2675" w:type="dxa"/>
          </w:tcPr>
          <w:p w14:paraId="41A6448B" w14:textId="734CFF2D" w:rsidR="00882CCA" w:rsidRPr="00E80B29" w:rsidRDefault="005F5E6C" w:rsidP="00962FBE">
            <w:pPr>
              <w:pStyle w:val="BodyText"/>
              <w:cnfStyle w:val="000000100000" w:firstRow="0" w:lastRow="0" w:firstColumn="0" w:lastColumn="0" w:oddVBand="0" w:evenVBand="0" w:oddHBand="1" w:evenHBand="0" w:firstRowFirstColumn="0" w:firstRowLastColumn="0" w:lastRowFirstColumn="0" w:lastRowLastColumn="0"/>
            </w:pPr>
            <w:r w:rsidRPr="00E80B29">
              <w:t>8</w:t>
            </w:r>
          </w:p>
        </w:tc>
        <w:tc>
          <w:tcPr>
            <w:tcW w:w="822" w:type="dxa"/>
          </w:tcPr>
          <w:p w14:paraId="22A05E97" w14:textId="4826D77F" w:rsidR="00882CCA" w:rsidRPr="00E80B29" w:rsidRDefault="00DE5982" w:rsidP="00962FBE">
            <w:pPr>
              <w:pStyle w:val="BodyText"/>
              <w:cnfStyle w:val="000000100000" w:firstRow="0" w:lastRow="0" w:firstColumn="0" w:lastColumn="0" w:oddVBand="0" w:evenVBand="0" w:oddHBand="1" w:evenHBand="0" w:firstRowFirstColumn="0" w:firstRowLastColumn="0" w:lastRowFirstColumn="0" w:lastRowLastColumn="0"/>
            </w:pPr>
            <w:r w:rsidRPr="00E80B29">
              <w:t>40</w:t>
            </w:r>
          </w:p>
        </w:tc>
      </w:tr>
      <w:tr w:rsidR="00E80B29" w:rsidRPr="00E80B29" w14:paraId="6EFB8FD9" w14:textId="77777777" w:rsidTr="00E80B29">
        <w:tc>
          <w:tcPr>
            <w:cnfStyle w:val="001000000000" w:firstRow="0" w:lastRow="0" w:firstColumn="1" w:lastColumn="0" w:oddVBand="0" w:evenVBand="0" w:oddHBand="0" w:evenHBand="0" w:firstRowFirstColumn="0" w:firstRowLastColumn="0" w:lastRowFirstColumn="0" w:lastRowLastColumn="0"/>
            <w:tcW w:w="1609" w:type="dxa"/>
          </w:tcPr>
          <w:p w14:paraId="1B278B0B" w14:textId="2CC2723F" w:rsidR="00814299" w:rsidRPr="00E80B29" w:rsidRDefault="00814299" w:rsidP="00962FBE">
            <w:pPr>
              <w:pStyle w:val="BodyText"/>
            </w:pPr>
            <w:r w:rsidRPr="00E80B29">
              <w:t>Number of sponsorships (under TOP</w:t>
            </w:r>
            <w:r w:rsidR="00F070CE">
              <w:t xml:space="preserve"> </w:t>
            </w:r>
            <w:r w:rsidRPr="00E80B29">
              <w:t>2,000)</w:t>
            </w:r>
          </w:p>
        </w:tc>
        <w:tc>
          <w:tcPr>
            <w:tcW w:w="2675" w:type="dxa"/>
          </w:tcPr>
          <w:p w14:paraId="570DD88C" w14:textId="16C0282A" w:rsidR="00814299" w:rsidRPr="00E80B29" w:rsidRDefault="0020174B" w:rsidP="00962FBE">
            <w:pPr>
              <w:pStyle w:val="BodyText"/>
              <w:cnfStyle w:val="000000000000" w:firstRow="0" w:lastRow="0" w:firstColumn="0" w:lastColumn="0" w:oddVBand="0" w:evenVBand="0" w:oddHBand="0" w:evenHBand="0" w:firstRowFirstColumn="0" w:firstRowLastColumn="0" w:lastRowFirstColumn="0" w:lastRowLastColumn="0"/>
            </w:pPr>
            <w:r w:rsidRPr="00E80B29">
              <w:t>0</w:t>
            </w:r>
          </w:p>
        </w:tc>
        <w:tc>
          <w:tcPr>
            <w:tcW w:w="2675" w:type="dxa"/>
          </w:tcPr>
          <w:p w14:paraId="49394B80" w14:textId="5D8B7373" w:rsidR="00814299" w:rsidRPr="00E80B29" w:rsidRDefault="00275308" w:rsidP="00962FBE">
            <w:pPr>
              <w:pStyle w:val="BodyText"/>
              <w:cnfStyle w:val="000000000000" w:firstRow="0" w:lastRow="0" w:firstColumn="0" w:lastColumn="0" w:oddVBand="0" w:evenVBand="0" w:oddHBand="0" w:evenHBand="0" w:firstRowFirstColumn="0" w:firstRowLastColumn="0" w:lastRowFirstColumn="0" w:lastRowLastColumn="0"/>
            </w:pPr>
            <w:r w:rsidRPr="00E80B29">
              <w:t>76</w:t>
            </w:r>
          </w:p>
        </w:tc>
        <w:tc>
          <w:tcPr>
            <w:tcW w:w="2675" w:type="dxa"/>
          </w:tcPr>
          <w:p w14:paraId="361242C5" w14:textId="341DB504" w:rsidR="00814299" w:rsidRPr="00E80B29" w:rsidRDefault="005F5E6C" w:rsidP="00962FBE">
            <w:pPr>
              <w:pStyle w:val="BodyText"/>
              <w:cnfStyle w:val="000000000000" w:firstRow="0" w:lastRow="0" w:firstColumn="0" w:lastColumn="0" w:oddVBand="0" w:evenVBand="0" w:oddHBand="0" w:evenHBand="0" w:firstRowFirstColumn="0" w:firstRowLastColumn="0" w:lastRowFirstColumn="0" w:lastRowLastColumn="0"/>
            </w:pPr>
            <w:r w:rsidRPr="00E80B29">
              <w:t>0</w:t>
            </w:r>
          </w:p>
        </w:tc>
        <w:tc>
          <w:tcPr>
            <w:tcW w:w="822" w:type="dxa"/>
          </w:tcPr>
          <w:p w14:paraId="75984E2A" w14:textId="59D03F2C" w:rsidR="00814299" w:rsidRPr="00E80B29" w:rsidRDefault="00DE5982" w:rsidP="00962FBE">
            <w:pPr>
              <w:pStyle w:val="BodyText"/>
              <w:cnfStyle w:val="000000000000" w:firstRow="0" w:lastRow="0" w:firstColumn="0" w:lastColumn="0" w:oddVBand="0" w:evenVBand="0" w:oddHBand="0" w:evenHBand="0" w:firstRowFirstColumn="0" w:firstRowLastColumn="0" w:lastRowFirstColumn="0" w:lastRowLastColumn="0"/>
            </w:pPr>
            <w:r w:rsidRPr="00E80B29">
              <w:t>76</w:t>
            </w:r>
          </w:p>
        </w:tc>
      </w:tr>
      <w:tr w:rsidR="00BA0A1D" w:rsidRPr="00E80B29" w14:paraId="014E29E2" w14:textId="77777777" w:rsidTr="00E80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dxa"/>
          </w:tcPr>
          <w:p w14:paraId="70C491DD" w14:textId="05C39EB3" w:rsidR="00763AAD" w:rsidRPr="00E80B29" w:rsidRDefault="00763AAD" w:rsidP="00962FBE">
            <w:pPr>
              <w:pStyle w:val="BodyText"/>
            </w:pPr>
            <w:r w:rsidRPr="00E80B29">
              <w:t>Budget (TOP)</w:t>
            </w:r>
          </w:p>
        </w:tc>
        <w:tc>
          <w:tcPr>
            <w:tcW w:w="2675" w:type="dxa"/>
            <w:vAlign w:val="bottom"/>
          </w:tcPr>
          <w:p w14:paraId="401CAD37" w14:textId="4F85CDF6" w:rsidR="00763AAD" w:rsidRPr="00E80B29" w:rsidRDefault="00763AAD" w:rsidP="00962FBE">
            <w:pPr>
              <w:pStyle w:val="BodyText"/>
              <w:cnfStyle w:val="000000100000" w:firstRow="0" w:lastRow="0" w:firstColumn="0" w:lastColumn="0" w:oddVBand="0" w:evenVBand="0" w:oddHBand="1" w:evenHBand="0" w:firstRowFirstColumn="0" w:firstRowLastColumn="0" w:lastRowFirstColumn="0" w:lastRowLastColumn="0"/>
            </w:pPr>
            <w:r w:rsidRPr="00E80B29">
              <w:t>334</w:t>
            </w:r>
            <w:r w:rsidR="00BD7417" w:rsidRPr="00E80B29">
              <w:t>,</w:t>
            </w:r>
            <w:r w:rsidRPr="00E80B29">
              <w:t>579</w:t>
            </w:r>
          </w:p>
        </w:tc>
        <w:tc>
          <w:tcPr>
            <w:tcW w:w="2675" w:type="dxa"/>
            <w:vAlign w:val="bottom"/>
          </w:tcPr>
          <w:p w14:paraId="272E0068" w14:textId="58A1627F" w:rsidR="00763AAD" w:rsidRPr="00E80B29" w:rsidRDefault="00763AAD" w:rsidP="00962FBE">
            <w:pPr>
              <w:pStyle w:val="BodyText"/>
              <w:cnfStyle w:val="000000100000" w:firstRow="0" w:lastRow="0" w:firstColumn="0" w:lastColumn="0" w:oddVBand="0" w:evenVBand="0" w:oddHBand="1" w:evenHBand="0" w:firstRowFirstColumn="0" w:firstRowLastColumn="0" w:lastRowFirstColumn="0" w:lastRowLastColumn="0"/>
            </w:pPr>
            <w:r w:rsidRPr="00E80B29">
              <w:t>229</w:t>
            </w:r>
            <w:r w:rsidR="00BD7417" w:rsidRPr="00E80B29">
              <w:t>,</w:t>
            </w:r>
            <w:r w:rsidRPr="00E80B29">
              <w:t>872</w:t>
            </w:r>
          </w:p>
        </w:tc>
        <w:tc>
          <w:tcPr>
            <w:tcW w:w="2675" w:type="dxa"/>
            <w:vAlign w:val="bottom"/>
          </w:tcPr>
          <w:p w14:paraId="2AD25F10" w14:textId="0F701CCF" w:rsidR="00763AAD" w:rsidRPr="00E80B29" w:rsidRDefault="00763AAD" w:rsidP="00962FBE">
            <w:pPr>
              <w:pStyle w:val="BodyText"/>
              <w:cnfStyle w:val="000000100000" w:firstRow="0" w:lastRow="0" w:firstColumn="0" w:lastColumn="0" w:oddVBand="0" w:evenVBand="0" w:oddHBand="1" w:evenHBand="0" w:firstRowFirstColumn="0" w:firstRowLastColumn="0" w:lastRowFirstColumn="0" w:lastRowLastColumn="0"/>
            </w:pPr>
            <w:r w:rsidRPr="00E80B29">
              <w:t>81</w:t>
            </w:r>
            <w:r w:rsidR="00BD7417" w:rsidRPr="00E80B29">
              <w:t>,</w:t>
            </w:r>
            <w:r w:rsidRPr="00E80B29">
              <w:t>050</w:t>
            </w:r>
          </w:p>
        </w:tc>
        <w:tc>
          <w:tcPr>
            <w:tcW w:w="822" w:type="dxa"/>
            <w:vAlign w:val="bottom"/>
          </w:tcPr>
          <w:p w14:paraId="6395B503" w14:textId="54456D85" w:rsidR="00763AAD" w:rsidRPr="00E80B29" w:rsidRDefault="00763AAD" w:rsidP="00962FBE">
            <w:pPr>
              <w:pStyle w:val="BodyText"/>
              <w:cnfStyle w:val="000000100000" w:firstRow="0" w:lastRow="0" w:firstColumn="0" w:lastColumn="0" w:oddVBand="0" w:evenVBand="0" w:oddHBand="1" w:evenHBand="0" w:firstRowFirstColumn="0" w:firstRowLastColumn="0" w:lastRowFirstColumn="0" w:lastRowLastColumn="0"/>
            </w:pPr>
            <w:r w:rsidRPr="00E80B29">
              <w:t>645</w:t>
            </w:r>
            <w:r w:rsidR="005E369A">
              <w:t>,</w:t>
            </w:r>
            <w:r w:rsidRPr="00E80B29">
              <w:t>50</w:t>
            </w:r>
            <w:r w:rsidR="00BD7417" w:rsidRPr="00E80B29">
              <w:t>2</w:t>
            </w:r>
          </w:p>
        </w:tc>
      </w:tr>
      <w:tr w:rsidR="00BA0A1D" w:rsidRPr="00E80B29" w14:paraId="2BE6654B" w14:textId="77777777" w:rsidTr="00E80B29">
        <w:tc>
          <w:tcPr>
            <w:cnfStyle w:val="001000000000" w:firstRow="0" w:lastRow="0" w:firstColumn="1" w:lastColumn="0" w:oddVBand="0" w:evenVBand="0" w:oddHBand="0" w:evenHBand="0" w:firstRowFirstColumn="0" w:firstRowLastColumn="0" w:lastRowFirstColumn="0" w:lastRowLastColumn="0"/>
            <w:tcW w:w="1609" w:type="dxa"/>
          </w:tcPr>
          <w:p w14:paraId="2EA964E5" w14:textId="7E7186C6" w:rsidR="00882CCA" w:rsidRPr="00E80B29" w:rsidRDefault="006879F0" w:rsidP="00962FBE">
            <w:pPr>
              <w:pStyle w:val="BodyText"/>
            </w:pPr>
            <w:r w:rsidRPr="00E80B29">
              <w:t>Highest value grants</w:t>
            </w:r>
          </w:p>
        </w:tc>
        <w:tc>
          <w:tcPr>
            <w:tcW w:w="2675" w:type="dxa"/>
          </w:tcPr>
          <w:p w14:paraId="6D6F9F61" w14:textId="081959E7" w:rsidR="00413346" w:rsidRPr="00E80B29" w:rsidRDefault="00140418" w:rsidP="00962FBE">
            <w:pPr>
              <w:pStyle w:val="BodyText"/>
              <w:cnfStyle w:val="000000000000" w:firstRow="0" w:lastRow="0" w:firstColumn="0" w:lastColumn="0" w:oddVBand="0" w:evenVBand="0" w:oddHBand="0" w:evenHBand="0" w:firstRowFirstColumn="0" w:firstRowLastColumn="0" w:lastRowFirstColumn="0" w:lastRowLastColumn="0"/>
            </w:pPr>
            <w:r w:rsidRPr="00E80B29">
              <w:t xml:space="preserve">Internal </w:t>
            </w:r>
            <w:r w:rsidR="00AF2FAA" w:rsidRPr="00E80B29">
              <w:t>spending</w:t>
            </w:r>
            <w:r w:rsidRPr="00E80B29">
              <w:t xml:space="preserve"> for establishment of Outer Island Offices (TOP63,290)</w:t>
            </w:r>
          </w:p>
          <w:p w14:paraId="58642F58" w14:textId="41EE48E7" w:rsidR="00E15401" w:rsidRPr="00E80B29" w:rsidRDefault="00E15401" w:rsidP="00962FBE">
            <w:pPr>
              <w:pStyle w:val="BodyText"/>
              <w:cnfStyle w:val="000000000000" w:firstRow="0" w:lastRow="0" w:firstColumn="0" w:lastColumn="0" w:oddVBand="0" w:evenVBand="0" w:oddHBand="0" w:evenHBand="0" w:firstRowFirstColumn="0" w:firstRowLastColumn="0" w:lastRowFirstColumn="0" w:lastRowLastColumn="0"/>
            </w:pPr>
            <w:r w:rsidRPr="00E80B29">
              <w:t xml:space="preserve">Ministry of Internal Affairs for </w:t>
            </w:r>
            <w:proofErr w:type="spellStart"/>
            <w:r w:rsidRPr="00E80B29">
              <w:t>Fiefia</w:t>
            </w:r>
            <w:proofErr w:type="spellEnd"/>
            <w:r w:rsidRPr="00E80B29">
              <w:t xml:space="preserve"> </w:t>
            </w:r>
            <w:r w:rsidR="00413346" w:rsidRPr="00E80B29">
              <w:t>Sports (workplace-based physical activity) (TOP39,600)</w:t>
            </w:r>
          </w:p>
          <w:p w14:paraId="336BE9EE" w14:textId="7D87A8D0" w:rsidR="00882CCA" w:rsidRPr="00E80B29" w:rsidRDefault="001E16FB" w:rsidP="00962FBE">
            <w:pPr>
              <w:pStyle w:val="BodyText"/>
              <w:cnfStyle w:val="000000000000" w:firstRow="0" w:lastRow="0" w:firstColumn="0" w:lastColumn="0" w:oddVBand="0" w:evenVBand="0" w:oddHBand="0" w:evenHBand="0" w:firstRowFirstColumn="0" w:firstRowLastColumn="0" w:lastRowFirstColumn="0" w:lastRowLastColumn="0"/>
            </w:pPr>
            <w:r w:rsidRPr="00E80B29">
              <w:t xml:space="preserve">Construction of playground for Nuku’alofa </w:t>
            </w:r>
            <w:r w:rsidR="00F246BF" w:rsidRPr="00E80B29">
              <w:t xml:space="preserve">Government </w:t>
            </w:r>
            <w:r w:rsidRPr="00E80B29">
              <w:t>Middle School (TOP39,413)</w:t>
            </w:r>
          </w:p>
          <w:p w14:paraId="33907BF6" w14:textId="09EE3AD8" w:rsidR="001E16FB" w:rsidRPr="00E80B29" w:rsidRDefault="001E16FB" w:rsidP="00962FBE">
            <w:pPr>
              <w:pStyle w:val="BodyText"/>
              <w:cnfStyle w:val="000000000000" w:firstRow="0" w:lastRow="0" w:firstColumn="0" w:lastColumn="0" w:oddVBand="0" w:evenVBand="0" w:oddHBand="0" w:evenHBand="0" w:firstRowFirstColumn="0" w:firstRowLastColumn="0" w:lastRowFirstColumn="0" w:lastRowLastColumn="0"/>
            </w:pPr>
          </w:p>
        </w:tc>
        <w:tc>
          <w:tcPr>
            <w:tcW w:w="2675" w:type="dxa"/>
          </w:tcPr>
          <w:p w14:paraId="67D057B0" w14:textId="2753B430" w:rsidR="00D40ADF" w:rsidRPr="00E80B29" w:rsidRDefault="00D40ADF" w:rsidP="00962FBE">
            <w:pPr>
              <w:pStyle w:val="BodyText"/>
              <w:cnfStyle w:val="000000000000" w:firstRow="0" w:lastRow="0" w:firstColumn="0" w:lastColumn="0" w:oddVBand="0" w:evenVBand="0" w:oddHBand="0" w:evenHBand="0" w:firstRowFirstColumn="0" w:firstRowLastColumn="0" w:lastRowFirstColumn="0" w:lastRowLastColumn="0"/>
            </w:pPr>
            <w:r w:rsidRPr="00E80B29">
              <w:t xml:space="preserve">Nurseries project </w:t>
            </w:r>
            <w:r w:rsidR="00BA0A1D" w:rsidRPr="00E80B29">
              <w:t>(</w:t>
            </w:r>
            <w:r w:rsidR="009B42AF">
              <w:t xml:space="preserve">fruit and vegetable </w:t>
            </w:r>
            <w:r w:rsidR="00BA0A1D" w:rsidRPr="00E80B29">
              <w:t xml:space="preserve">seedling distribution) </w:t>
            </w:r>
            <w:r w:rsidRPr="00E80B29">
              <w:t>(TOP97,511)</w:t>
            </w:r>
          </w:p>
          <w:p w14:paraId="5036776D" w14:textId="52CEEFBF" w:rsidR="00E50C29" w:rsidRPr="00E80B29" w:rsidRDefault="00E50C29" w:rsidP="00962FBE">
            <w:pPr>
              <w:pStyle w:val="BodyText"/>
              <w:cnfStyle w:val="000000000000" w:firstRow="0" w:lastRow="0" w:firstColumn="0" w:lastColumn="0" w:oddVBand="0" w:evenVBand="0" w:oddHBand="0" w:evenHBand="0" w:firstRowFirstColumn="0" w:firstRowLastColumn="0" w:lastRowFirstColumn="0" w:lastRowLastColumn="0"/>
            </w:pPr>
            <w:r w:rsidRPr="00E80B29">
              <w:t xml:space="preserve">Ministry of Internal Affairs for </w:t>
            </w:r>
            <w:proofErr w:type="spellStart"/>
            <w:r w:rsidRPr="00E80B29">
              <w:t>Fiefia</w:t>
            </w:r>
            <w:proofErr w:type="spellEnd"/>
            <w:r w:rsidRPr="00E80B29">
              <w:t xml:space="preserve"> Sports (TOP31,500)</w:t>
            </w:r>
          </w:p>
          <w:p w14:paraId="48F05862" w14:textId="347CF20A" w:rsidR="00882CCA" w:rsidRPr="00E80B29" w:rsidRDefault="006A6842" w:rsidP="00962FBE">
            <w:pPr>
              <w:pStyle w:val="BodyText"/>
              <w:cnfStyle w:val="000000000000" w:firstRow="0" w:lastRow="0" w:firstColumn="0" w:lastColumn="0" w:oddVBand="0" w:evenVBand="0" w:oddHBand="0" w:evenHBand="0" w:firstRowFirstColumn="0" w:firstRowLastColumn="0" w:lastRowFirstColumn="0" w:lastRowLastColumn="0"/>
            </w:pPr>
            <w:r w:rsidRPr="00E80B29">
              <w:t>Ministry of Health for Health Promoting Schools Awards (TOP14,600)</w:t>
            </w:r>
          </w:p>
        </w:tc>
        <w:tc>
          <w:tcPr>
            <w:tcW w:w="2675" w:type="dxa"/>
          </w:tcPr>
          <w:p w14:paraId="6B8769FD" w14:textId="77777777" w:rsidR="00882CCA" w:rsidRPr="00E80B29" w:rsidRDefault="003E232C" w:rsidP="00962FBE">
            <w:pPr>
              <w:pStyle w:val="BodyText"/>
              <w:cnfStyle w:val="000000000000" w:firstRow="0" w:lastRow="0" w:firstColumn="0" w:lastColumn="0" w:oddVBand="0" w:evenVBand="0" w:oddHBand="0" w:evenHBand="0" w:firstRowFirstColumn="0" w:firstRowLastColumn="0" w:lastRowFirstColumn="0" w:lastRowLastColumn="0"/>
            </w:pPr>
            <w:r w:rsidRPr="00E80B29">
              <w:t xml:space="preserve">Construction of school canteen patio for </w:t>
            </w:r>
            <w:proofErr w:type="spellStart"/>
            <w:r w:rsidRPr="00E80B29">
              <w:t>Apifo’ou</w:t>
            </w:r>
            <w:proofErr w:type="spellEnd"/>
            <w:r w:rsidRPr="00E80B29">
              <w:t xml:space="preserve"> College (TOP21,500)</w:t>
            </w:r>
          </w:p>
          <w:p w14:paraId="477B78C9" w14:textId="694F5914" w:rsidR="00E10074" w:rsidRPr="00E80B29" w:rsidRDefault="00E10074" w:rsidP="00962FBE">
            <w:pPr>
              <w:pStyle w:val="BodyText"/>
              <w:cnfStyle w:val="000000000000" w:firstRow="0" w:lastRow="0" w:firstColumn="0" w:lastColumn="0" w:oddVBand="0" w:evenVBand="0" w:oddHBand="0" w:evenHBand="0" w:firstRowFirstColumn="0" w:firstRowLastColumn="0" w:lastRowFirstColumn="0" w:lastRowLastColumn="0"/>
            </w:pPr>
            <w:r w:rsidRPr="00E80B29">
              <w:t xml:space="preserve">Westside Sports Pickleball Tournament; </w:t>
            </w:r>
            <w:r w:rsidR="00145FF7" w:rsidRPr="00E80B29">
              <w:t xml:space="preserve">Kingdom Media Limited for drug and alcohol awareness radio program; </w:t>
            </w:r>
            <w:r w:rsidR="0096200D" w:rsidRPr="00E80B29">
              <w:t xml:space="preserve">Life Impact Incorporated for Zumba; </w:t>
            </w:r>
            <w:proofErr w:type="spellStart"/>
            <w:r w:rsidR="0096200D" w:rsidRPr="00E80B29">
              <w:t>Dassah</w:t>
            </w:r>
            <w:proofErr w:type="spellEnd"/>
            <w:r w:rsidR="0096200D" w:rsidRPr="00E80B29">
              <w:t xml:space="preserve"> Nursery for seedlings (</w:t>
            </w:r>
            <w:r w:rsidR="003D489B" w:rsidRPr="00E80B29">
              <w:t>TOP10,000 each)</w:t>
            </w:r>
          </w:p>
        </w:tc>
        <w:tc>
          <w:tcPr>
            <w:tcW w:w="822" w:type="dxa"/>
          </w:tcPr>
          <w:p w14:paraId="66D59C9F" w14:textId="69A32B2E" w:rsidR="00882CCA" w:rsidRPr="00E80B29" w:rsidRDefault="00BB1B9F" w:rsidP="00962FBE">
            <w:pPr>
              <w:pStyle w:val="BodyText"/>
              <w:cnfStyle w:val="000000000000" w:firstRow="0" w:lastRow="0" w:firstColumn="0" w:lastColumn="0" w:oddVBand="0" w:evenVBand="0" w:oddHBand="0" w:evenHBand="0" w:firstRowFirstColumn="0" w:firstRowLastColumn="0" w:lastRowFirstColumn="0" w:lastRowLastColumn="0"/>
            </w:pPr>
            <w:r>
              <w:t>N/A</w:t>
            </w:r>
          </w:p>
        </w:tc>
      </w:tr>
      <w:tr w:rsidR="00BA0A1D" w:rsidRPr="00E80B29" w14:paraId="63C60061" w14:textId="77777777" w:rsidTr="00E80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dxa"/>
          </w:tcPr>
          <w:p w14:paraId="40C8A671" w14:textId="505A3CD8" w:rsidR="00882CCA" w:rsidRPr="00E80B29" w:rsidRDefault="00BD7417" w:rsidP="00962FBE">
            <w:pPr>
              <w:pStyle w:val="BodyText"/>
            </w:pPr>
            <w:r w:rsidRPr="00E80B29">
              <w:t>Number (%) of grants/sponsorship focussed on Outer Islands</w:t>
            </w:r>
          </w:p>
        </w:tc>
        <w:tc>
          <w:tcPr>
            <w:tcW w:w="2675" w:type="dxa"/>
          </w:tcPr>
          <w:p w14:paraId="6CA61FBB" w14:textId="7DC5257E" w:rsidR="00882CCA" w:rsidRPr="00E80B29" w:rsidRDefault="00BD7417" w:rsidP="00962FBE">
            <w:pPr>
              <w:pStyle w:val="BodyText"/>
              <w:cnfStyle w:val="000000100000" w:firstRow="0" w:lastRow="0" w:firstColumn="0" w:lastColumn="0" w:oddVBand="0" w:evenVBand="0" w:oddHBand="1" w:evenHBand="0" w:firstRowFirstColumn="0" w:firstRowLastColumn="0" w:lastRowFirstColumn="0" w:lastRowLastColumn="0"/>
            </w:pPr>
            <w:r w:rsidRPr="00E80B29">
              <w:t>4 (17%)</w:t>
            </w:r>
          </w:p>
        </w:tc>
        <w:tc>
          <w:tcPr>
            <w:tcW w:w="2675" w:type="dxa"/>
          </w:tcPr>
          <w:p w14:paraId="3C1C2B3D" w14:textId="42E8682F" w:rsidR="00882CCA" w:rsidRPr="00E80B29" w:rsidRDefault="00BD7417" w:rsidP="00962FBE">
            <w:pPr>
              <w:pStyle w:val="BodyText"/>
              <w:cnfStyle w:val="000000100000" w:firstRow="0" w:lastRow="0" w:firstColumn="0" w:lastColumn="0" w:oddVBand="0" w:evenVBand="0" w:oddHBand="1" w:evenHBand="0" w:firstRowFirstColumn="0" w:firstRowLastColumn="0" w:lastRowFirstColumn="0" w:lastRowLastColumn="0"/>
            </w:pPr>
            <w:r w:rsidRPr="00E80B29">
              <w:t>68 (80%)</w:t>
            </w:r>
          </w:p>
        </w:tc>
        <w:tc>
          <w:tcPr>
            <w:tcW w:w="2675" w:type="dxa"/>
          </w:tcPr>
          <w:p w14:paraId="1FB3A8FD" w14:textId="05FC6E79" w:rsidR="00882CCA" w:rsidRPr="00E80B29" w:rsidRDefault="00BD7417" w:rsidP="00962FBE">
            <w:pPr>
              <w:pStyle w:val="BodyText"/>
              <w:cnfStyle w:val="000000100000" w:firstRow="0" w:lastRow="0" w:firstColumn="0" w:lastColumn="0" w:oddVBand="0" w:evenVBand="0" w:oddHBand="1" w:evenHBand="0" w:firstRowFirstColumn="0" w:firstRowLastColumn="0" w:lastRowFirstColumn="0" w:lastRowLastColumn="0"/>
            </w:pPr>
            <w:r w:rsidRPr="00E80B29">
              <w:t>1 (13%)</w:t>
            </w:r>
          </w:p>
        </w:tc>
        <w:tc>
          <w:tcPr>
            <w:tcW w:w="822" w:type="dxa"/>
          </w:tcPr>
          <w:p w14:paraId="4A66C5FB" w14:textId="1F41C350" w:rsidR="00882CCA" w:rsidRPr="00E80B29" w:rsidRDefault="00F32B90" w:rsidP="00962FBE">
            <w:pPr>
              <w:pStyle w:val="BodyText"/>
              <w:cnfStyle w:val="000000100000" w:firstRow="0" w:lastRow="0" w:firstColumn="0" w:lastColumn="0" w:oddVBand="0" w:evenVBand="0" w:oddHBand="1" w:evenHBand="0" w:firstRowFirstColumn="0" w:firstRowLastColumn="0" w:lastRowFirstColumn="0" w:lastRowLastColumn="0"/>
            </w:pPr>
            <w:r w:rsidRPr="00E80B29">
              <w:t>73 (63%)</w:t>
            </w:r>
          </w:p>
        </w:tc>
      </w:tr>
    </w:tbl>
    <w:p w14:paraId="42723D16" w14:textId="58CF62B6" w:rsidR="005F5AAA" w:rsidRPr="007125FC" w:rsidRDefault="005F5AAA" w:rsidP="00DF166F">
      <w:pPr>
        <w:spacing w:line="276" w:lineRule="auto"/>
        <w:ind w:left="720"/>
        <w:rPr>
          <w:lang w:val="en-AU"/>
        </w:rPr>
      </w:pPr>
    </w:p>
    <w:p w14:paraId="387EEFAB" w14:textId="77777777" w:rsidR="001E5FD7" w:rsidRDefault="001E5FD7" w:rsidP="00962FBE">
      <w:pPr>
        <w:pStyle w:val="BodyText"/>
        <w:rPr>
          <w:rFonts w:eastAsiaTheme="minorEastAsia"/>
        </w:rPr>
      </w:pPr>
      <w:r>
        <w:rPr>
          <w:rFonts w:eastAsiaTheme="minorEastAsia"/>
        </w:rPr>
        <w:t xml:space="preserve">Given the high volume of grants, it is beyond the scope of this Review to comprehensively consider the effectiveness of all TongaHealth grants. </w:t>
      </w:r>
      <w:r>
        <w:t>Moreover, without comprehensive</w:t>
      </w:r>
      <w:r w:rsidRPr="00F3772D">
        <w:t xml:space="preserve"> evidence of outcome-level change, it is difficult to determine the extent to which TongaHealth grants result in meaningful, sustained healthy lifestyle changes. </w:t>
      </w:r>
      <w:r>
        <w:rPr>
          <w:rFonts w:eastAsiaTheme="minorEastAsia"/>
        </w:rPr>
        <w:t>However, e</w:t>
      </w:r>
      <w:r w:rsidRPr="00534976">
        <w:rPr>
          <w:rFonts w:eastAsiaTheme="minorEastAsia"/>
        </w:rPr>
        <w:t>xamples of outputs and outcomes arising from</w:t>
      </w:r>
      <w:r>
        <w:rPr>
          <w:rFonts w:eastAsiaTheme="minorEastAsia"/>
        </w:rPr>
        <w:t xml:space="preserve"> a selection of </w:t>
      </w:r>
      <w:r w:rsidRPr="00534976">
        <w:rPr>
          <w:rFonts w:eastAsiaTheme="minorEastAsia"/>
        </w:rPr>
        <w:t>TongaHealth</w:t>
      </w:r>
      <w:r>
        <w:rPr>
          <w:rFonts w:eastAsiaTheme="minorEastAsia"/>
        </w:rPr>
        <w:t xml:space="preserve">’s </w:t>
      </w:r>
      <w:r w:rsidRPr="00534976">
        <w:rPr>
          <w:rFonts w:eastAsiaTheme="minorEastAsia"/>
        </w:rPr>
        <w:t xml:space="preserve">grants are provided </w:t>
      </w:r>
      <w:r>
        <w:rPr>
          <w:rFonts w:eastAsiaTheme="minorEastAsia"/>
        </w:rPr>
        <w:t>in Box 1 below.</w:t>
      </w:r>
    </w:p>
    <w:p w14:paraId="2A5A2188" w14:textId="77777777" w:rsidR="008935B6" w:rsidRDefault="008935B6" w:rsidP="008935B6"/>
    <w:p w14:paraId="78BD48D6" w14:textId="0D705ADA" w:rsidR="001E5FD7" w:rsidRPr="008935B6" w:rsidRDefault="001E5FD7" w:rsidP="00962FBE">
      <w:pPr>
        <w:pStyle w:val="Heading4"/>
        <w:pBdr>
          <w:top w:val="single" w:sz="4" w:space="1" w:color="A64B63" w:themeColor="accent1"/>
          <w:left w:val="single" w:sz="4" w:space="4" w:color="A64B63" w:themeColor="accent1"/>
          <w:bottom w:val="single" w:sz="4" w:space="1" w:color="A64B63" w:themeColor="accent1"/>
          <w:right w:val="single" w:sz="4" w:space="4" w:color="A64B63" w:themeColor="accent1"/>
        </w:pBdr>
        <w:shd w:val="clear" w:color="auto" w:fill="EED9DF" w:themeFill="accent1" w:themeFillTint="33"/>
      </w:pPr>
      <w:r w:rsidRPr="008935B6">
        <w:lastRenderedPageBreak/>
        <w:t>Box 1: Examples of outputs and outcomes from TongaHealth grants</w:t>
      </w:r>
    </w:p>
    <w:p w14:paraId="10A03D9F" w14:textId="77777777" w:rsidR="001E5FD7" w:rsidRPr="00962FBE" w:rsidRDefault="001E5FD7" w:rsidP="00962FBE">
      <w:pPr>
        <w:pBdr>
          <w:top w:val="single" w:sz="4" w:space="1" w:color="A64B63" w:themeColor="accent1"/>
          <w:left w:val="single" w:sz="4" w:space="4" w:color="A64B63" w:themeColor="accent1"/>
          <w:bottom w:val="single" w:sz="4" w:space="1" w:color="A64B63" w:themeColor="accent1"/>
          <w:right w:val="single" w:sz="4" w:space="4" w:color="A64B63" w:themeColor="accent1"/>
        </w:pBdr>
        <w:shd w:val="clear" w:color="auto" w:fill="EED9DF" w:themeFill="accent1" w:themeFillTint="33"/>
      </w:pPr>
      <w:r w:rsidRPr="00962FBE">
        <w:rPr>
          <w:b/>
          <w:bCs/>
        </w:rPr>
        <w:t>Health Promoting Schools (HPS) Awards 2021 and 2022</w:t>
      </w:r>
      <w:r w:rsidRPr="00962FBE">
        <w:t>: The HPS Program is managed by the Ministry of Education (</w:t>
      </w:r>
      <w:proofErr w:type="spellStart"/>
      <w:r w:rsidRPr="00962FBE">
        <w:t>MoE</w:t>
      </w:r>
      <w:proofErr w:type="spellEnd"/>
      <w:r w:rsidRPr="00962FBE">
        <w:t xml:space="preserve">) with technical support from MoH and WHO. TongaHealth provided prize money for schools achieving Bronze, Silver, </w:t>
      </w:r>
      <w:proofErr w:type="gramStart"/>
      <w:r w:rsidRPr="00962FBE">
        <w:t>Gold</w:t>
      </w:r>
      <w:proofErr w:type="gramEnd"/>
      <w:r w:rsidRPr="00962FBE">
        <w:t xml:space="preserve"> and Platinum status in the Health Promoting Schools framework. The prize money is used by schools to help implement their HPS Actions Plans, targeting the three key areas of the HPS Framework (diet and physical activity; water, </w:t>
      </w:r>
      <w:proofErr w:type="gramStart"/>
      <w:r w:rsidRPr="00962FBE">
        <w:t>sanitation</w:t>
      </w:r>
      <w:proofErr w:type="gramEnd"/>
      <w:r w:rsidRPr="00962FBE">
        <w:t xml:space="preserve"> and hygiene; mental health) by buying </w:t>
      </w:r>
      <w:r w:rsidRPr="008935B6">
        <w:t xml:space="preserve">health-promoting items (e.g. cleaning products, sports equipment, garden tools). Prize money was awarded to 38 schools in 2021, and 46 schools in 2022.  Interviewees for this Review stated that the TongaHealth grants contribute to noticeable improvements in the school </w:t>
      </w:r>
      <w:proofErr w:type="gramStart"/>
      <w:r w:rsidRPr="008935B6">
        <w:t>environment, and</w:t>
      </w:r>
      <w:proofErr w:type="gramEnd"/>
      <w:r w:rsidRPr="008935B6">
        <w:t xml:space="preserve"> have enabled schools to maintain and improve their performance in annual HPS assessments.</w:t>
      </w:r>
    </w:p>
    <w:p w14:paraId="3F71FA86" w14:textId="77777777" w:rsidR="001E5FD7" w:rsidRPr="00962FBE" w:rsidRDefault="001E5FD7" w:rsidP="00962FBE">
      <w:pPr>
        <w:pBdr>
          <w:top w:val="single" w:sz="4" w:space="1" w:color="A64B63" w:themeColor="accent1"/>
          <w:left w:val="single" w:sz="4" w:space="4" w:color="A64B63" w:themeColor="accent1"/>
          <w:bottom w:val="single" w:sz="4" w:space="1" w:color="A64B63" w:themeColor="accent1"/>
          <w:right w:val="single" w:sz="4" w:space="4" w:color="A64B63" w:themeColor="accent1"/>
        </w:pBdr>
        <w:shd w:val="clear" w:color="auto" w:fill="EED9DF" w:themeFill="accent1" w:themeFillTint="33"/>
      </w:pPr>
      <w:proofErr w:type="spellStart"/>
      <w:r w:rsidRPr="00962FBE">
        <w:rPr>
          <w:b/>
          <w:bCs/>
        </w:rPr>
        <w:t>Fiefia</w:t>
      </w:r>
      <w:proofErr w:type="spellEnd"/>
      <w:r w:rsidRPr="00962FBE">
        <w:rPr>
          <w:b/>
          <w:bCs/>
        </w:rPr>
        <w:t xml:space="preserve"> Sports 2021 and 2022:</w:t>
      </w:r>
      <w:r w:rsidRPr="00962FBE">
        <w:t xml:space="preserve"> </w:t>
      </w:r>
      <w:proofErr w:type="spellStart"/>
      <w:r w:rsidRPr="00962FBE">
        <w:t>Fiefia</w:t>
      </w:r>
      <w:proofErr w:type="spellEnd"/>
      <w:r w:rsidRPr="00962FBE">
        <w:t xml:space="preserve"> Sports is an annual workplace sports competition, held over 10 weeks (September to December) in </w:t>
      </w:r>
      <w:proofErr w:type="spellStart"/>
      <w:r w:rsidRPr="00962FBE">
        <w:t>Tongatapu</w:t>
      </w:r>
      <w:proofErr w:type="spellEnd"/>
      <w:r w:rsidRPr="00962FBE">
        <w:t>, ‘</w:t>
      </w:r>
      <w:proofErr w:type="spellStart"/>
      <w:r w:rsidRPr="00962FBE">
        <w:t>Eua</w:t>
      </w:r>
      <w:proofErr w:type="spellEnd"/>
      <w:r w:rsidRPr="00962FBE">
        <w:t xml:space="preserve">, </w:t>
      </w:r>
      <w:proofErr w:type="spellStart"/>
      <w:r w:rsidRPr="00962FBE">
        <w:t>Vava’u</w:t>
      </w:r>
      <w:proofErr w:type="spellEnd"/>
      <w:r w:rsidRPr="00962FBE">
        <w:t xml:space="preserve"> and </w:t>
      </w:r>
      <w:proofErr w:type="spellStart"/>
      <w:r w:rsidRPr="00962FBE">
        <w:t>Ha’apai</w:t>
      </w:r>
      <w:proofErr w:type="spellEnd"/>
      <w:r w:rsidRPr="00962FBE">
        <w:t xml:space="preserve">). It is led by the Ministry of Internal Affairs (MIA) to promote employee participation in physical activity. The number of workplaces participating in the annual </w:t>
      </w:r>
      <w:proofErr w:type="spellStart"/>
      <w:r w:rsidRPr="00962FBE">
        <w:t>Fiefia</w:t>
      </w:r>
      <w:proofErr w:type="spellEnd"/>
      <w:r w:rsidRPr="00962FBE">
        <w:t xml:space="preserve"> Sports increases each year (e.g. 32 workplaces in 2021 and 35 in 2022) with over 400 employees participating.  TongaHealth is the major sponsor of the event, with grants used to purchase or hire sports equipment, and to maintain the Committee who oversee the running of the competition. Interviewees for this Review reported that </w:t>
      </w:r>
      <w:proofErr w:type="spellStart"/>
      <w:r w:rsidRPr="00962FBE">
        <w:t>Fiefia</w:t>
      </w:r>
      <w:proofErr w:type="spellEnd"/>
      <w:r w:rsidRPr="00962FBE">
        <w:t xml:space="preserve"> Sports is a much-anticipated event which people find fun and enjoyable, and that participants increase their physical activity by training for, and participating in, the competition.</w:t>
      </w:r>
    </w:p>
    <w:p w14:paraId="2DAA1178" w14:textId="13399B87" w:rsidR="00946A7A" w:rsidRPr="00962FBE" w:rsidRDefault="001E5FD7" w:rsidP="00962FBE">
      <w:pPr>
        <w:pBdr>
          <w:top w:val="single" w:sz="4" w:space="1" w:color="A64B63" w:themeColor="accent1"/>
          <w:left w:val="single" w:sz="4" w:space="4" w:color="A64B63" w:themeColor="accent1"/>
          <w:bottom w:val="single" w:sz="4" w:space="1" w:color="A64B63" w:themeColor="accent1"/>
          <w:right w:val="single" w:sz="4" w:space="4" w:color="A64B63" w:themeColor="accent1"/>
        </w:pBdr>
        <w:shd w:val="clear" w:color="auto" w:fill="EED9DF" w:themeFill="accent1" w:themeFillTint="33"/>
      </w:pPr>
      <w:r w:rsidRPr="00962FBE">
        <w:rPr>
          <w:b/>
          <w:bCs/>
        </w:rPr>
        <w:t>Zumba classes:</w:t>
      </w:r>
      <w:r w:rsidRPr="00962FBE">
        <w:t xml:space="preserve"> TongaHealth funds a range of </w:t>
      </w:r>
      <w:proofErr w:type="spellStart"/>
      <w:r w:rsidRPr="00962FBE">
        <w:t>organisations</w:t>
      </w:r>
      <w:proofErr w:type="spellEnd"/>
      <w:r w:rsidRPr="00962FBE">
        <w:t xml:space="preserve"> to deliver Zumba classes. The funding is used to buy speakers and pay for Zumba instructors. The classes are free for anyone to join. Funded </w:t>
      </w:r>
      <w:proofErr w:type="spellStart"/>
      <w:r w:rsidRPr="00962FBE">
        <w:t>organisations</w:t>
      </w:r>
      <w:proofErr w:type="spellEnd"/>
      <w:r w:rsidRPr="00962FBE">
        <w:t xml:space="preserve"> include </w:t>
      </w:r>
      <w:proofErr w:type="spellStart"/>
      <w:r w:rsidRPr="00962FBE">
        <w:t>Sunia</w:t>
      </w:r>
      <w:proofErr w:type="spellEnd"/>
      <w:r w:rsidRPr="00962FBE">
        <w:t xml:space="preserve"> </w:t>
      </w:r>
      <w:proofErr w:type="spellStart"/>
      <w:r w:rsidRPr="00962FBE">
        <w:t>Mafileo</w:t>
      </w:r>
      <w:proofErr w:type="spellEnd"/>
      <w:r w:rsidRPr="00962FBE">
        <w:t xml:space="preserve"> Gym, who provided 6 Zumba classes for 13 weeks in FY21/22 in Nuku’alofa with 50-70 participants per class; and Breakthrough Nation Tonga who provided 6 Zumba classes for 12 weeks in FY21/22 in </w:t>
      </w:r>
      <w:proofErr w:type="spellStart"/>
      <w:r w:rsidRPr="00962FBE">
        <w:t>Hahake</w:t>
      </w:r>
      <w:proofErr w:type="spellEnd"/>
      <w:r w:rsidRPr="00962FBE">
        <w:t xml:space="preserve"> and </w:t>
      </w:r>
      <w:proofErr w:type="spellStart"/>
      <w:r w:rsidRPr="00962FBE">
        <w:t>Hihifo</w:t>
      </w:r>
      <w:proofErr w:type="spellEnd"/>
      <w:r w:rsidRPr="00962FBE">
        <w:t xml:space="preserve"> districts. Both </w:t>
      </w:r>
      <w:proofErr w:type="spellStart"/>
      <w:r w:rsidRPr="00962FBE">
        <w:t>organisations</w:t>
      </w:r>
      <w:proofErr w:type="spellEnd"/>
      <w:r w:rsidRPr="00962FBE">
        <w:t xml:space="preserve"> also trained new Zumba instructors to run Zumba classes beyond the grant period. End-of-project reports, and interviews for this Review, anecdotally report that regular participants increased their physical activity and lost weight </w:t>
      </w:r>
      <w:proofErr w:type="gramStart"/>
      <w:r w:rsidRPr="00962FBE">
        <w:t>as a result of</w:t>
      </w:r>
      <w:proofErr w:type="gramEnd"/>
      <w:r w:rsidRPr="00962FBE">
        <w:t xml:space="preserve"> the Zumba sessions. </w:t>
      </w:r>
    </w:p>
    <w:p w14:paraId="0A1B6655" w14:textId="19A1DA17" w:rsidR="00946A7A" w:rsidRPr="00962FBE" w:rsidRDefault="001E5FD7" w:rsidP="00962FBE">
      <w:pPr>
        <w:pBdr>
          <w:top w:val="single" w:sz="4" w:space="1" w:color="A64B63" w:themeColor="accent1"/>
          <w:left w:val="single" w:sz="4" w:space="4" w:color="A64B63" w:themeColor="accent1"/>
          <w:bottom w:val="single" w:sz="4" w:space="1" w:color="A64B63" w:themeColor="accent1"/>
          <w:right w:val="single" w:sz="4" w:space="4" w:color="A64B63" w:themeColor="accent1"/>
        </w:pBdr>
        <w:shd w:val="clear" w:color="auto" w:fill="EED9DF" w:themeFill="accent1" w:themeFillTint="33"/>
      </w:pPr>
      <w:r w:rsidRPr="00962FBE">
        <w:rPr>
          <w:b/>
          <w:bCs/>
        </w:rPr>
        <w:t>Seedling distribution:</w:t>
      </w:r>
      <w:r w:rsidRPr="00962FBE">
        <w:t xml:space="preserve"> To support national recovery efforts after the </w:t>
      </w:r>
      <w:proofErr w:type="spellStart"/>
      <w:r w:rsidRPr="00962FBE">
        <w:t>Hunga</w:t>
      </w:r>
      <w:proofErr w:type="spellEnd"/>
      <w:r w:rsidRPr="00962FBE">
        <w:t xml:space="preserve"> Tonga </w:t>
      </w:r>
      <w:proofErr w:type="spellStart"/>
      <w:r w:rsidRPr="00962FBE">
        <w:t>Hunga</w:t>
      </w:r>
      <w:proofErr w:type="spellEnd"/>
      <w:r w:rsidRPr="00962FBE">
        <w:t xml:space="preserve"> </w:t>
      </w:r>
      <w:proofErr w:type="spellStart"/>
      <w:r w:rsidRPr="00962FBE">
        <w:t>Ha’apai</w:t>
      </w:r>
      <w:proofErr w:type="spellEnd"/>
      <w:r w:rsidRPr="00962FBE">
        <w:t xml:space="preserve"> volcanic eruption, TongaHealth partnered with private sector nurseries to provide vegetables and fruit tree seedlings for households and community groups. A total of 10 private nurseries were supported by TongaHealth in FY21/22 and 22/23, and over 2,500 trays of fruit and vegetable seedlings were distributed to households, </w:t>
      </w:r>
      <w:proofErr w:type="gramStart"/>
      <w:r w:rsidRPr="00962FBE">
        <w:t>schools</w:t>
      </w:r>
      <w:proofErr w:type="gramEnd"/>
      <w:r w:rsidRPr="00962FBE">
        <w:t xml:space="preserve"> and community groups. </w:t>
      </w:r>
      <w:r w:rsidRPr="008935B6">
        <w:t>I</w:t>
      </w:r>
      <w:r w:rsidRPr="00962FBE">
        <w:t>nterviewees reported a range of positive outcomes, including people growing fruit and vegetables for home consumption, and generating additional income by selling fruit and vegetables at the market.</w:t>
      </w:r>
    </w:p>
    <w:p w14:paraId="66E6EBC7" w14:textId="786CD0C8" w:rsidR="00801095" w:rsidRPr="00D000CC" w:rsidRDefault="001E5FD7" w:rsidP="00962FBE">
      <w:pPr>
        <w:pBdr>
          <w:top w:val="single" w:sz="4" w:space="1" w:color="A64B63" w:themeColor="accent1"/>
          <w:left w:val="single" w:sz="4" w:space="4" w:color="A64B63" w:themeColor="accent1"/>
          <w:bottom w:val="single" w:sz="4" w:space="1" w:color="A64B63" w:themeColor="accent1"/>
          <w:right w:val="single" w:sz="4" w:space="4" w:color="A64B63" w:themeColor="accent1"/>
        </w:pBdr>
        <w:shd w:val="clear" w:color="auto" w:fill="EED9DF" w:themeFill="accent1" w:themeFillTint="33"/>
        <w:rPr>
          <w:lang w:eastAsia="en-AU"/>
        </w:rPr>
      </w:pPr>
      <w:r w:rsidRPr="00962FBE">
        <w:rPr>
          <w:b/>
          <w:bCs/>
        </w:rPr>
        <w:t>Mai e Nima:</w:t>
      </w:r>
      <w:r w:rsidRPr="00962FBE">
        <w:t xml:space="preserve"> </w:t>
      </w:r>
      <w:r w:rsidRPr="008935B6">
        <w:t xml:space="preserve">Mai e Nima is a school-based program delivered by the National Rugby League (NRL) in partnership with </w:t>
      </w:r>
      <w:proofErr w:type="spellStart"/>
      <w:r w:rsidRPr="008935B6">
        <w:t>MoE</w:t>
      </w:r>
      <w:proofErr w:type="spellEnd"/>
      <w:r w:rsidRPr="008935B6">
        <w:t xml:space="preserve">, which aims to establish healthy lifestyle habits in children. It is a 10-lesson program delivered to all schools in </w:t>
      </w:r>
      <w:proofErr w:type="spellStart"/>
      <w:r w:rsidRPr="008935B6">
        <w:t>Tongatapu</w:t>
      </w:r>
      <w:proofErr w:type="spellEnd"/>
      <w:r w:rsidRPr="008935B6">
        <w:t>, with a modified one-day session for outer islands. The program targets Year 5 students, and covers topics such as healthy lifestyles, food, hydration, sleep, bullying and physical activity. Mai e Nima also runs other activities including radio shows, school and community gardens and TV shows to complement their school-based work. While Mai e Nima is funded and delivered by NRL, TongaHealth grants from FY16/17 to FY20/21</w:t>
      </w:r>
      <w:r w:rsidRPr="00962FBE">
        <w:footnoteReference w:id="7"/>
      </w:r>
      <w:r w:rsidRPr="008935B6">
        <w:t xml:space="preserve"> provided funds for development of program resources, staff salaries, and funded staff travel to schools on </w:t>
      </w:r>
      <w:proofErr w:type="spellStart"/>
      <w:r w:rsidRPr="008935B6">
        <w:t>Tongatapu</w:t>
      </w:r>
      <w:proofErr w:type="spellEnd"/>
      <w:r w:rsidRPr="008935B6">
        <w:t xml:space="preserve"> and outer islands. In the grant period, Mai e Nima was delivered in 71 schools across </w:t>
      </w:r>
      <w:proofErr w:type="spellStart"/>
      <w:r w:rsidRPr="008935B6">
        <w:t>Tongatapu</w:t>
      </w:r>
      <w:proofErr w:type="spellEnd"/>
      <w:r w:rsidRPr="008935B6">
        <w:t xml:space="preserve">, </w:t>
      </w:r>
      <w:proofErr w:type="spellStart"/>
      <w:r w:rsidRPr="008935B6">
        <w:t>Vava’u</w:t>
      </w:r>
      <w:proofErr w:type="spellEnd"/>
      <w:r w:rsidRPr="008935B6">
        <w:t xml:space="preserve">, </w:t>
      </w:r>
      <w:proofErr w:type="spellStart"/>
      <w:r w:rsidRPr="008935B6">
        <w:t>Ha’apai</w:t>
      </w:r>
      <w:proofErr w:type="spellEnd"/>
      <w:r w:rsidRPr="008935B6">
        <w:t xml:space="preserve"> and ‘</w:t>
      </w:r>
      <w:proofErr w:type="spellStart"/>
      <w:r w:rsidRPr="008935B6">
        <w:t>Eua</w:t>
      </w:r>
      <w:proofErr w:type="spellEnd"/>
      <w:r w:rsidRPr="008935B6">
        <w:t xml:space="preserve">, and school gardens were established in 18 schools in </w:t>
      </w:r>
      <w:proofErr w:type="spellStart"/>
      <w:r w:rsidRPr="008935B6">
        <w:t>Tongatapu</w:t>
      </w:r>
      <w:proofErr w:type="spellEnd"/>
      <w:r w:rsidRPr="008935B6">
        <w:t>. Pre-post assessments show participants increased knowledge about healthy eating and physical activity, and increased consumption of water and fruit and vegetables.</w:t>
      </w:r>
      <w:r>
        <w:t xml:space="preserve"> </w:t>
      </w:r>
    </w:p>
    <w:p w14:paraId="760F9915" w14:textId="4693934B" w:rsidR="005D22E9" w:rsidRDefault="00CB0A66" w:rsidP="00962FBE">
      <w:pPr>
        <w:pStyle w:val="BodyText"/>
      </w:pPr>
      <w:r w:rsidRPr="00505546">
        <w:t>Compared to TongaHealth’s quite narrow focus on grants for physical activity and healthy diet (mostly via sports programs/equipment and seedlings/gardening), under the previous Complex Grant Agreement (2016-2020) TongaHealth funded projects on a wider range of topics, and with a stronger population-level focus.</w:t>
      </w:r>
      <w:r w:rsidRPr="00BF0E77">
        <w:t xml:space="preserve"> </w:t>
      </w:r>
      <w:r>
        <w:t xml:space="preserve">While physical activity grants still </w:t>
      </w:r>
      <w:r>
        <w:lastRenderedPageBreak/>
        <w:t xml:space="preserve">featured heavily, they </w:t>
      </w:r>
      <w:r w:rsidR="00FE209A">
        <w:t xml:space="preserve">tended to have a stronger focus on funding </w:t>
      </w:r>
      <w:proofErr w:type="spellStart"/>
      <w:r>
        <w:t>GoT</w:t>
      </w:r>
      <w:proofErr w:type="spellEnd"/>
      <w:r>
        <w:t xml:space="preserve"> agencies (particularly the Ministry of Internal Affairs) for large-scale programs such as </w:t>
      </w:r>
      <w:proofErr w:type="spellStart"/>
      <w:r>
        <w:t>Fiefia</w:t>
      </w:r>
      <w:proofErr w:type="spellEnd"/>
      <w:r>
        <w:t xml:space="preserve"> sports, </w:t>
      </w:r>
      <w:r w:rsidR="00FE209A">
        <w:t xml:space="preserve">or on </w:t>
      </w:r>
      <w:r>
        <w:t xml:space="preserve">building capacity of volunteers to deliver these programs without ongoing funding. </w:t>
      </w:r>
      <w:r w:rsidR="00045BA5">
        <w:t xml:space="preserve">Under the previous Grant Agreement </w:t>
      </w:r>
      <w:r>
        <w:t xml:space="preserve">TongaHealth also supported media awareness campaigns (e.g. for sugar, </w:t>
      </w:r>
      <w:proofErr w:type="gramStart"/>
      <w:r>
        <w:t>salt</w:t>
      </w:r>
      <w:proofErr w:type="gramEnd"/>
      <w:r>
        <w:t xml:space="preserve"> and tobacco, including funding the evaluation of the 2020 tobacco mass media campaign), and provided much more support to tobacco and alcohol awareness than currently (e.g. supporting training on enforcement of tobacco and alcohol legislation, funding annual tobacco and alcohol awareness campaigns, supporting community-based drug and alcohol awareness outreach). It is recommended that TongaHealth revert to this previous approach of </w:t>
      </w:r>
      <w:r w:rsidRPr="006A5F09">
        <w:t xml:space="preserve">funding higher-value grants, on more diverse topics, with a stronger population-level </w:t>
      </w:r>
      <w:proofErr w:type="gramStart"/>
      <w:r w:rsidRPr="006A5F09">
        <w:t>focus</w:t>
      </w:r>
      <w:r w:rsidR="00127DA6">
        <w:t xml:space="preserve"> </w:t>
      </w:r>
      <w:r w:rsidR="00224204">
        <w:t xml:space="preserve"> -</w:t>
      </w:r>
      <w:proofErr w:type="gramEnd"/>
      <w:r w:rsidR="00224204">
        <w:t xml:space="preserve"> </w:t>
      </w:r>
      <w:r w:rsidR="00127DA6">
        <w:t>as well as</w:t>
      </w:r>
      <w:r w:rsidR="00224204">
        <w:t xml:space="preserve"> with a stronger focus on complementing the work of </w:t>
      </w:r>
      <w:proofErr w:type="spellStart"/>
      <w:r w:rsidR="00224204">
        <w:t>GoT</w:t>
      </w:r>
      <w:proofErr w:type="spellEnd"/>
      <w:r w:rsidR="00224204">
        <w:t xml:space="preserve"> agencies</w:t>
      </w:r>
      <w:r w:rsidRPr="006A5F09">
        <w:t>.</w:t>
      </w:r>
    </w:p>
    <w:p w14:paraId="6D6BD96A" w14:textId="77777777" w:rsidR="00884535" w:rsidRDefault="002F41C9" w:rsidP="00962FBE">
      <w:pPr>
        <w:pStyle w:val="BodyText"/>
      </w:pPr>
      <w:r>
        <w:t>A</w:t>
      </w:r>
      <w:r w:rsidRPr="00F3772D">
        <w:t xml:space="preserve">necdotally, the most successful projects are those delivered in partnership with </w:t>
      </w:r>
      <w:proofErr w:type="spellStart"/>
      <w:r w:rsidRPr="00F3772D">
        <w:t>GoT</w:t>
      </w:r>
      <w:proofErr w:type="spellEnd"/>
      <w:r w:rsidRPr="00F3772D">
        <w:t xml:space="preserve"> agencies and others with strong technical expertise. </w:t>
      </w:r>
      <w:r w:rsidRPr="00C843B1">
        <w:rPr>
          <w:b/>
          <w:bCs/>
        </w:rPr>
        <w:t xml:space="preserve">Partnering with </w:t>
      </w:r>
      <w:proofErr w:type="spellStart"/>
      <w:r w:rsidRPr="00C843B1">
        <w:rPr>
          <w:b/>
          <w:bCs/>
        </w:rPr>
        <w:t>GoT</w:t>
      </w:r>
      <w:proofErr w:type="spellEnd"/>
      <w:r w:rsidRPr="00C843B1">
        <w:rPr>
          <w:b/>
          <w:bCs/>
        </w:rPr>
        <w:t xml:space="preserve"> agencies allows TongaHealth to leverage the technical </w:t>
      </w:r>
      <w:r>
        <w:rPr>
          <w:b/>
          <w:bCs/>
        </w:rPr>
        <w:t xml:space="preserve">and implementation </w:t>
      </w:r>
      <w:r w:rsidRPr="00C843B1">
        <w:rPr>
          <w:b/>
          <w:bCs/>
        </w:rPr>
        <w:t xml:space="preserve">expertise of </w:t>
      </w:r>
      <w:proofErr w:type="spellStart"/>
      <w:r w:rsidRPr="00C843B1">
        <w:rPr>
          <w:b/>
          <w:bCs/>
        </w:rPr>
        <w:t>GoT</w:t>
      </w:r>
      <w:proofErr w:type="spellEnd"/>
      <w:r w:rsidRPr="00C843B1">
        <w:rPr>
          <w:b/>
          <w:bCs/>
        </w:rPr>
        <w:t xml:space="preserve"> </w:t>
      </w:r>
      <w:proofErr w:type="gramStart"/>
      <w:r w:rsidRPr="00C843B1">
        <w:rPr>
          <w:b/>
          <w:bCs/>
        </w:rPr>
        <w:t>agencies, and</w:t>
      </w:r>
      <w:proofErr w:type="gramEnd"/>
      <w:r w:rsidRPr="00C843B1">
        <w:rPr>
          <w:b/>
          <w:bCs/>
        </w:rPr>
        <w:t xml:space="preserve"> maximises population-level reach as </w:t>
      </w:r>
      <w:proofErr w:type="spellStart"/>
      <w:r w:rsidRPr="00C843B1">
        <w:rPr>
          <w:b/>
          <w:bCs/>
        </w:rPr>
        <w:t>GoT</w:t>
      </w:r>
      <w:proofErr w:type="spellEnd"/>
      <w:r w:rsidRPr="00C843B1">
        <w:rPr>
          <w:b/>
          <w:bCs/>
        </w:rPr>
        <w:t xml:space="preserve"> agencies typically implement country-wide programs.</w:t>
      </w:r>
      <w:r>
        <w:t xml:space="preserve"> Many stakeholders</w:t>
      </w:r>
      <w:r w:rsidR="00B739E9">
        <w:t xml:space="preserve"> interviewed for this Review</w:t>
      </w:r>
      <w:r>
        <w:t xml:space="preserve"> considered that the ‘ideal model’ is for TongaHealth funding to be allocated to large-scale projects driven by </w:t>
      </w:r>
      <w:proofErr w:type="spellStart"/>
      <w:r>
        <w:t>GoT</w:t>
      </w:r>
      <w:proofErr w:type="spellEnd"/>
      <w:r>
        <w:t xml:space="preserve"> agencies. Examples include TongaHealth funding the HPS Awards (complementing </w:t>
      </w:r>
      <w:proofErr w:type="spellStart"/>
      <w:r>
        <w:t>MoE</w:t>
      </w:r>
      <w:proofErr w:type="spellEnd"/>
      <w:r>
        <w:t xml:space="preserve"> and MoH’s coordination and technical support to the HPS program); and funding the promotion of the Tonga Guidelines for Healthy Living via radio and television (complementing MAFF</w:t>
      </w:r>
      <w:r w:rsidR="009D3B7B">
        <w:t xml:space="preserve">’s technical leadership </w:t>
      </w:r>
      <w:r>
        <w:t xml:space="preserve">in developing the Guidelines). </w:t>
      </w:r>
    </w:p>
    <w:p w14:paraId="7C29B4AF" w14:textId="36177E3C" w:rsidR="002F41C9" w:rsidRDefault="002F41C9" w:rsidP="00DF166F">
      <w:pPr>
        <w:spacing w:line="276" w:lineRule="auto"/>
      </w:pPr>
      <w:r w:rsidRPr="002914A7">
        <w:rPr>
          <w:b/>
          <w:bCs/>
        </w:rPr>
        <w:t>Partner</w:t>
      </w:r>
      <w:r>
        <w:rPr>
          <w:b/>
          <w:bCs/>
        </w:rPr>
        <w:t xml:space="preserve">ing with NGOs with </w:t>
      </w:r>
      <w:r w:rsidRPr="002914A7">
        <w:rPr>
          <w:b/>
          <w:bCs/>
        </w:rPr>
        <w:t>technical and implementation expertise</w:t>
      </w:r>
      <w:r>
        <w:rPr>
          <w:b/>
          <w:bCs/>
        </w:rPr>
        <w:t xml:space="preserve"> allows TongaHealth to support activities that complement </w:t>
      </w:r>
      <w:proofErr w:type="spellStart"/>
      <w:r>
        <w:rPr>
          <w:b/>
          <w:bCs/>
        </w:rPr>
        <w:t>GoT</w:t>
      </w:r>
      <w:proofErr w:type="spellEnd"/>
      <w:r>
        <w:rPr>
          <w:b/>
          <w:bCs/>
        </w:rPr>
        <w:t xml:space="preserve"> initiatives, as well as fostering innovation. </w:t>
      </w:r>
      <w:r w:rsidRPr="008F1070">
        <w:t xml:space="preserve">For example, </w:t>
      </w:r>
      <w:r>
        <w:t>Mai e Nima commenced as a pilot project with TongaHealth funding in FY16/</w:t>
      </w:r>
      <w:proofErr w:type="gramStart"/>
      <w:r>
        <w:t>17, and</w:t>
      </w:r>
      <w:proofErr w:type="gramEnd"/>
      <w:r>
        <w:t xml:space="preserve"> has subsequently been scaled up to reach all primary schools in Tonga, </w:t>
      </w:r>
      <w:r w:rsidR="00927E5D">
        <w:t xml:space="preserve">becoming </w:t>
      </w:r>
      <w:r>
        <w:t xml:space="preserve">one of the main sources of healthy lifestyle education for primary school-aged children. A </w:t>
      </w:r>
      <w:r w:rsidRPr="002914A7">
        <w:t xml:space="preserve">grant to </w:t>
      </w:r>
      <w:proofErr w:type="spellStart"/>
      <w:r w:rsidRPr="002914A7">
        <w:t>Uluaki</w:t>
      </w:r>
      <w:proofErr w:type="spellEnd"/>
      <w:r w:rsidRPr="002914A7">
        <w:t xml:space="preserve"> </w:t>
      </w:r>
      <w:proofErr w:type="spellStart"/>
      <w:r w:rsidRPr="002914A7">
        <w:t>Faiako</w:t>
      </w:r>
      <w:proofErr w:type="spellEnd"/>
      <w:r w:rsidRPr="002914A7">
        <w:t xml:space="preserve">, one of very few agencies focused on early childhood development, </w:t>
      </w:r>
      <w:r>
        <w:t>was used</w:t>
      </w:r>
      <w:r w:rsidR="008841FB">
        <w:t xml:space="preserve"> in FY2</w:t>
      </w:r>
      <w:r w:rsidR="002625E9">
        <w:t>0/21</w:t>
      </w:r>
      <w:r>
        <w:t xml:space="preserve"> to raise </w:t>
      </w:r>
      <w:r w:rsidR="00B36BEE">
        <w:t xml:space="preserve">parents’ </w:t>
      </w:r>
      <w:r>
        <w:t>awareness of NCDs and support them to establish home gardens, as well as promoting positive play-based engagement between parents and children. A</w:t>
      </w:r>
      <w:r w:rsidRPr="002914A7">
        <w:t xml:space="preserve"> grant to LATA</w:t>
      </w:r>
      <w:r w:rsidR="00D55C4C">
        <w:t xml:space="preserve"> (an OPD)</w:t>
      </w:r>
      <w:r w:rsidR="00A872F3">
        <w:t xml:space="preserve"> </w:t>
      </w:r>
      <w:r>
        <w:t>in FY20/21</w:t>
      </w:r>
      <w:r w:rsidRPr="002914A7">
        <w:t xml:space="preserve"> to conduct a Disability Inclusive Health workshop with MoH, which was considered to have ‘opened doors’ for ongoing engagement between LATA and MoH.</w:t>
      </w:r>
      <w:r w:rsidR="00831526">
        <w:t xml:space="preserve"> </w:t>
      </w:r>
      <w:proofErr w:type="gramStart"/>
      <w:r w:rsidR="00831526">
        <w:t>All of</w:t>
      </w:r>
      <w:proofErr w:type="gramEnd"/>
      <w:r w:rsidR="00831526">
        <w:t xml:space="preserve"> these </w:t>
      </w:r>
      <w:proofErr w:type="spellStart"/>
      <w:r w:rsidR="00831526">
        <w:t>organisations</w:t>
      </w:r>
      <w:proofErr w:type="spellEnd"/>
      <w:r w:rsidR="00831526">
        <w:t xml:space="preserve"> reported that without TongaHealth’s financial support, these activities would not have been possible. </w:t>
      </w:r>
    </w:p>
    <w:p w14:paraId="744071A7" w14:textId="158BD577" w:rsidR="00D257A4" w:rsidRDefault="00D257A4" w:rsidP="00962FBE">
      <w:pPr>
        <w:pStyle w:val="BodyText"/>
      </w:pPr>
      <w:r w:rsidRPr="001E6631">
        <w:rPr>
          <w:b/>
          <w:bCs/>
        </w:rPr>
        <w:t xml:space="preserve">Conversely, several </w:t>
      </w:r>
      <w:r w:rsidR="00333A20">
        <w:rPr>
          <w:b/>
          <w:bCs/>
        </w:rPr>
        <w:t>grant recipients</w:t>
      </w:r>
      <w:r w:rsidRPr="001E6631">
        <w:rPr>
          <w:b/>
          <w:bCs/>
        </w:rPr>
        <w:t xml:space="preserve"> interviewed for this Review </w:t>
      </w:r>
      <w:r>
        <w:rPr>
          <w:b/>
          <w:bCs/>
        </w:rPr>
        <w:t>described</w:t>
      </w:r>
      <w:r w:rsidRPr="001E6631">
        <w:rPr>
          <w:b/>
          <w:bCs/>
        </w:rPr>
        <w:t xml:space="preserve"> challenges related to a lack of technical expertise.</w:t>
      </w:r>
      <w:r w:rsidR="0069634A">
        <w:t xml:space="preserve"> </w:t>
      </w:r>
      <w:r>
        <w:t xml:space="preserve">For example, a common concern about TongaHealth’s </w:t>
      </w:r>
      <w:r w:rsidR="003C71E8">
        <w:t>seedling/gardening projects</w:t>
      </w:r>
      <w:r w:rsidR="00B91E69">
        <w:t xml:space="preserve"> was that many people who receive seedlings/gardening </w:t>
      </w:r>
      <w:r w:rsidR="004F5027">
        <w:t xml:space="preserve">supplies </w:t>
      </w:r>
      <w:r w:rsidR="00BC738B">
        <w:t>d</w:t>
      </w:r>
      <w:r w:rsidR="004F5027">
        <w:t xml:space="preserve">o not have the expertise to grow and maintain gardens, resulting in seedlings dying or being eaten by insects. Several interviewees </w:t>
      </w:r>
      <w:r w:rsidR="0059363D" w:rsidRPr="009D7F16">
        <w:t>suggested</w:t>
      </w:r>
      <w:r w:rsidR="004F5027" w:rsidRPr="009D7F16">
        <w:t xml:space="preserve"> that </w:t>
      </w:r>
      <w:r w:rsidRPr="009D7F16">
        <w:t xml:space="preserve">TongaHealth’s </w:t>
      </w:r>
      <w:r w:rsidR="004F5027" w:rsidRPr="009D7F16">
        <w:t xml:space="preserve">seedling/gardening </w:t>
      </w:r>
      <w:r w:rsidR="003C71E8" w:rsidRPr="009D7F16">
        <w:t>projects</w:t>
      </w:r>
      <w:r w:rsidR="004F5027" w:rsidRPr="009D7F16">
        <w:t xml:space="preserve"> </w:t>
      </w:r>
      <w:r w:rsidRPr="009D7F16">
        <w:t xml:space="preserve">would be more effective if paired with advice or training on how to maintain gardens. </w:t>
      </w:r>
      <w:r w:rsidR="0059363D" w:rsidRPr="009D7F16">
        <w:t>Similarly, wh</w:t>
      </w:r>
      <w:r w:rsidR="00B422E4">
        <w:t>ile</w:t>
      </w:r>
      <w:r w:rsidR="0059363D" w:rsidRPr="009D7F16">
        <w:t xml:space="preserve"> TongaHealth </w:t>
      </w:r>
      <w:r w:rsidRPr="009D7F16">
        <w:t xml:space="preserve">has provided Zumba speakers for a high number of community groups, </w:t>
      </w:r>
      <w:r w:rsidR="0059363D" w:rsidRPr="009D7F16">
        <w:t>these groups do not necessarily have a trained Zumba instructor.</w:t>
      </w:r>
      <w:r w:rsidR="009269FF" w:rsidRPr="009D7F16">
        <w:t xml:space="preserve"> </w:t>
      </w:r>
      <w:r w:rsidRPr="009D7F16">
        <w:t xml:space="preserve">While some </w:t>
      </w:r>
      <w:r w:rsidR="00D818EE" w:rsidRPr="009D7F16">
        <w:t xml:space="preserve">grantees </w:t>
      </w:r>
      <w:r w:rsidRPr="009D7F16">
        <w:t xml:space="preserve">have pro-actively addressed this (e.g. by learning Zumba routines on </w:t>
      </w:r>
      <w:proofErr w:type="gramStart"/>
      <w:r w:rsidRPr="009D7F16">
        <w:t>YouTube, or</w:t>
      </w:r>
      <w:proofErr w:type="gramEnd"/>
      <w:r w:rsidRPr="009D7F16">
        <w:t xml:space="preserve"> seeking the support of the TongaHealth to run Zumba classes),</w:t>
      </w:r>
      <w:r w:rsidR="009D7F16" w:rsidRPr="009D7F16">
        <w:t xml:space="preserve"> it is likely that others are not making optimal use of the materials provided. </w:t>
      </w:r>
      <w:r w:rsidR="00BD2B1E" w:rsidRPr="009D7F16">
        <w:t xml:space="preserve"> </w:t>
      </w:r>
    </w:p>
    <w:p w14:paraId="494E6F19" w14:textId="77777777" w:rsidR="00615294" w:rsidRDefault="00615294" w:rsidP="00DF166F">
      <w:pPr>
        <w:pStyle w:val="Heading3"/>
        <w:spacing w:line="276" w:lineRule="auto"/>
      </w:pPr>
      <w:bookmarkStart w:id="42" w:name="_Ref152413541"/>
      <w:r w:rsidRPr="00671F75">
        <w:t>To what extent are effort and resources devoted having the impact intended?</w:t>
      </w:r>
      <w:bookmarkEnd w:id="42"/>
      <w:r w:rsidRPr="00671F75">
        <w:t xml:space="preserve"> </w:t>
      </w:r>
    </w:p>
    <w:p w14:paraId="7738A5AE" w14:textId="16F79D80" w:rsidR="000C264C" w:rsidRPr="00085C42" w:rsidRDefault="000F5CE6" w:rsidP="00DF166F">
      <w:pPr>
        <w:spacing w:line="276" w:lineRule="auto"/>
      </w:pPr>
      <w:r w:rsidRPr="00B66F52">
        <w:rPr>
          <w:b/>
          <w:bCs/>
        </w:rPr>
        <w:t xml:space="preserve">TongaHealth faces ongoing challenges in identifying, </w:t>
      </w:r>
      <w:proofErr w:type="gramStart"/>
      <w:r w:rsidRPr="00B66F52">
        <w:rPr>
          <w:b/>
          <w:bCs/>
        </w:rPr>
        <w:t>commissioning</w:t>
      </w:r>
      <w:proofErr w:type="gramEnd"/>
      <w:r w:rsidRPr="00B66F52">
        <w:rPr>
          <w:b/>
          <w:bCs/>
        </w:rPr>
        <w:t xml:space="preserve"> and grant-managing high-impact health promotion investments.</w:t>
      </w:r>
      <w:r w:rsidR="008220F8" w:rsidRPr="00085C42">
        <w:t xml:space="preserve"> </w:t>
      </w:r>
      <w:r w:rsidR="00085C42">
        <w:t xml:space="preserve">This section focuses on two key areas: the </w:t>
      </w:r>
      <w:r w:rsidR="002F5E91">
        <w:t xml:space="preserve">effort the TongaHealth team devotes to supporting grant applications; and shortcomings in the grant selection process that </w:t>
      </w:r>
      <w:r w:rsidR="00F84272">
        <w:t>impair the selection of high-impact grants.</w:t>
      </w:r>
      <w:r w:rsidR="005254D7">
        <w:t xml:space="preserve"> </w:t>
      </w:r>
    </w:p>
    <w:p w14:paraId="60DA273A" w14:textId="6C563398" w:rsidR="0067058A" w:rsidRPr="00B01404" w:rsidRDefault="00FF392A" w:rsidP="00962FBE">
      <w:pPr>
        <w:pStyle w:val="BodyText"/>
      </w:pPr>
      <w:r w:rsidRPr="00962FBE">
        <w:rPr>
          <w:b/>
          <w:bCs/>
        </w:rPr>
        <w:t>The TongaHealth team invest significant time and effort</w:t>
      </w:r>
      <w:r w:rsidR="00DF1739" w:rsidRPr="00962FBE">
        <w:rPr>
          <w:b/>
          <w:bCs/>
        </w:rPr>
        <w:t xml:space="preserve"> to supporting the grant </w:t>
      </w:r>
      <w:r w:rsidR="00D60D9E" w:rsidRPr="00962FBE">
        <w:rPr>
          <w:b/>
          <w:bCs/>
        </w:rPr>
        <w:t>application process</w:t>
      </w:r>
      <w:r w:rsidR="00C20915" w:rsidRPr="00962FBE">
        <w:rPr>
          <w:b/>
          <w:bCs/>
        </w:rPr>
        <w:t>, which could be streamlined significantly.</w:t>
      </w:r>
      <w:r w:rsidR="00C20915">
        <w:t xml:space="preserve"> An independent review of </w:t>
      </w:r>
      <w:r w:rsidR="00C20915" w:rsidRPr="00B200A6">
        <w:t>THSSP</w:t>
      </w:r>
      <w:r w:rsidR="00C20915">
        <w:t xml:space="preserve"> Phase 2 in 2019</w:t>
      </w:r>
      <w:r w:rsidR="00C20915" w:rsidRPr="00B200A6">
        <w:t xml:space="preserve"> recommended that</w:t>
      </w:r>
      <w:r w:rsidR="00C20915">
        <w:t xml:space="preserve"> TongaHealth’s</w:t>
      </w:r>
      <w:r w:rsidR="00C20915" w:rsidRPr="00B200A6">
        <w:t xml:space="preserve"> grant administration processes be simplified</w:t>
      </w:r>
      <w:r w:rsidR="00C20915">
        <w:t xml:space="preserve">, but this has not yet been actioned. </w:t>
      </w:r>
      <w:r w:rsidR="001C7CB3">
        <w:t xml:space="preserve">Grant application forms are unnecessarily complex. </w:t>
      </w:r>
      <w:r w:rsidR="001C7CB3" w:rsidRPr="001C7CB3">
        <w:t xml:space="preserve">For example, </w:t>
      </w:r>
      <w:r w:rsidR="00447A5E" w:rsidRPr="000C264C">
        <w:t xml:space="preserve">grant applicants </w:t>
      </w:r>
      <w:r w:rsidR="003E5B52">
        <w:t xml:space="preserve">are </w:t>
      </w:r>
      <w:r w:rsidR="00447A5E" w:rsidRPr="000C264C">
        <w:t>required to include</w:t>
      </w:r>
      <w:r w:rsidR="0032527F">
        <w:t xml:space="preserve"> </w:t>
      </w:r>
      <w:r w:rsidR="00447A5E" w:rsidRPr="000C264C">
        <w:t xml:space="preserve">a </w:t>
      </w:r>
      <w:r w:rsidR="00B200A6" w:rsidRPr="000C264C">
        <w:rPr>
          <w:rFonts w:eastAsiaTheme="minorEastAsia"/>
        </w:rPr>
        <w:t>description of</w:t>
      </w:r>
      <w:r w:rsidR="00447A5E" w:rsidRPr="000C264C">
        <w:t xml:space="preserve"> the project</w:t>
      </w:r>
      <w:r w:rsidR="00B200A6" w:rsidRPr="000C264C">
        <w:rPr>
          <w:rFonts w:eastAsiaTheme="minorEastAsia"/>
        </w:rPr>
        <w:t xml:space="preserve"> goal, objectives</w:t>
      </w:r>
      <w:r w:rsidR="0008286A">
        <w:t xml:space="preserve">, intermediate and immediate outcomes, </w:t>
      </w:r>
      <w:r w:rsidR="00E4537B" w:rsidRPr="000C264C">
        <w:t xml:space="preserve">as well as a </w:t>
      </w:r>
      <w:r w:rsidR="00B200A6" w:rsidRPr="000C264C">
        <w:rPr>
          <w:rFonts w:eastAsiaTheme="minorEastAsia"/>
        </w:rPr>
        <w:t>program logic</w:t>
      </w:r>
      <w:r w:rsidR="00E4537B" w:rsidRPr="000C264C">
        <w:t xml:space="preserve"> and </w:t>
      </w:r>
      <w:r w:rsidR="00B200A6" w:rsidRPr="000C264C">
        <w:rPr>
          <w:rFonts w:eastAsiaTheme="minorEastAsia"/>
        </w:rPr>
        <w:t>M&amp;E Framework</w:t>
      </w:r>
      <w:r w:rsidR="00E4537B" w:rsidRPr="000C264C">
        <w:t xml:space="preserve"> – all of which could be challenging for applicants </w:t>
      </w:r>
      <w:r w:rsidR="001F1785" w:rsidRPr="000C264C">
        <w:t>with limited previous experience developing grant applications</w:t>
      </w:r>
      <w:r w:rsidR="004D7F08">
        <w:t xml:space="preserve">, </w:t>
      </w:r>
      <w:r w:rsidR="00761BA2">
        <w:t xml:space="preserve">and probably unnecessary for low-value grants. </w:t>
      </w:r>
      <w:r w:rsidR="00C65043">
        <w:t>As a result, applicants require extensive support from TongaHealth to complete grant applications</w:t>
      </w:r>
      <w:r w:rsidR="00653CD2">
        <w:t xml:space="preserve"> – to the extent that the </w:t>
      </w:r>
      <w:r w:rsidR="00C65043" w:rsidRPr="000C264C">
        <w:t xml:space="preserve">TongaHealth program team report </w:t>
      </w:r>
      <w:r w:rsidR="00653CD2">
        <w:t xml:space="preserve">spending most of their time supporting development of grant applications, </w:t>
      </w:r>
      <w:r w:rsidR="00C65043">
        <w:lastRenderedPageBreak/>
        <w:t>leaving no time to support other</w:t>
      </w:r>
      <w:r w:rsidR="00653CD2">
        <w:t xml:space="preserve"> (</w:t>
      </w:r>
      <w:r w:rsidR="00C65043">
        <w:t>arguably more important</w:t>
      </w:r>
      <w:r w:rsidR="00A27FA4">
        <w:t>)</w:t>
      </w:r>
      <w:r w:rsidR="00C65043">
        <w:t xml:space="preserve"> functions</w:t>
      </w:r>
      <w:r w:rsidR="00653CD2">
        <w:t xml:space="preserve"> such as </w:t>
      </w:r>
      <w:r w:rsidR="00C65043">
        <w:t xml:space="preserve">supporting grantees to implement effective activities, or </w:t>
      </w:r>
      <w:r w:rsidR="00BB6820">
        <w:t>delivery of other non-grant activities</w:t>
      </w:r>
      <w:r w:rsidR="00C65043">
        <w:t xml:space="preserve">. </w:t>
      </w:r>
      <w:r w:rsidR="00B3017C">
        <w:t>This is exacerbated by the high volume of grants</w:t>
      </w:r>
      <w:r w:rsidR="00577793">
        <w:t xml:space="preserve">, with 85 grants provided in </w:t>
      </w:r>
      <w:r w:rsidR="00801095">
        <w:t>FY22/23.</w:t>
      </w:r>
      <w:r w:rsidR="00577793">
        <w:t xml:space="preserve"> </w:t>
      </w:r>
      <w:r w:rsidR="00FC13E8">
        <w:rPr>
          <w:rFonts w:eastAsiaTheme="minorEastAsia"/>
        </w:rPr>
        <w:t>I</w:t>
      </w:r>
      <w:r w:rsidR="00FC13E8">
        <w:t xml:space="preserve">t </w:t>
      </w:r>
      <w:r w:rsidR="008776C4">
        <w:t xml:space="preserve">also </w:t>
      </w:r>
      <w:r w:rsidR="00FC13E8">
        <w:t xml:space="preserve">appears there is </w:t>
      </w:r>
      <w:r w:rsidR="00FC13E8" w:rsidRPr="008776C4">
        <w:t>no systematic process within TongaHealth to ensure grants applications are assessed in a timely manner</w:t>
      </w:r>
      <w:r w:rsidR="00FC13E8">
        <w:t>, or</w:t>
      </w:r>
      <w:r w:rsidR="004B24A2">
        <w:t xml:space="preserve"> a lead officer assig</w:t>
      </w:r>
      <w:r w:rsidR="00326234">
        <w:t xml:space="preserve">ned to track the progress of grant applications and </w:t>
      </w:r>
      <w:r w:rsidR="00FC13E8">
        <w:t>communicat</w:t>
      </w:r>
      <w:r w:rsidR="00326234">
        <w:t>e</w:t>
      </w:r>
      <w:r w:rsidR="00FC13E8">
        <w:t xml:space="preserve"> with applicants about delays. </w:t>
      </w:r>
      <w:r w:rsidR="00922DD9">
        <w:t xml:space="preserve">While grantees described the TongaHealth team as very helpful and responsive in supporting proposal writing, </w:t>
      </w:r>
      <w:r w:rsidR="000057BC">
        <w:t xml:space="preserve">many grantees </w:t>
      </w:r>
      <w:r w:rsidR="000057BC" w:rsidRPr="008776C4">
        <w:t>complained of long delays learning the outcome of their application (</w:t>
      </w:r>
      <w:r w:rsidR="00DE617D" w:rsidRPr="008776C4">
        <w:t>reporting</w:t>
      </w:r>
      <w:r w:rsidR="00DE617D">
        <w:t xml:space="preserve"> delays of </w:t>
      </w:r>
      <w:r w:rsidR="000057BC">
        <w:t>6 to 12 months in some cases)</w:t>
      </w:r>
      <w:r w:rsidR="0061441A">
        <w:t xml:space="preserve">, </w:t>
      </w:r>
      <w:r w:rsidR="008776C4">
        <w:t xml:space="preserve">limited updates from TongaHealth about the status of their application, and </w:t>
      </w:r>
      <w:r w:rsidR="00922DD9" w:rsidRPr="000C264C">
        <w:rPr>
          <w:rFonts w:eastAsiaTheme="minorEastAsia"/>
        </w:rPr>
        <w:t>“a lot of back and forth”</w:t>
      </w:r>
      <w:r w:rsidR="00922DD9">
        <w:rPr>
          <w:rFonts w:eastAsiaTheme="minorEastAsia"/>
        </w:rPr>
        <w:t xml:space="preserve"> </w:t>
      </w:r>
      <w:r w:rsidR="00C14694">
        <w:rPr>
          <w:rFonts w:eastAsiaTheme="minorEastAsia"/>
        </w:rPr>
        <w:t xml:space="preserve">to address </w:t>
      </w:r>
      <w:r w:rsidR="00922DD9" w:rsidRPr="000C264C">
        <w:rPr>
          <w:rFonts w:eastAsiaTheme="minorEastAsia"/>
        </w:rPr>
        <w:t>multiple rounds of feedback on applications</w:t>
      </w:r>
      <w:r w:rsidR="008A2BD3">
        <w:rPr>
          <w:rFonts w:eastAsiaTheme="minorEastAsia"/>
        </w:rPr>
        <w:t xml:space="preserve">. </w:t>
      </w:r>
    </w:p>
    <w:p w14:paraId="4D45CC35" w14:textId="047A7C80" w:rsidR="00852F62" w:rsidRDefault="00B01404" w:rsidP="00962FBE">
      <w:pPr>
        <w:pStyle w:val="BodyText"/>
      </w:pPr>
      <w:r w:rsidRPr="00274E87">
        <w:t xml:space="preserve">In addition to these administrative challenges, </w:t>
      </w:r>
      <w:r w:rsidRPr="00B66F52">
        <w:rPr>
          <w:b/>
          <w:bCs/>
        </w:rPr>
        <w:t xml:space="preserve">there are limitations </w:t>
      </w:r>
      <w:r w:rsidR="000161ED" w:rsidRPr="00B66F52">
        <w:rPr>
          <w:b/>
          <w:bCs/>
        </w:rPr>
        <w:t>to the grant assessment process that compromise the selection of grants likely to have high impact.</w:t>
      </w:r>
      <w:r w:rsidR="000161ED">
        <w:t xml:space="preserve"> </w:t>
      </w:r>
      <w:r w:rsidR="00882583" w:rsidRPr="00014242">
        <w:t>T</w:t>
      </w:r>
      <w:r w:rsidR="00801095" w:rsidRPr="00014242">
        <w:t xml:space="preserve">he grant assessment process does not </w:t>
      </w:r>
      <w:r w:rsidR="00262158">
        <w:t xml:space="preserve">adequately </w:t>
      </w:r>
      <w:r w:rsidR="00801095" w:rsidRPr="00014242">
        <w:t>consider</w:t>
      </w:r>
      <w:r w:rsidR="00163BF7" w:rsidRPr="00014242">
        <w:t xml:space="preserve"> the evidence base for proposed projects</w:t>
      </w:r>
      <w:r w:rsidR="00014242">
        <w:t xml:space="preserve">. </w:t>
      </w:r>
      <w:r w:rsidR="00D85D40" w:rsidRPr="001A7A8F">
        <w:t>While some processes are in place to consider the likely effectiveness of projects</w:t>
      </w:r>
      <w:r w:rsidR="00F628BB" w:rsidRPr="001A7A8F">
        <w:t xml:space="preserve"> (see </w:t>
      </w:r>
      <w:r w:rsidR="00B948F4" w:rsidRPr="001A7A8F">
        <w:fldChar w:fldCharType="begin"/>
      </w:r>
      <w:r w:rsidR="00B948F4" w:rsidRPr="001A7A8F">
        <w:instrText xml:space="preserve"> REF _Ref152659018 \r \h </w:instrText>
      </w:r>
      <w:r w:rsidR="001A7A8F">
        <w:instrText xml:space="preserve"> \* MERGEFORMAT </w:instrText>
      </w:r>
      <w:r w:rsidR="00B948F4" w:rsidRPr="001A7A8F">
        <w:fldChar w:fldCharType="separate"/>
      </w:r>
      <w:r w:rsidR="00B948F4" w:rsidRPr="001A7A8F">
        <w:t>3.3.3</w:t>
      </w:r>
      <w:r w:rsidR="00B948F4" w:rsidRPr="001A7A8F">
        <w:fldChar w:fldCharType="end"/>
      </w:r>
      <w:r w:rsidR="00A4719F" w:rsidRPr="001A7A8F">
        <w:t xml:space="preserve">), </w:t>
      </w:r>
      <w:r w:rsidR="001A7A8F" w:rsidRPr="001A7A8F">
        <w:t xml:space="preserve">there is no requirement for </w:t>
      </w:r>
      <w:r w:rsidR="00A4719F">
        <w:t>grant applicants to present evidence that their proposed project is likely to be effective, for example based on their previous work, research or international guidelines</w:t>
      </w:r>
      <w:r w:rsidR="00852F62">
        <w:t>.</w:t>
      </w:r>
      <w:r w:rsidR="00A4719F">
        <w:t xml:space="preserve"> </w:t>
      </w:r>
      <w:r w:rsidR="00484518">
        <w:t xml:space="preserve">There is also limited </w:t>
      </w:r>
      <w:r w:rsidR="00BF6067">
        <w:t xml:space="preserve">input from health experts or external stakeholders </w:t>
      </w:r>
      <w:r w:rsidR="00484518" w:rsidRPr="00801095">
        <w:t xml:space="preserve">in grant </w:t>
      </w:r>
      <w:r w:rsidR="000A6FEB">
        <w:t xml:space="preserve">assessment. </w:t>
      </w:r>
      <w:r w:rsidR="00484518" w:rsidRPr="00B21C83">
        <w:t>G</w:t>
      </w:r>
      <w:r w:rsidR="00484518" w:rsidRPr="00801095">
        <w:t>rant</w:t>
      </w:r>
      <w:r w:rsidR="000A6FEB">
        <w:t>s are reviewed by the TongaHealth team</w:t>
      </w:r>
      <w:r w:rsidR="00367E48">
        <w:t xml:space="preserve"> </w:t>
      </w:r>
      <w:r w:rsidR="000A6FEB">
        <w:t>and approved by the</w:t>
      </w:r>
      <w:r w:rsidR="002E578B">
        <w:t xml:space="preserve"> </w:t>
      </w:r>
      <w:r w:rsidR="00484518" w:rsidRPr="00801095">
        <w:t>Grants Subcommittee</w:t>
      </w:r>
      <w:r w:rsidR="00484518">
        <w:t xml:space="preserve"> </w:t>
      </w:r>
      <w:r w:rsidR="00916E10">
        <w:t xml:space="preserve">or Board. </w:t>
      </w:r>
      <w:r w:rsidR="00367E48">
        <w:t xml:space="preserve">This means there is limited input from </w:t>
      </w:r>
      <w:r w:rsidR="003A19E6">
        <w:t>health experts (</w:t>
      </w:r>
      <w:r w:rsidR="00484518">
        <w:t>the TongaHealth team has only two staff from a health background, the Grants Subcommittee has no health representatives, and the Board has one</w:t>
      </w:r>
      <w:r w:rsidR="00916E10">
        <w:t>)</w:t>
      </w:r>
      <w:r w:rsidR="00484518">
        <w:t xml:space="preserve">. Several stakeholders interviewed for this Review </w:t>
      </w:r>
      <w:r w:rsidR="007E0CB7">
        <w:t xml:space="preserve">suggested that </w:t>
      </w:r>
      <w:r w:rsidR="00502BC2">
        <w:t xml:space="preserve">the grant selection process could be strengthened by engaging key implementers in reviewing grants - </w:t>
      </w:r>
      <w:r w:rsidR="007E0CB7">
        <w:t xml:space="preserve">particularly </w:t>
      </w:r>
      <w:proofErr w:type="spellStart"/>
      <w:r w:rsidR="007E0CB7">
        <w:t>GoT</w:t>
      </w:r>
      <w:proofErr w:type="spellEnd"/>
      <w:r w:rsidR="007E0CB7">
        <w:t xml:space="preserve"> agencies who have technical expertise, implementation experience, and pre-existing relationships with many grant applicants</w:t>
      </w:r>
      <w:r w:rsidR="003A1011">
        <w:t>. The largely internal grant assessment process may also create real or perceived conflicts of interest.</w:t>
      </w:r>
    </w:p>
    <w:p w14:paraId="1918CE30" w14:textId="46679E9B" w:rsidR="000E7906" w:rsidRPr="00476FEB" w:rsidRDefault="00EE46B6" w:rsidP="00962FBE">
      <w:pPr>
        <w:pStyle w:val="BodyText"/>
      </w:pPr>
      <w:r w:rsidRPr="00EE46B6">
        <w:t xml:space="preserve">A direct consequence of these limitations in the grant selection process is that </w:t>
      </w:r>
      <w:r w:rsidRPr="00EE46B6">
        <w:rPr>
          <w:b/>
          <w:bCs/>
        </w:rPr>
        <w:t>projects are sometimes funded which are unlikely to be effective or present value for money.</w:t>
      </w:r>
      <w:r>
        <w:rPr>
          <w:b/>
          <w:bCs/>
        </w:rPr>
        <w:t xml:space="preserve"> </w:t>
      </w:r>
      <w:r w:rsidR="00E56F3A">
        <w:t>S</w:t>
      </w:r>
      <w:r w:rsidR="005B5542">
        <w:t xml:space="preserve">tand-out examples include </w:t>
      </w:r>
      <w:r w:rsidR="00E56F3A">
        <w:t>s</w:t>
      </w:r>
      <w:r w:rsidR="000F16EA">
        <w:t xml:space="preserve">ingle-day ‘fun day’ </w:t>
      </w:r>
      <w:r w:rsidR="0062516E">
        <w:t xml:space="preserve">celebrations </w:t>
      </w:r>
      <w:r w:rsidR="000F16EA">
        <w:t>for elderly people</w:t>
      </w:r>
      <w:r w:rsidR="0062516E">
        <w:t xml:space="preserve"> (which may be enjoyable, but are </w:t>
      </w:r>
      <w:r w:rsidR="000F16EA">
        <w:t>only tenuously linked to NCDs</w:t>
      </w:r>
      <w:r w:rsidR="0062516E">
        <w:t>)</w:t>
      </w:r>
      <w:r w:rsidR="00903878">
        <w:t xml:space="preserve">, </w:t>
      </w:r>
      <w:r w:rsidR="00656070">
        <w:t>th</w:t>
      </w:r>
      <w:r w:rsidR="000F16EA">
        <w:t xml:space="preserve">e </w:t>
      </w:r>
      <w:r w:rsidR="000F16EA" w:rsidRPr="00B11711">
        <w:rPr>
          <w:i/>
        </w:rPr>
        <w:t>Drop Every</w:t>
      </w:r>
      <w:r w:rsidR="000F16EA" w:rsidRPr="00326FA6">
        <w:rPr>
          <w:i/>
        </w:rPr>
        <w:t>thing and Shake</w:t>
      </w:r>
      <w:r w:rsidR="000F16EA">
        <w:t xml:space="preserve"> pro</w:t>
      </w:r>
      <w:r w:rsidR="00903878">
        <w:t>ject</w:t>
      </w:r>
      <w:r w:rsidR="000F16EA">
        <w:t>, which used radio stations to promote 5-minute physical activity breaks twice-daily</w:t>
      </w:r>
      <w:r w:rsidR="00903878">
        <w:t xml:space="preserve"> (</w:t>
      </w:r>
      <w:r w:rsidR="000F16EA">
        <w:t xml:space="preserve">which is </w:t>
      </w:r>
      <w:r w:rsidR="00903878">
        <w:t>well below the amount of activity required to improve participants’ health)</w:t>
      </w:r>
      <w:r w:rsidR="00656070">
        <w:t xml:space="preserve">; </w:t>
      </w:r>
      <w:r w:rsidR="00154F87">
        <w:t>and funding of g</w:t>
      </w:r>
      <w:r w:rsidR="000F16EA">
        <w:t>ifts and prizes</w:t>
      </w:r>
      <w:r w:rsidR="00154F87">
        <w:t xml:space="preserve"> (e.g. prize money for a </w:t>
      </w:r>
      <w:r w:rsidR="000F16EA" w:rsidRPr="00326FA6">
        <w:t>children’s Rugby League Tournament</w:t>
      </w:r>
      <w:r w:rsidR="00154F87">
        <w:t>, hygiene packs for event attendees)</w:t>
      </w:r>
      <w:r w:rsidR="002C0F87">
        <w:t xml:space="preserve"> </w:t>
      </w:r>
      <w:r w:rsidR="002A02D1">
        <w:t>(which may encourage participation in the event</w:t>
      </w:r>
      <w:r w:rsidR="009573E2">
        <w:t xml:space="preserve">, but </w:t>
      </w:r>
      <w:r w:rsidR="00154F87">
        <w:t xml:space="preserve">are </w:t>
      </w:r>
      <w:r w:rsidR="000F16EA">
        <w:t>unlikely to promote sustained behaviour change</w:t>
      </w:r>
      <w:r w:rsidR="009573E2">
        <w:t>)</w:t>
      </w:r>
      <w:r w:rsidR="000F16EA">
        <w:t>.</w:t>
      </w:r>
      <w:r w:rsidR="000E7906">
        <w:t xml:space="preserve"> </w:t>
      </w:r>
      <w:r w:rsidR="00C835C8">
        <w:t>Other examples are projects</w:t>
      </w:r>
      <w:r w:rsidR="007B01A5">
        <w:t xml:space="preserve"> that</w:t>
      </w:r>
      <w:r w:rsidR="00C835C8">
        <w:t xml:space="preserve"> benefit only a small number of people</w:t>
      </w:r>
      <w:r w:rsidR="00284267">
        <w:t xml:space="preserve"> relative to the size of the investment</w:t>
      </w:r>
      <w:r w:rsidR="00C835C8">
        <w:t xml:space="preserve">, such as </w:t>
      </w:r>
      <w:r w:rsidR="000E7906">
        <w:t>the construction of a playground at Nuku’alofa Government Middle School (TOP39,413)</w:t>
      </w:r>
      <w:r w:rsidR="00117494">
        <w:t xml:space="preserve"> and</w:t>
      </w:r>
      <w:r w:rsidR="000E7906">
        <w:t xml:space="preserve"> construction of a school canteen patio at </w:t>
      </w:r>
      <w:proofErr w:type="spellStart"/>
      <w:r w:rsidR="000E7906">
        <w:t>Apifo’ou</w:t>
      </w:r>
      <w:proofErr w:type="spellEnd"/>
      <w:r w:rsidR="000E7906">
        <w:t xml:space="preserve"> College (TOP21,500)</w:t>
      </w:r>
      <w:r w:rsidR="007B01A5">
        <w:t xml:space="preserve"> which while highly valued by grant recipients, do not align to the </w:t>
      </w:r>
      <w:r w:rsidR="007B01A5" w:rsidRPr="00546CC5">
        <w:t>population-level focus of the NCD Strategy</w:t>
      </w:r>
      <w:r w:rsidR="007B01A5">
        <w:t xml:space="preserve">. </w:t>
      </w:r>
    </w:p>
    <w:p w14:paraId="3B9F1E32" w14:textId="265DB41C" w:rsidR="00972180" w:rsidRPr="00ED249F" w:rsidRDefault="00972180" w:rsidP="00962FBE">
      <w:pPr>
        <w:pStyle w:val="BodyText"/>
      </w:pPr>
      <w:r w:rsidRPr="00962FBE">
        <w:rPr>
          <w:b/>
          <w:bCs/>
        </w:rPr>
        <w:t xml:space="preserve">The grant application process is </w:t>
      </w:r>
      <w:r w:rsidR="004F5DA7" w:rsidRPr="00962FBE">
        <w:rPr>
          <w:b/>
          <w:bCs/>
        </w:rPr>
        <w:t xml:space="preserve">also </w:t>
      </w:r>
      <w:r w:rsidRPr="00962FBE">
        <w:rPr>
          <w:b/>
          <w:bCs/>
        </w:rPr>
        <w:t>essentially passive, rather than encouraging applications based on priority strategic issues.</w:t>
      </w:r>
      <w:r>
        <w:t xml:space="preserve"> The THSSP2 Mid Term Review recommended that TongaHealth encourage grant applications based on strategic relevance. While this has been partially addressed by requiring grant applicants to demonstrate their project relates to the KRAs of the NCD Strategy, the KRAs are so broad that any project related to NCDs could be considered relevant. This is exacerbated by grant applications being accepted year-round, which means that each application is considered in isolation. There is significant scope for TongaHealth to </w:t>
      </w:r>
      <w:proofErr w:type="gramStart"/>
      <w:r>
        <w:t>more strategically identify high-impact projects</w:t>
      </w:r>
      <w:proofErr w:type="gramEnd"/>
      <w:r>
        <w:t xml:space="preserve">, for example by implementing an annual grant cycle (with a single call for grants each year, and grants considered on their relative merit); or by TongaHealth identifying specific priority projects (e.g. from the NCD Strategy and international evidence) and actively seeking implementers to deliver these projects. </w:t>
      </w:r>
    </w:p>
    <w:p w14:paraId="6108F1D7" w14:textId="3B01A961" w:rsidR="00615294" w:rsidRDefault="00615294" w:rsidP="00DF166F">
      <w:pPr>
        <w:pStyle w:val="Heading3"/>
        <w:spacing w:line="276" w:lineRule="auto"/>
      </w:pPr>
      <w:bookmarkStart w:id="43" w:name="_Ref152679394"/>
      <w:r w:rsidRPr="00671F75">
        <w:t>What are the barriers (if any) to effective delivery (internal and external)?</w:t>
      </w:r>
      <w:bookmarkEnd w:id="43"/>
    </w:p>
    <w:p w14:paraId="72D49BCD" w14:textId="77777777" w:rsidR="002833BC" w:rsidRDefault="002833BC" w:rsidP="00DF166F">
      <w:pPr>
        <w:pStyle w:val="Heading4"/>
        <w:spacing w:line="276" w:lineRule="auto"/>
      </w:pPr>
      <w:r>
        <w:t>External barriers</w:t>
      </w:r>
    </w:p>
    <w:p w14:paraId="11C4A3A4" w14:textId="6BCE857A" w:rsidR="005C183B" w:rsidRDefault="009D5DEC" w:rsidP="00DF166F">
      <w:pPr>
        <w:spacing w:after="210" w:line="276" w:lineRule="auto"/>
      </w:pPr>
      <w:r w:rsidRPr="00801095">
        <w:rPr>
          <w:b/>
          <w:bCs/>
        </w:rPr>
        <w:t xml:space="preserve">There have been a range of external barriers </w:t>
      </w:r>
      <w:r w:rsidR="00ED6EEB" w:rsidRPr="00801095">
        <w:rPr>
          <w:b/>
          <w:bCs/>
        </w:rPr>
        <w:t>to effective delivery</w:t>
      </w:r>
      <w:r w:rsidR="002F3609" w:rsidRPr="00801095">
        <w:rPr>
          <w:b/>
          <w:bCs/>
        </w:rPr>
        <w:t xml:space="preserve">. </w:t>
      </w:r>
      <w:r w:rsidR="002F3609" w:rsidRPr="00801095">
        <w:t xml:space="preserve">The COVID-19 pandemic, and the </w:t>
      </w:r>
      <w:proofErr w:type="spellStart"/>
      <w:r w:rsidR="002F3609" w:rsidRPr="00801095">
        <w:t>Hunga</w:t>
      </w:r>
      <w:proofErr w:type="spellEnd"/>
      <w:r w:rsidR="002F3609" w:rsidRPr="00801095">
        <w:t xml:space="preserve"> Tonga </w:t>
      </w:r>
      <w:proofErr w:type="spellStart"/>
      <w:r w:rsidR="00F62151">
        <w:t>Hunga</w:t>
      </w:r>
      <w:proofErr w:type="spellEnd"/>
      <w:r w:rsidR="00F62151">
        <w:t xml:space="preserve"> </w:t>
      </w:r>
      <w:proofErr w:type="spellStart"/>
      <w:r w:rsidR="00F62151">
        <w:t>Ha’apai</w:t>
      </w:r>
      <w:proofErr w:type="spellEnd"/>
      <w:r w:rsidR="00F62151">
        <w:t xml:space="preserve"> </w:t>
      </w:r>
      <w:r w:rsidR="002F3609" w:rsidRPr="00801095">
        <w:t>eruption and tsunami</w:t>
      </w:r>
      <w:r w:rsidR="00085CDF" w:rsidRPr="00801095">
        <w:t xml:space="preserve"> in </w:t>
      </w:r>
      <w:r w:rsidR="00801095" w:rsidRPr="00801095">
        <w:t>January 2022</w:t>
      </w:r>
      <w:r w:rsidR="00085CDF" w:rsidRPr="00801095">
        <w:t>, caused</w:t>
      </w:r>
      <w:r w:rsidR="00085CDF">
        <w:t xml:space="preserve"> significant </w:t>
      </w:r>
      <w:r w:rsidR="00132584">
        <w:t>disruption throughout Tong</w:t>
      </w:r>
      <w:r w:rsidR="001E3F14">
        <w:t>a</w:t>
      </w:r>
      <w:r w:rsidR="0061735E">
        <w:t xml:space="preserve">. This of course </w:t>
      </w:r>
      <w:r w:rsidR="001E3F14">
        <w:t>had personal impacts on the TongaHealth team</w:t>
      </w:r>
      <w:r w:rsidR="0061735E">
        <w:t xml:space="preserve">, as well as impacting the ability of TongaHealth grantees to deliver grant activities. </w:t>
      </w:r>
      <w:r w:rsidR="000F033C">
        <w:t xml:space="preserve">This resulted in </w:t>
      </w:r>
      <w:r w:rsidR="007A5E18">
        <w:t xml:space="preserve">delays </w:t>
      </w:r>
      <w:r w:rsidR="002417F9">
        <w:t>implementing</w:t>
      </w:r>
      <w:r w:rsidR="007A5E18">
        <w:t xml:space="preserve"> activities in the TongaHealth workplan</w:t>
      </w:r>
      <w:r w:rsidR="002417F9">
        <w:t xml:space="preserve"> and </w:t>
      </w:r>
      <w:r w:rsidR="00B00B72">
        <w:t xml:space="preserve">NCD Strategy, </w:t>
      </w:r>
      <w:r w:rsidR="007A5E18">
        <w:t xml:space="preserve">delays in some grant activities, and </w:t>
      </w:r>
      <w:r w:rsidR="000F033C">
        <w:t>other</w:t>
      </w:r>
      <w:r w:rsidR="007A5E18">
        <w:t xml:space="preserve"> grant activities</w:t>
      </w:r>
      <w:r w:rsidR="001D08DF">
        <w:t xml:space="preserve"> being modified </w:t>
      </w:r>
      <w:r w:rsidR="00521FE1">
        <w:t xml:space="preserve">(e.g. </w:t>
      </w:r>
      <w:r w:rsidR="001D08DF">
        <w:t>to accommodate C</w:t>
      </w:r>
      <w:r w:rsidR="001E3F14">
        <w:t xml:space="preserve">OVID-19 </w:t>
      </w:r>
      <w:r w:rsidR="00ED1452">
        <w:t>restrictions</w:t>
      </w:r>
      <w:r w:rsidR="00521FE1">
        <w:t>)</w:t>
      </w:r>
      <w:r w:rsidR="001D08DF">
        <w:t xml:space="preserve">. </w:t>
      </w:r>
    </w:p>
    <w:p w14:paraId="673B9D6C" w14:textId="78964219" w:rsidR="00630EB0" w:rsidRDefault="00815437" w:rsidP="00DF166F">
      <w:pPr>
        <w:spacing w:after="210" w:line="276" w:lineRule="auto"/>
      </w:pPr>
      <w:r w:rsidRPr="00EA222C">
        <w:rPr>
          <w:b/>
          <w:bCs/>
        </w:rPr>
        <w:lastRenderedPageBreak/>
        <w:t>Delays in the THSSP3 design significantly disrupted TongaHealth</w:t>
      </w:r>
      <w:r w:rsidR="00EA222C" w:rsidRPr="00EA222C">
        <w:rPr>
          <w:b/>
          <w:bCs/>
        </w:rPr>
        <w:t>’s programming</w:t>
      </w:r>
      <w:r w:rsidR="00521FE1">
        <w:rPr>
          <w:b/>
          <w:bCs/>
        </w:rPr>
        <w:t xml:space="preserve">. </w:t>
      </w:r>
      <w:r w:rsidR="002A6314" w:rsidRPr="00C847D3">
        <w:t xml:space="preserve">THSSP Phase 2 </w:t>
      </w:r>
      <w:r w:rsidR="000D568D" w:rsidRPr="00C847D3">
        <w:t xml:space="preserve">ended </w:t>
      </w:r>
      <w:r w:rsidR="002A6314" w:rsidRPr="00C847D3">
        <w:t>in September 2021,</w:t>
      </w:r>
      <w:r w:rsidR="000D568D" w:rsidRPr="00C847D3">
        <w:t xml:space="preserve"> but the Phase 3 design was not approved until </w:t>
      </w:r>
      <w:r w:rsidR="00B2200E" w:rsidRPr="00C847D3">
        <w:t>June 2023. In the interim period, TongaHealth was funded through an In</w:t>
      </w:r>
      <w:r w:rsidR="00171B1E" w:rsidRPr="00C847D3">
        <w:t>terim Cash Grant</w:t>
      </w:r>
      <w:r w:rsidR="00D711E5">
        <w:t xml:space="preserve">. While this allowed continuity of programming, the funds available to TongaHealth during this period were less than budgeted for. </w:t>
      </w:r>
      <w:r w:rsidR="00E0766E">
        <w:t xml:space="preserve">For example, TongaHealth’s proposed budget for FY22/23 was </w:t>
      </w:r>
      <w:r w:rsidR="001F6C5A">
        <w:t>TOP 1.1 million</w:t>
      </w:r>
      <w:r w:rsidR="00171B1E" w:rsidRPr="00C847D3">
        <w:t>,</w:t>
      </w:r>
      <w:r w:rsidR="00925B13">
        <w:t xml:space="preserve"> but the Interim Cash Grant was</w:t>
      </w:r>
      <w:r w:rsidR="00660C3F">
        <w:t xml:space="preserve"> for AUD 300,000 (TOP </w:t>
      </w:r>
      <w:r w:rsidR="00773915">
        <w:t>479,939) for December 2021 to June 2023</w:t>
      </w:r>
      <w:r w:rsidR="00F32723">
        <w:t>, requiring the TongaHealth team to operate on a small bud</w:t>
      </w:r>
      <w:r w:rsidR="006B43CC">
        <w:t xml:space="preserve">get, and delaying many activities until the THSSP3 design was </w:t>
      </w:r>
      <w:proofErr w:type="spellStart"/>
      <w:r w:rsidR="006B43CC">
        <w:t>finalised</w:t>
      </w:r>
      <w:proofErr w:type="spellEnd"/>
      <w:r w:rsidR="006B43CC">
        <w:t xml:space="preserve"> and funding released to TongaHealth. </w:t>
      </w:r>
      <w:r w:rsidR="00F12BA9">
        <w:t xml:space="preserve">As TongaHealth </w:t>
      </w:r>
      <w:r w:rsidR="00B36EC1">
        <w:t>maintained a full staff complement during the Interim Cash Grant period</w:t>
      </w:r>
      <w:r w:rsidR="00F12BA9">
        <w:t>, this could have been an opportunity to</w:t>
      </w:r>
      <w:r w:rsidR="00B6523B">
        <w:t xml:space="preserve"> re-orient TongaHealth’s focus away from grant administration towards other functions</w:t>
      </w:r>
      <w:r w:rsidR="00372197">
        <w:t xml:space="preserve"> that </w:t>
      </w:r>
      <w:r w:rsidR="00C67A6A">
        <w:t>are relatively low-cost</w:t>
      </w:r>
      <w:r w:rsidR="00BA2F7F">
        <w:t xml:space="preserve"> (e.g. </w:t>
      </w:r>
      <w:r w:rsidR="004A76E3">
        <w:t xml:space="preserve">convening </w:t>
      </w:r>
      <w:r w:rsidR="00B678A7">
        <w:t>working groups to promote stakeholder coordination and collaboration</w:t>
      </w:r>
      <w:r w:rsidR="00C67A6A">
        <w:t>, strengthening internal systems</w:t>
      </w:r>
      <w:r w:rsidR="00375D28">
        <w:t>)</w:t>
      </w:r>
      <w:r w:rsidR="00615378">
        <w:t>, or do preparatory work on priority activities so they could commence as soon as THSSP3 funding was available</w:t>
      </w:r>
      <w:r w:rsidR="00C67A6A">
        <w:t xml:space="preserve">. </w:t>
      </w:r>
      <w:r w:rsidR="0027119B">
        <w:t xml:space="preserve">However, this opportunity was missed, with </w:t>
      </w:r>
      <w:r w:rsidR="00B45228">
        <w:t>TongaHealth leadership instead opt</w:t>
      </w:r>
      <w:r w:rsidR="0027119B">
        <w:t>ing</w:t>
      </w:r>
      <w:r w:rsidR="00B45228">
        <w:t xml:space="preserve"> to focus on </w:t>
      </w:r>
      <w:r w:rsidR="0002477C">
        <w:t xml:space="preserve">administering a high volume of </w:t>
      </w:r>
      <w:r w:rsidR="00B45228">
        <w:t>sponsorships and low-value grants</w:t>
      </w:r>
      <w:r w:rsidR="0002477C">
        <w:t>.</w:t>
      </w:r>
    </w:p>
    <w:p w14:paraId="5967F4E2" w14:textId="77777777" w:rsidR="002833BC" w:rsidRDefault="002833BC" w:rsidP="00DF166F">
      <w:pPr>
        <w:pStyle w:val="Heading4"/>
        <w:spacing w:line="276" w:lineRule="auto"/>
      </w:pPr>
      <w:r>
        <w:t>Internal barriers</w:t>
      </w:r>
    </w:p>
    <w:p w14:paraId="42DAB853" w14:textId="46873A01" w:rsidR="005354D5" w:rsidRPr="00B014A9" w:rsidRDefault="00CC2B30" w:rsidP="00DF166F">
      <w:pPr>
        <w:spacing w:after="210" w:line="276" w:lineRule="auto"/>
      </w:pPr>
      <w:r w:rsidRPr="00B014A9">
        <w:t>While these external challenges have undoubtedly impacted TongaHealth, the most significant barr</w:t>
      </w:r>
      <w:r w:rsidR="005354D5" w:rsidRPr="00B014A9">
        <w:t>iers are internal: namely the lack of staff capacity</w:t>
      </w:r>
      <w:r w:rsidR="002A2518" w:rsidRPr="00B014A9">
        <w:t xml:space="preserve">; </w:t>
      </w:r>
      <w:r w:rsidR="00A7726B" w:rsidRPr="00B014A9">
        <w:t>the focus on grant administration rather than the broader suite of activities within TongaHealth’s mandate</w:t>
      </w:r>
      <w:r w:rsidR="002A2518" w:rsidRPr="00B014A9">
        <w:t xml:space="preserve">; and the lack of functioning governance mechanisms. </w:t>
      </w:r>
      <w:r w:rsidR="005354D5" w:rsidRPr="00B014A9">
        <w:t xml:space="preserve"> </w:t>
      </w:r>
    </w:p>
    <w:p w14:paraId="2C6AAB49" w14:textId="10D53FDD" w:rsidR="00112856" w:rsidRDefault="009F4D74" w:rsidP="00DF166F">
      <w:pPr>
        <w:spacing w:after="210" w:line="276" w:lineRule="auto"/>
      </w:pPr>
      <w:r>
        <w:rPr>
          <w:b/>
          <w:bCs/>
          <w:lang w:val="en-AU"/>
        </w:rPr>
        <w:t xml:space="preserve">The </w:t>
      </w:r>
      <w:r w:rsidR="004E1F47" w:rsidRPr="004E1F47">
        <w:rPr>
          <w:b/>
          <w:bCs/>
          <w:lang w:val="en-AU"/>
        </w:rPr>
        <w:t xml:space="preserve">TongaHealth team </w:t>
      </w:r>
      <w:r>
        <w:rPr>
          <w:b/>
          <w:bCs/>
          <w:lang w:val="en-AU"/>
        </w:rPr>
        <w:t>are</w:t>
      </w:r>
      <w:r w:rsidR="004E1F47" w:rsidRPr="004E1F47">
        <w:rPr>
          <w:b/>
          <w:bCs/>
          <w:lang w:val="en-AU"/>
        </w:rPr>
        <w:t xml:space="preserve"> hard-working and passionate about </w:t>
      </w:r>
      <w:proofErr w:type="gramStart"/>
      <w:r w:rsidR="004E1F47" w:rsidRPr="004E1F47">
        <w:rPr>
          <w:b/>
          <w:bCs/>
          <w:lang w:val="en-AU"/>
        </w:rPr>
        <w:t>health</w:t>
      </w:r>
      <w:r>
        <w:rPr>
          <w:b/>
          <w:bCs/>
          <w:lang w:val="en-AU"/>
        </w:rPr>
        <w:t>, but</w:t>
      </w:r>
      <w:proofErr w:type="gramEnd"/>
      <w:r>
        <w:rPr>
          <w:b/>
          <w:bCs/>
          <w:lang w:val="en-AU"/>
        </w:rPr>
        <w:t xml:space="preserve"> have significant gaps in capacity. </w:t>
      </w:r>
      <w:r w:rsidRPr="00266258">
        <w:rPr>
          <w:lang w:val="en-AU"/>
        </w:rPr>
        <w:t>Only two staff (out of 14 program and M&amp;E staff) have a health background, and none have an M&amp;E background. In interviews for this Review, the team identified a need for capacity-building in M&amp;E</w:t>
      </w:r>
      <w:r w:rsidR="008D7731">
        <w:rPr>
          <w:lang w:val="en-AU"/>
        </w:rPr>
        <w:t>, knowledge of NCDs, project management and (for finance staf</w:t>
      </w:r>
      <w:r w:rsidR="00A42E76">
        <w:rPr>
          <w:lang w:val="en-AU"/>
        </w:rPr>
        <w:t xml:space="preserve">f) MYOB and Excel. </w:t>
      </w:r>
      <w:r w:rsidRPr="00266258">
        <w:rPr>
          <w:lang w:val="en-AU"/>
        </w:rPr>
        <w:t xml:space="preserve"> </w:t>
      </w:r>
      <w:r w:rsidR="004E1F47" w:rsidRPr="004E1F47">
        <w:t>Th</w:t>
      </w:r>
      <w:r w:rsidR="004D6F91">
        <w:t>ese gaps in capacity</w:t>
      </w:r>
      <w:r w:rsidR="004E1F47" w:rsidRPr="004E1F47">
        <w:t xml:space="preserve"> compromise the team’s ability to critically appraise grants from a health perspective, manage grants, and deliver </w:t>
      </w:r>
      <w:r w:rsidR="00B13615">
        <w:t xml:space="preserve">TongaHealth’s </w:t>
      </w:r>
      <w:r w:rsidR="004E1F47" w:rsidRPr="004E1F47">
        <w:t>other functions as described in the NCD Strategy</w:t>
      </w:r>
      <w:r w:rsidR="00E53BFB">
        <w:t>.</w:t>
      </w:r>
      <w:r w:rsidR="004528A8">
        <w:t xml:space="preserve"> An Institutional </w:t>
      </w:r>
      <w:r w:rsidR="00B00B72">
        <w:t>Strengthening Plan, initially due by October 2023</w:t>
      </w:r>
      <w:r w:rsidR="0009150A">
        <w:t xml:space="preserve"> but not yet completed</w:t>
      </w:r>
      <w:r w:rsidR="00B00B72">
        <w:t>,</w:t>
      </w:r>
      <w:r w:rsidR="00EF314D">
        <w:t xml:space="preserve"> is currently being </w:t>
      </w:r>
      <w:r w:rsidR="00B00B72">
        <w:t xml:space="preserve">drafted </w:t>
      </w:r>
      <w:r w:rsidR="00EF314D">
        <w:t xml:space="preserve">by the NCD Adviser, </w:t>
      </w:r>
      <w:r w:rsidR="0009150A">
        <w:t>and</w:t>
      </w:r>
      <w:r w:rsidR="00EF314D">
        <w:t xml:space="preserve"> is </w:t>
      </w:r>
      <w:r w:rsidR="008A52A1">
        <w:t>intended to identify priorities and approaches for capacity-building for the team.</w:t>
      </w:r>
      <w:r w:rsidR="00E53BFB">
        <w:t xml:space="preserve"> </w:t>
      </w:r>
      <w:r w:rsidR="004528A8">
        <w:rPr>
          <w:b/>
          <w:bCs/>
        </w:rPr>
        <w:t>The THSSP3</w:t>
      </w:r>
      <w:r w:rsidR="004E1F47" w:rsidRPr="004528A8">
        <w:rPr>
          <w:b/>
          <w:bCs/>
        </w:rPr>
        <w:t xml:space="preserve"> NCD Adviser adds significant technical capacity</w:t>
      </w:r>
      <w:r w:rsidR="004E1F47" w:rsidRPr="004E1F47">
        <w:t xml:space="preserve"> </w:t>
      </w:r>
      <w:r w:rsidR="004E1F47" w:rsidRPr="004528A8">
        <w:rPr>
          <w:b/>
          <w:bCs/>
        </w:rPr>
        <w:t>to the team</w:t>
      </w:r>
      <w:r w:rsidR="00B872BD">
        <w:t xml:space="preserve"> with a focus on food security and nutrition, </w:t>
      </w:r>
      <w:r w:rsidR="004E1F47" w:rsidRPr="004E1F47">
        <w:t xml:space="preserve">which is highly valued by </w:t>
      </w:r>
      <w:proofErr w:type="spellStart"/>
      <w:r w:rsidR="004528A8">
        <w:t>GoT</w:t>
      </w:r>
      <w:proofErr w:type="spellEnd"/>
      <w:r w:rsidR="004528A8">
        <w:t xml:space="preserve"> partners and </w:t>
      </w:r>
      <w:r w:rsidR="004E1F47" w:rsidRPr="004E1F47">
        <w:t>grantees</w:t>
      </w:r>
      <w:r w:rsidR="00B872BD">
        <w:t xml:space="preserve">. However, the NCD Adviser is </w:t>
      </w:r>
      <w:r w:rsidR="000C3E6E">
        <w:t>largely</w:t>
      </w:r>
      <w:r w:rsidR="004E1F47" w:rsidRPr="004E1F47">
        <w:t xml:space="preserve"> absorbed in back-filling </w:t>
      </w:r>
      <w:r w:rsidR="000C3E6E">
        <w:t xml:space="preserve">the </w:t>
      </w:r>
      <w:r w:rsidR="004E1F47" w:rsidRPr="004E1F47">
        <w:t xml:space="preserve">capacity gaps </w:t>
      </w:r>
      <w:r w:rsidR="000C3E6E">
        <w:t>in the TongaHealth team</w:t>
      </w:r>
      <w:r w:rsidR="00CD4F3D">
        <w:t xml:space="preserve">, leaving limited time to support </w:t>
      </w:r>
      <w:r w:rsidR="004E1F47" w:rsidRPr="004E1F47">
        <w:t>strategic work or capacity-building</w:t>
      </w:r>
      <w:r w:rsidR="00CD4F3D">
        <w:t xml:space="preserve">. </w:t>
      </w:r>
      <w:r w:rsidR="004E1F47" w:rsidRPr="004E1F47">
        <w:t xml:space="preserve"> </w:t>
      </w:r>
      <w:r w:rsidR="006F5C39" w:rsidRPr="00EB57BC">
        <w:rPr>
          <w:b/>
          <w:bCs/>
        </w:rPr>
        <w:t>There have been some efforts to build capacity through formal training</w:t>
      </w:r>
      <w:r w:rsidR="00EB57BC">
        <w:rPr>
          <w:b/>
          <w:bCs/>
        </w:rPr>
        <w:t xml:space="preserve">, </w:t>
      </w:r>
      <w:r w:rsidR="006F5C39">
        <w:t>including M&amp;E training provided by</w:t>
      </w:r>
      <w:r w:rsidR="00535DE1">
        <w:t xml:space="preserve"> the Pacific Community (</w:t>
      </w:r>
      <w:r w:rsidR="006F5C39">
        <w:t>SPC</w:t>
      </w:r>
      <w:r w:rsidR="00535DE1">
        <w:t>)</w:t>
      </w:r>
      <w:r w:rsidR="006F5C39">
        <w:t xml:space="preserve"> and, more recently TASP</w:t>
      </w:r>
      <w:r w:rsidR="00EB57BC">
        <w:t xml:space="preserve"> </w:t>
      </w:r>
      <w:r w:rsidR="00DA75FA">
        <w:t>–</w:t>
      </w:r>
      <w:r w:rsidR="00EB57BC">
        <w:t xml:space="preserve"> </w:t>
      </w:r>
      <w:r w:rsidR="00DA75FA">
        <w:t xml:space="preserve">but these trainings are high-level and theoretical, rather than building the team’s skills to </w:t>
      </w:r>
      <w:r w:rsidR="004C6FC5">
        <w:t xml:space="preserve">fulfil specific aspects of their roles. </w:t>
      </w:r>
      <w:r w:rsidR="00126103">
        <w:t>T</w:t>
      </w:r>
      <w:r w:rsidR="00947710">
        <w:t>ongaHealth has also accessed assistance</w:t>
      </w:r>
      <w:r w:rsidR="005B3384">
        <w:t xml:space="preserve">, </w:t>
      </w:r>
      <w:r w:rsidR="00947710">
        <w:t>including through TASP and MFAT</w:t>
      </w:r>
      <w:r w:rsidR="00C450C0">
        <w:t xml:space="preserve">, to strengthen their financial reporting obligations; </w:t>
      </w:r>
      <w:proofErr w:type="gramStart"/>
      <w:r w:rsidR="00C450C0">
        <w:t>however</w:t>
      </w:r>
      <w:proofErr w:type="gramEnd"/>
      <w:r w:rsidR="00C450C0">
        <w:t xml:space="preserve"> it is unclear whether this</w:t>
      </w:r>
      <w:r w:rsidR="00BA30A9">
        <w:t xml:space="preserve"> was capacity substitution or has </w:t>
      </w:r>
      <w:r w:rsidR="00C450C0">
        <w:t>increased TongaHealth’s capacity</w:t>
      </w:r>
      <w:r w:rsidR="00BA30A9">
        <w:t xml:space="preserve"> </w:t>
      </w:r>
      <w:r w:rsidR="00330A64">
        <w:t xml:space="preserve">for financial reporting. </w:t>
      </w:r>
    </w:p>
    <w:p w14:paraId="7DF19CEA" w14:textId="69AEA4E0" w:rsidR="004E1F47" w:rsidRDefault="00112856" w:rsidP="00DF166F">
      <w:pPr>
        <w:spacing w:after="210" w:line="276" w:lineRule="auto"/>
      </w:pPr>
      <w:r w:rsidRPr="00112856">
        <w:rPr>
          <w:b/>
          <w:bCs/>
        </w:rPr>
        <w:t>Interviewees felt that TongaHealth previously had much stronger technical capacity</w:t>
      </w:r>
      <w:r>
        <w:rPr>
          <w:b/>
          <w:bCs/>
        </w:rPr>
        <w:t xml:space="preserve">. </w:t>
      </w:r>
      <w:r>
        <w:t>Previous sources of technical capacity included having a CEO with a health background; access to health technical support from SPC’s NCD team during TongaHealth’s establishment phase; and hosting v</w:t>
      </w:r>
      <w:r w:rsidRPr="00112856">
        <w:t xml:space="preserve">olunteers focused on </w:t>
      </w:r>
      <w:r>
        <w:t xml:space="preserve">strengthening </w:t>
      </w:r>
      <w:r w:rsidRPr="00112856">
        <w:t xml:space="preserve">internal systems (e.g. </w:t>
      </w:r>
      <w:r>
        <w:t xml:space="preserve">previous volunteers developed the </w:t>
      </w:r>
      <w:r w:rsidRPr="00112856">
        <w:t xml:space="preserve">TongaHealth website, </w:t>
      </w:r>
      <w:r>
        <w:t xml:space="preserve">and developed templates and processes </w:t>
      </w:r>
      <w:r w:rsidRPr="00112856">
        <w:t>for grants and reporting).</w:t>
      </w:r>
      <w:r>
        <w:t xml:space="preserve"> The departure of volunteers due to the COVID-19 pandemic was a sudden drop in capacity for the TongaHealth team, with the remaining team not able to maintain the systems strengthening work the volunteers started. The NCD Adviser has made some steps towards re-instating TongaHealth’s access to Volunteer Services Abroad volunteers, however the </w:t>
      </w:r>
      <w:r w:rsidR="00330A64">
        <w:t>application</w:t>
      </w:r>
      <w:r>
        <w:t xml:space="preserve"> has not been </w:t>
      </w:r>
      <w:proofErr w:type="spellStart"/>
      <w:r>
        <w:t>finali</w:t>
      </w:r>
      <w:r w:rsidR="00AB7EF4">
        <w:t>s</w:t>
      </w:r>
      <w:r>
        <w:t>ed</w:t>
      </w:r>
      <w:proofErr w:type="spellEnd"/>
      <w:r>
        <w:t xml:space="preserve">. </w:t>
      </w:r>
    </w:p>
    <w:p w14:paraId="1848CFCF" w14:textId="6F35F715" w:rsidR="00AD724A" w:rsidRDefault="00AD724A" w:rsidP="00962FBE">
      <w:pPr>
        <w:pStyle w:val="BodyText"/>
      </w:pPr>
      <w:r>
        <w:rPr>
          <w:b/>
          <w:bCs/>
        </w:rPr>
        <w:t xml:space="preserve">TongaHealth’s </w:t>
      </w:r>
      <w:r w:rsidR="000F2C39">
        <w:rPr>
          <w:b/>
          <w:bCs/>
        </w:rPr>
        <w:t>accountability</w:t>
      </w:r>
      <w:r>
        <w:rPr>
          <w:b/>
          <w:bCs/>
        </w:rPr>
        <w:t xml:space="preserve"> mechanisms – the National NCD Committee and TongaHealth Board – are not functioning optimally. </w:t>
      </w:r>
      <w:r w:rsidRPr="008B5203">
        <w:t>As a result</w:t>
      </w:r>
      <w:r w:rsidR="008B5203" w:rsidRPr="008B5203">
        <w:t xml:space="preserve">, </w:t>
      </w:r>
      <w:r w:rsidRPr="008B5203">
        <w:t>there is a lack of strategic oversight of TongaHealth’s work, and limited mechanisms for holding TongaHeal</w:t>
      </w:r>
      <w:r w:rsidR="00BF4D64" w:rsidRPr="008B5203">
        <w:t>th</w:t>
      </w:r>
      <w:r w:rsidRPr="008B5203">
        <w:t xml:space="preserve"> accountable for delivering against the NCD Strategy or the TongaHealth Statement of Corporate Intent.</w:t>
      </w:r>
      <w:r>
        <w:t xml:space="preserve"> </w:t>
      </w:r>
      <w:r w:rsidRPr="00A44D61">
        <w:t xml:space="preserve">The </w:t>
      </w:r>
      <w:r w:rsidRPr="00963BE5">
        <w:rPr>
          <w:b/>
          <w:bCs/>
        </w:rPr>
        <w:t>National NCD Committee</w:t>
      </w:r>
      <w:r w:rsidR="00657597">
        <w:rPr>
          <w:b/>
          <w:bCs/>
        </w:rPr>
        <w:t>,</w:t>
      </w:r>
      <w:r w:rsidR="00657597" w:rsidRPr="00A8666D">
        <w:t xml:space="preserve"> in addition to its role overseeing the NCD Strategy, </w:t>
      </w:r>
      <w:r w:rsidR="00C87A48" w:rsidRPr="00A8666D">
        <w:t>is also an oversight and accountability mechanism for TongaHealth. It</w:t>
      </w:r>
      <w:r w:rsidRPr="00A8666D">
        <w:t xml:space="preserve"> </w:t>
      </w:r>
      <w:r w:rsidR="00E86766">
        <w:t xml:space="preserve">is intended to meet </w:t>
      </w:r>
      <w:proofErr w:type="gramStart"/>
      <w:r w:rsidR="00E86766">
        <w:t>quarterly</w:t>
      </w:r>
      <w:r w:rsidR="00C87A48">
        <w:t xml:space="preserve">, </w:t>
      </w:r>
      <w:r w:rsidRPr="00A44D61">
        <w:t>but</w:t>
      </w:r>
      <w:proofErr w:type="gramEnd"/>
      <w:r w:rsidRPr="00A44D61">
        <w:t xml:space="preserve"> has only met twice since 2021</w:t>
      </w:r>
      <w:r w:rsidR="00EF3D46">
        <w:t>.</w:t>
      </w:r>
      <w:r w:rsidRPr="00A44D61">
        <w:t xml:space="preserve"> </w:t>
      </w:r>
      <w:r>
        <w:t>The TongaHealth CEO</w:t>
      </w:r>
      <w:r w:rsidR="008B5203">
        <w:t xml:space="preserve"> </w:t>
      </w:r>
      <w:r>
        <w:t xml:space="preserve">is </w:t>
      </w:r>
      <w:r w:rsidR="008B5203">
        <w:t>responsible fo</w:t>
      </w:r>
      <w:r w:rsidR="00A0624B">
        <w:t>r providing the Committee with qu</w:t>
      </w:r>
      <w:r>
        <w:t>arterly updates on</w:t>
      </w:r>
      <w:r w:rsidR="002E18A8">
        <w:t xml:space="preserve"> TongaHealth’s</w:t>
      </w:r>
      <w:r>
        <w:t xml:space="preserve"> progress against the NCD Strategy</w:t>
      </w:r>
      <w:r w:rsidR="008D733C">
        <w:t>, but these have not been delivered.</w:t>
      </w:r>
      <w:r>
        <w:t xml:space="preserve"> </w:t>
      </w:r>
      <w:r w:rsidR="00C56D7D">
        <w:t xml:space="preserve">Concerningly, the Committee continues to approve TongaHealth’s Annual Statement of </w:t>
      </w:r>
      <w:r w:rsidR="00C56D7D">
        <w:lastRenderedPageBreak/>
        <w:t xml:space="preserve">Corporate Intent, despite </w:t>
      </w:r>
      <w:r w:rsidR="0004098A">
        <w:t xml:space="preserve">TongaHealth not providing any annual </w:t>
      </w:r>
      <w:r w:rsidR="002707BE">
        <w:t xml:space="preserve">performance or financial </w:t>
      </w:r>
      <w:r w:rsidR="0004098A">
        <w:t>reporting since FY18/19 to demonstrate whether it has delivered on the previous year’s Statement of Corporate Intent.</w:t>
      </w:r>
      <w:r w:rsidR="006A5C39">
        <w:t xml:space="preserve"> </w:t>
      </w:r>
      <w:r>
        <w:t xml:space="preserve">Similarly, the </w:t>
      </w:r>
      <w:r w:rsidRPr="00963BE5">
        <w:rPr>
          <w:b/>
          <w:bCs/>
        </w:rPr>
        <w:t>TongaHealth Board</w:t>
      </w:r>
      <w:r>
        <w:t xml:space="preserve"> did not meet between November 2022 and August 2023 due to membership changes and delays with onboarding new Board members. This contributed to delays in approving grant proposals and staff performance reviews. The TongaHealth CEO is the Secretariat for the </w:t>
      </w:r>
      <w:proofErr w:type="gramStart"/>
      <w:r>
        <w:t>Board</w:t>
      </w:r>
      <w:r w:rsidR="00985BD7">
        <w:t>, and</w:t>
      </w:r>
      <w:proofErr w:type="gramEnd"/>
      <w:r w:rsidR="00985BD7">
        <w:t xml:space="preserve"> needs to be more proactive </w:t>
      </w:r>
      <w:r w:rsidR="009871C8">
        <w:t>in convening more regular meeting</w:t>
      </w:r>
      <w:r w:rsidR="009123E2">
        <w:t xml:space="preserve">s, </w:t>
      </w:r>
      <w:r w:rsidR="0035571B">
        <w:t>onboarding new Board members</w:t>
      </w:r>
      <w:r w:rsidR="009123E2">
        <w:t xml:space="preserve">, and </w:t>
      </w:r>
      <w:r w:rsidR="003525DA">
        <w:t xml:space="preserve">appropriately utilising the </w:t>
      </w:r>
      <w:r w:rsidR="003963A1">
        <w:t>Board as a mechanism for governance</w:t>
      </w:r>
      <w:r w:rsidR="00B013E1">
        <w:t>, accountability</w:t>
      </w:r>
      <w:r w:rsidR="003963A1">
        <w:t xml:space="preserve"> and strategic oversight</w:t>
      </w:r>
      <w:r w:rsidR="0035571B">
        <w:t>.</w:t>
      </w:r>
      <w:r>
        <w:t xml:space="preserve"> </w:t>
      </w:r>
    </w:p>
    <w:p w14:paraId="44D1B288" w14:textId="77777777" w:rsidR="00615294" w:rsidRPr="00F85FFA" w:rsidRDefault="00615294" w:rsidP="00DF166F">
      <w:pPr>
        <w:pStyle w:val="Heading2"/>
        <w:spacing w:line="276" w:lineRule="auto"/>
        <w:rPr>
          <w:rFonts w:asciiTheme="minorHAnsi" w:eastAsia="MS Mincho" w:hAnsiTheme="minorHAnsi"/>
        </w:rPr>
      </w:pPr>
      <w:bookmarkStart w:id="44" w:name="_Toc153899667"/>
      <w:r>
        <w:rPr>
          <w:rFonts w:eastAsia="Calibri"/>
          <w:lang w:bidi="en-US"/>
        </w:rPr>
        <w:t xml:space="preserve">KRQ2: </w:t>
      </w:r>
      <w:r w:rsidRPr="00671F75">
        <w:rPr>
          <w:rFonts w:eastAsia="Calibri"/>
          <w:lang w:bidi="en-US"/>
        </w:rPr>
        <w:t>Coherence: To what extent does TongaHealth effectively coordinate with and share learnings with other Tonga public health stakeholders?</w:t>
      </w:r>
      <w:bookmarkEnd w:id="44"/>
      <w:r w:rsidRPr="00671F75">
        <w:rPr>
          <w:rFonts w:asciiTheme="minorHAnsi" w:eastAsia="Calibri" w:hAnsiTheme="minorHAnsi"/>
          <w:lang w:bidi="en-US"/>
        </w:rPr>
        <w:tab/>
      </w:r>
    </w:p>
    <w:p w14:paraId="3BBAF73B" w14:textId="77777777" w:rsidR="00615294" w:rsidRPr="00671F75" w:rsidRDefault="00615294" w:rsidP="00DF166F">
      <w:pPr>
        <w:pStyle w:val="Heading3"/>
        <w:spacing w:line="276" w:lineRule="auto"/>
      </w:pPr>
      <w:r w:rsidRPr="00671F75">
        <w:t xml:space="preserve">How are TongaHealth’s activities inter-related and coordinated to </w:t>
      </w:r>
      <w:proofErr w:type="spellStart"/>
      <w:r w:rsidRPr="00671F75">
        <w:t>maximise</w:t>
      </w:r>
      <w:proofErr w:type="spellEnd"/>
      <w:r w:rsidRPr="00671F75">
        <w:t xml:space="preserve"> the long-term development impact? </w:t>
      </w:r>
    </w:p>
    <w:p w14:paraId="42804991" w14:textId="51E55A29" w:rsidR="0060322B" w:rsidRDefault="00BD680A" w:rsidP="00962FBE">
      <w:pPr>
        <w:pStyle w:val="BodyText"/>
      </w:pPr>
      <w:r>
        <w:t>This Review was not able to identify any examples of TongaHealth’s activities being</w:t>
      </w:r>
      <w:r w:rsidR="003C6236">
        <w:t xml:space="preserve"> intentionally</w:t>
      </w:r>
      <w:r>
        <w:t xml:space="preserve"> inter-related or coordinated.</w:t>
      </w:r>
      <w:r w:rsidR="00D675F6">
        <w:t xml:space="preserve"> However, nor did the Review find significant </w:t>
      </w:r>
      <w:r w:rsidR="00012789">
        <w:t xml:space="preserve">duplication or overlap between TongaHealth’s activities. While DFAT interviewees raised concerns about potential duplication of effort (e.g. between TongaHealth and other stakeholders, or between TongaHealth grantees), </w:t>
      </w:r>
      <w:r w:rsidR="0060322B">
        <w:t xml:space="preserve">only one interviewee raised this as an issue, </w:t>
      </w:r>
      <w:r w:rsidR="00C72D42">
        <w:t xml:space="preserve">citing some challenges with TongaHealth funding </w:t>
      </w:r>
      <w:r w:rsidR="00C72D42" w:rsidRPr="0066548F">
        <w:t>m</w:t>
      </w:r>
      <w:r w:rsidR="00A70004" w:rsidRPr="0066548F">
        <w:t xml:space="preserve">ore than one Zumba group to operate in the same location, resulting in some duplication of effort and confusion amongst community members. </w:t>
      </w:r>
      <w:r w:rsidR="00A36F0B" w:rsidRPr="0066548F">
        <w:t xml:space="preserve">While </w:t>
      </w:r>
      <w:r w:rsidR="00A12B99" w:rsidRPr="0066548F">
        <w:t xml:space="preserve">DFAT expressed concerns about potential overlap of TongaHealth’s seedling distribution work with other stakeholders (e.g. </w:t>
      </w:r>
      <w:r w:rsidR="0017069B" w:rsidRPr="0066548F">
        <w:t>MAFF and the NGO Mainstreaming of Rural Development Innovation (MORDI)</w:t>
      </w:r>
      <w:r w:rsidR="00765BB1" w:rsidRPr="0066548F">
        <w:t>) who produce and distribute seedlings, interviewees from MAFF</w:t>
      </w:r>
      <w:r w:rsidR="00ED1E49" w:rsidRPr="0066548F">
        <w:t xml:space="preserve"> indicated this was not the cas</w:t>
      </w:r>
      <w:r w:rsidR="00855A38" w:rsidRPr="0066548F">
        <w:t>e. Rather, MAFF interview</w:t>
      </w:r>
      <w:r w:rsidR="00345412" w:rsidRPr="0066548F">
        <w:t>ee</w:t>
      </w:r>
      <w:r w:rsidR="00855A38" w:rsidRPr="0066548F">
        <w:t>s felt that TongaHealth’s seedling distribution work complements their</w:t>
      </w:r>
      <w:r w:rsidR="00454BFB" w:rsidRPr="0066548F">
        <w:t xml:space="preserve"> own</w:t>
      </w:r>
      <w:r w:rsidR="0055054A" w:rsidRPr="0066548F">
        <w:t xml:space="preserve">. MAFF interviewees reported that </w:t>
      </w:r>
      <w:r w:rsidR="00461258" w:rsidRPr="0066548F">
        <w:t>there is high community demand for seedlings, that MAFF alone is unable to meet</w:t>
      </w:r>
      <w:r w:rsidR="00AA68A8" w:rsidRPr="0066548F">
        <w:t xml:space="preserve">. TongaHealth, by </w:t>
      </w:r>
      <w:r w:rsidR="004E59D4" w:rsidRPr="0066548F">
        <w:t>fund</w:t>
      </w:r>
      <w:r w:rsidR="00AA68A8" w:rsidRPr="0066548F">
        <w:t>ing</w:t>
      </w:r>
      <w:r w:rsidR="004E59D4" w:rsidRPr="0066548F">
        <w:t xml:space="preserve"> private sector nurseries</w:t>
      </w:r>
      <w:r w:rsidR="004E59D4">
        <w:t xml:space="preserve"> to grow and distribute seedlings,</w:t>
      </w:r>
      <w:r w:rsidR="00AA68A8">
        <w:t xml:space="preserve"> was considered </w:t>
      </w:r>
      <w:r w:rsidR="00345412">
        <w:t xml:space="preserve">to help </w:t>
      </w:r>
      <w:r w:rsidR="0066548F">
        <w:t xml:space="preserve">expand the reach of seedling distribution, particularly to outer islands that </w:t>
      </w:r>
      <w:r w:rsidR="00F92B73">
        <w:t xml:space="preserve">MAFF are unable to reach. </w:t>
      </w:r>
      <w:r w:rsidR="0017069B">
        <w:t xml:space="preserve"> </w:t>
      </w:r>
    </w:p>
    <w:p w14:paraId="0EAB5486" w14:textId="7D66E7ED" w:rsidR="00615294" w:rsidRDefault="00615294" w:rsidP="00DF166F">
      <w:pPr>
        <w:pStyle w:val="Heading3"/>
        <w:spacing w:line="276" w:lineRule="auto"/>
      </w:pPr>
      <w:bookmarkStart w:id="45" w:name="_Ref151920605"/>
      <w:r w:rsidRPr="00671F75">
        <w:t>What is the status of engagement and learning between TongaHealth and the Health Promotion Unit of Ministry of Health?</w:t>
      </w:r>
      <w:bookmarkEnd w:id="45"/>
    </w:p>
    <w:p w14:paraId="3DE07FAC" w14:textId="380B5EC4" w:rsidR="00E744A6" w:rsidRDefault="00E744A6" w:rsidP="00962FBE">
      <w:pPr>
        <w:pStyle w:val="BodyText"/>
        <w:rPr>
          <w:rFonts w:eastAsiaTheme="minorEastAsia"/>
        </w:rPr>
      </w:pPr>
      <w:r w:rsidRPr="00E744A6">
        <w:rPr>
          <w:rFonts w:eastAsiaTheme="minorEastAsia"/>
          <w:b/>
          <w:bCs/>
        </w:rPr>
        <w:t>Engagement between TongaHealth and the HPU is l</w:t>
      </w:r>
      <w:r>
        <w:rPr>
          <w:rFonts w:eastAsiaTheme="minorEastAsia"/>
          <w:b/>
          <w:bCs/>
        </w:rPr>
        <w:t xml:space="preserve">ess than would be expected, given their common focus on NCDs. </w:t>
      </w:r>
      <w:r w:rsidRPr="00E744A6">
        <w:rPr>
          <w:rFonts w:eastAsiaTheme="minorEastAsia"/>
        </w:rPr>
        <w:t xml:space="preserve">There have been </w:t>
      </w:r>
      <w:r w:rsidR="007E0E0C">
        <w:rPr>
          <w:rFonts w:eastAsiaTheme="minorEastAsia"/>
        </w:rPr>
        <w:t xml:space="preserve">only </w:t>
      </w:r>
      <w:r w:rsidRPr="00E744A6">
        <w:rPr>
          <w:rFonts w:eastAsiaTheme="minorEastAsia"/>
        </w:rPr>
        <w:t>two meetings between TongaHealth and the HPU in 2023 to date</w:t>
      </w:r>
      <w:r w:rsidR="00545D41">
        <w:rPr>
          <w:rFonts w:eastAsiaTheme="minorEastAsia"/>
        </w:rPr>
        <w:t>, focussed on identifying</w:t>
      </w:r>
      <w:r w:rsidR="00A77D98">
        <w:rPr>
          <w:rFonts w:eastAsiaTheme="minorEastAsia"/>
        </w:rPr>
        <w:t xml:space="preserve"> areas for collaboration. While this is positive, </w:t>
      </w:r>
      <w:r w:rsidR="00C233B7">
        <w:rPr>
          <w:rFonts w:eastAsiaTheme="minorEastAsia"/>
        </w:rPr>
        <w:t xml:space="preserve">it is </w:t>
      </w:r>
      <w:r>
        <w:rPr>
          <w:rFonts w:eastAsiaTheme="minorEastAsia"/>
        </w:rPr>
        <w:t>well below the level planned in the THSSP3 workplan (which sets an Output target of monthly meetings between TongaHealth and the HPU to discuss cross-cutting issues)</w:t>
      </w:r>
      <w:r w:rsidR="00C233B7">
        <w:rPr>
          <w:rFonts w:eastAsiaTheme="minorEastAsia"/>
        </w:rPr>
        <w:t>.</w:t>
      </w:r>
    </w:p>
    <w:p w14:paraId="45A3D81F" w14:textId="425F629E" w:rsidR="00E744A6" w:rsidRPr="00112856" w:rsidRDefault="00112856" w:rsidP="00962FBE">
      <w:pPr>
        <w:pStyle w:val="BodyText"/>
      </w:pPr>
      <w:r>
        <w:rPr>
          <w:rFonts w:eastAsiaTheme="minorEastAsia"/>
          <w:b/>
          <w:bCs/>
        </w:rPr>
        <w:t xml:space="preserve">Several interviewees identified a need for stronger communication and collaboration between the two agencies. </w:t>
      </w:r>
      <w:proofErr w:type="gramStart"/>
      <w:r w:rsidRPr="00112856">
        <w:rPr>
          <w:rFonts w:eastAsiaTheme="minorEastAsia"/>
        </w:rPr>
        <w:t>In particular, HPU</w:t>
      </w:r>
      <w:proofErr w:type="gramEnd"/>
      <w:r w:rsidRPr="00112856">
        <w:rPr>
          <w:rFonts w:eastAsiaTheme="minorEastAsia"/>
        </w:rPr>
        <w:t xml:space="preserve"> representatives expressed a desire for </w:t>
      </w:r>
      <w:r w:rsidR="00756D5B">
        <w:rPr>
          <w:rFonts w:eastAsiaTheme="minorEastAsia"/>
        </w:rPr>
        <w:t>more regular meetings</w:t>
      </w:r>
      <w:r w:rsidR="00027305">
        <w:rPr>
          <w:rFonts w:eastAsiaTheme="minorEastAsia"/>
        </w:rPr>
        <w:t xml:space="preserve">, </w:t>
      </w:r>
      <w:r w:rsidR="00756D5B">
        <w:rPr>
          <w:rFonts w:eastAsiaTheme="minorEastAsia"/>
        </w:rPr>
        <w:t xml:space="preserve">and for </w:t>
      </w:r>
      <w:r w:rsidRPr="00112856">
        <w:rPr>
          <w:rFonts w:eastAsiaTheme="minorEastAsia"/>
        </w:rPr>
        <w:t>stronger engagement in the grant application process</w:t>
      </w:r>
      <w:r w:rsidR="008C3399">
        <w:rPr>
          <w:rFonts w:eastAsiaTheme="minorEastAsia"/>
        </w:rPr>
        <w:t xml:space="preserve">. </w:t>
      </w:r>
      <w:r w:rsidR="00BF708D">
        <w:rPr>
          <w:rFonts w:eastAsiaTheme="minorEastAsia"/>
        </w:rPr>
        <w:t xml:space="preserve">Specifically, </w:t>
      </w:r>
      <w:r w:rsidRPr="00112856">
        <w:rPr>
          <w:rFonts w:eastAsiaTheme="minorEastAsia"/>
        </w:rPr>
        <w:t xml:space="preserve">HPU representatives </w:t>
      </w:r>
      <w:r w:rsidR="00BF708D">
        <w:rPr>
          <w:rFonts w:eastAsiaTheme="minorEastAsia"/>
        </w:rPr>
        <w:t>requested to be able to review grant proposals that overlap with the HPU’s work in health promoting schools, workplaces and churches</w:t>
      </w:r>
      <w:r w:rsidR="00B959F0">
        <w:rPr>
          <w:rFonts w:eastAsiaTheme="minorEastAsia"/>
        </w:rPr>
        <w:t xml:space="preserve">, in order to provide </w:t>
      </w:r>
      <w:r w:rsidRPr="00112856">
        <w:rPr>
          <w:rFonts w:eastAsiaTheme="minorEastAsia"/>
        </w:rPr>
        <w:t xml:space="preserve">technical input </w:t>
      </w:r>
      <w:r w:rsidR="00B959F0">
        <w:rPr>
          <w:rFonts w:eastAsiaTheme="minorEastAsia"/>
        </w:rPr>
        <w:t>based on their experience working with the applicants (who often also receive technical support from the HPU)</w:t>
      </w:r>
      <w:r w:rsidR="007F67EC">
        <w:rPr>
          <w:rFonts w:eastAsiaTheme="minorEastAsia"/>
        </w:rPr>
        <w:t xml:space="preserve"> </w:t>
      </w:r>
      <w:r w:rsidRPr="00112856">
        <w:rPr>
          <w:rFonts w:eastAsiaTheme="minorEastAsia"/>
        </w:rPr>
        <w:t xml:space="preserve">and their technical knowledge of ‘what </w:t>
      </w:r>
      <w:proofErr w:type="gramStart"/>
      <w:r w:rsidRPr="00112856">
        <w:rPr>
          <w:rFonts w:eastAsiaTheme="minorEastAsia"/>
        </w:rPr>
        <w:t>works’</w:t>
      </w:r>
      <w:proofErr w:type="gramEnd"/>
      <w:r w:rsidRPr="00112856">
        <w:rPr>
          <w:rFonts w:eastAsiaTheme="minorEastAsia"/>
        </w:rPr>
        <w:t xml:space="preserve"> for settings-based health promotion. </w:t>
      </w:r>
      <w:r w:rsidR="007F67EC">
        <w:rPr>
          <w:rFonts w:eastAsiaTheme="minorEastAsia"/>
        </w:rPr>
        <w:t xml:space="preserve">Engaging the HPU in reviewing grant applications would also </w:t>
      </w:r>
      <w:r w:rsidR="004A4193">
        <w:rPr>
          <w:rFonts w:eastAsiaTheme="minorEastAsia"/>
        </w:rPr>
        <w:t xml:space="preserve">create opportunities for synergy, by </w:t>
      </w:r>
      <w:r w:rsidR="00503F90">
        <w:rPr>
          <w:rFonts w:eastAsiaTheme="minorEastAsia"/>
        </w:rPr>
        <w:t xml:space="preserve">focussing </w:t>
      </w:r>
      <w:r w:rsidRPr="00E744A6">
        <w:rPr>
          <w:rFonts w:eastAsiaTheme="minorEastAsia"/>
        </w:rPr>
        <w:t>TongaHealth funding and HPU technical support on the same grantee</w:t>
      </w:r>
      <w:r w:rsidR="00503F90">
        <w:rPr>
          <w:rFonts w:eastAsiaTheme="minorEastAsia"/>
        </w:rPr>
        <w:t xml:space="preserve">s. </w:t>
      </w:r>
    </w:p>
    <w:p w14:paraId="4E0E1CFB" w14:textId="346663FC" w:rsidR="00E744A6" w:rsidRDefault="00112856" w:rsidP="00962FBE">
      <w:pPr>
        <w:pStyle w:val="BodyText"/>
        <w:rPr>
          <w:rFonts w:eastAsiaTheme="minorEastAsia"/>
        </w:rPr>
      </w:pPr>
      <w:r>
        <w:rPr>
          <w:rFonts w:eastAsiaTheme="minorEastAsia"/>
          <w:b/>
          <w:bCs/>
        </w:rPr>
        <w:t>Interviewees reported t</w:t>
      </w:r>
      <w:r w:rsidR="00E744A6" w:rsidRPr="00112856">
        <w:rPr>
          <w:rFonts w:eastAsiaTheme="minorEastAsia"/>
          <w:b/>
          <w:bCs/>
        </w:rPr>
        <w:t>he relationship between the HPU and TongaHealth was previously much stronger,</w:t>
      </w:r>
      <w:r w:rsidR="00E744A6">
        <w:rPr>
          <w:rFonts w:eastAsiaTheme="minorEastAsia"/>
        </w:rPr>
        <w:t xml:space="preserve"> with interviewees describing that the HPU and TongaHealth previously had joint annual planning sessions, </w:t>
      </w:r>
      <w:r>
        <w:rPr>
          <w:rFonts w:eastAsiaTheme="minorEastAsia"/>
        </w:rPr>
        <w:t xml:space="preserve">monthly meetings to monitor progress on joint activities, </w:t>
      </w:r>
      <w:r w:rsidR="00E744A6">
        <w:rPr>
          <w:rFonts w:eastAsiaTheme="minorEastAsia"/>
        </w:rPr>
        <w:t xml:space="preserve">and TongaHealth frequently sharing grant proposals with the HPU for their awareness and feedback. Interviewees suggested that the main reason for the drop-off in collaborative efforts was staff changes in TongaHealth, with current TongaHealth staff being less proactive in maintaining </w:t>
      </w:r>
      <w:r>
        <w:rPr>
          <w:rFonts w:eastAsiaTheme="minorEastAsia"/>
        </w:rPr>
        <w:t>a relationship with the HPU.</w:t>
      </w:r>
    </w:p>
    <w:p w14:paraId="5DD65419" w14:textId="77777777" w:rsidR="00615294" w:rsidRDefault="00615294" w:rsidP="00DF166F">
      <w:pPr>
        <w:pStyle w:val="Heading3"/>
        <w:spacing w:line="276" w:lineRule="auto"/>
      </w:pPr>
      <w:r w:rsidRPr="00976C25">
        <w:lastRenderedPageBreak/>
        <w:t>To what extent is there an overlap of mandates between TongaHealth and the Health Promotion Unit of Ministry of Health, and what are the implications of this?</w:t>
      </w:r>
    </w:p>
    <w:p w14:paraId="34A61264" w14:textId="605E0093" w:rsidR="00112856" w:rsidRDefault="00112856" w:rsidP="00DF166F">
      <w:pPr>
        <w:spacing w:line="276" w:lineRule="auto"/>
      </w:pPr>
      <w:r w:rsidRPr="00112856">
        <w:rPr>
          <w:b/>
          <w:bCs/>
        </w:rPr>
        <w:t xml:space="preserve">TongaHealth and the HPU both feel there is clear role delineation </w:t>
      </w:r>
      <w:r w:rsidRPr="00596C66">
        <w:rPr>
          <w:b/>
          <w:bCs/>
        </w:rPr>
        <w:t xml:space="preserve">between their </w:t>
      </w:r>
      <w:proofErr w:type="spellStart"/>
      <w:r w:rsidRPr="00596C66">
        <w:rPr>
          <w:b/>
          <w:bCs/>
        </w:rPr>
        <w:t>organisations</w:t>
      </w:r>
      <w:proofErr w:type="spellEnd"/>
      <w:r w:rsidR="00D575BD" w:rsidRPr="00596C66">
        <w:rPr>
          <w:b/>
          <w:bCs/>
        </w:rPr>
        <w:t xml:space="preserve">, </w:t>
      </w:r>
      <w:r>
        <w:t xml:space="preserve">with the HPU providing technical expertise and supporting implementation, and TongaHealth providing funding. </w:t>
      </w:r>
      <w:r w:rsidR="00B51A9A">
        <w:t xml:space="preserve">While both parties agreed there was previously some </w:t>
      </w:r>
      <w:r w:rsidR="00E91185">
        <w:t>overlap of mandates – particularly around TongaHealth’s role in direct implementation</w:t>
      </w:r>
      <w:r w:rsidR="00D575BD">
        <w:t xml:space="preserve"> – </w:t>
      </w:r>
      <w:r w:rsidR="00E91185">
        <w:t>this is no longer a major concern</w:t>
      </w:r>
      <w:r w:rsidR="00471CF8">
        <w:t xml:space="preserve">, with both parties in agreement that TongaHealth should not be doing direct implementation. While there are </w:t>
      </w:r>
      <w:r w:rsidR="005236BD">
        <w:t xml:space="preserve">some occasions on which TongaHealth still does direct implementation (e.g. running Zumba classes, </w:t>
      </w:r>
      <w:r w:rsidR="00413422">
        <w:t>providing</w:t>
      </w:r>
      <w:r w:rsidR="005236BD">
        <w:t xml:space="preserve"> cooking demonstrations)</w:t>
      </w:r>
      <w:r w:rsidR="00413422">
        <w:t xml:space="preserve">, TongaHealth leadership expressed that this was only as a </w:t>
      </w:r>
      <w:r>
        <w:t>‘last resort’</w:t>
      </w:r>
      <w:r w:rsidR="00DB1F38">
        <w:t xml:space="preserve"> </w:t>
      </w:r>
      <w:r>
        <w:t>when no implementers were available</w:t>
      </w:r>
      <w:r w:rsidR="00DB1F38">
        <w:t xml:space="preserve">, </w:t>
      </w:r>
      <w:r>
        <w:t xml:space="preserve">and that TongaHealth intends to </w:t>
      </w:r>
      <w:r w:rsidR="00413422">
        <w:t>fully withdraw from this implementation role in future</w:t>
      </w:r>
      <w:r>
        <w:t>.</w:t>
      </w:r>
    </w:p>
    <w:p w14:paraId="7C4FB8B0" w14:textId="77777777" w:rsidR="00615294" w:rsidRPr="00671F75" w:rsidRDefault="00615294" w:rsidP="00DF166F">
      <w:pPr>
        <w:pStyle w:val="Heading2"/>
        <w:spacing w:line="276" w:lineRule="auto"/>
        <w:rPr>
          <w:rFonts w:eastAsia="Calibri"/>
          <w:lang w:bidi="en-US"/>
        </w:rPr>
      </w:pPr>
      <w:bookmarkStart w:id="46" w:name="_Toc153899668"/>
      <w:r>
        <w:rPr>
          <w:rFonts w:eastAsia="Calibri"/>
          <w:lang w:bidi="en-US"/>
        </w:rPr>
        <w:t xml:space="preserve">KRQ3: </w:t>
      </w:r>
      <w:r w:rsidRPr="00671F75">
        <w:rPr>
          <w:rFonts w:eastAsia="Calibri"/>
          <w:lang w:bidi="en-US"/>
        </w:rPr>
        <w:t>Relevance: To what extent does TongaHealth’s work remain relevant to deliver on its mandate?</w:t>
      </w:r>
      <w:bookmarkEnd w:id="46"/>
    </w:p>
    <w:p w14:paraId="196D2DE1" w14:textId="77777777" w:rsidR="00615294" w:rsidRDefault="00615294" w:rsidP="00DF166F">
      <w:pPr>
        <w:pStyle w:val="Heading3"/>
        <w:spacing w:line="276" w:lineRule="auto"/>
      </w:pPr>
      <w:bookmarkStart w:id="47" w:name="_Ref152316399"/>
      <w:r w:rsidRPr="00671F75">
        <w:t xml:space="preserve">To what extent is TongaHealth delivering on its six functions outlined in the NCD </w:t>
      </w:r>
      <w:r>
        <w:t>S</w:t>
      </w:r>
      <w:r w:rsidRPr="00671F75">
        <w:t>trategy and to what extent is the current balance of effort between those functions appropriate?</w:t>
      </w:r>
      <w:bookmarkEnd w:id="47"/>
    </w:p>
    <w:p w14:paraId="6F8B4C28" w14:textId="5C6EC50B" w:rsidR="00577793" w:rsidRDefault="00633FCC" w:rsidP="00DF166F">
      <w:pPr>
        <w:spacing w:line="276" w:lineRule="auto"/>
      </w:pPr>
      <w:r>
        <w:t xml:space="preserve">The NCD Strategy </w:t>
      </w:r>
      <w:r w:rsidR="00942E6C">
        <w:t xml:space="preserve">describes TongaHealth as having </w:t>
      </w:r>
      <w:r>
        <w:t xml:space="preserve">six functions: </w:t>
      </w:r>
      <w:r w:rsidR="00577793">
        <w:t xml:space="preserve">Grant administration; </w:t>
      </w:r>
      <w:r>
        <w:t xml:space="preserve">Stakeholder engagement; Monitoring, </w:t>
      </w:r>
      <w:proofErr w:type="gramStart"/>
      <w:r>
        <w:t>evaluation</w:t>
      </w:r>
      <w:proofErr w:type="gramEnd"/>
      <w:r>
        <w:t xml:space="preserve"> and research; Resource </w:t>
      </w:r>
      <w:proofErr w:type="spellStart"/>
      <w:r>
        <w:t>mobilisation</w:t>
      </w:r>
      <w:proofErr w:type="spellEnd"/>
      <w:r>
        <w:t>; Policy development, and Facilitation and coordination</w:t>
      </w:r>
      <w:r w:rsidR="00577793">
        <w:rPr>
          <w:rStyle w:val="FootnoteReference"/>
        </w:rPr>
        <w:footnoteReference w:id="8"/>
      </w:r>
      <w:r>
        <w:t>.</w:t>
      </w:r>
    </w:p>
    <w:p w14:paraId="34CF5FF3" w14:textId="3777C6AB" w:rsidR="00577793" w:rsidRDefault="00C00826" w:rsidP="00962FBE">
      <w:pPr>
        <w:pStyle w:val="BodyText"/>
      </w:pPr>
      <w:r w:rsidRPr="00C00826">
        <w:rPr>
          <w:b/>
          <w:bCs/>
        </w:rPr>
        <w:t>Grant administration</w:t>
      </w:r>
      <w:r w:rsidR="00577793" w:rsidRPr="004E0338">
        <w:t xml:space="preserve"> relates to administering</w:t>
      </w:r>
      <w:r w:rsidR="00577793">
        <w:t xml:space="preserve"> and financing grants for activities that support NCD prevention. As described in Section </w:t>
      </w:r>
      <w:r w:rsidR="00577793">
        <w:fldChar w:fldCharType="begin"/>
      </w:r>
      <w:r w:rsidR="00577793">
        <w:instrText xml:space="preserve"> REF _Ref152413541 \r \h  \* MERGEFORMAT </w:instrText>
      </w:r>
      <w:r w:rsidR="00577793">
        <w:fldChar w:fldCharType="separate"/>
      </w:r>
      <w:r w:rsidR="00660A02">
        <w:t>3.1.5</w:t>
      </w:r>
      <w:r w:rsidR="00577793">
        <w:fldChar w:fldCharType="end"/>
      </w:r>
      <w:r w:rsidR="00577793">
        <w:t xml:space="preserve">, TongaHealth is almost exclusively focussed on grant administration, and making limited progress in relation to the other five functions. </w:t>
      </w:r>
    </w:p>
    <w:p w14:paraId="4637E3C8" w14:textId="399BA098" w:rsidR="00C5080A" w:rsidRPr="00C06A03" w:rsidRDefault="00C00826" w:rsidP="00DF166F">
      <w:pPr>
        <w:spacing w:line="276" w:lineRule="auto"/>
      </w:pPr>
      <w:r w:rsidRPr="00C00826">
        <w:rPr>
          <w:b/>
          <w:bCs/>
        </w:rPr>
        <w:t>Stakeholder engagement</w:t>
      </w:r>
      <w:r w:rsidR="00577793">
        <w:t xml:space="preserve"> relates to </w:t>
      </w:r>
      <w:proofErr w:type="spellStart"/>
      <w:r w:rsidR="00577793">
        <w:t>m</w:t>
      </w:r>
      <w:r w:rsidR="00633FCC">
        <w:t>obilising</w:t>
      </w:r>
      <w:proofErr w:type="spellEnd"/>
      <w:r w:rsidR="00633FCC">
        <w:t xml:space="preserve"> and engaging stakeholders</w:t>
      </w:r>
      <w:r>
        <w:t xml:space="preserve"> to address NCDs</w:t>
      </w:r>
      <w:r w:rsidR="00633FCC">
        <w:t>, particularly at CSO and community level</w:t>
      </w:r>
      <w:r w:rsidR="00577793">
        <w:t>.</w:t>
      </w:r>
      <w:r w:rsidR="004E0338">
        <w:t xml:space="preserve"> As described in Section </w:t>
      </w:r>
      <w:r w:rsidR="000E0E96">
        <w:fldChar w:fldCharType="begin"/>
      </w:r>
      <w:r w:rsidR="000E0E96">
        <w:instrText xml:space="preserve"> REF _Ref152673264 \r \h </w:instrText>
      </w:r>
      <w:r w:rsidR="00B55EE1">
        <w:instrText xml:space="preserve"> \* MERGEFORMAT </w:instrText>
      </w:r>
      <w:r w:rsidR="000E0E96">
        <w:fldChar w:fldCharType="separate"/>
      </w:r>
      <w:r w:rsidR="00660A02">
        <w:t>3.1.1</w:t>
      </w:r>
      <w:r w:rsidR="000E0E96">
        <w:fldChar w:fldCharType="end"/>
      </w:r>
      <w:r w:rsidR="000E0E96">
        <w:t xml:space="preserve"> (under KRA 2), TongaHealth has made very little progress in </w:t>
      </w:r>
      <w:r w:rsidR="007209B3">
        <w:t xml:space="preserve">engaging stakeholders at CSO and community level, besides engaging with grantees on their specific projects, and promoting awareness of the availability of grants e.g. via Facebook </w:t>
      </w:r>
      <w:r w:rsidR="007209B3" w:rsidRPr="00C06A03">
        <w:t xml:space="preserve">posts. </w:t>
      </w:r>
      <w:r w:rsidR="00306709" w:rsidRPr="00C06A03">
        <w:t xml:space="preserve">Similarly, in terms of </w:t>
      </w:r>
      <w:r w:rsidR="00C5080A" w:rsidRPr="00C06A03">
        <w:rPr>
          <w:b/>
          <w:bCs/>
        </w:rPr>
        <w:t>facilitation and coordination</w:t>
      </w:r>
      <w:r w:rsidR="002E2B02" w:rsidRPr="00C06A03">
        <w:t xml:space="preserve">, TongaHealth’s role in the </w:t>
      </w:r>
      <w:r w:rsidR="00C5080A" w:rsidRPr="00C06A03">
        <w:t xml:space="preserve">coordination of activities, </w:t>
      </w:r>
      <w:proofErr w:type="gramStart"/>
      <w:r w:rsidR="00C5080A" w:rsidRPr="00C06A03">
        <w:t>meetings</w:t>
      </w:r>
      <w:proofErr w:type="gramEnd"/>
      <w:r w:rsidR="00C5080A" w:rsidRPr="00C06A03">
        <w:t xml:space="preserve"> and dialogues among stakeholders to promote multisectoral action on NCDs</w:t>
      </w:r>
      <w:r w:rsidR="002E2B02" w:rsidRPr="00C06A03">
        <w:t xml:space="preserve"> has been limited (see Section </w:t>
      </w:r>
      <w:r w:rsidR="002E2B02" w:rsidRPr="00C06A03">
        <w:fldChar w:fldCharType="begin"/>
      </w:r>
      <w:r w:rsidR="002E2B02" w:rsidRPr="00C06A03">
        <w:instrText xml:space="preserve"> REF _Ref152673264 \r \h </w:instrText>
      </w:r>
      <w:r w:rsidR="00C06A03">
        <w:instrText xml:space="preserve"> \* MERGEFORMAT </w:instrText>
      </w:r>
      <w:r w:rsidR="002E2B02" w:rsidRPr="00C06A03">
        <w:fldChar w:fldCharType="separate"/>
      </w:r>
      <w:r w:rsidR="00A95913">
        <w:t>3.1.1</w:t>
      </w:r>
      <w:r w:rsidR="002E2B02" w:rsidRPr="00C06A03">
        <w:fldChar w:fldCharType="end"/>
      </w:r>
      <w:r w:rsidR="002E2B02" w:rsidRPr="00C06A03">
        <w:t>, KRA 2).</w:t>
      </w:r>
    </w:p>
    <w:p w14:paraId="61273A46" w14:textId="20E1A136" w:rsidR="00577793" w:rsidRDefault="00C00826" w:rsidP="00962FBE">
      <w:pPr>
        <w:pStyle w:val="BodyText"/>
      </w:pPr>
      <w:r w:rsidRPr="00C06A03">
        <w:t xml:space="preserve">The </w:t>
      </w:r>
      <w:r w:rsidRPr="00C06A03">
        <w:rPr>
          <w:b/>
          <w:bCs/>
        </w:rPr>
        <w:t>monitoring, evaluation and research</w:t>
      </w:r>
      <w:r w:rsidRPr="00C06A03">
        <w:t xml:space="preserve"> </w:t>
      </w:r>
      <w:r w:rsidR="0095060B" w:rsidRPr="00C06A03">
        <w:t>function relates to</w:t>
      </w:r>
      <w:r w:rsidR="00633FCC" w:rsidRPr="00C06A03">
        <w:t xml:space="preserve"> supporting</w:t>
      </w:r>
      <w:r w:rsidR="00633FCC">
        <w:t xml:space="preserve"> M&amp;E of progress against the NCD </w:t>
      </w:r>
      <w:proofErr w:type="gramStart"/>
      <w:r w:rsidR="00633FCC">
        <w:t>Strategy, and</w:t>
      </w:r>
      <w:proofErr w:type="gramEnd"/>
      <w:r w:rsidR="00633FCC">
        <w:t xml:space="preserve"> supporting locally-led research</w:t>
      </w:r>
      <w:r w:rsidR="0095060B">
        <w:t xml:space="preserve">. As noted </w:t>
      </w:r>
      <w:r w:rsidR="006C06DB">
        <w:t xml:space="preserve">in Section </w:t>
      </w:r>
      <w:r w:rsidR="006C06DB">
        <w:fldChar w:fldCharType="begin"/>
      </w:r>
      <w:r w:rsidR="006C06DB">
        <w:instrText xml:space="preserve"> REF _Ref152673264 \r \h </w:instrText>
      </w:r>
      <w:r w:rsidR="00594CCE">
        <w:instrText xml:space="preserve"> \* MERGEFORMAT </w:instrText>
      </w:r>
      <w:r w:rsidR="006C06DB">
        <w:fldChar w:fldCharType="separate"/>
      </w:r>
      <w:r w:rsidR="00A95913">
        <w:t>3.1.1</w:t>
      </w:r>
      <w:r w:rsidR="006C06DB">
        <w:fldChar w:fldCharType="end"/>
      </w:r>
      <w:r w:rsidR="006C06DB">
        <w:t xml:space="preserve"> (under KRA 5), TongaHealth has made slow progress in </w:t>
      </w:r>
      <w:r w:rsidR="00594CCE">
        <w:t xml:space="preserve">these areas. While TongaHealth invests significant effort in grant monitoring, there are also major gaps in TongaHealth’s internal M&amp;E system (see Section </w:t>
      </w:r>
      <w:r w:rsidR="00594CCE">
        <w:fldChar w:fldCharType="begin"/>
      </w:r>
      <w:r w:rsidR="00594CCE">
        <w:instrText xml:space="preserve"> REF _Ref152658099 \r \h  \* MERGEFORMAT </w:instrText>
      </w:r>
      <w:r w:rsidR="00594CCE">
        <w:fldChar w:fldCharType="separate"/>
      </w:r>
      <w:r w:rsidR="00A95913">
        <w:t>3.1.2</w:t>
      </w:r>
      <w:r w:rsidR="00594CCE">
        <w:fldChar w:fldCharType="end"/>
      </w:r>
      <w:r w:rsidR="00594CCE">
        <w:t>).</w:t>
      </w:r>
    </w:p>
    <w:p w14:paraId="5AE78915" w14:textId="5D8E49E3" w:rsidR="00633FCC" w:rsidRDefault="00802D2F" w:rsidP="00962FBE">
      <w:pPr>
        <w:pStyle w:val="BodyText"/>
      </w:pPr>
      <w:r w:rsidRPr="00802D2F">
        <w:t xml:space="preserve">TongaHealth has made some progress in </w:t>
      </w:r>
      <w:r>
        <w:rPr>
          <w:b/>
          <w:bCs/>
        </w:rPr>
        <w:t>r</w:t>
      </w:r>
      <w:r w:rsidR="00C00826" w:rsidRPr="00C00826">
        <w:rPr>
          <w:b/>
          <w:bCs/>
        </w:rPr>
        <w:t>esource mobilisation</w:t>
      </w:r>
      <w:r>
        <w:rPr>
          <w:b/>
          <w:bCs/>
        </w:rPr>
        <w:t xml:space="preserve">, </w:t>
      </w:r>
      <w:r w:rsidR="00577793">
        <w:t>successfully attracting funds from a range of donors. Examples include:</w:t>
      </w:r>
    </w:p>
    <w:p w14:paraId="0C68B301" w14:textId="346B7004" w:rsidR="00AF113E" w:rsidRPr="00347430" w:rsidRDefault="00EA6F01" w:rsidP="00C9374E">
      <w:pPr>
        <w:pStyle w:val="ListBullet"/>
        <w:numPr>
          <w:ilvl w:val="0"/>
          <w:numId w:val="18"/>
        </w:numPr>
        <w:rPr>
          <w:rStyle w:val="cf01"/>
          <w:rFonts w:asciiTheme="minorHAnsi" w:hAnsiTheme="minorHAnsi" w:cs="Times New Roman"/>
          <w:sz w:val="20"/>
          <w:szCs w:val="20"/>
        </w:rPr>
      </w:pPr>
      <w:r w:rsidRPr="00347430">
        <w:rPr>
          <w:rStyle w:val="cf01"/>
          <w:rFonts w:asciiTheme="minorHAnsi" w:eastAsiaTheme="majorEastAsia" w:hAnsiTheme="minorHAnsi" w:cs="Times New Roman"/>
          <w:sz w:val="20"/>
          <w:szCs w:val="20"/>
        </w:rPr>
        <w:t xml:space="preserve">Obtaining funding from the Church of </w:t>
      </w:r>
      <w:r w:rsidR="000718C7" w:rsidRPr="00347430">
        <w:rPr>
          <w:rStyle w:val="cf01"/>
          <w:rFonts w:asciiTheme="minorHAnsi" w:eastAsiaTheme="majorEastAsia" w:hAnsiTheme="minorHAnsi" w:cs="Times New Roman"/>
          <w:sz w:val="20"/>
          <w:szCs w:val="20"/>
        </w:rPr>
        <w:t xml:space="preserve">Jesus Christ of Latter-Day Saints for </w:t>
      </w:r>
      <w:r w:rsidR="00AF113E" w:rsidRPr="00347430">
        <w:rPr>
          <w:rStyle w:val="cf01"/>
          <w:rFonts w:asciiTheme="minorHAnsi" w:eastAsiaTheme="majorEastAsia" w:hAnsiTheme="minorHAnsi" w:cs="Times New Roman"/>
          <w:sz w:val="20"/>
          <w:szCs w:val="20"/>
        </w:rPr>
        <w:t xml:space="preserve">the purchase of vehicles and renovations to the TongaHealth </w:t>
      </w:r>
      <w:proofErr w:type="gramStart"/>
      <w:r w:rsidR="00AF113E" w:rsidRPr="00347430">
        <w:rPr>
          <w:rStyle w:val="cf01"/>
          <w:rFonts w:asciiTheme="minorHAnsi" w:eastAsiaTheme="majorEastAsia" w:hAnsiTheme="minorHAnsi" w:cs="Times New Roman"/>
          <w:sz w:val="20"/>
          <w:szCs w:val="20"/>
        </w:rPr>
        <w:t>office</w:t>
      </w:r>
      <w:r w:rsidR="00391307" w:rsidRPr="00347430">
        <w:rPr>
          <w:rStyle w:val="cf01"/>
          <w:rFonts w:asciiTheme="minorHAnsi" w:eastAsiaTheme="majorEastAsia" w:hAnsiTheme="minorHAnsi" w:cs="Times New Roman"/>
          <w:sz w:val="20"/>
          <w:szCs w:val="20"/>
        </w:rPr>
        <w:t>;</w:t>
      </w:r>
      <w:proofErr w:type="gramEnd"/>
      <w:r w:rsidR="00391307" w:rsidRPr="00347430">
        <w:rPr>
          <w:rStyle w:val="cf01"/>
          <w:rFonts w:asciiTheme="minorHAnsi" w:eastAsiaTheme="majorEastAsia" w:hAnsiTheme="minorHAnsi" w:cs="Times New Roman"/>
          <w:sz w:val="20"/>
          <w:szCs w:val="20"/>
        </w:rPr>
        <w:t xml:space="preserve"> </w:t>
      </w:r>
    </w:p>
    <w:p w14:paraId="25298182" w14:textId="484F10C3" w:rsidR="00D37724" w:rsidRPr="00347430" w:rsidRDefault="00AF113E" w:rsidP="00C9374E">
      <w:pPr>
        <w:pStyle w:val="ListBullet"/>
        <w:numPr>
          <w:ilvl w:val="0"/>
          <w:numId w:val="18"/>
        </w:numPr>
        <w:rPr>
          <w:rStyle w:val="cf01"/>
          <w:rFonts w:asciiTheme="minorHAnsi" w:hAnsiTheme="minorHAnsi" w:cs="Times New Roman"/>
          <w:sz w:val="20"/>
          <w:szCs w:val="20"/>
        </w:rPr>
      </w:pPr>
      <w:r w:rsidRPr="00347430">
        <w:rPr>
          <w:rStyle w:val="cf01"/>
          <w:rFonts w:asciiTheme="minorHAnsi" w:eastAsiaTheme="majorEastAsia" w:hAnsiTheme="minorHAnsi" w:cs="Times New Roman"/>
          <w:sz w:val="20"/>
          <w:szCs w:val="20"/>
        </w:rPr>
        <w:t xml:space="preserve">Obtaining funding from Pacific Trade Invest for </w:t>
      </w:r>
      <w:r w:rsidR="00D37724" w:rsidRPr="00347430">
        <w:rPr>
          <w:rStyle w:val="cf01"/>
          <w:rFonts w:asciiTheme="minorHAnsi" w:eastAsiaTheme="majorEastAsia" w:hAnsiTheme="minorHAnsi" w:cs="Times New Roman"/>
          <w:sz w:val="20"/>
          <w:szCs w:val="20"/>
        </w:rPr>
        <w:t xml:space="preserve">provision of chicken coops to </w:t>
      </w:r>
      <w:proofErr w:type="spellStart"/>
      <w:r w:rsidR="00D37724" w:rsidRPr="00347430">
        <w:rPr>
          <w:rStyle w:val="cf01"/>
          <w:rFonts w:asciiTheme="minorHAnsi" w:eastAsiaTheme="majorEastAsia" w:hAnsiTheme="minorHAnsi" w:cs="Times New Roman"/>
          <w:sz w:val="20"/>
          <w:szCs w:val="20"/>
        </w:rPr>
        <w:t>Ongo</w:t>
      </w:r>
      <w:proofErr w:type="spellEnd"/>
      <w:r w:rsidR="00D37724" w:rsidRPr="00347430">
        <w:rPr>
          <w:rStyle w:val="cf01"/>
          <w:rFonts w:asciiTheme="minorHAnsi" w:eastAsiaTheme="majorEastAsia" w:hAnsiTheme="minorHAnsi" w:cs="Times New Roman"/>
          <w:sz w:val="20"/>
          <w:szCs w:val="20"/>
        </w:rPr>
        <w:t xml:space="preserve"> </w:t>
      </w:r>
      <w:proofErr w:type="spellStart"/>
      <w:r w:rsidR="00D37724" w:rsidRPr="00347430">
        <w:rPr>
          <w:rStyle w:val="cf01"/>
          <w:rFonts w:asciiTheme="minorHAnsi" w:eastAsiaTheme="majorEastAsia" w:hAnsiTheme="minorHAnsi" w:cs="Times New Roman"/>
          <w:sz w:val="20"/>
          <w:szCs w:val="20"/>
        </w:rPr>
        <w:t>Niua</w:t>
      </w:r>
      <w:proofErr w:type="spellEnd"/>
      <w:r w:rsidR="00D37724" w:rsidRPr="00347430">
        <w:rPr>
          <w:rStyle w:val="cf01"/>
          <w:rFonts w:asciiTheme="minorHAnsi" w:eastAsiaTheme="majorEastAsia" w:hAnsiTheme="minorHAnsi" w:cs="Times New Roman"/>
          <w:sz w:val="20"/>
          <w:szCs w:val="20"/>
        </w:rPr>
        <w:t xml:space="preserve"> in </w:t>
      </w:r>
      <w:r w:rsidR="00391307" w:rsidRPr="00347430">
        <w:rPr>
          <w:rStyle w:val="cf01"/>
          <w:rFonts w:asciiTheme="minorHAnsi" w:eastAsiaTheme="majorEastAsia" w:hAnsiTheme="minorHAnsi" w:cs="Times New Roman"/>
          <w:sz w:val="20"/>
          <w:szCs w:val="20"/>
        </w:rPr>
        <w:t>FY21/</w:t>
      </w:r>
      <w:proofErr w:type="gramStart"/>
      <w:r w:rsidR="00391307" w:rsidRPr="00347430">
        <w:rPr>
          <w:rStyle w:val="cf01"/>
          <w:rFonts w:asciiTheme="minorHAnsi" w:eastAsiaTheme="majorEastAsia" w:hAnsiTheme="minorHAnsi" w:cs="Times New Roman"/>
          <w:sz w:val="20"/>
          <w:szCs w:val="20"/>
        </w:rPr>
        <w:t>22;</w:t>
      </w:r>
      <w:proofErr w:type="gramEnd"/>
    </w:p>
    <w:p w14:paraId="26CE8DB9" w14:textId="19060809" w:rsidR="009924A9" w:rsidRDefault="00391307" w:rsidP="00C9374E">
      <w:pPr>
        <w:pStyle w:val="ListBullet"/>
      </w:pPr>
      <w:r w:rsidRPr="00347430">
        <w:rPr>
          <w:rStyle w:val="cf01"/>
          <w:rFonts w:asciiTheme="minorHAnsi" w:eastAsiaTheme="majorEastAsia" w:hAnsiTheme="minorHAnsi" w:cs="Times New Roman"/>
          <w:sz w:val="20"/>
          <w:szCs w:val="20"/>
        </w:rPr>
        <w:t xml:space="preserve">Obtaining </w:t>
      </w:r>
      <w:r w:rsidR="00E044E3" w:rsidRPr="00347430">
        <w:rPr>
          <w:rStyle w:val="cf01"/>
          <w:rFonts w:asciiTheme="minorHAnsi" w:eastAsiaTheme="majorEastAsia" w:hAnsiTheme="minorHAnsi" w:cs="Times New Roman"/>
          <w:sz w:val="20"/>
          <w:szCs w:val="20"/>
        </w:rPr>
        <w:t>European Union finding for Zumba instructors in FY21/22.</w:t>
      </w:r>
    </w:p>
    <w:p w14:paraId="6D6B44C6" w14:textId="63248798" w:rsidR="00577793" w:rsidRPr="00C5080A" w:rsidRDefault="000C6EB2" w:rsidP="00962FBE">
      <w:pPr>
        <w:pStyle w:val="BodyText"/>
      </w:pPr>
      <w:r w:rsidRPr="00C5080A">
        <w:t>T</w:t>
      </w:r>
      <w:r w:rsidR="00CC16F4" w:rsidRPr="00C5080A">
        <w:t xml:space="preserve">ongaHealth’s </w:t>
      </w:r>
      <w:r w:rsidRPr="00C5080A">
        <w:t xml:space="preserve">work in </w:t>
      </w:r>
      <w:r w:rsidR="00CC16F4" w:rsidRPr="00C5080A">
        <w:rPr>
          <w:b/>
          <w:bCs/>
        </w:rPr>
        <w:t xml:space="preserve">policy development </w:t>
      </w:r>
      <w:r w:rsidR="00CC16F4" w:rsidRPr="00C5080A">
        <w:t xml:space="preserve">have been limited – however this is understandable give the team’s lack of health expertise. </w:t>
      </w:r>
      <w:r w:rsidR="001E31FD" w:rsidRPr="00C5080A">
        <w:t>TongaHealth’s most significant contribution</w:t>
      </w:r>
      <w:r w:rsidR="009924A9">
        <w:t xml:space="preserve"> in the period of the current NCD Strategy </w:t>
      </w:r>
      <w:r w:rsidR="001E31FD" w:rsidRPr="00C5080A">
        <w:t xml:space="preserve">has been for the </w:t>
      </w:r>
      <w:r w:rsidR="001E31FD" w:rsidRPr="00C5080A">
        <w:lastRenderedPageBreak/>
        <w:t xml:space="preserve">Tonga Guidelines for Healthy Living, for which </w:t>
      </w:r>
      <w:r w:rsidR="008D76AB">
        <w:t>TongaHealth funded promotional materials. T</w:t>
      </w:r>
      <w:r w:rsidR="00647C7C" w:rsidRPr="00C5080A">
        <w:t>he NCD Adviser</w:t>
      </w:r>
      <w:r w:rsidR="008D76AB">
        <w:t xml:space="preserve"> also</w:t>
      </w:r>
      <w:r w:rsidR="00647C7C" w:rsidRPr="00C5080A">
        <w:t xml:space="preserve"> provided technical input </w:t>
      </w:r>
      <w:r w:rsidR="008D76AB">
        <w:t xml:space="preserve">on the Guidelines </w:t>
      </w:r>
      <w:r w:rsidR="00647C7C" w:rsidRPr="00C5080A">
        <w:t>which was highly valued by MAFF</w:t>
      </w:r>
      <w:r w:rsidR="008D76AB">
        <w:t>.</w:t>
      </w:r>
    </w:p>
    <w:p w14:paraId="38AAC4D0" w14:textId="77777777" w:rsidR="00601090" w:rsidRDefault="00F53C93" w:rsidP="00DF166F">
      <w:pPr>
        <w:spacing w:line="276" w:lineRule="auto"/>
      </w:pPr>
      <w:r w:rsidRPr="007E5D5A">
        <w:rPr>
          <w:b/>
          <w:bCs/>
        </w:rPr>
        <w:t xml:space="preserve">Interviewees </w:t>
      </w:r>
      <w:r w:rsidR="007E5D5A">
        <w:rPr>
          <w:b/>
          <w:bCs/>
        </w:rPr>
        <w:t>near-</w:t>
      </w:r>
      <w:r w:rsidRPr="007E5D5A">
        <w:rPr>
          <w:b/>
          <w:bCs/>
        </w:rPr>
        <w:t xml:space="preserve">unanimously agreed that TongaHealth has a disproportionate focus on grant </w:t>
      </w:r>
      <w:proofErr w:type="gramStart"/>
      <w:r w:rsidRPr="007E5D5A">
        <w:rPr>
          <w:b/>
          <w:bCs/>
        </w:rPr>
        <w:t>administration, and</w:t>
      </w:r>
      <w:proofErr w:type="gramEnd"/>
      <w:r w:rsidRPr="007E5D5A">
        <w:rPr>
          <w:b/>
          <w:bCs/>
        </w:rPr>
        <w:t xml:space="preserve"> </w:t>
      </w:r>
      <w:r w:rsidR="007E5D5A" w:rsidRPr="007E5D5A">
        <w:rPr>
          <w:b/>
          <w:bCs/>
        </w:rPr>
        <w:t xml:space="preserve">should devote more attention to its other mandated functions. </w:t>
      </w:r>
      <w:r w:rsidR="00030A57">
        <w:t xml:space="preserve">Realistically, given the limited health and M&amp;E expertise in the </w:t>
      </w:r>
      <w:r w:rsidR="003474FB">
        <w:t>TongaHealth team</w:t>
      </w:r>
      <w:r w:rsidR="00030A57">
        <w:t xml:space="preserve">, </w:t>
      </w:r>
      <w:r w:rsidR="00942598">
        <w:t>the</w:t>
      </w:r>
      <w:r w:rsidR="009471D1">
        <w:t xml:space="preserve">ir capacity to support the </w:t>
      </w:r>
      <w:r w:rsidR="009471D1" w:rsidRPr="003474FB">
        <w:rPr>
          <w:i/>
          <w:iCs/>
        </w:rPr>
        <w:t>Policy Development</w:t>
      </w:r>
      <w:r w:rsidR="009471D1">
        <w:t xml:space="preserve"> and </w:t>
      </w:r>
      <w:r w:rsidR="009471D1" w:rsidRPr="003474FB">
        <w:rPr>
          <w:i/>
          <w:iCs/>
        </w:rPr>
        <w:t>Monitoring Evaluation and Research</w:t>
      </w:r>
      <w:r w:rsidR="009471D1">
        <w:t xml:space="preserve"> </w:t>
      </w:r>
      <w:r w:rsidR="00B11644">
        <w:t>functions is limited.</w:t>
      </w:r>
      <w:r w:rsidR="00030A57">
        <w:t xml:space="preserve"> However, there is scope </w:t>
      </w:r>
      <w:r w:rsidR="00554A0A">
        <w:t xml:space="preserve">for TongaHealth to play a much more significant role in </w:t>
      </w:r>
      <w:r w:rsidR="00554A0A" w:rsidRPr="00554A0A">
        <w:rPr>
          <w:i/>
          <w:iCs/>
        </w:rPr>
        <w:t>Stakeholder Engagement</w:t>
      </w:r>
      <w:r w:rsidR="00554A0A">
        <w:t xml:space="preserve"> and </w:t>
      </w:r>
      <w:r w:rsidR="00554A0A" w:rsidRPr="00554A0A">
        <w:rPr>
          <w:i/>
          <w:iCs/>
        </w:rPr>
        <w:t>Facilitation and Coordination</w:t>
      </w:r>
      <w:r w:rsidR="00A80163">
        <w:t xml:space="preserve">, by </w:t>
      </w:r>
      <w:r w:rsidR="003A303C">
        <w:t xml:space="preserve">taking on the role of convenor/facilitator </w:t>
      </w:r>
      <w:r w:rsidR="00D912EE">
        <w:t>–</w:t>
      </w:r>
      <w:r w:rsidR="003A303C">
        <w:t xml:space="preserve"> </w:t>
      </w:r>
      <w:r w:rsidR="00D912EE">
        <w:t xml:space="preserve">a role for which </w:t>
      </w:r>
      <w:r w:rsidR="00203D12">
        <w:t xml:space="preserve">interviewees expressed </w:t>
      </w:r>
      <w:r w:rsidR="00D912EE">
        <w:t>significant demand,</w:t>
      </w:r>
      <w:r w:rsidR="00141F14">
        <w:t xml:space="preserve"> </w:t>
      </w:r>
      <w:r w:rsidR="005743B1">
        <w:t xml:space="preserve">has </w:t>
      </w:r>
      <w:r w:rsidR="00141F14">
        <w:t xml:space="preserve">minimal </w:t>
      </w:r>
      <w:r w:rsidR="00D912EE">
        <w:t>overlap with the mandate</w:t>
      </w:r>
      <w:r w:rsidR="00141F14">
        <w:t>s</w:t>
      </w:r>
      <w:r w:rsidR="00D912EE">
        <w:t xml:space="preserve"> of other agencies, and</w:t>
      </w:r>
      <w:r w:rsidR="005743B1">
        <w:t xml:space="preserve"> </w:t>
      </w:r>
      <w:r w:rsidR="009E13B8">
        <w:t>does not require</w:t>
      </w:r>
      <w:r w:rsidR="00D912EE">
        <w:t xml:space="preserve"> </w:t>
      </w:r>
      <w:r w:rsidR="00141F14">
        <w:t>technical expertise</w:t>
      </w:r>
      <w:r w:rsidR="009E13B8">
        <w:t>.</w:t>
      </w:r>
      <w:r w:rsidR="00203D12">
        <w:t xml:space="preserve"> </w:t>
      </w:r>
    </w:p>
    <w:p w14:paraId="53159735" w14:textId="37473FAC" w:rsidR="00995542" w:rsidRPr="00995542" w:rsidRDefault="00995542" w:rsidP="00DF166F">
      <w:pPr>
        <w:spacing w:line="276" w:lineRule="auto"/>
      </w:pPr>
      <w:r w:rsidRPr="00995542">
        <w:t xml:space="preserve">There are a range of areas in which TongaHealth could take a </w:t>
      </w:r>
      <w:r w:rsidRPr="00601090">
        <w:rPr>
          <w:b/>
          <w:bCs/>
        </w:rPr>
        <w:t>stronger role in supporting collaboration and coordination</w:t>
      </w:r>
      <w:r w:rsidRPr="00995542">
        <w:t>. Several are listed in the NCD Strategy (see Annex</w:t>
      </w:r>
      <w:r w:rsidR="00A86B29">
        <w:t xml:space="preserve"> </w:t>
      </w:r>
      <w:r w:rsidR="00A86B29">
        <w:fldChar w:fldCharType="begin"/>
      </w:r>
      <w:r w:rsidR="00A86B29">
        <w:instrText xml:space="preserve"> REF _Ref153899768 \r \h </w:instrText>
      </w:r>
      <w:r w:rsidR="00DF166F">
        <w:instrText xml:space="preserve"> \* MERGEFORMAT </w:instrText>
      </w:r>
      <w:r w:rsidR="00A86B29">
        <w:fldChar w:fldCharType="separate"/>
      </w:r>
      <w:r w:rsidR="00A86B29">
        <w:t>4.5</w:t>
      </w:r>
      <w:r w:rsidR="00A86B29">
        <w:fldChar w:fldCharType="end"/>
      </w:r>
      <w:r w:rsidRPr="00995542">
        <w:t xml:space="preserve">, KRA 2), including convening an annual NCD forum, preparing policy briefs/factsheets, engaging Parliamentarians, mapping stakeholder NCD activities, and establishing and strengthening CSO alliances. Other opportunities include:   </w:t>
      </w:r>
    </w:p>
    <w:p w14:paraId="7E569B3A" w14:textId="77777777" w:rsidR="00995542" w:rsidRPr="00995542" w:rsidRDefault="00995542" w:rsidP="00962FBE">
      <w:pPr>
        <w:pStyle w:val="ListBullet"/>
      </w:pPr>
      <w:r w:rsidRPr="00995542">
        <w:rPr>
          <w:b/>
        </w:rPr>
        <w:t xml:space="preserve">Supporting harmonised planning of NCD activities between </w:t>
      </w:r>
      <w:proofErr w:type="spellStart"/>
      <w:r w:rsidRPr="00995542">
        <w:rPr>
          <w:b/>
        </w:rPr>
        <w:t>GoT</w:t>
      </w:r>
      <w:proofErr w:type="spellEnd"/>
      <w:r w:rsidRPr="00995542">
        <w:rPr>
          <w:b/>
        </w:rPr>
        <w:t xml:space="preserve"> agencies</w:t>
      </w:r>
      <w:r w:rsidRPr="00995542">
        <w:t xml:space="preserve">: Interviewees noted that under previous leadership, TongaHealth convened </w:t>
      </w:r>
      <w:proofErr w:type="spellStart"/>
      <w:r w:rsidRPr="00995542">
        <w:t>GoT</w:t>
      </w:r>
      <w:proofErr w:type="spellEnd"/>
      <w:r w:rsidRPr="00995542">
        <w:t xml:space="preserve"> agencies to conduct joint planning of NCD activities, a process which supported coordination, sharing of technical expertise, and minimised duplication. Several interviewees suggested reinstating these joint planning exercises.</w:t>
      </w:r>
    </w:p>
    <w:p w14:paraId="5B8DEB24" w14:textId="4ABFA4F5" w:rsidR="00995542" w:rsidRPr="00995542" w:rsidRDefault="00995542" w:rsidP="00962FBE">
      <w:pPr>
        <w:pStyle w:val="ListBullet"/>
      </w:pPr>
      <w:r w:rsidRPr="00995542">
        <w:rPr>
          <w:b/>
        </w:rPr>
        <w:t xml:space="preserve">Reinstating technical working groups on priority topics: </w:t>
      </w:r>
      <w:r w:rsidRPr="00995542">
        <w:t xml:space="preserve">As noted in Section </w:t>
      </w:r>
      <w:r w:rsidRPr="00995542">
        <w:fldChar w:fldCharType="begin"/>
      </w:r>
      <w:r w:rsidRPr="00995542">
        <w:instrText xml:space="preserve"> REF _Ref152673264 \r \h  \* MERGEFORMAT </w:instrText>
      </w:r>
      <w:r w:rsidRPr="00995542">
        <w:fldChar w:fldCharType="separate"/>
      </w:r>
      <w:r w:rsidR="00A86B29">
        <w:t>3.1.1</w:t>
      </w:r>
      <w:r w:rsidRPr="00995542">
        <w:fldChar w:fldCharType="end"/>
      </w:r>
      <w:r w:rsidRPr="00995542">
        <w:t>, many interviewees suggested reinstating the various technical Subcommittees (e.g. for Tobacco, Physical Activity) that TongaHealth previously convened, as a platform for technical-level coordination and a source of technical expertise.</w:t>
      </w:r>
    </w:p>
    <w:p w14:paraId="6E82B3A5" w14:textId="77777777" w:rsidR="00995542" w:rsidRPr="00995542" w:rsidRDefault="00995542" w:rsidP="00962FBE">
      <w:pPr>
        <w:pStyle w:val="ListBullet"/>
      </w:pPr>
      <w:r w:rsidRPr="00995542">
        <w:rPr>
          <w:b/>
        </w:rPr>
        <w:t xml:space="preserve">Promoting learning and sharing across grantees and other actors: </w:t>
      </w:r>
      <w:r w:rsidRPr="00995542">
        <w:t xml:space="preserve">TongaHealth could play a lead role in convening forums for technical experts and implementers to share ‘what </w:t>
      </w:r>
      <w:proofErr w:type="gramStart"/>
      <w:r w:rsidRPr="00995542">
        <w:t>works’</w:t>
      </w:r>
      <w:proofErr w:type="gramEnd"/>
      <w:r w:rsidRPr="00995542">
        <w:t xml:space="preserve"> to address NCDs, for example based on emerging research, international guidance, local evaluations, and lessons learned from grants.</w:t>
      </w:r>
    </w:p>
    <w:p w14:paraId="2732AC8A" w14:textId="77C09950" w:rsidR="00995542" w:rsidRPr="007E5F73" w:rsidRDefault="00995542" w:rsidP="00962FBE">
      <w:pPr>
        <w:pStyle w:val="ListBullet"/>
      </w:pPr>
      <w:r w:rsidRPr="00962FBE">
        <w:rPr>
          <w:b/>
        </w:rPr>
        <w:t xml:space="preserve">Supporting policy updates and legislation reform: </w:t>
      </w:r>
      <w:r w:rsidRPr="007E5F73">
        <w:t xml:space="preserve"> While technical aspects of policy and legislation reform are beyond TongaHealth’s</w:t>
      </w:r>
      <w:r w:rsidR="00B84FFA" w:rsidRPr="007E5F73">
        <w:t xml:space="preserve"> current</w:t>
      </w:r>
      <w:r w:rsidRPr="007E5F73">
        <w:t xml:space="preserve"> technical expertise, there is scope for TongaHealth to convene and coordinate relevant stakeholders to progress policy and legislation reform, including convening advisory groups, and bringing in TA (e.g. legal advisers) as required.  </w:t>
      </w:r>
    </w:p>
    <w:p w14:paraId="5E11FDAD" w14:textId="77777777" w:rsidR="00995542" w:rsidRPr="007E5F73" w:rsidRDefault="00995542" w:rsidP="00962FBE">
      <w:pPr>
        <w:pStyle w:val="ListBullet"/>
      </w:pPr>
      <w:r w:rsidRPr="00962FBE">
        <w:rPr>
          <w:b/>
        </w:rPr>
        <w:t>Supporting better consideration of GEDSI in NCD activities:</w:t>
      </w:r>
      <w:r w:rsidRPr="007E5F73">
        <w:t xml:space="preserve"> Across all of the examples listed above, TongaHealth in its role as convenor/facilitator can also promote more inclusive practices, for example by advocating for representation of GEDSI-focussed organisations in governance </w:t>
      </w:r>
      <w:proofErr w:type="gramStart"/>
      <w:r w:rsidRPr="007E5F73">
        <w:t>mechanisms, and</w:t>
      </w:r>
      <w:proofErr w:type="gramEnd"/>
      <w:r w:rsidRPr="007E5F73">
        <w:t xml:space="preserve"> ensuring GEDSI-focussed organisations are consulted in policy development.  </w:t>
      </w:r>
    </w:p>
    <w:p w14:paraId="0C85D78D" w14:textId="77777777" w:rsidR="00615294" w:rsidRDefault="00615294" w:rsidP="00DF166F">
      <w:pPr>
        <w:pStyle w:val="Heading3"/>
        <w:spacing w:line="276" w:lineRule="auto"/>
      </w:pPr>
      <w:r w:rsidRPr="00671F75">
        <w:t xml:space="preserve">To what extent are the outputs and activities annexed to the NCD </w:t>
      </w:r>
      <w:r>
        <w:t>S</w:t>
      </w:r>
      <w:r w:rsidRPr="00671F75">
        <w:t>trategy still relevant to achieving the Strategy’s objectives?</w:t>
      </w:r>
    </w:p>
    <w:p w14:paraId="1A99C32B" w14:textId="0BF464C5" w:rsidR="00112856" w:rsidRDefault="00112856" w:rsidP="00DF166F">
      <w:pPr>
        <w:spacing w:line="276" w:lineRule="auto"/>
      </w:pPr>
      <w:r w:rsidRPr="007A5FCC">
        <w:rPr>
          <w:b/>
          <w:bCs/>
        </w:rPr>
        <w:t>The outputs and activities of the NCD Strategy are still highly relevant to addressing NCDs</w:t>
      </w:r>
      <w:r>
        <w:t xml:space="preserve"> in Tonga, and </w:t>
      </w:r>
      <w:r w:rsidRPr="00112856">
        <w:t>broadly align with global good practice</w:t>
      </w:r>
      <w:r>
        <w:t xml:space="preserve">, such as </w:t>
      </w:r>
      <w:r w:rsidR="004A51AB">
        <w:t>WHO</w:t>
      </w:r>
      <w:r w:rsidR="001677C8">
        <w:t xml:space="preserve"> recommendations for </w:t>
      </w:r>
      <w:r w:rsidRPr="00112856">
        <w:t>cost-effective interventions for NCDs</w:t>
      </w:r>
      <w:r>
        <w:t>.</w:t>
      </w:r>
      <w:r w:rsidR="001677C8" w:rsidRPr="001677C8">
        <w:rPr>
          <w:rStyle w:val="FootnoteReference"/>
        </w:rPr>
        <w:t xml:space="preserve"> </w:t>
      </w:r>
      <w:r w:rsidR="001677C8">
        <w:rPr>
          <w:rStyle w:val="FootnoteReference"/>
        </w:rPr>
        <w:footnoteReference w:id="9"/>
      </w:r>
      <w:r>
        <w:t xml:space="preserve"> </w:t>
      </w:r>
    </w:p>
    <w:p w14:paraId="5B9C5E28" w14:textId="4C7E692A" w:rsidR="00112856" w:rsidRDefault="00112856" w:rsidP="00DF166F">
      <w:pPr>
        <w:spacing w:line="276" w:lineRule="auto"/>
      </w:pPr>
      <w:r>
        <w:t>Howeve</w:t>
      </w:r>
      <w:r w:rsidR="00567F63">
        <w:t>r,</w:t>
      </w:r>
      <w:r>
        <w:t xml:space="preserve"> </w:t>
      </w:r>
      <w:r w:rsidRPr="007A5FCC">
        <w:rPr>
          <w:b/>
          <w:bCs/>
        </w:rPr>
        <w:t xml:space="preserve">they are unlikely to be achievable in the short </w:t>
      </w:r>
      <w:proofErr w:type="gramStart"/>
      <w:r w:rsidRPr="007A5FCC">
        <w:rPr>
          <w:b/>
          <w:bCs/>
        </w:rPr>
        <w:t>time period</w:t>
      </w:r>
      <w:proofErr w:type="gramEnd"/>
      <w:r w:rsidRPr="007A5FCC">
        <w:rPr>
          <w:b/>
          <w:bCs/>
        </w:rPr>
        <w:t xml:space="preserve"> of the Strategy. </w:t>
      </w:r>
      <w:r>
        <w:t xml:space="preserve">There are several reasons for this. First, while the Strategy is for the period 2021 to 2025, it was </w:t>
      </w:r>
      <w:r w:rsidR="008761A4">
        <w:t xml:space="preserve">only approved in December 2021 and </w:t>
      </w:r>
      <w:r>
        <w:t xml:space="preserve">formally </w:t>
      </w:r>
      <w:r w:rsidR="00C502EA">
        <w:t>launched</w:t>
      </w:r>
      <w:r>
        <w:t xml:space="preserve"> </w:t>
      </w:r>
      <w:r w:rsidR="00C0456F">
        <w:t>in mid</w:t>
      </w:r>
      <w:r>
        <w:t>-2022</w:t>
      </w:r>
      <w:r w:rsidR="009C745C">
        <w:t xml:space="preserve"> – meaning it was behind schedule from the outset. </w:t>
      </w:r>
      <w:r>
        <w:t>Second, the first few years of implementation have been significantly disrupted by COVID-19 and natural disasters. Thirdly, the Strategy is highly ambitious, presenting a high volume of work t</w:t>
      </w:r>
      <w:r w:rsidR="009C745C">
        <w:t>o be delivered in a short timeframe</w:t>
      </w:r>
      <w:r>
        <w:t xml:space="preserve">. </w:t>
      </w:r>
      <w:r w:rsidR="009F253E">
        <w:t>Th</w:t>
      </w:r>
      <w:r>
        <w:t>e TongaHealth FY</w:t>
      </w:r>
      <w:r w:rsidRPr="00112856">
        <w:t>23/24 Statement of Corporate Intent</w:t>
      </w:r>
      <w:r>
        <w:t xml:space="preserve"> – which aligns closely to the NCD Strategy – is similarly over-ambitious</w:t>
      </w:r>
      <w:r w:rsidR="004802A3">
        <w:t>, seeking to implement the activities for the first two years of the Strategy (2021 and 2022) within a single financial year</w:t>
      </w:r>
      <w:r>
        <w:t xml:space="preserve">; as is the </w:t>
      </w:r>
      <w:r w:rsidR="00F70404">
        <w:t xml:space="preserve">TongaHealth section of the </w:t>
      </w:r>
      <w:r>
        <w:t xml:space="preserve">THSSP3 workplan </w:t>
      </w:r>
      <w:r>
        <w:lastRenderedPageBreak/>
        <w:t xml:space="preserve">which is now seeking to implement a high volume of work in FY23/24 to ‘catch up’ </w:t>
      </w:r>
      <w:r w:rsidR="00927F53">
        <w:t xml:space="preserve">after slow progress while the </w:t>
      </w:r>
      <w:r>
        <w:t xml:space="preserve">THSSP3 design was </w:t>
      </w:r>
      <w:r w:rsidR="00927F53">
        <w:t xml:space="preserve">being </w:t>
      </w:r>
      <w:proofErr w:type="spellStart"/>
      <w:r w:rsidR="00927F53">
        <w:t>finalised</w:t>
      </w:r>
      <w:proofErr w:type="spellEnd"/>
      <w:r>
        <w:t xml:space="preserve">. </w:t>
      </w:r>
    </w:p>
    <w:p w14:paraId="275E996F" w14:textId="73B60C0C" w:rsidR="00112856" w:rsidRDefault="00112856" w:rsidP="00DF166F">
      <w:pPr>
        <w:spacing w:line="276" w:lineRule="auto"/>
      </w:pPr>
      <w:r w:rsidRPr="00567F63">
        <w:rPr>
          <w:b/>
          <w:bCs/>
        </w:rPr>
        <w:t>Consideration should be given to extending the timeframe for the NCD Strategy</w:t>
      </w:r>
      <w:r>
        <w:t xml:space="preserve">; and revising the Statement of Corporate Intent and THSSP3 workplan to reflect a more reasonable volume of work given TongaHealth’s capacity and past performance. </w:t>
      </w:r>
    </w:p>
    <w:p w14:paraId="33FAABBA" w14:textId="0F41D2B4" w:rsidR="000869EC" w:rsidRDefault="00E90BD5" w:rsidP="00DF166F">
      <w:pPr>
        <w:spacing w:line="276" w:lineRule="auto"/>
      </w:pPr>
      <w:r>
        <w:t>While a range of activities in the NCD Strategy have not progressed on schedule, there are some that this Review considers to be highe</w:t>
      </w:r>
      <w:r w:rsidR="000F120C">
        <w:t>r</w:t>
      </w:r>
      <w:r>
        <w:t xml:space="preserve"> priorit</w:t>
      </w:r>
      <w:r w:rsidR="00C4427F">
        <w:t xml:space="preserve">y, for example on the grounds that </w:t>
      </w:r>
      <w:r w:rsidR="00A3781D">
        <w:t xml:space="preserve">they present major gaps in TongaHealth’s strategic focus, and because they are identified </w:t>
      </w:r>
      <w:r w:rsidR="00C41799">
        <w:t xml:space="preserve">by </w:t>
      </w:r>
      <w:r w:rsidR="00EC45C8">
        <w:t>WHO a</w:t>
      </w:r>
      <w:r w:rsidR="00C41799">
        <w:t xml:space="preserve">s </w:t>
      </w:r>
      <w:r w:rsidR="0095252C">
        <w:t xml:space="preserve">priority </w:t>
      </w:r>
      <w:r w:rsidR="00C41799">
        <w:t>policy options and cost-effective interventions</w:t>
      </w:r>
      <w:r w:rsidR="003E78BC">
        <w:t>, such as</w:t>
      </w:r>
      <w:r w:rsidR="000869EC">
        <w:t>:</w:t>
      </w:r>
    </w:p>
    <w:p w14:paraId="0663B0FA" w14:textId="4A3298DC" w:rsidR="00720BB3" w:rsidRDefault="00EC15AB" w:rsidP="00962FBE">
      <w:pPr>
        <w:pStyle w:val="ListBullet"/>
      </w:pPr>
      <w:r>
        <w:t>Supporting accountability mechanisms for monitoring progress against the NCD Strategy</w:t>
      </w:r>
      <w:r w:rsidR="00CF702F">
        <w:t xml:space="preserve">, </w:t>
      </w:r>
      <w:r>
        <w:t xml:space="preserve">including supporting </w:t>
      </w:r>
      <w:r w:rsidR="005B58A2">
        <w:t>periodic surveys (</w:t>
      </w:r>
      <w:r w:rsidR="00CF702F">
        <w:t xml:space="preserve">e.g. </w:t>
      </w:r>
      <w:r w:rsidR="00907A19" w:rsidRPr="005F52CD">
        <w:t>Global School-based Student Health Survey</w:t>
      </w:r>
      <w:r w:rsidR="00907A19">
        <w:t>, STEPS</w:t>
      </w:r>
      <w:r w:rsidR="00697A6E">
        <w:t xml:space="preserve"> NCD risk factor surveillance</w:t>
      </w:r>
      <w:r w:rsidR="00907A19">
        <w:t>)</w:t>
      </w:r>
      <w:r w:rsidR="00697A6E">
        <w:t xml:space="preserve"> and re</w:t>
      </w:r>
      <w:r w:rsidR="00720BB3">
        <w:t>porting progress against the</w:t>
      </w:r>
      <w:r w:rsidR="00697A6E">
        <w:t xml:space="preserve"> </w:t>
      </w:r>
      <w:r w:rsidR="00872263">
        <w:t xml:space="preserve">implementation plan and </w:t>
      </w:r>
      <w:r w:rsidR="00720BB3">
        <w:t>M&amp;E Framework</w:t>
      </w:r>
      <w:r w:rsidR="00697A6E">
        <w:t xml:space="preserve"> of the NCD </w:t>
      </w:r>
      <w:proofErr w:type="gramStart"/>
      <w:r w:rsidR="00697A6E">
        <w:t>Strategy</w:t>
      </w:r>
      <w:r w:rsidR="003E78BC">
        <w:t>;</w:t>
      </w:r>
      <w:proofErr w:type="gramEnd"/>
    </w:p>
    <w:p w14:paraId="34556ED9" w14:textId="2DBF3A90" w:rsidR="00720BB3" w:rsidRPr="00786A7D" w:rsidRDefault="00872263" w:rsidP="00962FBE">
      <w:pPr>
        <w:pStyle w:val="ListBullet"/>
      </w:pPr>
      <w:r>
        <w:t xml:space="preserve">Supporting </w:t>
      </w:r>
      <w:r w:rsidR="00720BB3" w:rsidRPr="005F52CD">
        <w:t>implementation of the S</w:t>
      </w:r>
      <w:r w:rsidR="001E071E">
        <w:t>BCC</w:t>
      </w:r>
      <w:r w:rsidR="00720BB3">
        <w:t xml:space="preserve"> </w:t>
      </w:r>
      <w:r w:rsidR="003E78BC">
        <w:t xml:space="preserve">Strategy </w:t>
      </w:r>
      <w:r w:rsidR="00720BB3">
        <w:t>(planned to commence in 2024</w:t>
      </w:r>
      <w:proofErr w:type="gramStart"/>
      <w:r w:rsidR="00720BB3">
        <w:t>)</w:t>
      </w:r>
      <w:r w:rsidR="003E78BC">
        <w:t>;</w:t>
      </w:r>
      <w:proofErr w:type="gramEnd"/>
    </w:p>
    <w:p w14:paraId="4BFCD6FC" w14:textId="716CBCF5" w:rsidR="005D61B7" w:rsidRDefault="001E7578" w:rsidP="00962FBE">
      <w:pPr>
        <w:pStyle w:val="ListBullet"/>
      </w:pPr>
      <w:r>
        <w:t xml:space="preserve">Supporting the review of </w:t>
      </w:r>
      <w:r w:rsidR="005D61B7" w:rsidRPr="00296A9E">
        <w:t xml:space="preserve">relevant legislations </w:t>
      </w:r>
      <w:r>
        <w:t xml:space="preserve">e.g. </w:t>
      </w:r>
      <w:r w:rsidR="005D61B7" w:rsidRPr="00296A9E">
        <w:t xml:space="preserve">for tobacco, alcohol, </w:t>
      </w:r>
      <w:r>
        <w:t>sugary drinks</w:t>
      </w:r>
      <w:r w:rsidR="005D61B7" w:rsidRPr="00296A9E">
        <w:t xml:space="preserve">, </w:t>
      </w:r>
      <w:r w:rsidR="004F4A55">
        <w:t xml:space="preserve">breastmilk substitutes. </w:t>
      </w:r>
      <w:r w:rsidR="008439D6">
        <w:t>(</w:t>
      </w:r>
      <w:r w:rsidR="004F4A55">
        <w:t xml:space="preserve">While revising legislation and implementing reform is outside TongaHealth’s remit, the </w:t>
      </w:r>
      <w:r w:rsidR="005D61B7" w:rsidRPr="00296A9E">
        <w:t xml:space="preserve">THSSP workplan includes budget for TongaHealth to establish a </w:t>
      </w:r>
      <w:r w:rsidR="00AA3C76">
        <w:t>multisectoral</w:t>
      </w:r>
      <w:r w:rsidR="005D61B7" w:rsidRPr="00296A9E">
        <w:t xml:space="preserve"> working group to review NCD-related legislation</w:t>
      </w:r>
      <w:r w:rsidR="000A0C7A">
        <w:t>, which should be progressed</w:t>
      </w:r>
      <w:proofErr w:type="gramStart"/>
      <w:r w:rsidR="008439D6">
        <w:t>)</w:t>
      </w:r>
      <w:r w:rsidR="004A5822">
        <w:t>;</w:t>
      </w:r>
      <w:proofErr w:type="gramEnd"/>
      <w:r w:rsidR="005D61B7" w:rsidRPr="00296A9E">
        <w:t xml:space="preserve"> </w:t>
      </w:r>
    </w:p>
    <w:p w14:paraId="36604ADD" w14:textId="176EF6B2" w:rsidR="00560DBB" w:rsidRPr="00112856" w:rsidRDefault="004A5822" w:rsidP="00962FBE">
      <w:pPr>
        <w:pStyle w:val="ListBullet"/>
      </w:pPr>
      <w:r>
        <w:t>Supporting c</w:t>
      </w:r>
      <w:r w:rsidR="0038282A" w:rsidRPr="00560DBB">
        <w:t>ost-effective</w:t>
      </w:r>
      <w:r>
        <w:t xml:space="preserve"> early childhood approaches</w:t>
      </w:r>
      <w:r w:rsidR="0038282A" w:rsidRPr="00560DBB">
        <w:t xml:space="preserve"> (</w:t>
      </w:r>
      <w:r w:rsidR="00591C49">
        <w:t xml:space="preserve">First </w:t>
      </w:r>
      <w:r w:rsidR="0038282A" w:rsidRPr="00560DBB">
        <w:t>1,000</w:t>
      </w:r>
      <w:r w:rsidR="00591C49">
        <w:t xml:space="preserve"> </w:t>
      </w:r>
      <w:r w:rsidR="0038282A" w:rsidRPr="00560DBB">
        <w:t>Days initiatives, Baby Friendly Hospital</w:t>
      </w:r>
      <w:r w:rsidR="00591C49">
        <w:t>s</w:t>
      </w:r>
      <w:r w:rsidR="0038282A" w:rsidRPr="00560DBB">
        <w:t>, Exclusive Breastfeeding Campaigns)</w:t>
      </w:r>
    </w:p>
    <w:p w14:paraId="05AAE24A" w14:textId="0751B49A" w:rsidR="00615294" w:rsidRPr="00671F75" w:rsidRDefault="00615294" w:rsidP="00DF166F">
      <w:pPr>
        <w:pStyle w:val="Heading3"/>
        <w:spacing w:line="276" w:lineRule="auto"/>
      </w:pPr>
      <w:bookmarkStart w:id="48" w:name="_Ref152659018"/>
      <w:r w:rsidRPr="00671F75">
        <w:t>What evidence underpins the design and delivery of activities</w:t>
      </w:r>
      <w:r w:rsidR="00C66FC7">
        <w:rPr>
          <w:rStyle w:val="FootnoteReference"/>
        </w:rPr>
        <w:footnoteReference w:id="10"/>
      </w:r>
      <w:r w:rsidRPr="00671F75">
        <w:t xml:space="preserve"> implemented by TongaHealth</w:t>
      </w:r>
      <w:r w:rsidR="00C502EA">
        <w:t>?</w:t>
      </w:r>
      <w:bookmarkEnd w:id="48"/>
    </w:p>
    <w:p w14:paraId="70BEF19F" w14:textId="483DC4AA" w:rsidR="00822860" w:rsidRPr="00735377" w:rsidRDefault="00822860" w:rsidP="00962FBE">
      <w:pPr>
        <w:pStyle w:val="BodyText"/>
        <w:rPr>
          <w:rFonts w:eastAsiaTheme="majorEastAsia"/>
        </w:rPr>
      </w:pPr>
      <w:r>
        <w:rPr>
          <w:rFonts w:eastAsiaTheme="majorEastAsia"/>
        </w:rPr>
        <w:t xml:space="preserve">TongaHealth has some measures in place to increase the </w:t>
      </w:r>
      <w:r w:rsidRPr="00D56BD8">
        <w:rPr>
          <w:rFonts w:eastAsiaTheme="majorEastAsia"/>
        </w:rPr>
        <w:t>likelihood that grants will be effective</w:t>
      </w:r>
      <w:r>
        <w:rPr>
          <w:rFonts w:eastAsiaTheme="majorEastAsia"/>
        </w:rPr>
        <w:t>, including:</w:t>
      </w:r>
    </w:p>
    <w:p w14:paraId="68486169" w14:textId="77777777" w:rsidR="00822860" w:rsidRDefault="00822860" w:rsidP="00C9374E">
      <w:pPr>
        <w:pStyle w:val="ListBullet"/>
        <w:rPr>
          <w:rFonts w:eastAsiaTheme="majorEastAsia"/>
        </w:rPr>
      </w:pPr>
      <w:r>
        <w:rPr>
          <w:rFonts w:eastAsiaTheme="majorEastAsia"/>
        </w:rPr>
        <w:t xml:space="preserve">Grant applicants are required to demonstrate that their proposed project aligns to the priorities of the NCD Strategy, and present an evidence-based description of the problem the project seeks to </w:t>
      </w:r>
      <w:proofErr w:type="gramStart"/>
      <w:r>
        <w:rPr>
          <w:rFonts w:eastAsiaTheme="majorEastAsia"/>
        </w:rPr>
        <w:t>address;</w:t>
      </w:r>
      <w:proofErr w:type="gramEnd"/>
    </w:p>
    <w:p w14:paraId="3BCDF4B4" w14:textId="77777777" w:rsidR="00822860" w:rsidRDefault="00822860" w:rsidP="00C9374E">
      <w:pPr>
        <w:pStyle w:val="ListBullet"/>
        <w:rPr>
          <w:rFonts w:eastAsiaTheme="majorEastAsia"/>
        </w:rPr>
      </w:pPr>
      <w:r w:rsidRPr="00735377">
        <w:rPr>
          <w:rFonts w:eastAsiaTheme="majorEastAsia"/>
        </w:rPr>
        <w:t>T</w:t>
      </w:r>
      <w:r>
        <w:rPr>
          <w:rFonts w:eastAsiaTheme="majorEastAsia"/>
        </w:rPr>
        <w:t xml:space="preserve">ongaHealth staff provide extensive input into draft grant applications, which both ensures application requirements are met, and allows TongaHealth staff to provide suggestions based on their experience with similar </w:t>
      </w:r>
      <w:proofErr w:type="gramStart"/>
      <w:r>
        <w:rPr>
          <w:rFonts w:eastAsiaTheme="majorEastAsia"/>
        </w:rPr>
        <w:t>programs;</w:t>
      </w:r>
      <w:proofErr w:type="gramEnd"/>
    </w:p>
    <w:p w14:paraId="67316505" w14:textId="77777777" w:rsidR="00822860" w:rsidRDefault="00822860" w:rsidP="00C9374E">
      <w:pPr>
        <w:pStyle w:val="ListBullet"/>
        <w:rPr>
          <w:rFonts w:eastAsiaTheme="majorEastAsia"/>
        </w:rPr>
      </w:pPr>
      <w:r w:rsidRPr="0082695A">
        <w:rPr>
          <w:rFonts w:eastAsiaTheme="majorEastAsia"/>
        </w:rPr>
        <w:t xml:space="preserve">The grant assessment process explicitly considers whether the project aligns to the NCD Strategy, addresses a significant health need, whether the proposed activities are likely to be effective and meet the health need, and whether the organisation has the capacity to implement the project as described. </w:t>
      </w:r>
      <w:r>
        <w:rPr>
          <w:rFonts w:eastAsiaTheme="majorEastAsia"/>
        </w:rPr>
        <w:t xml:space="preserve">In addition, the entire program team participates in the assessment process and jointly discusses applications, providing an opportunity to share lessons learned from previous </w:t>
      </w:r>
      <w:proofErr w:type="gramStart"/>
      <w:r>
        <w:rPr>
          <w:rFonts w:eastAsiaTheme="majorEastAsia"/>
        </w:rPr>
        <w:t>grants;</w:t>
      </w:r>
      <w:proofErr w:type="gramEnd"/>
      <w:r>
        <w:rPr>
          <w:rFonts w:eastAsiaTheme="majorEastAsia"/>
        </w:rPr>
        <w:t xml:space="preserve"> </w:t>
      </w:r>
    </w:p>
    <w:p w14:paraId="6CFD6387" w14:textId="77777777" w:rsidR="00822860" w:rsidRPr="007153AC" w:rsidRDefault="00822860" w:rsidP="00C9374E">
      <w:pPr>
        <w:pStyle w:val="ListBullet"/>
        <w:rPr>
          <w:rFonts w:eastAsiaTheme="majorEastAsia"/>
        </w:rPr>
      </w:pPr>
      <w:r>
        <w:rPr>
          <w:rFonts w:eastAsiaTheme="majorEastAsia"/>
        </w:rPr>
        <w:t xml:space="preserve">The team keeps good records of grantee compliance with grant requirements (e.g. reporting obligations, whether activities were delivered as planned); and non-compliant grantees are excluded from future funding rounds. </w:t>
      </w:r>
      <w:r w:rsidRPr="007153AC">
        <w:rPr>
          <w:rFonts w:eastAsiaTheme="majorEastAsia"/>
        </w:rPr>
        <w:t xml:space="preserve">  </w:t>
      </w:r>
    </w:p>
    <w:p w14:paraId="4473085C" w14:textId="0AA53E37" w:rsidR="00971A95" w:rsidRPr="00AC2B34" w:rsidRDefault="00AC2B34" w:rsidP="00962FBE">
      <w:pPr>
        <w:pStyle w:val="BodyText"/>
        <w:rPr>
          <w:rFonts w:eastAsiaTheme="majorEastAsia"/>
        </w:rPr>
      </w:pPr>
      <w:r w:rsidRPr="00AC2B34">
        <w:rPr>
          <w:rFonts w:eastAsiaTheme="majorEastAsia"/>
        </w:rPr>
        <w:t>W</w:t>
      </w:r>
      <w:r w:rsidR="00822860" w:rsidRPr="00AC2B34">
        <w:rPr>
          <w:rFonts w:eastAsiaTheme="majorEastAsia"/>
        </w:rPr>
        <w:t xml:space="preserve">hile these measures are good, </w:t>
      </w:r>
      <w:r w:rsidR="00A05F67" w:rsidRPr="00AC2B34">
        <w:rPr>
          <w:rFonts w:eastAsiaTheme="majorEastAsia"/>
        </w:rPr>
        <w:t xml:space="preserve">there are several instances of TongaHealth funding </w:t>
      </w:r>
      <w:r w:rsidR="00237BB2" w:rsidRPr="00AC2B34">
        <w:rPr>
          <w:rFonts w:eastAsiaTheme="majorEastAsia"/>
        </w:rPr>
        <w:t xml:space="preserve">activities that are unlikely to be effective (see </w:t>
      </w:r>
      <w:r w:rsidR="001B4396" w:rsidRPr="00AC2B34">
        <w:rPr>
          <w:rFonts w:eastAsiaTheme="majorEastAsia"/>
        </w:rPr>
        <w:t xml:space="preserve">Section </w:t>
      </w:r>
      <w:r w:rsidR="00237BB2" w:rsidRPr="00AC2B34">
        <w:rPr>
          <w:rFonts w:eastAsiaTheme="majorEastAsia"/>
        </w:rPr>
        <w:fldChar w:fldCharType="begin"/>
      </w:r>
      <w:r w:rsidR="00237BB2" w:rsidRPr="00AC2B34">
        <w:rPr>
          <w:rFonts w:eastAsiaTheme="majorEastAsia"/>
        </w:rPr>
        <w:instrText xml:space="preserve"> REF _Ref152413541 \r \h </w:instrText>
      </w:r>
      <w:r w:rsidRPr="00AC2B34">
        <w:rPr>
          <w:rFonts w:eastAsiaTheme="majorEastAsia"/>
        </w:rPr>
        <w:instrText xml:space="preserve"> \* MERGEFORMAT </w:instrText>
      </w:r>
      <w:r w:rsidR="00237BB2" w:rsidRPr="00AC2B34">
        <w:rPr>
          <w:rFonts w:eastAsiaTheme="majorEastAsia"/>
        </w:rPr>
      </w:r>
      <w:r w:rsidR="00237BB2" w:rsidRPr="00AC2B34">
        <w:rPr>
          <w:rFonts w:eastAsiaTheme="majorEastAsia"/>
        </w:rPr>
        <w:fldChar w:fldCharType="separate"/>
      </w:r>
      <w:r w:rsidR="00237BB2" w:rsidRPr="00AC2B34">
        <w:rPr>
          <w:rFonts w:eastAsiaTheme="majorEastAsia"/>
        </w:rPr>
        <w:t>3.1.5</w:t>
      </w:r>
      <w:r w:rsidR="00237BB2" w:rsidRPr="00AC2B34">
        <w:rPr>
          <w:rFonts w:eastAsiaTheme="majorEastAsia"/>
        </w:rPr>
        <w:fldChar w:fldCharType="end"/>
      </w:r>
      <w:r w:rsidR="001B4396" w:rsidRPr="00AC2B34">
        <w:rPr>
          <w:rFonts w:eastAsiaTheme="majorEastAsia"/>
        </w:rPr>
        <w:t xml:space="preserve">), and </w:t>
      </w:r>
      <w:r w:rsidR="00B07FDB" w:rsidRPr="00AC2B34">
        <w:rPr>
          <w:rFonts w:eastAsiaTheme="majorEastAsia"/>
          <w:b/>
          <w:bCs/>
        </w:rPr>
        <w:t xml:space="preserve">more could be done to ensure that </w:t>
      </w:r>
      <w:r w:rsidR="00D63D26" w:rsidRPr="00AC2B34">
        <w:rPr>
          <w:rFonts w:eastAsiaTheme="majorEastAsia"/>
          <w:b/>
          <w:bCs/>
        </w:rPr>
        <w:t>activities funded by TongaHealth are evidence-based</w:t>
      </w:r>
      <w:r w:rsidR="00D63D26" w:rsidRPr="00962FBE">
        <w:rPr>
          <w:rFonts w:eastAsiaTheme="majorEastAsia"/>
        </w:rPr>
        <w:t>.</w:t>
      </w:r>
      <w:r w:rsidR="00D63D26" w:rsidRPr="00AC2B34">
        <w:rPr>
          <w:rFonts w:eastAsiaTheme="majorEastAsia"/>
        </w:rPr>
        <w:t xml:space="preserve"> </w:t>
      </w:r>
      <w:r w:rsidR="00D76814" w:rsidRPr="00AC2B34">
        <w:rPr>
          <w:rFonts w:eastAsiaTheme="majorEastAsia"/>
        </w:rPr>
        <w:t>This could include, for example:</w:t>
      </w:r>
    </w:p>
    <w:p w14:paraId="1C6E2FBE" w14:textId="217AD5FE" w:rsidR="00B50FA8" w:rsidRDefault="006B6CD2" w:rsidP="00C9374E">
      <w:pPr>
        <w:pStyle w:val="ListBullet"/>
        <w:numPr>
          <w:ilvl w:val="0"/>
          <w:numId w:val="21"/>
        </w:numPr>
      </w:pPr>
      <w:r>
        <w:t xml:space="preserve">Requiring grant applicants to present evidence that their proposed project is likely to be effective, for example based on their previous work, </w:t>
      </w:r>
      <w:proofErr w:type="gramStart"/>
      <w:r>
        <w:t>research</w:t>
      </w:r>
      <w:proofErr w:type="gramEnd"/>
      <w:r>
        <w:t xml:space="preserve"> or international guidelines. </w:t>
      </w:r>
    </w:p>
    <w:p w14:paraId="1F64A8B8" w14:textId="7002EA96" w:rsidR="00AE250F" w:rsidRDefault="00AE250F" w:rsidP="00C9374E">
      <w:pPr>
        <w:pStyle w:val="ListBullet"/>
        <w:numPr>
          <w:ilvl w:val="0"/>
          <w:numId w:val="21"/>
        </w:numPr>
      </w:pPr>
      <w:r>
        <w:t>Preferentially allocating funding to projects that are either evidence-</w:t>
      </w:r>
      <w:proofErr w:type="gramStart"/>
      <w:r>
        <w:t>based, or</w:t>
      </w:r>
      <w:proofErr w:type="gramEnd"/>
      <w:r>
        <w:t xml:space="preserve"> </w:t>
      </w:r>
      <w:r w:rsidR="008F75CE">
        <w:t>have a robust M&amp;E framework that will contribute to the evidence base.</w:t>
      </w:r>
    </w:p>
    <w:p w14:paraId="2326BB11" w14:textId="14EEAB68" w:rsidR="00DA1118" w:rsidRDefault="00DA1118" w:rsidP="00C9374E">
      <w:pPr>
        <w:pStyle w:val="ListBullet"/>
        <w:numPr>
          <w:ilvl w:val="0"/>
          <w:numId w:val="21"/>
        </w:numPr>
      </w:pPr>
      <w:r>
        <w:t xml:space="preserve">Strengthening TongaHealth’s M&amp;E system to collect more robust evidence of outcome-level changes </w:t>
      </w:r>
      <w:proofErr w:type="gramStart"/>
      <w:r>
        <w:t>as a result of</w:t>
      </w:r>
      <w:proofErr w:type="gramEnd"/>
      <w:r>
        <w:t xml:space="preserve"> grants, to build the evidence of what grants are effective and inform future grant decision-making. </w:t>
      </w:r>
      <w:r w:rsidR="006A1DEC">
        <w:rPr>
          <w:rFonts w:eastAsiaTheme="minorEastAsia"/>
        </w:rPr>
        <w:t xml:space="preserve">Given that the vast majority of TongaHealth’s grants are to support physical activity or healthy eating, there is scope for the M&amp;E </w:t>
      </w:r>
      <w:r w:rsidR="006A1DEC">
        <w:rPr>
          <w:rFonts w:eastAsiaTheme="minorEastAsia"/>
        </w:rPr>
        <w:lastRenderedPageBreak/>
        <w:t xml:space="preserve">team to develop simple measurement tools (e.g. pre-post surveys) that could be used to measure health outcomes in a consistent way across different grants.  </w:t>
      </w:r>
    </w:p>
    <w:p w14:paraId="010131E5" w14:textId="49CF2A13" w:rsidR="00C96615" w:rsidRDefault="008F75CE" w:rsidP="00C9374E">
      <w:pPr>
        <w:pStyle w:val="ListBullet"/>
        <w:numPr>
          <w:ilvl w:val="0"/>
          <w:numId w:val="21"/>
        </w:numPr>
      </w:pPr>
      <w:r>
        <w:t xml:space="preserve">Commissioning evaluations of </w:t>
      </w:r>
      <w:r w:rsidR="00BA2FA5">
        <w:t xml:space="preserve">TongaHealth-funded interventions. </w:t>
      </w:r>
    </w:p>
    <w:p w14:paraId="52897835" w14:textId="73C39DD4" w:rsidR="00FA3BEE" w:rsidRDefault="0020129C" w:rsidP="00C9374E">
      <w:pPr>
        <w:pStyle w:val="ListBullet"/>
        <w:numPr>
          <w:ilvl w:val="0"/>
          <w:numId w:val="21"/>
        </w:numPr>
      </w:pPr>
      <w:r>
        <w:t>Engaging health experts and key implementers in reviewing grant applications</w:t>
      </w:r>
      <w:r w:rsidR="00B6646E">
        <w:t xml:space="preserve"> related to their areas of work – including </w:t>
      </w:r>
      <w:proofErr w:type="spellStart"/>
      <w:r w:rsidR="00B6646E">
        <w:t>GoT</w:t>
      </w:r>
      <w:proofErr w:type="spellEnd"/>
      <w:r w:rsidR="00B6646E">
        <w:t xml:space="preserve"> agencies who</w:t>
      </w:r>
      <w:r w:rsidR="00FA3BEE">
        <w:t xml:space="preserve"> have technical expertise, practical implementation experience, and often have well-established relationships with grant applicants.</w:t>
      </w:r>
      <w:r w:rsidR="00FA3BEE" w:rsidRPr="00801095">
        <w:t xml:space="preserve"> </w:t>
      </w:r>
    </w:p>
    <w:p w14:paraId="3652DCFD" w14:textId="1628B507" w:rsidR="00615294" w:rsidRPr="00671F75" w:rsidRDefault="00615294" w:rsidP="00DF166F">
      <w:pPr>
        <w:pStyle w:val="Heading2"/>
        <w:spacing w:line="276" w:lineRule="auto"/>
        <w:rPr>
          <w:rFonts w:eastAsia="Calibri"/>
          <w:lang w:bidi="en-US"/>
        </w:rPr>
      </w:pPr>
      <w:bookmarkStart w:id="49" w:name="_Ref153899086"/>
      <w:bookmarkStart w:id="50" w:name="_Toc153899669"/>
      <w:r>
        <w:rPr>
          <w:rFonts w:eastAsia="Calibri"/>
          <w:lang w:bidi="en-US"/>
        </w:rPr>
        <w:t xml:space="preserve">KRQ4: </w:t>
      </w:r>
      <w:r w:rsidRPr="00671F75">
        <w:rPr>
          <w:rFonts w:eastAsia="Calibri"/>
          <w:lang w:bidi="en-US"/>
        </w:rPr>
        <w:t xml:space="preserve">GEDSI/Equity: To what extent is TongaHealth actively and effectively addressing the needs of disadvantaged and </w:t>
      </w:r>
      <w:proofErr w:type="spellStart"/>
      <w:r w:rsidRPr="00671F75">
        <w:rPr>
          <w:rFonts w:eastAsia="Calibri"/>
          <w:lang w:bidi="en-US"/>
        </w:rPr>
        <w:t>marginalised</w:t>
      </w:r>
      <w:proofErr w:type="spellEnd"/>
      <w:r w:rsidRPr="00671F75">
        <w:rPr>
          <w:rFonts w:eastAsia="Calibri"/>
          <w:lang w:bidi="en-US"/>
        </w:rPr>
        <w:t xml:space="preserve"> groups?</w:t>
      </w:r>
      <w:r w:rsidR="004F12BB">
        <w:rPr>
          <w:rStyle w:val="FootnoteReference"/>
          <w:rFonts w:eastAsia="Calibri"/>
          <w:lang w:bidi="en-US"/>
        </w:rPr>
        <w:footnoteReference w:id="11"/>
      </w:r>
      <w:bookmarkEnd w:id="49"/>
      <w:bookmarkEnd w:id="50"/>
    </w:p>
    <w:p w14:paraId="23F4ADCE" w14:textId="77777777" w:rsidR="00615294" w:rsidRDefault="00615294" w:rsidP="00DF166F">
      <w:pPr>
        <w:pStyle w:val="Heading3"/>
        <w:spacing w:line="276" w:lineRule="auto"/>
      </w:pPr>
      <w:r>
        <w:t>To</w:t>
      </w:r>
      <w:r w:rsidRPr="00671F75">
        <w:t xml:space="preserve"> what extent is there fair and equitable access to activities across different segments of the population, including age, gender, </w:t>
      </w:r>
      <w:proofErr w:type="gramStart"/>
      <w:r w:rsidRPr="00671F75">
        <w:t>disability</w:t>
      </w:r>
      <w:proofErr w:type="gramEnd"/>
      <w:r w:rsidRPr="00671F75">
        <w:t xml:space="preserve"> and geography?</w:t>
      </w:r>
    </w:p>
    <w:p w14:paraId="63F1C64B" w14:textId="12F320C1" w:rsidR="005E67A0" w:rsidRPr="005E67A0" w:rsidRDefault="007B6198" w:rsidP="00DF166F">
      <w:pPr>
        <w:spacing w:after="210" w:line="276" w:lineRule="auto"/>
      </w:pPr>
      <w:r w:rsidRPr="00462B77">
        <w:rPr>
          <w:b/>
          <w:bCs/>
        </w:rPr>
        <w:t xml:space="preserve">TongaHealth has a strong focus on </w:t>
      </w:r>
      <w:r w:rsidR="00AB19CF" w:rsidRPr="00462B77">
        <w:rPr>
          <w:b/>
          <w:bCs/>
        </w:rPr>
        <w:t xml:space="preserve">inclusion of residents </w:t>
      </w:r>
      <w:r w:rsidR="00AB19CF" w:rsidRPr="00B07FDB">
        <w:rPr>
          <w:b/>
          <w:bCs/>
        </w:rPr>
        <w:t xml:space="preserve">outside </w:t>
      </w:r>
      <w:proofErr w:type="spellStart"/>
      <w:r w:rsidR="00AB19CF" w:rsidRPr="00B07FDB">
        <w:rPr>
          <w:b/>
          <w:bCs/>
        </w:rPr>
        <w:t>Tongatapu</w:t>
      </w:r>
      <w:proofErr w:type="spellEnd"/>
      <w:r w:rsidR="00AB19CF" w:rsidRPr="00B07FDB">
        <w:rPr>
          <w:b/>
          <w:bCs/>
        </w:rPr>
        <w:t>.</w:t>
      </w:r>
      <w:r w:rsidR="00AB19CF" w:rsidRPr="00B07FDB">
        <w:t xml:space="preserve"> </w:t>
      </w:r>
      <w:r w:rsidR="00B229A2" w:rsidRPr="00B07FDB">
        <w:t xml:space="preserve">The high number of grants to outer islands in FY22/23 (68 grants, 80% of all grants that year) affirms TongaHealth’s commitment to inclusion of outer islands. </w:t>
      </w:r>
      <w:r w:rsidR="00AB19CF" w:rsidRPr="00B07FDB">
        <w:t xml:space="preserve">TongaHealth has invested significant resources to establish </w:t>
      </w:r>
      <w:r w:rsidR="004179C7" w:rsidRPr="00B07FDB">
        <w:t xml:space="preserve">offices </w:t>
      </w:r>
      <w:r w:rsidR="00AB19CF" w:rsidRPr="00B07FDB">
        <w:t xml:space="preserve">on </w:t>
      </w:r>
      <w:r w:rsidR="002307FB" w:rsidRPr="00B07FDB">
        <w:t xml:space="preserve">the islands of </w:t>
      </w:r>
      <w:r w:rsidR="002C4624" w:rsidRPr="00B07FDB">
        <w:t>‘</w:t>
      </w:r>
      <w:proofErr w:type="spellStart"/>
      <w:r w:rsidR="002C4624" w:rsidRPr="00B07FDB">
        <w:t>Eua</w:t>
      </w:r>
      <w:proofErr w:type="spellEnd"/>
      <w:r w:rsidR="002C4624" w:rsidRPr="00B07FDB">
        <w:t xml:space="preserve">, </w:t>
      </w:r>
      <w:proofErr w:type="spellStart"/>
      <w:r w:rsidR="002C4624" w:rsidRPr="00B07FDB">
        <w:t>Vava’u</w:t>
      </w:r>
      <w:proofErr w:type="spellEnd"/>
      <w:r w:rsidR="002C4624" w:rsidRPr="00B07FDB">
        <w:t xml:space="preserve">, </w:t>
      </w:r>
      <w:proofErr w:type="spellStart"/>
      <w:r w:rsidR="002C4624" w:rsidRPr="00B07FDB">
        <w:t>Ha’apai</w:t>
      </w:r>
      <w:proofErr w:type="spellEnd"/>
      <w:r w:rsidR="002C4624" w:rsidRPr="00B07FDB">
        <w:t xml:space="preserve">, </w:t>
      </w:r>
      <w:proofErr w:type="spellStart"/>
      <w:r w:rsidR="002C4624" w:rsidRPr="00B07FDB">
        <w:t>Niuafo</w:t>
      </w:r>
      <w:r w:rsidR="00EA16D3">
        <w:t>’</w:t>
      </w:r>
      <w:r w:rsidR="002C4624" w:rsidRPr="00B07FDB">
        <w:t>ou</w:t>
      </w:r>
      <w:proofErr w:type="spellEnd"/>
      <w:r w:rsidR="002C4624" w:rsidRPr="00B07FDB">
        <w:t xml:space="preserve"> and </w:t>
      </w:r>
      <w:proofErr w:type="spellStart"/>
      <w:r w:rsidR="002C4624" w:rsidRPr="00B07FDB">
        <w:t>Niuatoputapu</w:t>
      </w:r>
      <w:proofErr w:type="spellEnd"/>
      <w:r w:rsidR="00671769" w:rsidRPr="00B07FDB">
        <w:t>. The offices were established in the period August 2022 to February 2023</w:t>
      </w:r>
      <w:r w:rsidR="004179C7" w:rsidRPr="00B07FDB">
        <w:t xml:space="preserve">, with </w:t>
      </w:r>
      <w:r w:rsidR="00A440F8" w:rsidRPr="00B07FDB">
        <w:t xml:space="preserve">the aim to </w:t>
      </w:r>
      <w:r w:rsidR="009D1076" w:rsidRPr="00B07FDB">
        <w:t>improve</w:t>
      </w:r>
      <w:r w:rsidR="009D1076" w:rsidRPr="00462B77">
        <w:t xml:space="preserve"> and strengthen </w:t>
      </w:r>
      <w:r w:rsidR="00A440F8" w:rsidRPr="00462B77">
        <w:t>TongaHealth’s connections to remote island groups. The role of Program O</w:t>
      </w:r>
      <w:r w:rsidR="009D1076" w:rsidRPr="00462B77">
        <w:t xml:space="preserve">fficers in the outer islands </w:t>
      </w:r>
      <w:r w:rsidR="00DA182F" w:rsidRPr="00462B77">
        <w:t xml:space="preserve">is to </w:t>
      </w:r>
      <w:r w:rsidR="009D1076" w:rsidRPr="00462B77">
        <w:t>assist community groups with their grant</w:t>
      </w:r>
      <w:r w:rsidR="00DA182F" w:rsidRPr="00462B77">
        <w:t xml:space="preserve"> proposals, monitor grant implementation, and follow up on outstanding grant reports. Some </w:t>
      </w:r>
      <w:r w:rsidR="00EC7F1D" w:rsidRPr="00462B77">
        <w:t xml:space="preserve">Outer Islands Program Officers also provide direct implementation support, e.g. delivering Zumba classes when there is no trained instructor available to do </w:t>
      </w:r>
      <w:proofErr w:type="gramStart"/>
      <w:r w:rsidR="00EC7F1D" w:rsidRPr="00462B77">
        <w:t>s</w:t>
      </w:r>
      <w:r w:rsidR="00104EE6" w:rsidRPr="00462B77">
        <w:t>o, and</w:t>
      </w:r>
      <w:proofErr w:type="gramEnd"/>
      <w:r w:rsidR="00104EE6" w:rsidRPr="00462B77">
        <w:t xml:space="preserve"> delivering NCD awareness presentations</w:t>
      </w:r>
      <w:r w:rsidR="001D2CEA" w:rsidRPr="00462B77">
        <w:t xml:space="preserve"> – which </w:t>
      </w:r>
      <w:r w:rsidR="00A55A89" w:rsidRPr="00462B77">
        <w:t xml:space="preserve">while not strictly in scope for TongaHealth, is probably appropriate on outer islands where </w:t>
      </w:r>
      <w:r w:rsidR="00C02E33" w:rsidRPr="00462B77">
        <w:t>there are few implementers to draw on for support.</w:t>
      </w:r>
      <w:r w:rsidR="00636A2A">
        <w:t xml:space="preserve"> Grantees on outer islands spoke very positively about the support provided by the Outer Islands Program Officers.</w:t>
      </w:r>
      <w:r w:rsidR="00C02E33" w:rsidRPr="00462B77">
        <w:t xml:space="preserve"> </w:t>
      </w:r>
      <w:r w:rsidR="00372F8E" w:rsidRPr="00462B77">
        <w:t>There is potential for Outer Island Program Officers to be more impactful in their roles</w:t>
      </w:r>
      <w:r w:rsidR="00BC52D4" w:rsidRPr="00462B77">
        <w:t xml:space="preserve"> by strengthening collaboration with </w:t>
      </w:r>
      <w:proofErr w:type="spellStart"/>
      <w:r w:rsidR="00BC52D4" w:rsidRPr="00462B77">
        <w:t>GoT</w:t>
      </w:r>
      <w:proofErr w:type="spellEnd"/>
      <w:r w:rsidR="00BC52D4" w:rsidRPr="00462B77">
        <w:t xml:space="preserve"> Ministries stationed in the Outer Islands. The establishment of Health Promoting Committees on each island is likely to support stronger collaboration and coordination</w:t>
      </w:r>
      <w:r w:rsidR="00462B77">
        <w:t>.</w:t>
      </w:r>
      <w:r w:rsidR="009D1076">
        <w:rPr>
          <w:rFonts w:ascii="Calibri" w:eastAsia="Times New Roman" w:hAnsi="Calibri" w:cs="Calibri"/>
          <w:lang w:eastAsia="en-AU"/>
        </w:rPr>
        <w:t xml:space="preserve"> </w:t>
      </w:r>
      <w:r w:rsidR="00E772BC">
        <w:t xml:space="preserve"> </w:t>
      </w:r>
    </w:p>
    <w:p w14:paraId="138BD8EC" w14:textId="521F9B31" w:rsidR="00840BF1" w:rsidRPr="009B2AEC" w:rsidRDefault="007222FC" w:rsidP="00DF166F">
      <w:pPr>
        <w:spacing w:after="210" w:line="276" w:lineRule="auto"/>
        <w:rPr>
          <w:b/>
          <w:bCs/>
        </w:rPr>
      </w:pPr>
      <w:r w:rsidRPr="00B229A2">
        <w:rPr>
          <w:b/>
          <w:bCs/>
        </w:rPr>
        <w:t xml:space="preserve">Despite good progress in inclusion of outer islands, TongaHealth has made limited progress on other areas of inclusion. </w:t>
      </w:r>
      <w:r w:rsidR="002D59FB" w:rsidRPr="000A6C79">
        <w:rPr>
          <w:b/>
          <w:bCs/>
        </w:rPr>
        <w:t>There have been few GEDSI-</w:t>
      </w:r>
      <w:r w:rsidR="00DD16F0" w:rsidRPr="000A6C79">
        <w:rPr>
          <w:b/>
          <w:bCs/>
        </w:rPr>
        <w:t>focused</w:t>
      </w:r>
      <w:r w:rsidR="002D59FB" w:rsidRPr="000A6C79">
        <w:rPr>
          <w:b/>
          <w:bCs/>
        </w:rPr>
        <w:t xml:space="preserve"> grants in recent years</w:t>
      </w:r>
      <w:r w:rsidR="000A6C79">
        <w:rPr>
          <w:b/>
          <w:bCs/>
        </w:rPr>
        <w:t>.</w:t>
      </w:r>
      <w:r w:rsidR="002D59FB">
        <w:t xml:space="preserve"> </w:t>
      </w:r>
      <w:r w:rsidR="00B96578">
        <w:t>There was a “Health Equity” themed round of grants in FY19/20</w:t>
      </w:r>
      <w:r w:rsidR="002A7E1D">
        <w:t>, with plans to have a similar equity-</w:t>
      </w:r>
      <w:r w:rsidR="00DD16F0">
        <w:t>focused</w:t>
      </w:r>
      <w:r w:rsidR="002A7E1D">
        <w:t xml:space="preserve"> call for proposals in </w:t>
      </w:r>
      <w:r w:rsidR="005346DA">
        <w:t>2024. However, in the period FY2</w:t>
      </w:r>
      <w:r w:rsidR="00C11F53">
        <w:t>1/22</w:t>
      </w:r>
      <w:r w:rsidR="005346DA">
        <w:t xml:space="preserve"> to present, the only GEDSI-</w:t>
      </w:r>
      <w:r w:rsidR="00DD16F0">
        <w:t>focused</w:t>
      </w:r>
      <w:r w:rsidR="005346DA">
        <w:t xml:space="preserve"> grants have been </w:t>
      </w:r>
      <w:r w:rsidR="005E0308">
        <w:t>for a healthy food program at a Special Needs School (encouraging children with disabilities to t</w:t>
      </w:r>
      <w:r w:rsidR="00D7298B">
        <w:t>ry new, healthy foods)</w:t>
      </w:r>
      <w:r w:rsidR="008831F3">
        <w:t>;</w:t>
      </w:r>
      <w:r w:rsidR="00D7298B">
        <w:t xml:space="preserve"> two ‘fun day’ celebrations for elderly people</w:t>
      </w:r>
      <w:r w:rsidR="008831F3">
        <w:t xml:space="preserve">; and </w:t>
      </w:r>
      <w:r w:rsidR="004B0AB0">
        <w:t xml:space="preserve">a grant to a women’s group for </w:t>
      </w:r>
      <w:r w:rsidR="00644CED">
        <w:t>backyard gardening</w:t>
      </w:r>
      <w:r w:rsidR="00D7298B">
        <w:t xml:space="preserve">. </w:t>
      </w:r>
    </w:p>
    <w:p w14:paraId="6B0BA0CD" w14:textId="059CE4FF" w:rsidR="00D7298B" w:rsidRPr="00B11935" w:rsidRDefault="00840BF1" w:rsidP="00DF166F">
      <w:pPr>
        <w:spacing w:after="210" w:line="276" w:lineRule="auto"/>
        <w:rPr>
          <w:b/>
          <w:bCs/>
        </w:rPr>
      </w:pPr>
      <w:r w:rsidRPr="00840BF1">
        <w:rPr>
          <w:b/>
          <w:bCs/>
        </w:rPr>
        <w:t>There is limited consideration of GEDSI in grant approval processes.</w:t>
      </w:r>
      <w:r>
        <w:t xml:space="preserve"> </w:t>
      </w:r>
      <w:r w:rsidR="00FE585B">
        <w:t xml:space="preserve">The THSSP2 Mid Term Review recommended that </w:t>
      </w:r>
      <w:r w:rsidR="000D5695">
        <w:t>grant</w:t>
      </w:r>
      <w:r>
        <w:t xml:space="preserve"> approval processes </w:t>
      </w:r>
      <w:r w:rsidR="000D5695">
        <w:t xml:space="preserve">better consider the extent to which </w:t>
      </w:r>
      <w:r w:rsidR="00423B5C">
        <w:t xml:space="preserve">applications address GEDSI, however this has only been addressed by asking grant applicants to </w:t>
      </w:r>
      <w:r w:rsidR="00E14E22">
        <w:t>describe how the project will meet the needs of vulnerable groups</w:t>
      </w:r>
      <w:r w:rsidR="00FB01A6">
        <w:t>. There is no requirement for projects to take positive steps to be more inclusive</w:t>
      </w:r>
      <w:r w:rsidR="00CC3F5B">
        <w:t xml:space="preserve">, and GEDSI is not considered as a criterion when assessing grant applications. </w:t>
      </w:r>
    </w:p>
    <w:p w14:paraId="1EB87A79" w14:textId="77777777" w:rsidR="002479D8" w:rsidRDefault="000A6C79" w:rsidP="00DF166F">
      <w:pPr>
        <w:spacing w:after="210" w:line="276" w:lineRule="auto"/>
      </w:pPr>
      <w:r w:rsidRPr="000A6C79">
        <w:rPr>
          <w:b/>
          <w:bCs/>
        </w:rPr>
        <w:t>T</w:t>
      </w:r>
      <w:r w:rsidR="00966CB3" w:rsidRPr="000A6C79">
        <w:rPr>
          <w:b/>
          <w:bCs/>
        </w:rPr>
        <w:t xml:space="preserve">he </w:t>
      </w:r>
      <w:r w:rsidR="00897B16" w:rsidRPr="00897B16">
        <w:rPr>
          <w:b/>
          <w:bCs/>
        </w:rPr>
        <w:t>TongaHealth team have limited GEDSI expertise</w:t>
      </w:r>
      <w:r w:rsidR="00966CB3">
        <w:t>, which hinders their ability to promote greater inclusion. For example</w:t>
      </w:r>
      <w:r w:rsidR="0084619E">
        <w:t xml:space="preserve">, when asked about the extent to which TongaHealth’s work is inclusive of women and people with disabilities, </w:t>
      </w:r>
      <w:r w:rsidR="0084619E">
        <w:lastRenderedPageBreak/>
        <w:t xml:space="preserve">almost all </w:t>
      </w:r>
      <w:r w:rsidR="0094352C">
        <w:t xml:space="preserve">TongaHealth interviewees responded that “Everyone is free to participate in our activities” – reflecting limited awareness of the need to make pro-active efforts to promote inclusion. </w:t>
      </w:r>
    </w:p>
    <w:p w14:paraId="38C28527" w14:textId="644AA568" w:rsidR="00615294" w:rsidRPr="000043F1" w:rsidRDefault="009A6CDC" w:rsidP="00DF166F">
      <w:pPr>
        <w:spacing w:after="210" w:line="276" w:lineRule="auto"/>
      </w:pPr>
      <w:r w:rsidRPr="000A6C79">
        <w:rPr>
          <w:b/>
          <w:bCs/>
        </w:rPr>
        <w:t>The portfolio-wide GEDSI Strategy currently in development will provide greater clarity on DFAT’s expectations and approach to inclusion</w:t>
      </w:r>
      <w:r>
        <w:t xml:space="preserve"> across its different investments in Tonga</w:t>
      </w:r>
      <w:r w:rsidR="005E6905">
        <w:t xml:space="preserve"> – with the intent that </w:t>
      </w:r>
      <w:r w:rsidR="00515287">
        <w:t xml:space="preserve">the portfolio-wide GEDSI Strategy will inform </w:t>
      </w:r>
      <w:r w:rsidR="005E6905">
        <w:t>TASP</w:t>
      </w:r>
      <w:r w:rsidR="00515287">
        <w:t>’s</w:t>
      </w:r>
      <w:r w:rsidR="005E6905">
        <w:t xml:space="preserve"> </w:t>
      </w:r>
      <w:r w:rsidR="00515287">
        <w:t xml:space="preserve">development of a </w:t>
      </w:r>
      <w:r w:rsidR="005E6905">
        <w:t>program-specific GEDSI Strategy</w:t>
      </w:r>
      <w:r w:rsidR="00D76577">
        <w:t xml:space="preserve">, which in turn could guide TongaHealth’s approach to GEDSI. There may also be opportunities </w:t>
      </w:r>
      <w:r w:rsidR="002248FB">
        <w:t xml:space="preserve">for TongaHealth to access GEDSI expertise via TASP. </w:t>
      </w:r>
    </w:p>
    <w:p w14:paraId="4FC09E70" w14:textId="344C1095" w:rsidR="00A6613C" w:rsidRDefault="000043F1" w:rsidP="00DF166F">
      <w:pPr>
        <w:pStyle w:val="Heading2"/>
        <w:spacing w:line="276" w:lineRule="auto"/>
      </w:pPr>
      <w:bookmarkStart w:id="51" w:name="_Ref152922052"/>
      <w:bookmarkStart w:id="52" w:name="_Toc153899670"/>
      <w:r>
        <w:t xml:space="preserve">KRQ5: </w:t>
      </w:r>
      <w:r w:rsidRPr="00671F75">
        <w:t xml:space="preserve">Recommendations: Noting all findings, what are strategic, </w:t>
      </w:r>
      <w:proofErr w:type="gramStart"/>
      <w:r w:rsidRPr="00671F75">
        <w:t>practical</w:t>
      </w:r>
      <w:proofErr w:type="gramEnd"/>
      <w:r w:rsidRPr="00671F75">
        <w:t xml:space="preserve"> and implementable actions that can be taken to strengthen TongaHealth’s impact and outcomes?</w:t>
      </w:r>
      <w:bookmarkEnd w:id="51"/>
      <w:bookmarkEnd w:id="52"/>
    </w:p>
    <w:p w14:paraId="48B39329" w14:textId="75EB2D06" w:rsidR="000E31C8" w:rsidRDefault="00DF7D20" w:rsidP="00DF166F">
      <w:pPr>
        <w:spacing w:line="276" w:lineRule="auto"/>
      </w:pPr>
      <w:r>
        <w:t xml:space="preserve">In conclusion, TongaHealth is not on track to achieve its mandate under the NCD Strategy. While TongaHealth has made significant contributions to promoting healthy lifestyles via its grants program, TongaHealth’s current focus on grant administration is not </w:t>
      </w:r>
      <w:proofErr w:type="gramStart"/>
      <w:r>
        <w:t>in</w:t>
      </w:r>
      <w:proofErr w:type="gramEnd"/>
      <w:r>
        <w:t xml:space="preserve"> line with the broader strategic vision for TongaHealth articulated in the NCD Strategy</w:t>
      </w:r>
      <w:r w:rsidR="00F33FCF">
        <w:t xml:space="preserve">, which envisioned TongaHealth </w:t>
      </w:r>
      <w:r w:rsidR="005C6E66">
        <w:t>providing</w:t>
      </w:r>
      <w:r w:rsidR="00247257">
        <w:t xml:space="preserve"> a broader suite of functions including </w:t>
      </w:r>
      <w:r w:rsidR="00B11935">
        <w:t xml:space="preserve">policy development, </w:t>
      </w:r>
      <w:r w:rsidR="00AA3C76">
        <w:t>multisectoral</w:t>
      </w:r>
      <w:r w:rsidR="00B11935">
        <w:t xml:space="preserve"> engagement, </w:t>
      </w:r>
      <w:r w:rsidR="0015603F">
        <w:t>and M&amp;E and research</w:t>
      </w:r>
      <w:r>
        <w:t>.</w:t>
      </w:r>
      <w:r w:rsidR="00575673">
        <w:t xml:space="preserve"> </w:t>
      </w:r>
    </w:p>
    <w:p w14:paraId="42F71E56" w14:textId="28A88628" w:rsidR="00DF7D20" w:rsidRDefault="00575673" w:rsidP="00DF166F">
      <w:pPr>
        <w:spacing w:line="276" w:lineRule="auto"/>
      </w:pPr>
      <w:r>
        <w:t xml:space="preserve">While this has partially been driven by external challenges (e.g. COVID-19 and delays in receiving THSSP3 funding), </w:t>
      </w:r>
      <w:r w:rsidR="00161BBA">
        <w:t xml:space="preserve">the main drivers are internal capacity constraints. </w:t>
      </w:r>
      <w:r w:rsidR="00DF7D20">
        <w:t>Key challenges include the high workload of TongaHealth’s current approach to grant administration; the team’s lack of expertise in critical areas such as health, grant management,</w:t>
      </w:r>
      <w:r w:rsidR="00F15740">
        <w:t xml:space="preserve"> M&amp;E, </w:t>
      </w:r>
      <w:r w:rsidR="00DF7D20">
        <w:t>GEDSI</w:t>
      </w:r>
      <w:r w:rsidR="00F15740">
        <w:t xml:space="preserve"> and reporting</w:t>
      </w:r>
      <w:r w:rsidR="00DF7D20">
        <w:t xml:space="preserve">; and </w:t>
      </w:r>
      <w:r w:rsidR="009774B3">
        <w:t>weak</w:t>
      </w:r>
      <w:r w:rsidR="00DF7D20">
        <w:t xml:space="preserve"> internal systems for grant management, M&amp;E</w:t>
      </w:r>
      <w:r w:rsidR="00F15740">
        <w:t>,</w:t>
      </w:r>
      <w:r w:rsidR="00DF7D20">
        <w:t xml:space="preserve"> </w:t>
      </w:r>
      <w:r w:rsidR="00F15740">
        <w:t xml:space="preserve">financial </w:t>
      </w:r>
      <w:r w:rsidR="006741E5">
        <w:t xml:space="preserve">management </w:t>
      </w:r>
      <w:r w:rsidR="00F15740">
        <w:t>and reporting.</w:t>
      </w:r>
      <w:r w:rsidR="006741E5">
        <w:t xml:space="preserve"> </w:t>
      </w:r>
      <w:r w:rsidR="00DF7D20">
        <w:t>Building TongaHealth’s capacity to deliver on its mandate w</w:t>
      </w:r>
      <w:r w:rsidR="007E6272">
        <w:t>ill</w:t>
      </w:r>
      <w:r w:rsidR="00DF7D20">
        <w:t xml:space="preserve"> require substantial external technical assistance; as well as stronger governance mechanisms to drive accountability for actioning recommendations, delivering against the NCD Strategy and for timely, quality reporting. </w:t>
      </w:r>
    </w:p>
    <w:p w14:paraId="0506002E" w14:textId="00506EB2" w:rsidR="003B1A8D" w:rsidRDefault="0047577A" w:rsidP="00DF166F">
      <w:pPr>
        <w:spacing w:line="276" w:lineRule="auto"/>
      </w:pPr>
      <w:r>
        <w:t xml:space="preserve">Given TongaHealth has maintained a narrow focus on grant administration for several years, </w:t>
      </w:r>
      <w:r w:rsidR="00FA617D">
        <w:t>it is unlikely th</w:t>
      </w:r>
      <w:r w:rsidR="00FE74EC">
        <w:t>at TongaHealth w</w:t>
      </w:r>
      <w:r w:rsidR="00AB1A00">
        <w:t>ill</w:t>
      </w:r>
      <w:r w:rsidR="00FE74EC">
        <w:t xml:space="preserve"> take on a broader range of functions unless</w:t>
      </w:r>
      <w:r w:rsidR="00B23446">
        <w:t xml:space="preserve"> a donor or overarching governance mechanism requires TongaHealth to do so. </w:t>
      </w:r>
      <w:r w:rsidR="001F4BA4">
        <w:t xml:space="preserve">In the absence of a functioning National NCD Committee, </w:t>
      </w:r>
      <w:r w:rsidR="008A0CDB">
        <w:t xml:space="preserve">DFAT as the main donor </w:t>
      </w:r>
      <w:r w:rsidR="00B47568">
        <w:t xml:space="preserve">may be better </w:t>
      </w:r>
      <w:r w:rsidR="00F47446">
        <w:t xml:space="preserve">placed to </w:t>
      </w:r>
      <w:r w:rsidR="00654E26">
        <w:t>support a ‘strategic re</w:t>
      </w:r>
      <w:r w:rsidR="000567AB">
        <w:t>set</w:t>
      </w:r>
      <w:r w:rsidR="00654E26">
        <w:t>’</w:t>
      </w:r>
      <w:r w:rsidR="00B30665">
        <w:t xml:space="preserve"> of </w:t>
      </w:r>
      <w:r w:rsidR="00654E26">
        <w:t xml:space="preserve">TongaHealth to </w:t>
      </w:r>
      <w:r w:rsidR="000567AB">
        <w:t>expand its focus beyond grant administration and deliver on its mandate</w:t>
      </w:r>
      <w:r w:rsidR="000E31C8">
        <w:t>, and to hold TongaHealth accountable for doing so</w:t>
      </w:r>
      <w:r w:rsidR="00F47446">
        <w:t xml:space="preserve">. </w:t>
      </w:r>
    </w:p>
    <w:p w14:paraId="7189B1CC" w14:textId="35B90D00" w:rsidR="004E14BD" w:rsidRDefault="003462D5" w:rsidP="00260223">
      <w:pPr>
        <w:pStyle w:val="BodyText"/>
      </w:pPr>
      <w:r>
        <w:t>The following recommendations are for TongaHealth and DFAT for the remaining period of the current NCD Strategy</w:t>
      </w:r>
      <w:r w:rsidR="004E14BD">
        <w:t>. These recommendations are feasible within the existing TongaHealth budget, but some</w:t>
      </w:r>
      <w:r w:rsidR="007A6D67">
        <w:t xml:space="preserve"> (particularly Recommendations 1 and 6)</w:t>
      </w:r>
      <w:r w:rsidR="004E14BD">
        <w:t xml:space="preserve"> are likely to require re-allocation of resources within the existing budget envelope.</w:t>
      </w:r>
    </w:p>
    <w:p w14:paraId="05298D85" w14:textId="77777777" w:rsidR="00116BCD" w:rsidRDefault="00116BCD" w:rsidP="00962FBE">
      <w:pPr>
        <w:pStyle w:val="BodyText"/>
      </w:pPr>
    </w:p>
    <w:p w14:paraId="07938C2F" w14:textId="77777777" w:rsidR="0091424B" w:rsidRPr="00962FBE" w:rsidRDefault="0091424B" w:rsidP="00962FBE">
      <w:pPr>
        <w:pStyle w:val="ListNumber"/>
        <w:spacing w:after="0"/>
        <w:rPr>
          <w:b/>
          <w:bCs w:val="0"/>
        </w:rPr>
      </w:pPr>
      <w:r w:rsidRPr="00962FBE">
        <w:rPr>
          <w:b/>
          <w:bCs w:val="0"/>
        </w:rPr>
        <w:t xml:space="preserve">TongaHealth should seek to strengthen its technical capacity by finalising and implementing an institutional strengthening plan, identifying sources of external technical assistance (e.g. volunteers, TASP, SPC), and strengthening the partnership with the HPU given their significant technical and implementation expertise in the health field. </w:t>
      </w:r>
    </w:p>
    <w:p w14:paraId="4275AC15" w14:textId="436268A6" w:rsidR="0091424B" w:rsidRDefault="0091424B" w:rsidP="00DF166F">
      <w:pPr>
        <w:spacing w:line="276" w:lineRule="auto"/>
      </w:pPr>
      <w:r>
        <w:rPr>
          <w:lang w:val="en-AU"/>
        </w:rPr>
        <w:t xml:space="preserve">There are significant skills gaps in the TongaHealth team, which need to be addressed </w:t>
      </w:r>
      <w:proofErr w:type="gramStart"/>
      <w:r>
        <w:rPr>
          <w:lang w:val="en-AU"/>
        </w:rPr>
        <w:t>in order for</w:t>
      </w:r>
      <w:proofErr w:type="gramEnd"/>
      <w:r>
        <w:rPr>
          <w:lang w:val="en-AU"/>
        </w:rPr>
        <w:t xml:space="preserve"> TongaHealth to operate more effectively and achieve its mandate under the NCD Strategy (see Section </w:t>
      </w:r>
      <w:r>
        <w:rPr>
          <w:lang w:val="en-AU"/>
        </w:rPr>
        <w:fldChar w:fldCharType="begin"/>
      </w:r>
      <w:r>
        <w:rPr>
          <w:lang w:val="en-AU"/>
        </w:rPr>
        <w:instrText xml:space="preserve"> REF _Ref152679394 \r \h </w:instrText>
      </w:r>
      <w:r w:rsidR="00DF166F">
        <w:rPr>
          <w:lang w:val="en-AU"/>
        </w:rPr>
        <w:instrText xml:space="preserve"> \* MERGEFORMAT </w:instrText>
      </w:r>
      <w:r>
        <w:rPr>
          <w:lang w:val="en-AU"/>
        </w:rPr>
      </w:r>
      <w:r>
        <w:rPr>
          <w:lang w:val="en-AU"/>
        </w:rPr>
        <w:fldChar w:fldCharType="separate"/>
      </w:r>
      <w:r>
        <w:rPr>
          <w:lang w:val="en-AU"/>
        </w:rPr>
        <w:t>3.1.6</w:t>
      </w:r>
      <w:r>
        <w:rPr>
          <w:lang w:val="en-AU"/>
        </w:rPr>
        <w:fldChar w:fldCharType="end"/>
      </w:r>
      <w:r>
        <w:rPr>
          <w:lang w:val="en-AU"/>
        </w:rPr>
        <w:t xml:space="preserve">). Priority areas for capacity-building and systems strengthening include </w:t>
      </w:r>
      <w:r w:rsidRPr="00970CFB">
        <w:t xml:space="preserve">grant administration, project management, M&amp;E, reporting, </w:t>
      </w:r>
      <w:r>
        <w:t xml:space="preserve">and </w:t>
      </w:r>
      <w:r w:rsidRPr="00970CFB">
        <w:t>financial management</w:t>
      </w:r>
      <w:r>
        <w:t xml:space="preserve">. </w:t>
      </w:r>
      <w:r w:rsidRPr="00970CFB">
        <w:t xml:space="preserve">The NCD Adviser is currently undertaking an Institutional </w:t>
      </w:r>
      <w:r>
        <w:t>Strengthening Plan</w:t>
      </w:r>
      <w:r w:rsidRPr="00970CFB">
        <w:t xml:space="preserve">, which </w:t>
      </w:r>
      <w:r>
        <w:t>will describe these capacity gaps in more detail, and should</w:t>
      </w:r>
      <w:r w:rsidRPr="00970CFB">
        <w:t xml:space="preserve"> include a</w:t>
      </w:r>
      <w:r>
        <w:t xml:space="preserve"> comprehensive plan and timeline for capacity-building. Given the low baseline capacity of the team, it is likely that external TA will be required to build, and in some cases substitute, capacity. </w:t>
      </w:r>
    </w:p>
    <w:p w14:paraId="375786A2" w14:textId="77777777" w:rsidR="0091424B" w:rsidRDefault="0091424B" w:rsidP="00962FBE">
      <w:pPr>
        <w:pStyle w:val="BodyText"/>
        <w:rPr>
          <w:rFonts w:eastAsiaTheme="minorEastAsia"/>
        </w:rPr>
      </w:pPr>
      <w:r w:rsidRPr="007C6525">
        <w:t>TongaHealth should proactively identify sources of external TA to support systems strengthening. This could include hosting skilled</w:t>
      </w:r>
      <w:r w:rsidRPr="007C6525">
        <w:rPr>
          <w:rFonts w:eastAsiaTheme="minorEastAsia"/>
        </w:rPr>
        <w:t xml:space="preserve"> volunteers (e.g. through</w:t>
      </w:r>
      <w:r w:rsidRPr="0031517A">
        <w:rPr>
          <w:rFonts w:eastAsiaTheme="minorEastAsia"/>
        </w:rPr>
        <w:t xml:space="preserve"> New Zealand’s Volunteer Service Abroad program</w:t>
      </w:r>
      <w:r>
        <w:rPr>
          <w:rFonts w:eastAsiaTheme="minorEastAsia"/>
        </w:rPr>
        <w:t xml:space="preserve">, and Australian Volunteers </w:t>
      </w:r>
      <w:r>
        <w:rPr>
          <w:rFonts w:eastAsiaTheme="minorEastAsia"/>
        </w:rPr>
        <w:lastRenderedPageBreak/>
        <w:t>International</w:t>
      </w:r>
      <w:r w:rsidRPr="0031517A">
        <w:rPr>
          <w:rFonts w:eastAsiaTheme="minorEastAsia"/>
        </w:rPr>
        <w:t>)</w:t>
      </w:r>
      <w:r>
        <w:rPr>
          <w:rFonts w:eastAsiaTheme="minorEastAsia"/>
        </w:rPr>
        <w:t>; d</w:t>
      </w:r>
      <w:r w:rsidRPr="000209FA">
        <w:rPr>
          <w:rFonts w:eastAsiaTheme="minorEastAsia"/>
        </w:rPr>
        <w:t>raw</w:t>
      </w:r>
      <w:r>
        <w:rPr>
          <w:rFonts w:eastAsiaTheme="minorEastAsia"/>
        </w:rPr>
        <w:t>ing</w:t>
      </w:r>
      <w:r w:rsidRPr="000209FA">
        <w:rPr>
          <w:rFonts w:eastAsiaTheme="minorEastAsia"/>
        </w:rPr>
        <w:t xml:space="preserve"> on TA</w:t>
      </w:r>
      <w:r>
        <w:rPr>
          <w:rFonts w:eastAsiaTheme="minorEastAsia"/>
        </w:rPr>
        <w:t>SP’s internal capacity and allocated TA budget; requesting support from other technical agencies (e.g. SPC) where feasible; and reallocating internal budget towards commissioning external TA if required.</w:t>
      </w:r>
    </w:p>
    <w:p w14:paraId="33D4C8FF" w14:textId="77777777" w:rsidR="0091424B" w:rsidRDefault="0091424B" w:rsidP="00260223">
      <w:pPr>
        <w:pStyle w:val="BodyText"/>
        <w:rPr>
          <w:rFonts w:eastAsiaTheme="minorEastAsia"/>
        </w:rPr>
      </w:pPr>
      <w:r>
        <w:t>It i</w:t>
      </w:r>
      <w:r w:rsidRPr="007C6525">
        <w:rPr>
          <w:rFonts w:eastAsiaTheme="minorEastAsia"/>
        </w:rPr>
        <w:t>s not recommended that TongaHealth invest heavily in building the general NCD or health promotion knowledge of the TongaHealth team, beyond building a basic understanding of these topics – and instead draw on the technical expertise of other organisations.</w:t>
      </w:r>
    </w:p>
    <w:p w14:paraId="4D4919BA" w14:textId="77777777" w:rsidR="00260223" w:rsidRDefault="00260223" w:rsidP="00962FBE">
      <w:pPr>
        <w:pStyle w:val="BodyText"/>
        <w:rPr>
          <w:rFonts w:eastAsiaTheme="minorEastAsia"/>
        </w:rPr>
      </w:pPr>
    </w:p>
    <w:p w14:paraId="12AB1329" w14:textId="77777777" w:rsidR="0091424B" w:rsidRPr="00962FBE" w:rsidRDefault="0091424B" w:rsidP="00C9374E">
      <w:pPr>
        <w:pStyle w:val="ListNumber"/>
        <w:rPr>
          <w:b/>
          <w:bCs w:val="0"/>
        </w:rPr>
      </w:pPr>
      <w:r w:rsidRPr="00962FBE">
        <w:rPr>
          <w:b/>
          <w:bCs w:val="0"/>
        </w:rPr>
        <w:t xml:space="preserve">TongaHealth should seek to strengthen </w:t>
      </w:r>
      <w:r w:rsidRPr="00962FBE">
        <w:rPr>
          <w:rFonts w:eastAsiaTheme="minorEastAsia"/>
          <w:b/>
          <w:bCs w:val="0"/>
        </w:rPr>
        <w:t xml:space="preserve">partnership and communication with MoH, particularly the HPU. </w:t>
      </w:r>
    </w:p>
    <w:p w14:paraId="480ABDA6" w14:textId="315586DE" w:rsidR="0091424B" w:rsidRDefault="0091424B" w:rsidP="00962FBE">
      <w:pPr>
        <w:pStyle w:val="ListNumber"/>
        <w:numPr>
          <w:ilvl w:val="0"/>
          <w:numId w:val="0"/>
        </w:numPr>
        <w:rPr>
          <w:rFonts w:eastAsiaTheme="minorEastAsia"/>
        </w:rPr>
      </w:pPr>
      <w:r w:rsidRPr="007C6525">
        <w:rPr>
          <w:rFonts w:eastAsiaTheme="minorEastAsia"/>
        </w:rPr>
        <w:t>The HPU, as the lead technical and implementation agency for health promotion, has sign</w:t>
      </w:r>
      <w:r>
        <w:rPr>
          <w:rFonts w:eastAsiaTheme="minorEastAsia"/>
        </w:rPr>
        <w:t>if</w:t>
      </w:r>
      <w:r w:rsidRPr="007C6525">
        <w:rPr>
          <w:rFonts w:eastAsiaTheme="minorEastAsia"/>
        </w:rPr>
        <w:t>icant technical expertise, implementation experience and stakeholder relationships.</w:t>
      </w:r>
      <w:r>
        <w:rPr>
          <w:rFonts w:eastAsiaTheme="minorEastAsia"/>
        </w:rPr>
        <w:t xml:space="preserve"> However, TongaHealth’s engagement with the HPU is currently limited (see Section </w:t>
      </w:r>
      <w:r>
        <w:rPr>
          <w:rFonts w:eastAsiaTheme="minorEastAsia"/>
        </w:rPr>
        <w:fldChar w:fldCharType="begin"/>
      </w:r>
      <w:r>
        <w:rPr>
          <w:rFonts w:eastAsiaTheme="minorEastAsia"/>
        </w:rPr>
        <w:instrText xml:space="preserve"> REF _Ref151920605 \r \h </w:instrText>
      </w:r>
      <w:r w:rsidR="00DF166F">
        <w:rPr>
          <w:rFonts w:eastAsiaTheme="minorEastAsia"/>
        </w:rPr>
        <w:instrText xml:space="preserve"> \* MERGEFORMAT </w:instrText>
      </w:r>
      <w:r>
        <w:rPr>
          <w:rFonts w:eastAsiaTheme="minorEastAsia"/>
        </w:rPr>
      </w:r>
      <w:r>
        <w:rPr>
          <w:rFonts w:eastAsiaTheme="minorEastAsia"/>
        </w:rPr>
        <w:fldChar w:fldCharType="separate"/>
      </w:r>
      <w:r>
        <w:rPr>
          <w:rFonts w:eastAsiaTheme="minorEastAsia"/>
        </w:rPr>
        <w:t>3.2.2</w:t>
      </w:r>
      <w:r>
        <w:rPr>
          <w:rFonts w:eastAsiaTheme="minorEastAsia"/>
        </w:rPr>
        <w:fldChar w:fldCharType="end"/>
      </w:r>
      <w:r>
        <w:rPr>
          <w:rFonts w:eastAsiaTheme="minorEastAsia"/>
        </w:rPr>
        <w:t>).</w:t>
      </w:r>
      <w:r w:rsidRPr="007C6525">
        <w:rPr>
          <w:rFonts w:eastAsiaTheme="minorEastAsia"/>
        </w:rPr>
        <w:t xml:space="preserve"> TongaHealth should strengthen engagement with the HPU, to better realise synergies between the two agencies. This could include engaging the HPU in reviewing grant applications, reinstating joint annual planning processes</w:t>
      </w:r>
      <w:r>
        <w:rPr>
          <w:rFonts w:eastAsiaTheme="minorEastAsia"/>
        </w:rPr>
        <w:t xml:space="preserve">, </w:t>
      </w:r>
      <w:r w:rsidRPr="007C6525">
        <w:rPr>
          <w:rFonts w:eastAsiaTheme="minorEastAsia"/>
        </w:rPr>
        <w:t xml:space="preserve">and </w:t>
      </w:r>
      <w:r>
        <w:rPr>
          <w:rFonts w:eastAsiaTheme="minorEastAsia"/>
        </w:rPr>
        <w:t xml:space="preserve">having </w:t>
      </w:r>
      <w:r w:rsidRPr="007C6525">
        <w:rPr>
          <w:rFonts w:eastAsiaTheme="minorEastAsia"/>
        </w:rPr>
        <w:t xml:space="preserve">monthly meetings. </w:t>
      </w:r>
    </w:p>
    <w:p w14:paraId="5F1A5428" w14:textId="77777777" w:rsidR="0091424B" w:rsidRPr="00461474" w:rsidRDefault="0091424B" w:rsidP="00C9374E">
      <w:pPr>
        <w:pStyle w:val="ListNumber"/>
        <w:numPr>
          <w:ilvl w:val="0"/>
          <w:numId w:val="0"/>
        </w:numPr>
        <w:ind w:left="360"/>
      </w:pPr>
    </w:p>
    <w:p w14:paraId="101B6DFB" w14:textId="77777777" w:rsidR="0091424B" w:rsidRPr="00962FBE" w:rsidRDefault="0091424B" w:rsidP="00C9374E">
      <w:pPr>
        <w:pStyle w:val="ListNumber"/>
        <w:rPr>
          <w:b/>
          <w:bCs w:val="0"/>
        </w:rPr>
      </w:pPr>
      <w:r w:rsidRPr="00962FBE">
        <w:rPr>
          <w:b/>
          <w:bCs w:val="0"/>
        </w:rPr>
        <w:t>TongaHealth should lead on identifying an alternative governance mechanism for NCDs.</w:t>
      </w:r>
    </w:p>
    <w:p w14:paraId="0756FBCC" w14:textId="3923AEF7" w:rsidR="0091424B" w:rsidRPr="005E6102" w:rsidRDefault="0091424B" w:rsidP="00C9374E">
      <w:pPr>
        <w:pStyle w:val="ListNumber"/>
        <w:numPr>
          <w:ilvl w:val="0"/>
          <w:numId w:val="0"/>
        </w:numPr>
      </w:pPr>
      <w:r w:rsidRPr="005E6102">
        <w:t xml:space="preserve">The National NCD Committee is not providing the intended strategic oversight of the National NCD </w:t>
      </w:r>
      <w:proofErr w:type="gramStart"/>
      <w:r w:rsidRPr="005E6102">
        <w:t>Strategy, and</w:t>
      </w:r>
      <w:proofErr w:type="gramEnd"/>
      <w:r w:rsidRPr="005E6102">
        <w:t xml:space="preserve"> has not functioned in this role for several years</w:t>
      </w:r>
      <w:r>
        <w:t xml:space="preserve"> (see Section </w:t>
      </w:r>
      <w:r>
        <w:fldChar w:fldCharType="begin"/>
      </w:r>
      <w:r>
        <w:instrText xml:space="preserve"> REF _Ref152673264 \r \h </w:instrText>
      </w:r>
      <w:r w:rsidR="00DF166F">
        <w:instrText xml:space="preserve"> \* MERGEFORMAT </w:instrText>
      </w:r>
      <w:r>
        <w:fldChar w:fldCharType="separate"/>
      </w:r>
      <w:r>
        <w:t>3.1.1</w:t>
      </w:r>
      <w:r>
        <w:fldChar w:fldCharType="end"/>
      </w:r>
      <w:r>
        <w:t>, KRA 1)</w:t>
      </w:r>
      <w:r w:rsidRPr="005E6102">
        <w:t xml:space="preserve">. A change of governance mechanism would require extensive stakeholder consultation. TongaHealth, as Secretariat of the NCD Committee, </w:t>
      </w:r>
      <w:r>
        <w:t>should lead on stakeholder consultation and establishment of an alternative governance mechanism</w:t>
      </w:r>
      <w:r w:rsidRPr="005E6102">
        <w:t xml:space="preserve">.  </w:t>
      </w:r>
    </w:p>
    <w:p w14:paraId="2F066AC5" w14:textId="77777777" w:rsidR="0091424B" w:rsidRPr="005E6102" w:rsidRDefault="0091424B" w:rsidP="00C9374E">
      <w:pPr>
        <w:pStyle w:val="ListNumber"/>
        <w:numPr>
          <w:ilvl w:val="0"/>
          <w:numId w:val="0"/>
        </w:numPr>
        <w:ind w:left="360"/>
      </w:pPr>
    </w:p>
    <w:p w14:paraId="243AE11C" w14:textId="77777777" w:rsidR="0091424B" w:rsidRPr="00962FBE" w:rsidRDefault="0091424B" w:rsidP="00962FBE">
      <w:pPr>
        <w:pStyle w:val="ListNumber"/>
        <w:spacing w:after="0"/>
        <w:rPr>
          <w:b/>
          <w:bCs w:val="0"/>
        </w:rPr>
      </w:pPr>
      <w:r w:rsidRPr="00962FBE">
        <w:rPr>
          <w:b/>
          <w:bCs w:val="0"/>
        </w:rPr>
        <w:t>TongaHealth should reduce its grant administration workload, for example by simplifying grant application processes, introducing an annual grant management cycle, and reducing the overall number of grants.</w:t>
      </w:r>
    </w:p>
    <w:p w14:paraId="01DAA4F9" w14:textId="28FC1C0A" w:rsidR="0091424B" w:rsidRPr="00721F2D" w:rsidRDefault="0091424B" w:rsidP="00962FBE">
      <w:pPr>
        <w:pStyle w:val="BodyText"/>
        <w:spacing w:before="0"/>
      </w:pPr>
      <w:r w:rsidRPr="00721F2D">
        <w:t xml:space="preserve">The TongaHealth team currently devotes an excessive amount of time to grant administration; leaving little time for other activities (see Section </w:t>
      </w:r>
      <w:r w:rsidRPr="00721F2D">
        <w:fldChar w:fldCharType="begin"/>
      </w:r>
      <w:r w:rsidRPr="00721F2D">
        <w:instrText xml:space="preserve"> REF _Ref152413541 \r \h </w:instrText>
      </w:r>
      <w:r w:rsidR="00DF166F" w:rsidRPr="00721F2D">
        <w:instrText xml:space="preserve"> \* MERGEFORMAT </w:instrText>
      </w:r>
      <w:r w:rsidRPr="00721F2D">
        <w:fldChar w:fldCharType="separate"/>
      </w:r>
      <w:r w:rsidRPr="00721F2D">
        <w:t>3.1.5</w:t>
      </w:r>
      <w:r w:rsidRPr="00721F2D">
        <w:fldChar w:fldCharType="end"/>
      </w:r>
      <w:r w:rsidRPr="00721F2D">
        <w:t>). Measures to reduce the grant administration should be implemented, and could include:</w:t>
      </w:r>
    </w:p>
    <w:p w14:paraId="3BF7A7F8" w14:textId="77777777" w:rsidR="0091424B" w:rsidRPr="00721F2D" w:rsidRDefault="0091424B" w:rsidP="00962FBE">
      <w:pPr>
        <w:pStyle w:val="ListBullet"/>
      </w:pPr>
      <w:r w:rsidRPr="00721F2D">
        <w:rPr>
          <w:rFonts w:eastAsiaTheme="minorEastAsia"/>
        </w:rPr>
        <w:t xml:space="preserve">Simplifying the grant application form, with a focus on simplifying or removing elements that are unnecessarily complex. </w:t>
      </w:r>
    </w:p>
    <w:p w14:paraId="26F3A1D3" w14:textId="77777777" w:rsidR="0091424B" w:rsidRPr="00721F2D" w:rsidRDefault="0091424B" w:rsidP="00962FBE">
      <w:pPr>
        <w:pStyle w:val="ListBullet"/>
      </w:pPr>
      <w:r w:rsidRPr="00721F2D">
        <w:rPr>
          <w:rFonts w:eastAsiaTheme="minorEastAsia"/>
        </w:rPr>
        <w:t xml:space="preserve">Introducing an annual grant management cycle, with applications accepted in a fixed </w:t>
      </w:r>
      <w:proofErr w:type="gramStart"/>
      <w:r w:rsidRPr="00721F2D">
        <w:rPr>
          <w:rFonts w:eastAsiaTheme="minorEastAsia"/>
        </w:rPr>
        <w:t>time period</w:t>
      </w:r>
      <w:proofErr w:type="gramEnd"/>
      <w:r w:rsidRPr="00721F2D">
        <w:rPr>
          <w:rFonts w:eastAsiaTheme="minorEastAsia"/>
        </w:rPr>
        <w:t xml:space="preserve"> rather than year-round. This would assist in expediting the grant review process, support forward-planning, and would make the grant process more competitive, as grants will be selected based on their relative merit. </w:t>
      </w:r>
    </w:p>
    <w:p w14:paraId="6B93E621" w14:textId="77777777" w:rsidR="0091424B" w:rsidRPr="00721F2D" w:rsidRDefault="0091424B" w:rsidP="00962FBE">
      <w:pPr>
        <w:pStyle w:val="ListBullet"/>
      </w:pPr>
      <w:r w:rsidRPr="00721F2D">
        <w:rPr>
          <w:rFonts w:eastAsiaTheme="minorEastAsia"/>
        </w:rPr>
        <w:t>Conducting briefing sessions for potential applicants, to provide greater clarity about application requirements.</w:t>
      </w:r>
    </w:p>
    <w:p w14:paraId="23F06EF6" w14:textId="77777777" w:rsidR="0091424B" w:rsidRPr="00721F2D" w:rsidRDefault="0091424B" w:rsidP="00962FBE">
      <w:pPr>
        <w:pStyle w:val="ListBullet"/>
      </w:pPr>
      <w:r w:rsidRPr="00721F2D">
        <w:rPr>
          <w:rFonts w:eastAsiaTheme="minorEastAsia"/>
        </w:rPr>
        <w:t>Reducing the overall number of grants managed by the team, by putting a lower cap on the number of sponsorships available each year, and reorienting towards providing a smaller number of grants of higher value.</w:t>
      </w:r>
    </w:p>
    <w:p w14:paraId="59DD874B" w14:textId="77777777" w:rsidR="0091424B" w:rsidRPr="00360352" w:rsidRDefault="0091424B" w:rsidP="00962FBE">
      <w:pPr>
        <w:pStyle w:val="ListBullet"/>
        <w:numPr>
          <w:ilvl w:val="0"/>
          <w:numId w:val="0"/>
        </w:numPr>
        <w:ind w:left="360"/>
        <w:rPr>
          <w:highlight w:val="yellow"/>
        </w:rPr>
      </w:pPr>
    </w:p>
    <w:p w14:paraId="229C1D5E" w14:textId="77777777" w:rsidR="0091424B" w:rsidRPr="00962FBE" w:rsidRDefault="0091424B" w:rsidP="00962FBE">
      <w:pPr>
        <w:pStyle w:val="ListNumber"/>
        <w:spacing w:after="0"/>
        <w:rPr>
          <w:b/>
          <w:bCs w:val="0"/>
        </w:rPr>
      </w:pPr>
      <w:r w:rsidRPr="00962FBE">
        <w:rPr>
          <w:b/>
          <w:bCs w:val="0"/>
        </w:rPr>
        <w:t>TongaHealth should revise the grant selection process to ensure grants are allocated to projects that are evidence-based, have a population-level focus, and cover a broader range of NCD risk factors.</w:t>
      </w:r>
    </w:p>
    <w:p w14:paraId="5A1F5FCF" w14:textId="6ACC6B18" w:rsidR="0091424B" w:rsidRPr="00B55EE1" w:rsidRDefault="0091424B" w:rsidP="00962FBE">
      <w:pPr>
        <w:pStyle w:val="BodyText"/>
        <w:spacing w:before="0"/>
        <w:rPr>
          <w:rStyle w:val="cf21"/>
          <w:rFonts w:asciiTheme="minorHAnsi" w:eastAsiaTheme="majorEastAsia" w:hAnsiTheme="minorHAnsi" w:cstheme="minorHAnsi"/>
          <w:sz w:val="20"/>
          <w:szCs w:val="20"/>
          <w:shd w:val="clear" w:color="auto" w:fill="auto"/>
        </w:rPr>
      </w:pPr>
      <w:r w:rsidRPr="00996A44">
        <w:rPr>
          <w:rStyle w:val="cf01"/>
          <w:rFonts w:asciiTheme="minorHAnsi" w:eastAsiaTheme="majorEastAsia" w:hAnsiTheme="minorHAnsi" w:cstheme="minorHAnsi"/>
          <w:sz w:val="20"/>
          <w:szCs w:val="20"/>
        </w:rPr>
        <w:t xml:space="preserve">Key limitations of the current grant selection process include </w:t>
      </w:r>
      <w:r w:rsidRPr="00996A44">
        <w:t>limited consideration of the evidence base for proposed projects, limited involvement of health experts or external stakeholders in selecting grants</w:t>
      </w:r>
      <w:r w:rsidRPr="00996A44">
        <w:rPr>
          <w:rStyle w:val="cf01"/>
          <w:rFonts w:asciiTheme="minorHAnsi" w:eastAsiaTheme="majorEastAsia" w:hAnsiTheme="minorHAnsi" w:cstheme="minorHAnsi"/>
          <w:sz w:val="20"/>
          <w:szCs w:val="20"/>
        </w:rPr>
        <w:t>, and an essentially ‘passive’ grant application process where TongaHealth makes open calls for grants that broadly align to the NCD Strategy</w:t>
      </w:r>
      <w:r>
        <w:rPr>
          <w:rStyle w:val="cf01"/>
          <w:rFonts w:asciiTheme="minorHAnsi" w:eastAsiaTheme="majorEastAsia" w:hAnsiTheme="minorHAnsi" w:cstheme="minorHAnsi"/>
          <w:sz w:val="20"/>
          <w:szCs w:val="20"/>
        </w:rPr>
        <w:t xml:space="preserve"> (see Section </w:t>
      </w:r>
      <w:r>
        <w:rPr>
          <w:rStyle w:val="cf01"/>
          <w:rFonts w:asciiTheme="minorHAnsi" w:eastAsiaTheme="majorEastAsia" w:hAnsiTheme="minorHAnsi" w:cstheme="minorHAnsi"/>
          <w:sz w:val="20"/>
          <w:szCs w:val="20"/>
        </w:rPr>
        <w:fldChar w:fldCharType="begin"/>
      </w:r>
      <w:r>
        <w:rPr>
          <w:rStyle w:val="cf01"/>
          <w:rFonts w:asciiTheme="minorHAnsi" w:eastAsiaTheme="majorEastAsia" w:hAnsiTheme="minorHAnsi" w:cstheme="minorHAnsi"/>
          <w:sz w:val="20"/>
          <w:szCs w:val="20"/>
        </w:rPr>
        <w:instrText xml:space="preserve"> REF _Ref152413541 \r \h </w:instrText>
      </w:r>
      <w:r w:rsidR="00DF166F">
        <w:rPr>
          <w:rStyle w:val="cf01"/>
          <w:rFonts w:asciiTheme="minorHAnsi" w:eastAsiaTheme="majorEastAsia" w:hAnsiTheme="minorHAnsi" w:cstheme="minorHAnsi"/>
          <w:sz w:val="20"/>
          <w:szCs w:val="20"/>
        </w:rPr>
        <w:instrText xml:space="preserve"> \* MERGEFORMAT </w:instrText>
      </w:r>
      <w:r>
        <w:rPr>
          <w:rStyle w:val="cf01"/>
          <w:rFonts w:asciiTheme="minorHAnsi" w:eastAsiaTheme="majorEastAsia" w:hAnsiTheme="minorHAnsi" w:cstheme="minorHAnsi"/>
          <w:sz w:val="20"/>
          <w:szCs w:val="20"/>
        </w:rPr>
      </w:r>
      <w:r>
        <w:rPr>
          <w:rStyle w:val="cf01"/>
          <w:rFonts w:asciiTheme="minorHAnsi" w:eastAsiaTheme="majorEastAsia" w:hAnsiTheme="minorHAnsi" w:cstheme="minorHAnsi"/>
          <w:sz w:val="20"/>
          <w:szCs w:val="20"/>
        </w:rPr>
        <w:fldChar w:fldCharType="separate"/>
      </w:r>
      <w:r>
        <w:rPr>
          <w:rStyle w:val="cf01"/>
          <w:rFonts w:asciiTheme="minorHAnsi" w:eastAsiaTheme="majorEastAsia" w:hAnsiTheme="minorHAnsi" w:cstheme="minorHAnsi"/>
          <w:sz w:val="20"/>
          <w:szCs w:val="20"/>
        </w:rPr>
        <w:t>3.1.5</w:t>
      </w:r>
      <w:r>
        <w:rPr>
          <w:rStyle w:val="cf01"/>
          <w:rFonts w:asciiTheme="minorHAnsi" w:eastAsiaTheme="majorEastAsia" w:hAnsiTheme="minorHAnsi" w:cstheme="minorHAnsi"/>
          <w:sz w:val="20"/>
          <w:szCs w:val="20"/>
        </w:rPr>
        <w:fldChar w:fldCharType="end"/>
      </w:r>
      <w:r>
        <w:rPr>
          <w:rStyle w:val="cf01"/>
          <w:rFonts w:asciiTheme="minorHAnsi" w:eastAsiaTheme="majorEastAsia" w:hAnsiTheme="minorHAnsi" w:cstheme="minorHAnsi"/>
          <w:sz w:val="20"/>
          <w:szCs w:val="20"/>
        </w:rPr>
        <w:t>)</w:t>
      </w:r>
      <w:r w:rsidRPr="00996A44">
        <w:rPr>
          <w:rStyle w:val="cf01"/>
          <w:rFonts w:asciiTheme="minorHAnsi" w:eastAsiaTheme="majorEastAsia" w:hAnsiTheme="minorHAnsi" w:cstheme="minorHAnsi"/>
          <w:sz w:val="20"/>
          <w:szCs w:val="20"/>
        </w:rPr>
        <w:t xml:space="preserve">. The grant selection process should be </w:t>
      </w:r>
      <w:r w:rsidRPr="00B55EE1">
        <w:rPr>
          <w:rStyle w:val="cf01"/>
          <w:rFonts w:asciiTheme="minorHAnsi" w:eastAsiaTheme="majorEastAsia" w:hAnsiTheme="minorHAnsi" w:cstheme="minorHAnsi"/>
          <w:sz w:val="20"/>
          <w:szCs w:val="20"/>
        </w:rPr>
        <w:t xml:space="preserve">refined to give preference to projects that are supported by a robust evidence base (e.g. from international literature or previous internal evaluations); give greater </w:t>
      </w:r>
      <w:r w:rsidRPr="00B55EE1">
        <w:rPr>
          <w:rFonts w:eastAsiaTheme="minorEastAsia"/>
        </w:rPr>
        <w:t xml:space="preserve">preference to implementers with demonstrated technical expertise (including </w:t>
      </w:r>
      <w:proofErr w:type="spellStart"/>
      <w:r w:rsidRPr="00B55EE1">
        <w:rPr>
          <w:rFonts w:eastAsiaTheme="minorEastAsia"/>
        </w:rPr>
        <w:t>GoT</w:t>
      </w:r>
      <w:proofErr w:type="spellEnd"/>
      <w:r w:rsidRPr="00B55EE1">
        <w:rPr>
          <w:rFonts w:eastAsiaTheme="minorEastAsia"/>
        </w:rPr>
        <w:t xml:space="preserve"> agencies and NGOs); have a population-level focus or specifically promote inclusion; and that strongly align to the NCD Strategy and international</w:t>
      </w:r>
      <w:r w:rsidRPr="00B55EE1">
        <w:rPr>
          <w:rStyle w:val="cf01"/>
          <w:rFonts w:asciiTheme="minorHAnsi" w:eastAsiaTheme="majorEastAsia" w:hAnsiTheme="minorHAnsi" w:cstheme="minorHAnsi"/>
          <w:sz w:val="20"/>
          <w:szCs w:val="20"/>
        </w:rPr>
        <w:t xml:space="preserve"> guidance. TongaHealth should also be more pro-active in seeking applications for specific priority topics, e.g. by directly approaching technical agencies to deliver specific activities selected from the NCD </w:t>
      </w:r>
      <w:proofErr w:type="gramStart"/>
      <w:r w:rsidRPr="00B55EE1">
        <w:rPr>
          <w:rStyle w:val="cf01"/>
          <w:rFonts w:asciiTheme="minorHAnsi" w:eastAsiaTheme="majorEastAsia" w:hAnsiTheme="minorHAnsi" w:cstheme="minorHAnsi"/>
          <w:sz w:val="20"/>
          <w:szCs w:val="20"/>
        </w:rPr>
        <w:t>Strategy</w:t>
      </w:r>
      <w:r>
        <w:rPr>
          <w:rStyle w:val="cf01"/>
          <w:rFonts w:asciiTheme="minorHAnsi" w:eastAsiaTheme="majorEastAsia" w:hAnsiTheme="minorHAnsi" w:cstheme="minorHAnsi"/>
          <w:sz w:val="20"/>
          <w:szCs w:val="20"/>
        </w:rPr>
        <w:t>, and</w:t>
      </w:r>
      <w:proofErr w:type="gramEnd"/>
      <w:r>
        <w:rPr>
          <w:rStyle w:val="cf01"/>
          <w:rFonts w:asciiTheme="minorHAnsi" w:eastAsiaTheme="majorEastAsia" w:hAnsiTheme="minorHAnsi" w:cstheme="minorHAnsi"/>
          <w:sz w:val="20"/>
          <w:szCs w:val="20"/>
        </w:rPr>
        <w:t xml:space="preserve"> </w:t>
      </w:r>
      <w:r w:rsidRPr="00B55EE1">
        <w:rPr>
          <w:rStyle w:val="cf01"/>
          <w:rFonts w:asciiTheme="minorHAnsi" w:eastAsiaTheme="majorEastAsia" w:hAnsiTheme="minorHAnsi" w:cstheme="minorHAnsi"/>
          <w:sz w:val="20"/>
          <w:szCs w:val="20"/>
        </w:rPr>
        <w:t>should also e</w:t>
      </w:r>
      <w:r w:rsidRPr="00B55EE1">
        <w:rPr>
          <w:rStyle w:val="cf21"/>
          <w:rFonts w:asciiTheme="minorHAnsi" w:eastAsiaTheme="majorEastAsia" w:hAnsiTheme="minorHAnsi" w:cstheme="minorHAnsi"/>
          <w:sz w:val="20"/>
          <w:szCs w:val="20"/>
          <w:shd w:val="clear" w:color="auto" w:fill="auto"/>
        </w:rPr>
        <w:t xml:space="preserve">stablish mechanisms for stronger external technical input into grant decision-making, particularly by health experts and </w:t>
      </w:r>
      <w:proofErr w:type="spellStart"/>
      <w:r w:rsidRPr="00B55EE1">
        <w:rPr>
          <w:rStyle w:val="cf21"/>
          <w:rFonts w:asciiTheme="minorHAnsi" w:eastAsiaTheme="majorEastAsia" w:hAnsiTheme="minorHAnsi" w:cstheme="minorHAnsi"/>
          <w:sz w:val="20"/>
          <w:szCs w:val="20"/>
          <w:shd w:val="clear" w:color="auto" w:fill="auto"/>
        </w:rPr>
        <w:t>GoT</w:t>
      </w:r>
      <w:proofErr w:type="spellEnd"/>
      <w:r w:rsidRPr="00B55EE1">
        <w:rPr>
          <w:rStyle w:val="cf21"/>
          <w:rFonts w:asciiTheme="minorHAnsi" w:eastAsiaTheme="majorEastAsia" w:hAnsiTheme="minorHAnsi" w:cstheme="minorHAnsi"/>
          <w:sz w:val="20"/>
          <w:szCs w:val="20"/>
          <w:shd w:val="clear" w:color="auto" w:fill="auto"/>
        </w:rPr>
        <w:t xml:space="preserve"> implementers.</w:t>
      </w:r>
    </w:p>
    <w:p w14:paraId="00AB7F0A" w14:textId="77777777" w:rsidR="0091424B" w:rsidRPr="00B55EE1" w:rsidRDefault="0091424B" w:rsidP="00962FBE">
      <w:pPr>
        <w:pStyle w:val="ListBullet"/>
        <w:numPr>
          <w:ilvl w:val="0"/>
          <w:numId w:val="0"/>
        </w:numPr>
        <w:ind w:left="360"/>
      </w:pPr>
    </w:p>
    <w:p w14:paraId="4E355941" w14:textId="77777777" w:rsidR="0091424B" w:rsidRPr="00962FBE" w:rsidRDefault="0091424B" w:rsidP="00C9374E">
      <w:pPr>
        <w:pStyle w:val="ListNumber"/>
        <w:rPr>
          <w:b/>
          <w:bCs w:val="0"/>
        </w:rPr>
      </w:pPr>
      <w:r w:rsidRPr="00962FBE">
        <w:rPr>
          <w:b/>
          <w:bCs w:val="0"/>
        </w:rPr>
        <w:lastRenderedPageBreak/>
        <w:t xml:space="preserve">TongaHealth should transition away from a near-exclusive focus on grant </w:t>
      </w:r>
      <w:proofErr w:type="gramStart"/>
      <w:r w:rsidRPr="00962FBE">
        <w:rPr>
          <w:b/>
          <w:bCs w:val="0"/>
        </w:rPr>
        <w:t>administration, and</w:t>
      </w:r>
      <w:proofErr w:type="gramEnd"/>
      <w:r w:rsidRPr="00962FBE">
        <w:rPr>
          <w:b/>
          <w:bCs w:val="0"/>
        </w:rPr>
        <w:t xml:space="preserve"> reorient toward delivering other functions and activities mandated in the NCD Strategy. This should particularly involve TongaHealth positioning itself as a convenor and facilitator of multisectoral dialogue and collaboration to progress priority activities.</w:t>
      </w:r>
    </w:p>
    <w:p w14:paraId="6FADFC69" w14:textId="3F357227" w:rsidR="0091424B" w:rsidRPr="00B55EE1" w:rsidRDefault="0091424B" w:rsidP="00C9374E">
      <w:pPr>
        <w:pStyle w:val="ListNumber"/>
        <w:numPr>
          <w:ilvl w:val="0"/>
          <w:numId w:val="0"/>
        </w:numPr>
      </w:pPr>
      <w:r>
        <w:rPr>
          <w:rFonts w:eastAsiaTheme="minorEastAsia"/>
        </w:rPr>
        <w:t xml:space="preserve">TongaHealth is currently primarily focussed on grant administration, which is only one of the six functions allocated to TongaHealth in the NCD Strategy (see Section </w:t>
      </w:r>
      <w:r>
        <w:rPr>
          <w:rFonts w:eastAsiaTheme="minorEastAsia"/>
        </w:rPr>
        <w:fldChar w:fldCharType="begin"/>
      </w:r>
      <w:r>
        <w:rPr>
          <w:rFonts w:eastAsiaTheme="minorEastAsia"/>
        </w:rPr>
        <w:instrText xml:space="preserve"> REF _Ref152316399 \r \h </w:instrText>
      </w:r>
      <w:r w:rsidR="00DF166F">
        <w:rPr>
          <w:rFonts w:eastAsiaTheme="minorEastAsia"/>
        </w:rPr>
        <w:instrText xml:space="preserve"> \* MERGEFORMAT </w:instrText>
      </w:r>
      <w:r>
        <w:rPr>
          <w:rFonts w:eastAsiaTheme="minorEastAsia"/>
        </w:rPr>
      </w:r>
      <w:r>
        <w:rPr>
          <w:rFonts w:eastAsiaTheme="minorEastAsia"/>
        </w:rPr>
        <w:fldChar w:fldCharType="separate"/>
      </w:r>
      <w:r>
        <w:rPr>
          <w:rFonts w:eastAsiaTheme="minorEastAsia"/>
        </w:rPr>
        <w:t>3.3.1</w:t>
      </w:r>
      <w:r>
        <w:rPr>
          <w:rFonts w:eastAsiaTheme="minorEastAsia"/>
        </w:rPr>
        <w:fldChar w:fldCharType="end"/>
      </w:r>
      <w:r>
        <w:rPr>
          <w:rFonts w:eastAsiaTheme="minorEastAsia"/>
        </w:rPr>
        <w:t xml:space="preserve">). </w:t>
      </w:r>
      <w:r w:rsidRPr="00B55EE1">
        <w:rPr>
          <w:rFonts w:eastAsiaTheme="minorEastAsia"/>
        </w:rPr>
        <w:t xml:space="preserve">While there is a clear need for TongaHealth to reorient towards delivering a broader range of functions, this reorientation needs to be mindful of TongaHealth’s capacity constraints, as well as the very broad and ambitious scope of the NCD Strategy. To support TongaHealth to reorient its focus, it is recommended that TongaHealth, DFAT and </w:t>
      </w:r>
      <w:proofErr w:type="spellStart"/>
      <w:r w:rsidRPr="00B55EE1">
        <w:rPr>
          <w:rFonts w:eastAsiaTheme="minorEastAsia"/>
        </w:rPr>
        <w:t>GoT</w:t>
      </w:r>
      <w:proofErr w:type="spellEnd"/>
      <w:r w:rsidRPr="00B55EE1">
        <w:rPr>
          <w:rFonts w:eastAsiaTheme="minorEastAsia"/>
        </w:rPr>
        <w:t xml:space="preserve"> jointly review the outputs and activities allocated to TongaHealth in the NCD </w:t>
      </w:r>
      <w:proofErr w:type="gramStart"/>
      <w:r w:rsidRPr="00B55EE1">
        <w:rPr>
          <w:rFonts w:eastAsiaTheme="minorEastAsia"/>
        </w:rPr>
        <w:t>Strategy, and</w:t>
      </w:r>
      <w:proofErr w:type="gramEnd"/>
      <w:r w:rsidRPr="00B55EE1">
        <w:rPr>
          <w:rFonts w:eastAsiaTheme="minorEastAsia"/>
        </w:rPr>
        <w:t xml:space="preserve"> </w:t>
      </w:r>
      <w:r w:rsidRPr="00B55EE1">
        <w:t xml:space="preserve">identify shared priorities for TongaHealth to focus on. Priority areas identified by this Review, based on stakeholder feedback and alignment to </w:t>
      </w:r>
      <w:r>
        <w:t>international</w:t>
      </w:r>
      <w:r w:rsidRPr="00B55EE1">
        <w:t xml:space="preserve"> guidance, include monitoring progress against the NCD Strategy outputs and objectives; supporting implementation of the SBCC Strategy; supporting the review of NCD-related legislations; and supporting cost-effective early childhood approaches. While TongaHealth does not have capacity technical capacity to implement these activities, TongaHealth can position itself as a facilitator of multisectoral dialogue and collaboration – both to progress specific activities from the NCD Strategy, and support multisectoral action more broadly. Where required, TongaHealth should </w:t>
      </w:r>
      <w:r>
        <w:t>reallocate funds from their internal budget towards commissioning e</w:t>
      </w:r>
      <w:r w:rsidRPr="00B55EE1">
        <w:t>xternal TA t</w:t>
      </w:r>
      <w:r>
        <w:t>o deliver priority activities</w:t>
      </w:r>
      <w:r w:rsidRPr="00B55EE1">
        <w:t xml:space="preserve">. </w:t>
      </w:r>
      <w:r w:rsidRPr="00B55EE1">
        <w:rPr>
          <w:rFonts w:cstheme="minorHAnsi"/>
        </w:rPr>
        <w:t xml:space="preserve"> </w:t>
      </w:r>
    </w:p>
    <w:p w14:paraId="00B93FBC" w14:textId="77777777" w:rsidR="0091424B" w:rsidRPr="00B55EE1" w:rsidRDefault="0091424B" w:rsidP="00C9374E">
      <w:pPr>
        <w:pStyle w:val="ListNumber"/>
        <w:numPr>
          <w:ilvl w:val="0"/>
          <w:numId w:val="0"/>
        </w:numPr>
        <w:ind w:left="360"/>
      </w:pPr>
    </w:p>
    <w:p w14:paraId="5DCEBEE0" w14:textId="77777777" w:rsidR="0091424B" w:rsidRPr="00962FBE" w:rsidRDefault="0091424B" w:rsidP="00962FBE">
      <w:pPr>
        <w:pStyle w:val="ListNumber"/>
        <w:spacing w:after="0"/>
        <w:rPr>
          <w:b/>
          <w:bCs w:val="0"/>
        </w:rPr>
      </w:pPr>
      <w:r w:rsidRPr="00962FBE">
        <w:rPr>
          <w:b/>
          <w:bCs w:val="0"/>
        </w:rPr>
        <w:t xml:space="preserve">TongaHealth should develop and implement a strategic approach to supporting stakeholder engagement and collaboration. </w:t>
      </w:r>
    </w:p>
    <w:p w14:paraId="5F7D7E53" w14:textId="00691485" w:rsidR="0091424B" w:rsidRPr="00B55EE1" w:rsidRDefault="0091424B" w:rsidP="00962FBE">
      <w:pPr>
        <w:pStyle w:val="BodyText"/>
        <w:spacing w:before="0"/>
      </w:pPr>
      <w:r w:rsidRPr="00B55EE1">
        <w:t>There is a clear need for stronger collaboration and coordination between NCD stakeholders</w:t>
      </w:r>
      <w:r>
        <w:t xml:space="preserve"> (see Section </w:t>
      </w:r>
      <w:r>
        <w:fldChar w:fldCharType="begin"/>
      </w:r>
      <w:r>
        <w:instrText xml:space="preserve"> REF _Ref152316399 \r \h </w:instrText>
      </w:r>
      <w:r w:rsidR="00DF166F">
        <w:instrText xml:space="preserve"> \* MERGEFORMAT </w:instrText>
      </w:r>
      <w:r>
        <w:fldChar w:fldCharType="separate"/>
      </w:r>
      <w:r>
        <w:t>3.3.1</w:t>
      </w:r>
      <w:r>
        <w:fldChar w:fldCharType="end"/>
      </w:r>
      <w:r>
        <w:t>)</w:t>
      </w:r>
      <w:r w:rsidRPr="00B55EE1">
        <w:t xml:space="preserve">, and TongaHealth is well-placed to lead on convening and facilitating this. </w:t>
      </w:r>
      <w:r>
        <w:t xml:space="preserve">It is recommended that TongaHealth develop and implement a Stakeholder Engagement Plan, mapping out a strategic approach to supporting multisectoral collaboration. </w:t>
      </w:r>
      <w:r w:rsidRPr="00B55EE1">
        <w:t>This could include</w:t>
      </w:r>
      <w:r w:rsidRPr="00B55EE1">
        <w:rPr>
          <w:rFonts w:eastAsiaTheme="minorEastAsia"/>
        </w:rPr>
        <w:t xml:space="preserve"> s</w:t>
      </w:r>
      <w:r w:rsidRPr="00B55EE1">
        <w:t xml:space="preserve">upporting harmonised planning of NCD activities between </w:t>
      </w:r>
      <w:proofErr w:type="spellStart"/>
      <w:r w:rsidRPr="00B55EE1">
        <w:t>GoT</w:t>
      </w:r>
      <w:proofErr w:type="spellEnd"/>
      <w:r w:rsidRPr="00B55EE1">
        <w:t xml:space="preserve"> agencies</w:t>
      </w:r>
      <w:r>
        <w:t xml:space="preserve">, </w:t>
      </w:r>
      <w:r w:rsidRPr="00B55EE1">
        <w:t>reinstating technical Subcommittees/working groups to promote coordination and advise on technical issues, and convening forums for promoting learning and sharing across grantees and other actors.</w:t>
      </w:r>
    </w:p>
    <w:p w14:paraId="6C64317B" w14:textId="77777777" w:rsidR="0091424B" w:rsidRDefault="0091424B" w:rsidP="00C9374E">
      <w:pPr>
        <w:pStyle w:val="ListNumber"/>
        <w:numPr>
          <w:ilvl w:val="0"/>
          <w:numId w:val="0"/>
        </w:numPr>
        <w:ind w:left="360"/>
      </w:pPr>
    </w:p>
    <w:p w14:paraId="5ACB3B23" w14:textId="77777777" w:rsidR="0091424B" w:rsidRPr="00962FBE" w:rsidRDefault="0091424B" w:rsidP="00962FBE">
      <w:pPr>
        <w:pStyle w:val="ListNumber"/>
        <w:spacing w:after="0"/>
        <w:rPr>
          <w:b/>
          <w:bCs w:val="0"/>
        </w:rPr>
      </w:pPr>
      <w:r w:rsidRPr="00962FBE">
        <w:rPr>
          <w:b/>
          <w:bCs w:val="0"/>
        </w:rPr>
        <w:t xml:space="preserve">TongaHealth should strengthen its internal M&amp;E system, with a focus on generating evidence of TongaHealth’s progress against the NCD Strategy and Statement of Corporate Intent, generating evidence of outcome-level change </w:t>
      </w:r>
      <w:proofErr w:type="gramStart"/>
      <w:r w:rsidRPr="00962FBE">
        <w:rPr>
          <w:b/>
          <w:bCs w:val="0"/>
        </w:rPr>
        <w:t>as a result of</w:t>
      </w:r>
      <w:proofErr w:type="gramEnd"/>
      <w:r w:rsidRPr="00962FBE">
        <w:rPr>
          <w:b/>
          <w:bCs w:val="0"/>
        </w:rPr>
        <w:t xml:space="preserve"> grants, and producing timely and quality progress reports.</w:t>
      </w:r>
    </w:p>
    <w:p w14:paraId="41A88681" w14:textId="5BDDCC4D" w:rsidR="0091424B" w:rsidRDefault="0091424B" w:rsidP="00DF166F">
      <w:pPr>
        <w:spacing w:line="276" w:lineRule="auto"/>
      </w:pPr>
      <w:r w:rsidRPr="00B55EE1">
        <w:rPr>
          <w:lang w:val="en-AU"/>
        </w:rPr>
        <w:t>The TongaHealth M&amp;E team should reorient away from basic monitoring of grantee outputs, toward implementing a more comprehensive M&amp;E system</w:t>
      </w:r>
      <w:r>
        <w:rPr>
          <w:lang w:val="en-AU"/>
        </w:rPr>
        <w:t xml:space="preserve"> (see Section </w:t>
      </w:r>
      <w:r>
        <w:rPr>
          <w:lang w:val="en-AU"/>
        </w:rPr>
        <w:fldChar w:fldCharType="begin"/>
      </w:r>
      <w:r>
        <w:rPr>
          <w:lang w:val="en-AU"/>
        </w:rPr>
        <w:instrText xml:space="preserve"> REF _Ref152658099 \r \h </w:instrText>
      </w:r>
      <w:r w:rsidR="00DF166F">
        <w:rPr>
          <w:lang w:val="en-AU"/>
        </w:rPr>
        <w:instrText xml:space="preserve"> \* MERGEFORMAT </w:instrText>
      </w:r>
      <w:r>
        <w:rPr>
          <w:lang w:val="en-AU"/>
        </w:rPr>
      </w:r>
      <w:r>
        <w:rPr>
          <w:lang w:val="en-AU"/>
        </w:rPr>
        <w:fldChar w:fldCharType="separate"/>
      </w:r>
      <w:r>
        <w:rPr>
          <w:lang w:val="en-AU"/>
        </w:rPr>
        <w:t>3.1.2</w:t>
      </w:r>
      <w:r>
        <w:rPr>
          <w:lang w:val="en-AU"/>
        </w:rPr>
        <w:fldChar w:fldCharType="end"/>
      </w:r>
      <w:r>
        <w:rPr>
          <w:lang w:val="en-AU"/>
        </w:rPr>
        <w:t>)</w:t>
      </w:r>
      <w:r w:rsidRPr="00B55EE1">
        <w:rPr>
          <w:lang w:val="en-AU"/>
        </w:rPr>
        <w:t>. However, given the lack of M&amp;E expertise in TongaHealth, it is likely that external TA is required to establish an M&amp;E system, and build the capacity of the TongaHealth team to implement the system. The suite of services provided by the TongaHealth M&amp;E team should</w:t>
      </w:r>
      <w:r>
        <w:rPr>
          <w:lang w:val="en-AU"/>
        </w:rPr>
        <w:t xml:space="preserve">, as </w:t>
      </w:r>
      <w:proofErr w:type="gramStart"/>
      <w:r>
        <w:rPr>
          <w:lang w:val="en-AU"/>
        </w:rPr>
        <w:t>a first priority</w:t>
      </w:r>
      <w:proofErr w:type="gramEnd"/>
      <w:r>
        <w:rPr>
          <w:lang w:val="en-AU"/>
        </w:rPr>
        <w:t>, i</w:t>
      </w:r>
      <w:r w:rsidRPr="00B55EE1">
        <w:rPr>
          <w:lang w:val="en-AU"/>
        </w:rPr>
        <w:t xml:space="preserve">nclude </w:t>
      </w:r>
      <w:r w:rsidR="007B79CD" w:rsidRPr="00B55EE1">
        <w:t>collecting</w:t>
      </w:r>
      <w:r w:rsidRPr="00B55EE1">
        <w:t xml:space="preserve"> evidence and reporting on TongaHealth’s progress against the NCD Strategy</w:t>
      </w:r>
      <w:r>
        <w:t xml:space="preserve">, </w:t>
      </w:r>
      <w:r w:rsidRPr="00B55EE1">
        <w:t>Statement of Corporate Intent</w:t>
      </w:r>
      <w:r>
        <w:t xml:space="preserve"> and THSSP3 annual workplan</w:t>
      </w:r>
      <w:r w:rsidRPr="00B55EE1">
        <w:t>; generating evidence of outcome-level change as a result of grants</w:t>
      </w:r>
      <w:r>
        <w:t xml:space="preserve">; and supporting timely and quality progress reporting. </w:t>
      </w:r>
    </w:p>
    <w:p w14:paraId="793CE611" w14:textId="77777777" w:rsidR="0091424B" w:rsidRDefault="0091424B" w:rsidP="00DF166F">
      <w:pPr>
        <w:spacing w:line="276" w:lineRule="auto"/>
      </w:pPr>
      <w:r>
        <w:t xml:space="preserve">Key reporting products should include annual financial and narrative progress reports to the TongaHealth Board and National NCD Committee, and quarterly financial and narrative progress reports to the HSSIG that address the activities in the THSSPS3 workplan and demonstrate how these activities contribute to the implementation of the NCD Strategy. </w:t>
      </w:r>
    </w:p>
    <w:p w14:paraId="7C3C6E9B" w14:textId="0C2DFEDC" w:rsidR="0091424B" w:rsidRPr="00B55EE1" w:rsidRDefault="0091424B" w:rsidP="00962FBE">
      <w:pPr>
        <w:spacing w:line="276" w:lineRule="auto"/>
      </w:pPr>
      <w:r>
        <w:t xml:space="preserve">Once these are in place, other areas for improvement include </w:t>
      </w:r>
      <w:r w:rsidRPr="00B55EE1">
        <w:t>building capacity of grantees to do basic monitoring; driving/coordinating reporting against the NCD Strategy by multiple stakeholders; convening the M&amp;E Taskforce and driving priorities identified by the Taskforce; creating mechanisms for internal learning and reflection; and sharing evidence of TongaHealth’s successes and ‘what works’ for NCD prevention, to help inform the work of grantees and other stakeholders.</w:t>
      </w:r>
    </w:p>
    <w:p w14:paraId="356C3455" w14:textId="5B96EBA0" w:rsidR="0091424B" w:rsidRPr="00962FBE" w:rsidRDefault="0091424B" w:rsidP="00962FBE">
      <w:pPr>
        <w:pStyle w:val="ListNumber"/>
        <w:spacing w:after="0"/>
        <w:rPr>
          <w:b/>
          <w:bCs w:val="0"/>
        </w:rPr>
      </w:pPr>
      <w:r w:rsidRPr="00962FBE">
        <w:rPr>
          <w:b/>
          <w:bCs w:val="0"/>
        </w:rPr>
        <w:t>TongaHealth should adopt a stronger focus on GEDSI, including by building the capacity of the TongaHealth team, strengthening engagement of</w:t>
      </w:r>
      <w:r w:rsidR="00BD4574" w:rsidRPr="00962FBE">
        <w:rPr>
          <w:b/>
          <w:bCs w:val="0"/>
        </w:rPr>
        <w:t xml:space="preserve"> O</w:t>
      </w:r>
      <w:r w:rsidR="00D55C4C" w:rsidRPr="00962FBE">
        <w:rPr>
          <w:b/>
          <w:bCs w:val="0"/>
        </w:rPr>
        <w:t>PDs</w:t>
      </w:r>
      <w:r w:rsidRPr="00962FBE">
        <w:rPr>
          <w:b/>
          <w:bCs w:val="0"/>
        </w:rPr>
        <w:t xml:space="preserve"> and other GEDSI-focussed organisations, and strengthening inclusiveness in grants. </w:t>
      </w:r>
    </w:p>
    <w:p w14:paraId="13207CD2" w14:textId="47DA51AF" w:rsidR="0091424B" w:rsidRPr="00B55EE1" w:rsidRDefault="0091424B" w:rsidP="00DF166F">
      <w:pPr>
        <w:spacing w:line="276" w:lineRule="auto"/>
        <w:rPr>
          <w:rStyle w:val="cf21"/>
          <w:rFonts w:asciiTheme="minorHAnsi" w:hAnsiTheme="minorHAnsi" w:cstheme="minorBidi"/>
          <w:sz w:val="20"/>
          <w:szCs w:val="20"/>
          <w:shd w:val="clear" w:color="auto" w:fill="auto"/>
          <w:lang w:val="en-AU"/>
        </w:rPr>
      </w:pPr>
      <w:r w:rsidRPr="00B55EE1">
        <w:rPr>
          <w:lang w:val="en-AU"/>
        </w:rPr>
        <w:lastRenderedPageBreak/>
        <w:t>While To</w:t>
      </w:r>
      <w:r>
        <w:rPr>
          <w:lang w:val="en-AU"/>
        </w:rPr>
        <w:t>ng</w:t>
      </w:r>
      <w:r w:rsidRPr="00B55EE1">
        <w:rPr>
          <w:lang w:val="en-AU"/>
        </w:rPr>
        <w:t>aHealth currently has a strong focus on inclusion of outer islands, TongaHealth’s progress in other areas of GEDSI is limited</w:t>
      </w:r>
      <w:r>
        <w:rPr>
          <w:lang w:val="en-AU"/>
        </w:rPr>
        <w:t xml:space="preserve"> (see Section </w:t>
      </w:r>
      <w:r>
        <w:rPr>
          <w:lang w:val="en-AU"/>
        </w:rPr>
        <w:fldChar w:fldCharType="begin"/>
      </w:r>
      <w:r>
        <w:rPr>
          <w:lang w:val="en-AU"/>
        </w:rPr>
        <w:instrText xml:space="preserve"> REF _Ref153899086 \r \h </w:instrText>
      </w:r>
      <w:r w:rsidR="00DF166F">
        <w:rPr>
          <w:lang w:val="en-AU"/>
        </w:rPr>
        <w:instrText xml:space="preserve"> \* MERGEFORMAT </w:instrText>
      </w:r>
      <w:r>
        <w:rPr>
          <w:lang w:val="en-AU"/>
        </w:rPr>
      </w:r>
      <w:r>
        <w:rPr>
          <w:lang w:val="en-AU"/>
        </w:rPr>
        <w:fldChar w:fldCharType="separate"/>
      </w:r>
      <w:r>
        <w:rPr>
          <w:lang w:val="en-AU"/>
        </w:rPr>
        <w:t>3.4</w:t>
      </w:r>
      <w:r>
        <w:rPr>
          <w:lang w:val="en-AU"/>
        </w:rPr>
        <w:fldChar w:fldCharType="end"/>
      </w:r>
      <w:r>
        <w:rPr>
          <w:lang w:val="en-AU"/>
        </w:rPr>
        <w:t>)</w:t>
      </w:r>
      <w:r w:rsidRPr="00B55EE1">
        <w:rPr>
          <w:lang w:val="en-AU"/>
        </w:rPr>
        <w:t xml:space="preserve">. A </w:t>
      </w:r>
      <w:proofErr w:type="gramStart"/>
      <w:r w:rsidRPr="00B55EE1">
        <w:rPr>
          <w:lang w:val="en-AU"/>
        </w:rPr>
        <w:t>country-wide</w:t>
      </w:r>
      <w:proofErr w:type="gramEnd"/>
      <w:r w:rsidRPr="00B55EE1">
        <w:rPr>
          <w:lang w:val="en-AU"/>
        </w:rPr>
        <w:t xml:space="preserve"> DFAT GEDSI Strategy is currently in development, which in turn will inform TASP and TongaHealth’s approach to GEDSI. As an interim measure while the GEDSI Strategy is in development, it is recommended to provide basic GEDSI awareness training to the TongaHealth team, with a focus on principles of inclusion, and practical strategies to make grantee projects more inclusive. TongaHealth should also strengthen engagement of </w:t>
      </w:r>
      <w:r w:rsidR="00BD4574">
        <w:rPr>
          <w:lang w:val="en-AU"/>
        </w:rPr>
        <w:t>O</w:t>
      </w:r>
      <w:r w:rsidR="00D55C4C">
        <w:rPr>
          <w:lang w:val="en-AU"/>
        </w:rPr>
        <w:t>PDs</w:t>
      </w:r>
      <w:r w:rsidRPr="00B55EE1">
        <w:rPr>
          <w:lang w:val="en-AU"/>
        </w:rPr>
        <w:t xml:space="preserve"> and other GEDSI-focused organisations in TongaHealth processes. This should include mechanisms for GEDSI organisations to be included in the process of reviewing grant applications, as well as any future activities implemented by TongaHealth (e.g. stakeholder forums). </w:t>
      </w:r>
      <w:r w:rsidRPr="00B55EE1">
        <w:rPr>
          <w:rStyle w:val="cf21"/>
          <w:rFonts w:asciiTheme="minorHAnsi" w:eastAsiaTheme="majorEastAsia" w:hAnsiTheme="minorHAnsi" w:cs="Times New Roman"/>
          <w:sz w:val="20"/>
          <w:szCs w:val="20"/>
          <w:shd w:val="clear" w:color="auto" w:fill="auto"/>
        </w:rPr>
        <w:t>TongaHealth should also consider options for strengthening consideration of GEDSI in grant applications, for example by requiring applicants to indicate what practical actions they will take to ensure their project is inclusive, and by making more targeted calls for grants that specifically promote inclusion.</w:t>
      </w:r>
    </w:p>
    <w:p w14:paraId="606132E5" w14:textId="77777777" w:rsidR="0091424B" w:rsidRPr="00962FBE" w:rsidRDefault="0091424B" w:rsidP="00C9374E">
      <w:pPr>
        <w:pStyle w:val="ListNumber"/>
        <w:numPr>
          <w:ilvl w:val="0"/>
          <w:numId w:val="0"/>
        </w:numPr>
        <w:ind w:left="360"/>
        <w:rPr>
          <w:b/>
          <w:bCs w:val="0"/>
        </w:rPr>
      </w:pPr>
    </w:p>
    <w:p w14:paraId="0BEA5449" w14:textId="77777777" w:rsidR="0091424B" w:rsidRPr="00962FBE" w:rsidRDefault="0091424B" w:rsidP="00962FBE">
      <w:pPr>
        <w:pStyle w:val="ListNumber"/>
        <w:spacing w:after="0"/>
        <w:rPr>
          <w:b/>
          <w:bCs w:val="0"/>
        </w:rPr>
      </w:pPr>
      <w:r w:rsidRPr="00962FBE">
        <w:rPr>
          <w:b/>
          <w:bCs w:val="0"/>
        </w:rPr>
        <w:t xml:space="preserve">DFAT, as the major funder or TongaHealth, should provide stronger strategic oversight, and introduce stronger accountability for delivering against the NCD Strategy and Statement of Corporate Intent. </w:t>
      </w:r>
    </w:p>
    <w:p w14:paraId="37B026DF" w14:textId="1D7C8A62" w:rsidR="0091424B" w:rsidRPr="00B55EE1" w:rsidRDefault="0091424B" w:rsidP="00962FBE">
      <w:pPr>
        <w:pStyle w:val="BodyText"/>
        <w:spacing w:before="0"/>
        <w:rPr>
          <w:lang w:val="en-NZ"/>
        </w:rPr>
      </w:pPr>
      <w:r w:rsidRPr="00B55EE1">
        <w:t>TongaHealth is currently not on track to deliver against several aspects of the NCD Strategy and Statement of Corporate Intent</w:t>
      </w:r>
      <w:r>
        <w:t xml:space="preserve"> (see Section </w:t>
      </w:r>
      <w:r>
        <w:fldChar w:fldCharType="begin"/>
      </w:r>
      <w:r>
        <w:instrText xml:space="preserve"> REF _Ref152673264 \r \h </w:instrText>
      </w:r>
      <w:r w:rsidR="00DF166F">
        <w:instrText xml:space="preserve"> \* MERGEFORMAT </w:instrText>
      </w:r>
      <w:r>
        <w:fldChar w:fldCharType="separate"/>
      </w:r>
      <w:r>
        <w:t>3.1.1</w:t>
      </w:r>
      <w:r>
        <w:fldChar w:fldCharType="end"/>
      </w:r>
      <w:r>
        <w:t>)</w:t>
      </w:r>
      <w:r w:rsidRPr="00B55EE1">
        <w:t>. However, in the absence of a functioning NCD Committee, there are limited accountability mechanisms in place to prompt TongaHealth to expedite progress</w:t>
      </w:r>
      <w:r>
        <w:t xml:space="preserve"> (see Section </w:t>
      </w:r>
      <w:r>
        <w:fldChar w:fldCharType="begin"/>
      </w:r>
      <w:r>
        <w:instrText xml:space="preserve"> REF _Ref152679394 \r \h </w:instrText>
      </w:r>
      <w:r w:rsidR="00DF166F">
        <w:instrText xml:space="preserve"> \* MERGEFORMAT </w:instrText>
      </w:r>
      <w:r>
        <w:fldChar w:fldCharType="separate"/>
      </w:r>
      <w:r>
        <w:t>3.1.6</w:t>
      </w:r>
      <w:r>
        <w:fldChar w:fldCharType="end"/>
      </w:r>
      <w:r>
        <w:t>)</w:t>
      </w:r>
      <w:r w:rsidRPr="00B55EE1">
        <w:t xml:space="preserve">, and stronger oversight from DFAT is likely required. </w:t>
      </w:r>
      <w:r w:rsidR="000F6F02">
        <w:t>Options</w:t>
      </w:r>
      <w:r w:rsidRPr="00B55EE1">
        <w:t xml:space="preserve"> for DFAT’s consideration include:</w:t>
      </w:r>
    </w:p>
    <w:p w14:paraId="7BD0153F" w14:textId="77777777" w:rsidR="0091424B" w:rsidRPr="00352AA3" w:rsidRDefault="0091424B" w:rsidP="00C9374E">
      <w:pPr>
        <w:pStyle w:val="ListBullet"/>
      </w:pPr>
      <w:r w:rsidRPr="00B55EE1">
        <w:t>As described</w:t>
      </w:r>
      <w:r>
        <w:t xml:space="preserve"> in Recommendation </w:t>
      </w:r>
      <w:r>
        <w:fldChar w:fldCharType="begin"/>
      </w:r>
      <w:r>
        <w:instrText xml:space="preserve"> REF _Ref152937236 \r \h  \* MERGEFORMAT </w:instrText>
      </w:r>
      <w:r>
        <w:fldChar w:fldCharType="separate"/>
      </w:r>
      <w:r>
        <w:t>6</w:t>
      </w:r>
      <w:r>
        <w:fldChar w:fldCharType="end"/>
      </w:r>
      <w:r>
        <w:t xml:space="preserve"> above, engaging in a joint priority-setting activity with </w:t>
      </w:r>
      <w:proofErr w:type="spellStart"/>
      <w:r>
        <w:t>GoT</w:t>
      </w:r>
      <w:proofErr w:type="spellEnd"/>
      <w:r>
        <w:t xml:space="preserve"> and TongaHealth to </w:t>
      </w:r>
      <w:r>
        <w:rPr>
          <w:rFonts w:eastAsiaTheme="minorEastAsia"/>
        </w:rPr>
        <w:t>review and prioritise the outputs and activities allocated to TongaHealth in the NCD Strategy, Statement of Corporate Intent and THSSP3 workplan;</w:t>
      </w:r>
    </w:p>
    <w:p w14:paraId="78CC02BA" w14:textId="77777777" w:rsidR="0091424B" w:rsidRPr="00A62CC8" w:rsidRDefault="0091424B" w:rsidP="00C9374E">
      <w:pPr>
        <w:pStyle w:val="ListBullet"/>
      </w:pPr>
      <w:r>
        <w:t xml:space="preserve">Requesting </w:t>
      </w:r>
      <w:r w:rsidRPr="00A62CC8">
        <w:t>TongaHealth to submit a revised workplan to end of FY24/25 which</w:t>
      </w:r>
      <w:r>
        <w:t xml:space="preserve"> aligns to these priorities, and</w:t>
      </w:r>
      <w:r w:rsidRPr="00A62CC8">
        <w:t xml:space="preserve"> is feasible based on past performance and technical capacity of the TongaHealth </w:t>
      </w:r>
      <w:proofErr w:type="gramStart"/>
      <w:r w:rsidRPr="00A62CC8">
        <w:t>team;</w:t>
      </w:r>
      <w:proofErr w:type="gramEnd"/>
    </w:p>
    <w:p w14:paraId="459188B0" w14:textId="671971B1" w:rsidR="0091424B" w:rsidRPr="00A62CC8" w:rsidRDefault="0091424B" w:rsidP="00C9374E">
      <w:pPr>
        <w:pStyle w:val="ListBullet"/>
      </w:pPr>
      <w:r w:rsidRPr="00A62CC8">
        <w:t xml:space="preserve">For </w:t>
      </w:r>
      <w:r>
        <w:t xml:space="preserve">high-priority activities </w:t>
      </w:r>
      <w:r w:rsidRPr="00A62CC8">
        <w:t>that TongaHealth is unable to deliver, requiring that TongaHealth reallocate a portion of its budget towards commissioning an external organisation</w:t>
      </w:r>
      <w:r>
        <w:t xml:space="preserve"> or short-term adviser </w:t>
      </w:r>
      <w:r w:rsidRPr="00A62CC8">
        <w:t xml:space="preserve">to deliver these </w:t>
      </w:r>
      <w:proofErr w:type="gramStart"/>
      <w:r w:rsidRPr="00A62CC8">
        <w:t>activities</w:t>
      </w:r>
      <w:r w:rsidR="00BD324C">
        <w:t>;</w:t>
      </w:r>
      <w:proofErr w:type="gramEnd"/>
      <w:r w:rsidR="00BD324C">
        <w:t xml:space="preserve"> </w:t>
      </w:r>
      <w:r>
        <w:t xml:space="preserve"> </w:t>
      </w:r>
    </w:p>
    <w:p w14:paraId="7B35B029" w14:textId="77777777" w:rsidR="0091424B" w:rsidRDefault="0091424B" w:rsidP="00C9374E">
      <w:pPr>
        <w:pStyle w:val="ListBullet"/>
      </w:pPr>
      <w:r w:rsidRPr="00A62CC8">
        <w:t>Introducing stronger accountability requirements for delivering planned activities</w:t>
      </w:r>
      <w:r>
        <w:t>, demonstrating evidence of improved internal systems,</w:t>
      </w:r>
      <w:r w:rsidRPr="00A62CC8">
        <w:t xml:space="preserve"> and delivering quality progress reporting, e.g. linking tranche payments to </w:t>
      </w:r>
      <w:r>
        <w:t xml:space="preserve">completion of specific activities from the workplan, or to </w:t>
      </w:r>
      <w:r w:rsidRPr="00A62CC8">
        <w:t>DFAT’s approval</w:t>
      </w:r>
      <w:r>
        <w:t xml:space="preserve"> </w:t>
      </w:r>
      <w:r w:rsidRPr="00A62CC8">
        <w:t>of progress reports</w:t>
      </w:r>
      <w:r>
        <w:t xml:space="preserve">; and requiring TongaHealth to provide regular updates on progress addressing the recommendations from this Review and other </w:t>
      </w:r>
      <w:proofErr w:type="gramStart"/>
      <w:r>
        <w:t>sources;</w:t>
      </w:r>
      <w:proofErr w:type="gramEnd"/>
    </w:p>
    <w:p w14:paraId="5AB4C51D" w14:textId="0A99C063" w:rsidR="00F437D9" w:rsidRDefault="0091424B" w:rsidP="00962FBE">
      <w:pPr>
        <w:pStyle w:val="ListBullet"/>
      </w:pPr>
      <w:r w:rsidRPr="00A62CC8">
        <w:t xml:space="preserve">Commissioning a light-touch end-of-program review of TongaHealth in early 2025, to independently assess TongaHealth’s progress against the revised workplan </w:t>
      </w:r>
      <w:r>
        <w:t xml:space="preserve">and capacity-building priorities, </w:t>
      </w:r>
      <w:proofErr w:type="gramStart"/>
      <w:r>
        <w:t>in order to</w:t>
      </w:r>
      <w:proofErr w:type="gramEnd"/>
      <w:r>
        <w:t xml:space="preserve"> </w:t>
      </w:r>
      <w:r w:rsidRPr="00A62CC8">
        <w:t>guide decision-making about</w:t>
      </w:r>
      <w:r>
        <w:t xml:space="preserve"> </w:t>
      </w:r>
      <w:r w:rsidRPr="00A62CC8">
        <w:t>ongoing funding to TongaHealth</w:t>
      </w:r>
      <w:r>
        <w:t xml:space="preserve"> beyond 2025. If TongaHealth is unable to make adequate progress against the revised workplan, consideration should be given to a partial or full withdrawal of DFAT funding from TongaHealth, which could instead be reallocated to directly funding the HPU, other organisations and short-term advisers to deliver priority projects from the NCD Strategy. </w:t>
      </w:r>
      <w:r w:rsidR="00F437D9">
        <w:br w:type="page"/>
      </w:r>
    </w:p>
    <w:p w14:paraId="55E899A8" w14:textId="78D44BA5" w:rsidR="00C36C84" w:rsidRDefault="00C36C84" w:rsidP="00DF166F">
      <w:pPr>
        <w:pStyle w:val="Heading1"/>
        <w:spacing w:line="276" w:lineRule="auto"/>
      </w:pPr>
      <w:bookmarkStart w:id="53" w:name="_Toc153899671"/>
      <w:r>
        <w:lastRenderedPageBreak/>
        <w:t>Annexes</w:t>
      </w:r>
      <w:bookmarkEnd w:id="53"/>
    </w:p>
    <w:p w14:paraId="33191ECC" w14:textId="101C41DE" w:rsidR="00C36C84" w:rsidRPr="00C36C84" w:rsidRDefault="00A46602" w:rsidP="00DF166F">
      <w:pPr>
        <w:pStyle w:val="Heading2"/>
        <w:spacing w:line="276" w:lineRule="auto"/>
      </w:pPr>
      <w:bookmarkStart w:id="54" w:name="_Ref151473919"/>
      <w:bookmarkStart w:id="55" w:name="_Toc153899672"/>
      <w:r>
        <w:t>Key review questions and sub-questions</w:t>
      </w:r>
      <w:bookmarkEnd w:id="54"/>
      <w:bookmarkEnd w:id="55"/>
    </w:p>
    <w:tbl>
      <w:tblPr>
        <w:tblStyle w:val="ListTable3-Accent1"/>
        <w:tblW w:w="10201" w:type="dxa"/>
        <w:tblLook w:val="04A0" w:firstRow="1" w:lastRow="0" w:firstColumn="1" w:lastColumn="0" w:noHBand="0" w:noVBand="1"/>
      </w:tblPr>
      <w:tblGrid>
        <w:gridCol w:w="2689"/>
        <w:gridCol w:w="7512"/>
      </w:tblGrid>
      <w:tr w:rsidR="004874A0" w:rsidRPr="00471DFE" w14:paraId="35479DA8" w14:textId="77777777" w:rsidTr="00E626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5E94D150" w14:textId="77777777" w:rsidR="004874A0" w:rsidRPr="00471DFE" w:rsidRDefault="004874A0" w:rsidP="00DF166F">
            <w:pPr>
              <w:spacing w:line="276" w:lineRule="auto"/>
              <w:rPr>
                <w:rFonts w:cstheme="minorHAnsi"/>
                <w:b w:val="0"/>
                <w:bCs w:val="0"/>
                <w:sz w:val="19"/>
                <w:szCs w:val="19"/>
              </w:rPr>
            </w:pPr>
            <w:bookmarkStart w:id="56" w:name="_Hlk148697171"/>
            <w:r w:rsidRPr="00471DFE">
              <w:rPr>
                <w:rFonts w:cstheme="minorHAnsi"/>
                <w:sz w:val="19"/>
                <w:szCs w:val="19"/>
              </w:rPr>
              <w:t xml:space="preserve">Key </w:t>
            </w:r>
            <w:r w:rsidRPr="00471DFE">
              <w:rPr>
                <w:rFonts w:cstheme="minorHAnsi"/>
                <w:b w:val="0"/>
                <w:sz w:val="19"/>
                <w:szCs w:val="19"/>
              </w:rPr>
              <w:t>r</w:t>
            </w:r>
            <w:r w:rsidRPr="00471DFE">
              <w:rPr>
                <w:rFonts w:cstheme="minorHAnsi"/>
                <w:sz w:val="19"/>
                <w:szCs w:val="19"/>
              </w:rPr>
              <w:t>eview question</w:t>
            </w:r>
          </w:p>
        </w:tc>
        <w:tc>
          <w:tcPr>
            <w:tcW w:w="7512" w:type="dxa"/>
          </w:tcPr>
          <w:p w14:paraId="0E2ED254" w14:textId="77777777" w:rsidR="004874A0" w:rsidRPr="00471DFE" w:rsidRDefault="004874A0" w:rsidP="00DF166F">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471DFE">
              <w:rPr>
                <w:rFonts w:cstheme="minorHAnsi"/>
                <w:sz w:val="19"/>
                <w:szCs w:val="19"/>
              </w:rPr>
              <w:t>Sub-question</w:t>
            </w:r>
          </w:p>
        </w:tc>
      </w:tr>
      <w:tr w:rsidR="004874A0" w:rsidRPr="00471DFE" w14:paraId="686214C8" w14:textId="77777777" w:rsidTr="00E62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7781844" w14:textId="77777777" w:rsidR="004874A0" w:rsidRPr="00471DFE" w:rsidRDefault="004874A0" w:rsidP="00DF166F">
            <w:pPr>
              <w:numPr>
                <w:ilvl w:val="0"/>
                <w:numId w:val="7"/>
              </w:numPr>
              <w:spacing w:after="210" w:line="276" w:lineRule="auto"/>
              <w:rPr>
                <w:rFonts w:cstheme="minorHAnsi"/>
                <w:sz w:val="19"/>
                <w:szCs w:val="19"/>
              </w:rPr>
            </w:pPr>
            <w:bookmarkStart w:id="57" w:name="_Hlk149046495"/>
            <w:r w:rsidRPr="00471DFE">
              <w:rPr>
                <w:rFonts w:eastAsia="Calibri" w:cstheme="minorHAnsi"/>
                <w:color w:val="auto"/>
                <w:sz w:val="19"/>
                <w:szCs w:val="19"/>
                <w:lang w:val="en-US" w:bidi="en-US"/>
              </w:rPr>
              <w:t>Effectiveness: To what extent is TongaHealth on track to deliver on its mandate under the Tonga National Strategy for the Prevention and Control of NCDs by 2025?</w:t>
            </w:r>
          </w:p>
        </w:tc>
        <w:tc>
          <w:tcPr>
            <w:tcW w:w="7512" w:type="dxa"/>
          </w:tcPr>
          <w:p w14:paraId="517D15F4" w14:textId="61A0BFF8" w:rsidR="004874A0" w:rsidRPr="00471DFE" w:rsidRDefault="004874A0" w:rsidP="00DF166F">
            <w:pPr>
              <w:pStyle w:val="ListParagraph"/>
              <w:numPr>
                <w:ilvl w:val="0"/>
                <w:numId w:val="8"/>
              </w:numPr>
              <w:spacing w:before="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cstheme="minorHAnsi"/>
                <w:sz w:val="19"/>
                <w:szCs w:val="19"/>
              </w:rPr>
              <w:t xml:space="preserve">To what extent is TongaHealth on track to deliver against the objectives and Key Result Areas under the National NCD Strategy, particularly </w:t>
            </w:r>
            <w:proofErr w:type="gramStart"/>
            <w:r w:rsidRPr="00471DFE">
              <w:rPr>
                <w:rFonts w:cstheme="minorHAnsi"/>
                <w:sz w:val="19"/>
                <w:szCs w:val="19"/>
              </w:rPr>
              <w:t>in regards to</w:t>
            </w:r>
            <w:proofErr w:type="gramEnd"/>
            <w:r w:rsidRPr="00471DFE">
              <w:rPr>
                <w:rFonts w:cstheme="minorHAnsi"/>
                <w:sz w:val="19"/>
                <w:szCs w:val="19"/>
              </w:rPr>
              <w:t xml:space="preserve">:  Objective 2: </w:t>
            </w:r>
            <w:r w:rsidR="00AA3C76">
              <w:rPr>
                <w:rFonts w:cstheme="minorHAnsi"/>
                <w:sz w:val="19"/>
                <w:szCs w:val="19"/>
              </w:rPr>
              <w:t>Multisectoral</w:t>
            </w:r>
            <w:r w:rsidRPr="00471DFE">
              <w:rPr>
                <w:rFonts w:cstheme="minorHAnsi"/>
                <w:sz w:val="19"/>
                <w:szCs w:val="19"/>
              </w:rPr>
              <w:t xml:space="preserve"> engagement and partnerships</w:t>
            </w:r>
            <w:r w:rsidR="007F5AAA" w:rsidRPr="00471DFE">
              <w:rPr>
                <w:rFonts w:cstheme="minorHAnsi"/>
                <w:sz w:val="19"/>
                <w:szCs w:val="19"/>
              </w:rPr>
              <w:t xml:space="preserve">, </w:t>
            </w:r>
            <w:r w:rsidRPr="00471DFE">
              <w:rPr>
                <w:rFonts w:cstheme="minorHAnsi"/>
                <w:sz w:val="19"/>
                <w:szCs w:val="19"/>
              </w:rPr>
              <w:t>Objective 3: Building the capacity of individuals, families and communities to make healthier choices</w:t>
            </w:r>
            <w:r w:rsidR="007F5AAA" w:rsidRPr="00471DFE">
              <w:rPr>
                <w:rFonts w:cstheme="minorHAnsi"/>
                <w:sz w:val="19"/>
                <w:szCs w:val="19"/>
              </w:rPr>
              <w:t xml:space="preserve"> and </w:t>
            </w:r>
            <w:r w:rsidRPr="00471DFE">
              <w:rPr>
                <w:rFonts w:cstheme="minorHAnsi"/>
                <w:sz w:val="19"/>
                <w:szCs w:val="19"/>
              </w:rPr>
              <w:t>Objective 5: M&amp;E, surveillance and learning</w:t>
            </w:r>
          </w:p>
          <w:p w14:paraId="46C019DE" w14:textId="242C23B6" w:rsidR="004874A0" w:rsidRPr="00471DFE" w:rsidRDefault="004874A0" w:rsidP="00DF166F">
            <w:pPr>
              <w:pStyle w:val="ListParagraph"/>
              <w:numPr>
                <w:ilvl w:val="0"/>
                <w:numId w:val="8"/>
              </w:numPr>
              <w:spacing w:before="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cstheme="minorHAnsi"/>
                <w:sz w:val="19"/>
                <w:szCs w:val="19"/>
              </w:rPr>
              <w:t>To what extent has TongaHealth delivered against the outputs and activities annexed to the NCD Strategy?</w:t>
            </w:r>
            <w:r w:rsidR="001D6F36" w:rsidRPr="00471DFE">
              <w:rPr>
                <w:rStyle w:val="FootnoteReference"/>
                <w:rFonts w:cstheme="minorHAnsi"/>
                <w:sz w:val="19"/>
                <w:szCs w:val="19"/>
              </w:rPr>
              <w:footnoteReference w:id="12"/>
            </w:r>
            <w:r w:rsidRPr="00471DFE">
              <w:rPr>
                <w:rFonts w:cstheme="minorHAnsi"/>
                <w:sz w:val="19"/>
                <w:szCs w:val="19"/>
              </w:rPr>
              <w:t xml:space="preserve"> </w:t>
            </w:r>
          </w:p>
          <w:p w14:paraId="52AD2686" w14:textId="77777777" w:rsidR="004874A0" w:rsidRPr="00471DFE" w:rsidRDefault="004874A0" w:rsidP="00DF166F">
            <w:pPr>
              <w:pStyle w:val="ListParagraph"/>
              <w:numPr>
                <w:ilvl w:val="0"/>
                <w:numId w:val="8"/>
              </w:numPr>
              <w:spacing w:before="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cstheme="minorHAnsi"/>
                <w:sz w:val="19"/>
                <w:szCs w:val="19"/>
              </w:rPr>
              <w:t xml:space="preserve">How well is TongaHealth monitoring, </w:t>
            </w:r>
            <w:proofErr w:type="gramStart"/>
            <w:r w:rsidRPr="00471DFE">
              <w:rPr>
                <w:rFonts w:cstheme="minorHAnsi"/>
                <w:sz w:val="19"/>
                <w:szCs w:val="19"/>
              </w:rPr>
              <w:t>evaluating</w:t>
            </w:r>
            <w:proofErr w:type="gramEnd"/>
            <w:r w:rsidRPr="00471DFE">
              <w:rPr>
                <w:rFonts w:cstheme="minorHAnsi"/>
                <w:sz w:val="19"/>
                <w:szCs w:val="19"/>
              </w:rPr>
              <w:t xml:space="preserve"> and learning about its effectiveness?</w:t>
            </w:r>
          </w:p>
          <w:p w14:paraId="57ABCA74" w14:textId="77777777" w:rsidR="004874A0" w:rsidRPr="00471DFE" w:rsidRDefault="004874A0" w:rsidP="00DF166F">
            <w:pPr>
              <w:pStyle w:val="ListParagraph"/>
              <w:numPr>
                <w:ilvl w:val="0"/>
                <w:numId w:val="8"/>
              </w:numPr>
              <w:spacing w:before="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cstheme="minorHAnsi"/>
                <w:sz w:val="19"/>
                <w:szCs w:val="19"/>
              </w:rPr>
              <w:t xml:space="preserve">What is the quality of Behavioural Change Communications (BCC) / Information, Education and Communication (IEC) strategies, plans, messages, tools, </w:t>
            </w:r>
            <w:proofErr w:type="gramStart"/>
            <w:r w:rsidRPr="00471DFE">
              <w:rPr>
                <w:rFonts w:cstheme="minorHAnsi"/>
                <w:sz w:val="19"/>
                <w:szCs w:val="19"/>
              </w:rPr>
              <w:t>materials</w:t>
            </w:r>
            <w:proofErr w:type="gramEnd"/>
            <w:r w:rsidRPr="00471DFE">
              <w:rPr>
                <w:rFonts w:cstheme="minorHAnsi"/>
                <w:sz w:val="19"/>
                <w:szCs w:val="19"/>
              </w:rPr>
              <w:t xml:space="preserve"> and activities? </w:t>
            </w:r>
          </w:p>
          <w:p w14:paraId="7482B3EE" w14:textId="77777777" w:rsidR="004874A0" w:rsidRPr="00471DFE" w:rsidRDefault="004874A0" w:rsidP="00DF166F">
            <w:pPr>
              <w:pStyle w:val="ListParagraph"/>
              <w:numPr>
                <w:ilvl w:val="0"/>
                <w:numId w:val="8"/>
              </w:numPr>
              <w:spacing w:before="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cstheme="minorHAnsi"/>
                <w:sz w:val="19"/>
                <w:szCs w:val="19"/>
              </w:rPr>
              <w:t>To what extent are grants and sponsorship activities effective?</w:t>
            </w:r>
          </w:p>
          <w:p w14:paraId="553DB1F6" w14:textId="77777777" w:rsidR="004874A0" w:rsidRPr="00471DFE" w:rsidRDefault="004874A0" w:rsidP="00DF166F">
            <w:pPr>
              <w:pStyle w:val="ListParagraph"/>
              <w:numPr>
                <w:ilvl w:val="0"/>
                <w:numId w:val="8"/>
              </w:numPr>
              <w:spacing w:before="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cstheme="minorHAnsi"/>
                <w:sz w:val="19"/>
                <w:szCs w:val="19"/>
              </w:rPr>
              <w:t xml:space="preserve">To what extent are effort and resources devoted having the impact intended? </w:t>
            </w:r>
          </w:p>
          <w:p w14:paraId="3AE117FD" w14:textId="77777777" w:rsidR="004874A0" w:rsidRPr="00471DFE" w:rsidRDefault="004874A0" w:rsidP="00DF166F">
            <w:pPr>
              <w:pStyle w:val="ListParagraph"/>
              <w:numPr>
                <w:ilvl w:val="0"/>
                <w:numId w:val="8"/>
              </w:numPr>
              <w:spacing w:before="120" w:line="276" w:lineRule="auto"/>
              <w:jc w:val="both"/>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cstheme="minorHAnsi"/>
                <w:sz w:val="19"/>
                <w:szCs w:val="19"/>
              </w:rPr>
              <w:t>What are the barriers (if any) to effective delivery (internal and external)?</w:t>
            </w:r>
          </w:p>
        </w:tc>
      </w:tr>
      <w:tr w:rsidR="004874A0" w:rsidRPr="00471DFE" w14:paraId="1826AA33" w14:textId="77777777" w:rsidTr="00E6265F">
        <w:tc>
          <w:tcPr>
            <w:cnfStyle w:val="001000000000" w:firstRow="0" w:lastRow="0" w:firstColumn="1" w:lastColumn="0" w:oddVBand="0" w:evenVBand="0" w:oddHBand="0" w:evenHBand="0" w:firstRowFirstColumn="0" w:firstRowLastColumn="0" w:lastRowFirstColumn="0" w:lastRowLastColumn="0"/>
            <w:tcW w:w="2689" w:type="dxa"/>
          </w:tcPr>
          <w:p w14:paraId="15C42EA0" w14:textId="77777777" w:rsidR="004874A0" w:rsidRPr="00471DFE" w:rsidRDefault="004874A0" w:rsidP="00DF166F">
            <w:pPr>
              <w:numPr>
                <w:ilvl w:val="0"/>
                <w:numId w:val="7"/>
              </w:numPr>
              <w:spacing w:after="210" w:line="276" w:lineRule="auto"/>
              <w:rPr>
                <w:rFonts w:eastAsia="Calibri" w:cstheme="minorHAnsi"/>
                <w:color w:val="auto"/>
                <w:sz w:val="19"/>
                <w:szCs w:val="19"/>
                <w:lang w:val="en-US" w:bidi="en-US"/>
              </w:rPr>
            </w:pPr>
            <w:r w:rsidRPr="00471DFE">
              <w:rPr>
                <w:rFonts w:eastAsia="Calibri" w:cstheme="minorHAnsi"/>
                <w:color w:val="auto"/>
                <w:sz w:val="19"/>
                <w:szCs w:val="19"/>
                <w:lang w:val="en-US" w:bidi="en-US"/>
              </w:rPr>
              <w:t>Coherence: To what extent does TongaHealth effectively coordinate with and share learnings with other Tonga public health stakeholders?</w:t>
            </w:r>
          </w:p>
        </w:tc>
        <w:tc>
          <w:tcPr>
            <w:tcW w:w="7512" w:type="dxa"/>
          </w:tcPr>
          <w:p w14:paraId="223D6E2B" w14:textId="77777777" w:rsidR="004874A0" w:rsidRPr="00471DFE" w:rsidRDefault="004874A0" w:rsidP="00DF166F">
            <w:pPr>
              <w:pStyle w:val="Instructions"/>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 xml:space="preserve">How are TongaHealth’s activities inter-related and coordinated to maximise the long-term development impact? </w:t>
            </w:r>
          </w:p>
          <w:p w14:paraId="29B82A62" w14:textId="77777777" w:rsidR="004874A0" w:rsidRPr="00471DFE" w:rsidRDefault="004874A0" w:rsidP="00DF166F">
            <w:pPr>
              <w:pStyle w:val="Instructions"/>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What is the status of engagement and learning between TongaHealth and the Health Promotion Unit of Ministry of Health?</w:t>
            </w:r>
          </w:p>
          <w:p w14:paraId="193EC560" w14:textId="77777777" w:rsidR="004874A0" w:rsidRPr="00471DFE" w:rsidRDefault="004874A0" w:rsidP="00DF166F">
            <w:pPr>
              <w:pStyle w:val="Instructions"/>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To what extent is there an overlap of mandates between TongaHealth and the Health Promotion Unit of Ministry of Health, and what are the implications of this?</w:t>
            </w:r>
          </w:p>
        </w:tc>
      </w:tr>
      <w:tr w:rsidR="004874A0" w:rsidRPr="00471DFE" w14:paraId="7E1458F0" w14:textId="77777777" w:rsidTr="00E62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2551C62" w14:textId="47FCB07C" w:rsidR="004874A0" w:rsidRPr="00471DFE" w:rsidRDefault="004874A0" w:rsidP="00DF166F">
            <w:pPr>
              <w:numPr>
                <w:ilvl w:val="0"/>
                <w:numId w:val="7"/>
              </w:numPr>
              <w:spacing w:line="276" w:lineRule="auto"/>
              <w:rPr>
                <w:rFonts w:eastAsia="Calibri" w:cstheme="minorHAnsi"/>
                <w:color w:val="auto"/>
                <w:sz w:val="19"/>
                <w:szCs w:val="19"/>
                <w:lang w:val="en-US" w:bidi="en-US"/>
              </w:rPr>
            </w:pPr>
            <w:r w:rsidRPr="00471DFE">
              <w:rPr>
                <w:rFonts w:eastAsia="Calibri" w:cstheme="minorHAnsi"/>
                <w:color w:val="auto"/>
                <w:sz w:val="19"/>
                <w:szCs w:val="19"/>
                <w:lang w:val="en-US" w:bidi="en-US"/>
              </w:rPr>
              <w:t>Relevance: To what extent does TongaHealth’s work remain relevant to deliver on its mandate?</w:t>
            </w:r>
          </w:p>
        </w:tc>
        <w:tc>
          <w:tcPr>
            <w:tcW w:w="7512" w:type="dxa"/>
          </w:tcPr>
          <w:p w14:paraId="262EB811" w14:textId="77777777" w:rsidR="004874A0" w:rsidRPr="00471DFE" w:rsidRDefault="004874A0" w:rsidP="00DF166F">
            <w:pPr>
              <w:pStyle w:val="Default"/>
              <w:widowControl/>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To what extent is TongaHealth delivering on its six functions outlined in the NCD Strategy and to what extent is the current balance of effort between those functions appropriate?</w:t>
            </w:r>
          </w:p>
          <w:p w14:paraId="69581D32" w14:textId="77777777" w:rsidR="004874A0" w:rsidRPr="00471DFE" w:rsidRDefault="004874A0" w:rsidP="00DF166F">
            <w:pPr>
              <w:pStyle w:val="Default"/>
              <w:widowControl/>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To what extent are the outputs and activities annexed to the NCD strategy still relevant to achieving the Strategy’s objectives?</w:t>
            </w:r>
          </w:p>
          <w:p w14:paraId="5E6905E7" w14:textId="52B50C80" w:rsidR="004874A0" w:rsidRPr="00471DFE" w:rsidRDefault="004874A0" w:rsidP="00DF166F">
            <w:pPr>
              <w:pStyle w:val="Default"/>
              <w:widowControl/>
              <w:numPr>
                <w:ilvl w:val="0"/>
                <w:numId w:val="9"/>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What evidence underpins the design and delivery of activities implemented by TongaHealth Promotion Foundation?</w:t>
            </w:r>
          </w:p>
        </w:tc>
      </w:tr>
      <w:tr w:rsidR="004874A0" w:rsidRPr="00471DFE" w14:paraId="3C9826A4" w14:textId="77777777" w:rsidTr="00E6265F">
        <w:tc>
          <w:tcPr>
            <w:cnfStyle w:val="001000000000" w:firstRow="0" w:lastRow="0" w:firstColumn="1" w:lastColumn="0" w:oddVBand="0" w:evenVBand="0" w:oddHBand="0" w:evenHBand="0" w:firstRowFirstColumn="0" w:firstRowLastColumn="0" w:lastRowFirstColumn="0" w:lastRowLastColumn="0"/>
            <w:tcW w:w="2689" w:type="dxa"/>
          </w:tcPr>
          <w:p w14:paraId="6BA03FBA" w14:textId="0C5C2427" w:rsidR="004874A0" w:rsidRPr="00471DFE" w:rsidRDefault="004874A0" w:rsidP="00DF166F">
            <w:pPr>
              <w:numPr>
                <w:ilvl w:val="0"/>
                <w:numId w:val="7"/>
              </w:numPr>
              <w:spacing w:line="276" w:lineRule="auto"/>
              <w:rPr>
                <w:rFonts w:eastAsia="Calibri" w:cstheme="minorHAnsi"/>
                <w:color w:val="auto"/>
                <w:sz w:val="19"/>
                <w:szCs w:val="19"/>
                <w:lang w:val="en-US" w:bidi="en-US"/>
              </w:rPr>
            </w:pPr>
            <w:r w:rsidRPr="00471DFE">
              <w:rPr>
                <w:rFonts w:eastAsia="Calibri" w:cstheme="minorHAnsi"/>
                <w:color w:val="auto"/>
                <w:sz w:val="19"/>
                <w:szCs w:val="19"/>
                <w:lang w:val="en-US" w:bidi="en-US"/>
              </w:rPr>
              <w:t xml:space="preserve">GEDSI / Equity: To what extent is TongaHealth actively and effectively addressing the needs of disadvantaged and </w:t>
            </w:r>
            <w:proofErr w:type="spellStart"/>
            <w:r w:rsidRPr="00471DFE">
              <w:rPr>
                <w:rFonts w:eastAsia="Calibri" w:cstheme="minorHAnsi"/>
                <w:color w:val="auto"/>
                <w:sz w:val="19"/>
                <w:szCs w:val="19"/>
                <w:lang w:val="en-US" w:bidi="en-US"/>
              </w:rPr>
              <w:t>marginalised</w:t>
            </w:r>
            <w:proofErr w:type="spellEnd"/>
            <w:r w:rsidRPr="00471DFE">
              <w:rPr>
                <w:rFonts w:eastAsia="Calibri" w:cstheme="minorHAnsi"/>
                <w:color w:val="auto"/>
                <w:sz w:val="19"/>
                <w:szCs w:val="19"/>
                <w:lang w:val="en-US" w:bidi="en-US"/>
              </w:rPr>
              <w:t xml:space="preserve"> groups?</w:t>
            </w:r>
          </w:p>
        </w:tc>
        <w:tc>
          <w:tcPr>
            <w:tcW w:w="7512" w:type="dxa"/>
          </w:tcPr>
          <w:p w14:paraId="7DB9A300" w14:textId="77777777" w:rsidR="004874A0" w:rsidRPr="00471DFE" w:rsidRDefault="004874A0" w:rsidP="00DF166F">
            <w:pPr>
              <w:pStyle w:val="Default"/>
              <w:widowControl/>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 xml:space="preserve">To what extent is there fair and equitable access to activities across different segments of the population, including age, gender, </w:t>
            </w:r>
            <w:proofErr w:type="gramStart"/>
            <w:r w:rsidRPr="00471DFE">
              <w:rPr>
                <w:rFonts w:asciiTheme="minorHAnsi" w:hAnsiTheme="minorHAnsi" w:cstheme="minorHAnsi"/>
                <w:color w:val="auto"/>
                <w:sz w:val="19"/>
                <w:szCs w:val="19"/>
              </w:rPr>
              <w:t>disability</w:t>
            </w:r>
            <w:proofErr w:type="gramEnd"/>
            <w:r w:rsidRPr="00471DFE">
              <w:rPr>
                <w:rFonts w:asciiTheme="minorHAnsi" w:hAnsiTheme="minorHAnsi" w:cstheme="minorHAnsi"/>
                <w:color w:val="auto"/>
                <w:sz w:val="19"/>
                <w:szCs w:val="19"/>
              </w:rPr>
              <w:t xml:space="preserve"> and geography?</w:t>
            </w:r>
          </w:p>
          <w:p w14:paraId="55AF2E82" w14:textId="77777777" w:rsidR="004874A0" w:rsidRPr="00471DFE" w:rsidRDefault="004874A0" w:rsidP="00DF166F">
            <w:pPr>
              <w:pStyle w:val="Default"/>
              <w:widowControl/>
              <w:numPr>
                <w:ilvl w:val="0"/>
                <w:numId w:val="1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 xml:space="preserve">To what extent are Behavioural Change Communications (BCC) / Information, Education and Communication (IEC) strategies, plans, messages, tools, </w:t>
            </w:r>
            <w:proofErr w:type="gramStart"/>
            <w:r w:rsidRPr="00471DFE">
              <w:rPr>
                <w:rFonts w:asciiTheme="minorHAnsi" w:hAnsiTheme="minorHAnsi" w:cstheme="minorHAnsi"/>
                <w:color w:val="auto"/>
                <w:sz w:val="19"/>
                <w:szCs w:val="19"/>
              </w:rPr>
              <w:t>materials</w:t>
            </w:r>
            <w:proofErr w:type="gramEnd"/>
            <w:r w:rsidRPr="00471DFE">
              <w:rPr>
                <w:rFonts w:asciiTheme="minorHAnsi" w:hAnsiTheme="minorHAnsi" w:cstheme="minorHAnsi"/>
                <w:color w:val="auto"/>
                <w:sz w:val="19"/>
                <w:szCs w:val="19"/>
              </w:rPr>
              <w:t xml:space="preserve"> and activities targeted and adapted for different segments of the population?</w:t>
            </w:r>
          </w:p>
        </w:tc>
      </w:tr>
      <w:tr w:rsidR="004874A0" w:rsidRPr="00471DFE" w14:paraId="5956059E" w14:textId="77777777" w:rsidTr="00E62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40F2D42" w14:textId="78BDE444" w:rsidR="004874A0" w:rsidRPr="00471DFE" w:rsidRDefault="004874A0" w:rsidP="00DF166F">
            <w:pPr>
              <w:numPr>
                <w:ilvl w:val="0"/>
                <w:numId w:val="7"/>
              </w:numPr>
              <w:spacing w:after="210" w:line="276" w:lineRule="auto"/>
              <w:rPr>
                <w:rFonts w:eastAsia="Calibri" w:cstheme="minorHAnsi"/>
                <w:color w:val="auto"/>
                <w:sz w:val="19"/>
                <w:szCs w:val="19"/>
                <w:lang w:val="en-US" w:bidi="en-US"/>
              </w:rPr>
            </w:pPr>
            <w:r w:rsidRPr="00471DFE">
              <w:rPr>
                <w:rFonts w:eastAsia="Calibri" w:cstheme="minorHAnsi"/>
                <w:color w:val="auto"/>
                <w:sz w:val="19"/>
                <w:szCs w:val="19"/>
                <w:lang w:val="en-US" w:bidi="en-US"/>
              </w:rPr>
              <w:t xml:space="preserve">Recommendations: Noting all findings, what are strategic, </w:t>
            </w:r>
            <w:proofErr w:type="gramStart"/>
            <w:r w:rsidRPr="00471DFE">
              <w:rPr>
                <w:rFonts w:eastAsia="Calibri" w:cstheme="minorHAnsi"/>
                <w:color w:val="auto"/>
                <w:sz w:val="19"/>
                <w:szCs w:val="19"/>
                <w:lang w:val="en-US" w:bidi="en-US"/>
              </w:rPr>
              <w:t>practical</w:t>
            </w:r>
            <w:proofErr w:type="gramEnd"/>
            <w:r w:rsidRPr="00471DFE">
              <w:rPr>
                <w:rFonts w:eastAsia="Calibri" w:cstheme="minorHAnsi"/>
                <w:color w:val="auto"/>
                <w:sz w:val="19"/>
                <w:szCs w:val="19"/>
                <w:lang w:val="en-US" w:bidi="en-US"/>
              </w:rPr>
              <w:t xml:space="preserve"> and implementable actions that can be taken to strengthen TongaHealth’s impact and outcomes?</w:t>
            </w:r>
          </w:p>
        </w:tc>
        <w:tc>
          <w:tcPr>
            <w:tcW w:w="7512" w:type="dxa"/>
          </w:tcPr>
          <w:p w14:paraId="454801FC" w14:textId="77777777" w:rsidR="004874A0" w:rsidRPr="00471DFE" w:rsidRDefault="004874A0" w:rsidP="00DF166F">
            <w:pPr>
              <w:pStyle w:val="Default"/>
              <w:widowControl/>
              <w:numPr>
                <w:ilvl w:val="0"/>
                <w:numId w:val="11"/>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What capacity requirements does TongaHealth have to enable it to strengthen delivery?</w:t>
            </w:r>
          </w:p>
          <w:p w14:paraId="7681058C" w14:textId="77777777" w:rsidR="004874A0" w:rsidRPr="00471DFE" w:rsidRDefault="004874A0" w:rsidP="00DF166F">
            <w:pPr>
              <w:pStyle w:val="Default"/>
              <w:widowControl/>
              <w:numPr>
                <w:ilvl w:val="0"/>
                <w:numId w:val="11"/>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9"/>
                <w:szCs w:val="19"/>
              </w:rPr>
            </w:pPr>
            <w:r w:rsidRPr="00471DFE">
              <w:rPr>
                <w:rFonts w:asciiTheme="minorHAnsi" w:hAnsiTheme="minorHAnsi" w:cstheme="minorHAnsi"/>
                <w:color w:val="auto"/>
                <w:sz w:val="19"/>
                <w:szCs w:val="19"/>
              </w:rPr>
              <w:t>How can Australia further support TongaHealth to achieve its role and responsibilities under the NCD strategy by 2025?</w:t>
            </w:r>
          </w:p>
          <w:p w14:paraId="07CCDD64" w14:textId="6C35C567" w:rsidR="004874A0" w:rsidRPr="00471DFE" w:rsidRDefault="004874A0" w:rsidP="00DF166F">
            <w:pPr>
              <w:pStyle w:val="Default"/>
              <w:widowControl/>
              <w:numPr>
                <w:ilvl w:val="0"/>
                <w:numId w:val="11"/>
              </w:num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471DFE">
              <w:rPr>
                <w:rFonts w:asciiTheme="minorHAnsi" w:hAnsiTheme="minorHAnsi" w:cstheme="minorHAnsi"/>
                <w:color w:val="auto"/>
                <w:sz w:val="19"/>
                <w:szCs w:val="19"/>
              </w:rPr>
              <w:t>What can TongaHealth change to strengthen its impact and outcomes?</w:t>
            </w:r>
          </w:p>
        </w:tc>
      </w:tr>
    </w:tbl>
    <w:p w14:paraId="7165DF3F" w14:textId="36515199" w:rsidR="0018170F" w:rsidRPr="00E6265F" w:rsidRDefault="00833AF5" w:rsidP="00962FBE">
      <w:pPr>
        <w:pStyle w:val="Heading2"/>
        <w:spacing w:line="276" w:lineRule="auto"/>
      </w:pPr>
      <w:bookmarkStart w:id="58" w:name="_Toc92873347"/>
      <w:bookmarkStart w:id="59" w:name="_Toc148556352"/>
      <w:bookmarkStart w:id="60" w:name="_Ref151473962"/>
      <w:bookmarkEnd w:id="56"/>
      <w:bookmarkEnd w:id="57"/>
      <w:r>
        <w:br w:type="column"/>
      </w:r>
      <w:bookmarkStart w:id="61" w:name="_Toc153899673"/>
      <w:r w:rsidR="003539F8" w:rsidRPr="00E6265F">
        <w:lastRenderedPageBreak/>
        <w:t xml:space="preserve">List of documents </w:t>
      </w:r>
      <w:proofErr w:type="gramStart"/>
      <w:r w:rsidR="003539F8" w:rsidRPr="00E6265F">
        <w:t>reviewed</w:t>
      </w:r>
      <w:bookmarkEnd w:id="58"/>
      <w:bookmarkEnd w:id="59"/>
      <w:bookmarkEnd w:id="60"/>
      <w:bookmarkEnd w:id="61"/>
      <w:proofErr w:type="gramEnd"/>
      <w:r w:rsidR="0018170F" w:rsidRPr="00E6265F">
        <w:t> </w:t>
      </w:r>
    </w:p>
    <w:p w14:paraId="6AD77E1B" w14:textId="77777777" w:rsidR="00527E70" w:rsidRDefault="00527E70" w:rsidP="00DF166F">
      <w:pPr>
        <w:pStyle w:val="Heading4"/>
        <w:spacing w:line="276" w:lineRule="auto"/>
        <w:rPr>
          <w:rFonts w:eastAsiaTheme="minorEastAsia"/>
          <w:color w:val="auto"/>
          <w:sz w:val="20"/>
          <w:szCs w:val="20"/>
        </w:rPr>
      </w:pPr>
      <w:r>
        <w:t>TongaHealth documents</w:t>
      </w:r>
    </w:p>
    <w:p w14:paraId="6458C891" w14:textId="77777777" w:rsidR="00527E70" w:rsidRDefault="00527E70" w:rsidP="00DF166F">
      <w:pPr>
        <w:spacing w:line="276" w:lineRule="auto"/>
        <w:rPr>
          <w:rFonts w:cstheme="minorHAnsi"/>
        </w:rPr>
      </w:pPr>
      <w:r>
        <w:rPr>
          <w:rFonts w:cstheme="minorHAnsi"/>
        </w:rPr>
        <w:t>TongaHealth (2019) Stakeholder satisfaction survey report (draft)</w:t>
      </w:r>
    </w:p>
    <w:p w14:paraId="735591A1" w14:textId="2B655E18" w:rsidR="002F0A02" w:rsidRDefault="0018170F" w:rsidP="00DF166F">
      <w:pPr>
        <w:spacing w:line="276" w:lineRule="auto"/>
        <w:rPr>
          <w:rFonts w:cstheme="minorHAnsi"/>
        </w:rPr>
      </w:pPr>
      <w:r>
        <w:rPr>
          <w:rFonts w:cstheme="minorHAnsi"/>
        </w:rPr>
        <w:t xml:space="preserve">TongaHealth Acquittal reports to DFAT (Quarter 2 FY16/17 to </w:t>
      </w:r>
      <w:r w:rsidR="002F0A02">
        <w:rPr>
          <w:rFonts w:cstheme="minorHAnsi"/>
        </w:rPr>
        <w:t xml:space="preserve">Quarter 4 </w:t>
      </w:r>
      <w:r w:rsidR="001C5D02">
        <w:rPr>
          <w:rFonts w:cstheme="minorHAnsi"/>
        </w:rPr>
        <w:t>FY</w:t>
      </w:r>
      <w:r w:rsidR="002F0A02">
        <w:rPr>
          <w:rFonts w:cstheme="minorHAnsi"/>
        </w:rPr>
        <w:t>18/20)</w:t>
      </w:r>
    </w:p>
    <w:p w14:paraId="5B469DED" w14:textId="03E8632A" w:rsidR="002F0A02" w:rsidRDefault="002F0A02" w:rsidP="00DF166F">
      <w:pPr>
        <w:spacing w:line="276" w:lineRule="auto"/>
        <w:rPr>
          <w:rFonts w:cstheme="minorHAnsi"/>
        </w:rPr>
      </w:pPr>
      <w:r>
        <w:rPr>
          <w:rFonts w:cstheme="minorHAnsi"/>
        </w:rPr>
        <w:t>Tonga Health</w:t>
      </w:r>
      <w:r w:rsidR="001C5D02">
        <w:rPr>
          <w:rFonts w:cstheme="minorHAnsi"/>
        </w:rPr>
        <w:t xml:space="preserve"> (2022)</w:t>
      </w:r>
      <w:r>
        <w:rPr>
          <w:rFonts w:cstheme="minorHAnsi"/>
        </w:rPr>
        <w:t xml:space="preserve"> Final report for Complex Grant Agreement 2016-2020 (2022)</w:t>
      </w:r>
    </w:p>
    <w:p w14:paraId="6488A01A" w14:textId="31BBC2F3" w:rsidR="0018170F" w:rsidRDefault="002F0A02" w:rsidP="00DF166F">
      <w:pPr>
        <w:spacing w:line="276" w:lineRule="auto"/>
        <w:rPr>
          <w:rFonts w:cstheme="minorHAnsi"/>
        </w:rPr>
      </w:pPr>
      <w:r>
        <w:rPr>
          <w:rFonts w:cstheme="minorHAnsi"/>
        </w:rPr>
        <w:t>Tonga Health</w:t>
      </w:r>
      <w:r w:rsidR="00D47C3A">
        <w:rPr>
          <w:rFonts w:cstheme="minorHAnsi"/>
        </w:rPr>
        <w:t xml:space="preserve"> (2023)</w:t>
      </w:r>
      <w:r>
        <w:rPr>
          <w:rFonts w:cstheme="minorHAnsi"/>
        </w:rPr>
        <w:t xml:space="preserve"> </w:t>
      </w:r>
      <w:proofErr w:type="spellStart"/>
      <w:r w:rsidR="0018170F">
        <w:rPr>
          <w:rFonts w:cstheme="minorHAnsi"/>
        </w:rPr>
        <w:t>Organisational</w:t>
      </w:r>
      <w:proofErr w:type="spellEnd"/>
      <w:r w:rsidR="0018170F">
        <w:rPr>
          <w:rFonts w:cstheme="minorHAnsi"/>
        </w:rPr>
        <w:t xml:space="preserve"> Chart</w:t>
      </w:r>
    </w:p>
    <w:p w14:paraId="6872E7F9" w14:textId="5E62BB49" w:rsidR="0018170F" w:rsidRDefault="001C5D02" w:rsidP="00DF166F">
      <w:pPr>
        <w:spacing w:line="276" w:lineRule="auto"/>
        <w:rPr>
          <w:rFonts w:cstheme="minorHAnsi"/>
        </w:rPr>
      </w:pPr>
      <w:r>
        <w:rPr>
          <w:rFonts w:cstheme="minorHAnsi"/>
        </w:rPr>
        <w:t xml:space="preserve">TongaHealth </w:t>
      </w:r>
      <w:r w:rsidR="0018170F">
        <w:rPr>
          <w:rFonts w:cstheme="minorHAnsi"/>
        </w:rPr>
        <w:t>Annual Statements of Corporate Intent (</w:t>
      </w:r>
      <w:r w:rsidR="00D47C3A">
        <w:rPr>
          <w:rFonts w:cstheme="minorHAnsi"/>
        </w:rPr>
        <w:t>FY</w:t>
      </w:r>
      <w:r w:rsidR="0018170F">
        <w:rPr>
          <w:rFonts w:cstheme="minorHAnsi"/>
        </w:rPr>
        <w:t xml:space="preserve">20/21 to </w:t>
      </w:r>
      <w:r w:rsidR="00D47C3A">
        <w:rPr>
          <w:rFonts w:cstheme="minorHAnsi"/>
        </w:rPr>
        <w:t>FY</w:t>
      </w:r>
      <w:r w:rsidR="0018170F">
        <w:rPr>
          <w:rFonts w:cstheme="minorHAnsi"/>
        </w:rPr>
        <w:t>23/24)</w:t>
      </w:r>
    </w:p>
    <w:p w14:paraId="1B3A3631" w14:textId="4F86A21E" w:rsidR="0018170F" w:rsidRDefault="00D47C3A" w:rsidP="00DF166F">
      <w:pPr>
        <w:spacing w:line="276" w:lineRule="auto"/>
        <w:rPr>
          <w:rFonts w:cstheme="minorHAnsi"/>
        </w:rPr>
      </w:pPr>
      <w:r>
        <w:rPr>
          <w:rFonts w:cstheme="minorHAnsi"/>
        </w:rPr>
        <w:t xml:space="preserve">TongaHealth (2023) </w:t>
      </w:r>
      <w:r w:rsidR="0018170F">
        <w:rPr>
          <w:rFonts w:cstheme="minorHAnsi"/>
        </w:rPr>
        <w:t>M&amp;E Taskforce Terms of Reference</w:t>
      </w:r>
      <w:r w:rsidR="000529F1">
        <w:rPr>
          <w:rFonts w:cstheme="minorHAnsi"/>
        </w:rPr>
        <w:t xml:space="preserve"> (draft)</w:t>
      </w:r>
      <w:r w:rsidR="0018170F">
        <w:rPr>
          <w:rFonts w:cstheme="minorHAnsi"/>
        </w:rPr>
        <w:t xml:space="preserve"> </w:t>
      </w:r>
    </w:p>
    <w:p w14:paraId="257EC879" w14:textId="77777777" w:rsidR="00527E70" w:rsidRDefault="00527E70" w:rsidP="00DF166F">
      <w:pPr>
        <w:spacing w:line="276" w:lineRule="auto"/>
        <w:rPr>
          <w:rFonts w:cstheme="minorHAnsi"/>
        </w:rPr>
      </w:pPr>
      <w:r>
        <w:rPr>
          <w:rFonts w:cstheme="minorHAnsi"/>
        </w:rPr>
        <w:t>TongaHealth Interim Cash Grant Agreement #77023 Progress reports to DFAT (Jul-Dec 2022, Jan-Mar 2023, Apr-Jun 2023)</w:t>
      </w:r>
    </w:p>
    <w:p w14:paraId="31EF69E6" w14:textId="77777777" w:rsidR="00527E70" w:rsidRDefault="00527E70" w:rsidP="00DF166F">
      <w:pPr>
        <w:spacing w:line="276" w:lineRule="auto"/>
        <w:rPr>
          <w:rFonts w:cstheme="minorHAnsi"/>
        </w:rPr>
      </w:pPr>
      <w:r>
        <w:rPr>
          <w:rFonts w:cstheme="minorHAnsi"/>
        </w:rPr>
        <w:t>TongaHealth (2023) National NCD Committee meeting minutes, August 2023 meeting</w:t>
      </w:r>
    </w:p>
    <w:p w14:paraId="48BE74F8" w14:textId="688B9DE2" w:rsidR="00527E70" w:rsidRDefault="00527E70" w:rsidP="00DF166F">
      <w:pPr>
        <w:spacing w:line="276" w:lineRule="auto"/>
        <w:rPr>
          <w:rFonts w:cstheme="minorHAnsi"/>
        </w:rPr>
      </w:pPr>
      <w:r>
        <w:rPr>
          <w:rFonts w:cstheme="minorHAnsi"/>
        </w:rPr>
        <w:t xml:space="preserve">TongaHealth (2023) grant administration documents: grant proposal template, grant proposal assessment form, </w:t>
      </w:r>
      <w:r w:rsidR="00FF180C">
        <w:rPr>
          <w:rFonts w:cstheme="minorHAnsi"/>
        </w:rPr>
        <w:t>n</w:t>
      </w:r>
      <w:r>
        <w:rPr>
          <w:rFonts w:cstheme="minorHAnsi"/>
        </w:rPr>
        <w:t>arrative report template, progress and financial acquittal report template, grant reporting approval form, sponsorship guidelines and application form</w:t>
      </w:r>
    </w:p>
    <w:p w14:paraId="7971A963" w14:textId="77777777" w:rsidR="00527E70" w:rsidRDefault="00527E70" w:rsidP="00DF166F">
      <w:pPr>
        <w:tabs>
          <w:tab w:val="left" w:pos="2263"/>
        </w:tabs>
        <w:spacing w:line="276" w:lineRule="auto"/>
        <w:textAlignment w:val="baseline"/>
        <w:rPr>
          <w:rFonts w:eastAsia="Times New Roman" w:cstheme="minorHAnsi"/>
          <w:lang w:eastAsia="en-AU"/>
        </w:rPr>
      </w:pPr>
      <w:r>
        <w:rPr>
          <w:rFonts w:eastAsia="Times New Roman" w:cstheme="minorHAnsi"/>
          <w:lang w:eastAsia="en-AU"/>
        </w:rPr>
        <w:t>TongaHealth grants database – list of grantees FY21/22 to November 2023</w:t>
      </w:r>
    </w:p>
    <w:p w14:paraId="187C2178" w14:textId="77777777" w:rsidR="00527E70" w:rsidRPr="005E4323" w:rsidRDefault="00527E70" w:rsidP="00DF166F">
      <w:pPr>
        <w:tabs>
          <w:tab w:val="left" w:pos="2263"/>
        </w:tabs>
        <w:spacing w:line="276" w:lineRule="auto"/>
        <w:textAlignment w:val="baseline"/>
        <w:rPr>
          <w:rFonts w:eastAsia="Times New Roman" w:cstheme="minorHAnsi"/>
          <w:lang w:eastAsia="en-AU"/>
        </w:rPr>
      </w:pPr>
      <w:r>
        <w:rPr>
          <w:rFonts w:eastAsia="Times New Roman" w:cstheme="minorHAnsi"/>
          <w:lang w:eastAsia="en-AU"/>
        </w:rPr>
        <w:t>TongaHealth Reports to Board (May-Aug 2023, Sept-Oct 2023)</w:t>
      </w:r>
    </w:p>
    <w:p w14:paraId="0E0D9D1A" w14:textId="77777777" w:rsidR="00527E70" w:rsidRDefault="00527E70" w:rsidP="00DF166F">
      <w:pPr>
        <w:tabs>
          <w:tab w:val="left" w:pos="2263"/>
        </w:tabs>
        <w:spacing w:line="276" w:lineRule="auto"/>
        <w:rPr>
          <w:rFonts w:cstheme="minorHAnsi"/>
        </w:rPr>
      </w:pPr>
      <w:r>
        <w:rPr>
          <w:rFonts w:cstheme="minorHAnsi"/>
        </w:rPr>
        <w:t>TongaHealth (2023) Interim Cash Grant #77023 End of Agreement Report (Dec 21 – Jun 23) (draft)</w:t>
      </w:r>
    </w:p>
    <w:p w14:paraId="3B50B1A8" w14:textId="77777777" w:rsidR="00527E70" w:rsidRPr="00082AD9" w:rsidRDefault="00527E70" w:rsidP="00DF166F">
      <w:pPr>
        <w:tabs>
          <w:tab w:val="left" w:pos="2263"/>
        </w:tabs>
        <w:spacing w:line="276" w:lineRule="auto"/>
        <w:rPr>
          <w:rFonts w:cstheme="minorHAnsi"/>
        </w:rPr>
      </w:pPr>
      <w:r>
        <w:rPr>
          <w:rFonts w:cstheme="minorHAnsi"/>
        </w:rPr>
        <w:t>TongaHealth (2023) Annual Business Plan and Budget FY23/24</w:t>
      </w:r>
    </w:p>
    <w:p w14:paraId="5518BB3B" w14:textId="2222BB96" w:rsidR="00527E70" w:rsidRDefault="00527E70" w:rsidP="00DF166F">
      <w:pPr>
        <w:pStyle w:val="Heading4"/>
        <w:spacing w:line="276" w:lineRule="auto"/>
      </w:pPr>
      <w:r>
        <w:t>DFAT and THSSP3</w:t>
      </w:r>
    </w:p>
    <w:p w14:paraId="4273D741" w14:textId="77777777" w:rsidR="00527E70" w:rsidRDefault="00527E70" w:rsidP="00DF166F">
      <w:pPr>
        <w:spacing w:line="276" w:lineRule="auto"/>
        <w:rPr>
          <w:rFonts w:cstheme="minorHAnsi"/>
        </w:rPr>
      </w:pPr>
      <w:r>
        <w:rPr>
          <w:rFonts w:cstheme="minorHAnsi"/>
        </w:rPr>
        <w:t>Complex Grant Agreement between DFAT and TongaHealth #78186 May 2023</w:t>
      </w:r>
    </w:p>
    <w:p w14:paraId="43A0A981" w14:textId="77777777" w:rsidR="00527E70" w:rsidRDefault="00527E70" w:rsidP="00DF166F">
      <w:pPr>
        <w:spacing w:line="276" w:lineRule="auto"/>
        <w:rPr>
          <w:rFonts w:cstheme="minorHAnsi"/>
        </w:rPr>
      </w:pPr>
      <w:r>
        <w:rPr>
          <w:rFonts w:cstheme="minorHAnsi"/>
        </w:rPr>
        <w:t>THSSP3 (2023) Quarterly report to Health Systems Support Implementation Group Jul-Sept 2023</w:t>
      </w:r>
    </w:p>
    <w:p w14:paraId="0593908F" w14:textId="77777777" w:rsidR="00527E70" w:rsidRDefault="00527E70" w:rsidP="00DF166F">
      <w:pPr>
        <w:spacing w:line="276" w:lineRule="auto"/>
        <w:rPr>
          <w:rFonts w:cstheme="minorHAnsi"/>
        </w:rPr>
      </w:pPr>
      <w:r>
        <w:rPr>
          <w:rFonts w:cstheme="minorHAnsi"/>
        </w:rPr>
        <w:t>DFAT (2023) THSSP3 Investment Design Document</w:t>
      </w:r>
    </w:p>
    <w:p w14:paraId="091D777F" w14:textId="77777777" w:rsidR="00527E70" w:rsidRDefault="00527E70" w:rsidP="00DF166F">
      <w:pPr>
        <w:spacing w:line="276" w:lineRule="auto"/>
        <w:rPr>
          <w:rFonts w:cstheme="minorHAnsi"/>
        </w:rPr>
      </w:pPr>
      <w:r>
        <w:rPr>
          <w:rFonts w:cstheme="minorHAnsi"/>
        </w:rPr>
        <w:t>THSSP3 (2023) M&amp;E Plan (2023)</w:t>
      </w:r>
    </w:p>
    <w:p w14:paraId="4A7E09CB" w14:textId="77777777" w:rsidR="00527E70" w:rsidRDefault="00527E70" w:rsidP="00DF166F">
      <w:pPr>
        <w:spacing w:line="276" w:lineRule="auto"/>
        <w:rPr>
          <w:rFonts w:cstheme="minorHAnsi"/>
        </w:rPr>
      </w:pPr>
      <w:r>
        <w:rPr>
          <w:rFonts w:cstheme="minorHAnsi"/>
        </w:rPr>
        <w:t xml:space="preserve">THSSP3 (2023) Risk Register </w:t>
      </w:r>
    </w:p>
    <w:p w14:paraId="604A9599" w14:textId="77777777" w:rsidR="00527E70" w:rsidRDefault="00527E70" w:rsidP="00DF166F">
      <w:pPr>
        <w:spacing w:line="276" w:lineRule="auto"/>
        <w:rPr>
          <w:rFonts w:cstheme="minorHAnsi"/>
        </w:rPr>
      </w:pPr>
      <w:r>
        <w:rPr>
          <w:rFonts w:cstheme="minorHAnsi"/>
        </w:rPr>
        <w:t>THSSP3 (2023) Work Plan</w:t>
      </w:r>
    </w:p>
    <w:p w14:paraId="2859FB28" w14:textId="77777777" w:rsidR="00527E70" w:rsidRDefault="00527E70" w:rsidP="00DF166F">
      <w:pPr>
        <w:tabs>
          <w:tab w:val="left" w:pos="2263"/>
        </w:tabs>
        <w:spacing w:line="276" w:lineRule="auto"/>
        <w:rPr>
          <w:rFonts w:cstheme="minorHAnsi"/>
        </w:rPr>
      </w:pPr>
      <w:r>
        <w:rPr>
          <w:rFonts w:cstheme="minorHAnsi"/>
        </w:rPr>
        <w:t xml:space="preserve">THSSP3 (2023) Health Systems Support Implementation Group Terms of Reference </w:t>
      </w:r>
    </w:p>
    <w:p w14:paraId="03C729C2" w14:textId="059ADC23" w:rsidR="00527E70" w:rsidRDefault="00527E70" w:rsidP="00DF166F">
      <w:pPr>
        <w:pStyle w:val="Heading4"/>
        <w:spacing w:line="276" w:lineRule="auto"/>
        <w:rPr>
          <w:rFonts w:eastAsiaTheme="minorEastAsia"/>
          <w:color w:val="auto"/>
          <w:sz w:val="20"/>
          <w:szCs w:val="20"/>
        </w:rPr>
      </w:pPr>
      <w:r>
        <w:t>Government of Tonga</w:t>
      </w:r>
    </w:p>
    <w:p w14:paraId="7760FF0A" w14:textId="77777777" w:rsidR="00527E70" w:rsidRDefault="00527E70" w:rsidP="00DF166F">
      <w:pPr>
        <w:spacing w:line="276" w:lineRule="auto"/>
        <w:rPr>
          <w:rFonts w:cstheme="minorHAnsi"/>
        </w:rPr>
      </w:pPr>
      <w:r>
        <w:rPr>
          <w:rFonts w:eastAsia="Times New Roman" w:cstheme="minorHAnsi"/>
          <w:lang w:eastAsia="en-AU"/>
        </w:rPr>
        <w:t xml:space="preserve">Government of Tonga (2007) </w:t>
      </w:r>
      <w:r>
        <w:rPr>
          <w:rFonts w:cstheme="minorHAnsi"/>
        </w:rPr>
        <w:t xml:space="preserve">Health Promotion Act </w:t>
      </w:r>
    </w:p>
    <w:p w14:paraId="5F252D40" w14:textId="77777777" w:rsidR="00527E70" w:rsidRDefault="00527E70" w:rsidP="00DF166F">
      <w:pPr>
        <w:spacing w:line="276" w:lineRule="auto"/>
        <w:rPr>
          <w:rFonts w:cstheme="minorHAnsi"/>
        </w:rPr>
      </w:pPr>
      <w:r>
        <w:rPr>
          <w:rFonts w:cstheme="minorHAnsi"/>
        </w:rPr>
        <w:t>Government of Tonga (2020) Public Health Act (revised)</w:t>
      </w:r>
    </w:p>
    <w:p w14:paraId="3045CB97" w14:textId="77777777" w:rsidR="00527E70" w:rsidRPr="009D4665" w:rsidRDefault="00527E70" w:rsidP="00DF166F">
      <w:pPr>
        <w:tabs>
          <w:tab w:val="left" w:pos="2263"/>
        </w:tabs>
        <w:spacing w:line="276" w:lineRule="auto"/>
        <w:rPr>
          <w:rFonts w:cstheme="minorHAnsi"/>
        </w:rPr>
      </w:pPr>
      <w:r>
        <w:rPr>
          <w:rFonts w:cstheme="minorHAnsi"/>
        </w:rPr>
        <w:t>Ministry of Health (2021) National Strategy for the Prevention and Control on Non-communicable Diseases (2021-25)</w:t>
      </w:r>
    </w:p>
    <w:p w14:paraId="6BA879F3" w14:textId="77777777" w:rsidR="00527E70" w:rsidRDefault="00527E70" w:rsidP="00DF166F">
      <w:pPr>
        <w:pStyle w:val="Heading4"/>
        <w:spacing w:line="276" w:lineRule="auto"/>
        <w:rPr>
          <w:rFonts w:eastAsiaTheme="minorEastAsia"/>
          <w:color w:val="auto"/>
          <w:sz w:val="20"/>
          <w:szCs w:val="20"/>
        </w:rPr>
      </w:pPr>
      <w:r>
        <w:t>Other</w:t>
      </w:r>
    </w:p>
    <w:p w14:paraId="233DBD82" w14:textId="48DD44E2" w:rsidR="0018170F" w:rsidRDefault="00D96C71" w:rsidP="00DF166F">
      <w:pPr>
        <w:spacing w:line="276" w:lineRule="auto"/>
        <w:rPr>
          <w:rFonts w:cstheme="minorHAnsi"/>
        </w:rPr>
      </w:pPr>
      <w:r>
        <w:rPr>
          <w:rFonts w:cstheme="minorHAnsi"/>
        </w:rPr>
        <w:t xml:space="preserve">Civil Society Forum of Tonga (2020) An </w:t>
      </w:r>
      <w:r w:rsidR="00527E70">
        <w:rPr>
          <w:rFonts w:cstheme="minorHAnsi"/>
        </w:rPr>
        <w:t>evaluation</w:t>
      </w:r>
      <w:r>
        <w:rPr>
          <w:rFonts w:cstheme="minorHAnsi"/>
        </w:rPr>
        <w:t xml:space="preserve"> of the Tuku </w:t>
      </w:r>
      <w:proofErr w:type="spellStart"/>
      <w:r>
        <w:rPr>
          <w:rFonts w:cstheme="minorHAnsi"/>
        </w:rPr>
        <w:t>Ifi</w:t>
      </w:r>
      <w:proofErr w:type="spellEnd"/>
      <w:r>
        <w:rPr>
          <w:rFonts w:cstheme="minorHAnsi"/>
        </w:rPr>
        <w:t xml:space="preserve"> </w:t>
      </w:r>
      <w:proofErr w:type="spellStart"/>
      <w:r>
        <w:rPr>
          <w:rFonts w:cstheme="minorHAnsi"/>
        </w:rPr>
        <w:t>Levu</w:t>
      </w:r>
      <w:proofErr w:type="spellEnd"/>
      <w:r>
        <w:rPr>
          <w:rFonts w:cstheme="minorHAnsi"/>
        </w:rPr>
        <w:t xml:space="preserve"> 2020 anti-tobacco mass media campaign in the Kingdom of Tonga</w:t>
      </w:r>
    </w:p>
    <w:p w14:paraId="36DE607A" w14:textId="622543EC" w:rsidR="0018170F" w:rsidRDefault="00875B06" w:rsidP="00DF166F">
      <w:pPr>
        <w:tabs>
          <w:tab w:val="left" w:pos="2263"/>
        </w:tabs>
        <w:spacing w:line="276" w:lineRule="auto"/>
        <w:textAlignment w:val="baseline"/>
        <w:rPr>
          <w:rFonts w:eastAsia="Times New Roman" w:cstheme="minorHAnsi"/>
          <w:lang w:eastAsia="en-AU"/>
        </w:rPr>
      </w:pPr>
      <w:r>
        <w:rPr>
          <w:rFonts w:eastAsia="Times New Roman" w:cstheme="minorHAnsi"/>
          <w:lang w:eastAsia="en-AU"/>
        </w:rPr>
        <w:t>World Bank (2021) Tonga Social Behavior Change Communication Strategy and Action Plan</w:t>
      </w:r>
    </w:p>
    <w:p w14:paraId="434082FF" w14:textId="5854C04E" w:rsidR="006F5B77" w:rsidRDefault="006F5B77" w:rsidP="00DF166F">
      <w:pPr>
        <w:tabs>
          <w:tab w:val="left" w:pos="2263"/>
        </w:tabs>
        <w:spacing w:line="276" w:lineRule="auto"/>
        <w:textAlignment w:val="baseline"/>
        <w:rPr>
          <w:rFonts w:eastAsia="Times New Roman" w:cstheme="minorHAnsi"/>
          <w:lang w:eastAsia="en-AU"/>
        </w:rPr>
      </w:pPr>
      <w:r>
        <w:rPr>
          <w:rFonts w:eastAsia="Times New Roman" w:cstheme="minorHAnsi"/>
          <w:lang w:eastAsia="en-AU"/>
        </w:rPr>
        <w:lastRenderedPageBreak/>
        <w:t xml:space="preserve">Mai e Nima (2021) </w:t>
      </w:r>
      <w:r w:rsidR="003C213A">
        <w:rPr>
          <w:rFonts w:eastAsia="Times New Roman" w:cstheme="minorHAnsi"/>
          <w:lang w:eastAsia="en-AU"/>
        </w:rPr>
        <w:t>5-year</w:t>
      </w:r>
      <w:r>
        <w:rPr>
          <w:rFonts w:eastAsia="Times New Roman" w:cstheme="minorHAnsi"/>
          <w:lang w:eastAsia="en-AU"/>
        </w:rPr>
        <w:t xml:space="preserve"> Strategic Plan</w:t>
      </w:r>
    </w:p>
    <w:p w14:paraId="52224697" w14:textId="01C15FD5" w:rsidR="006F5B77" w:rsidRDefault="006F5B77" w:rsidP="00DF166F">
      <w:pPr>
        <w:tabs>
          <w:tab w:val="left" w:pos="2263"/>
        </w:tabs>
        <w:spacing w:line="276" w:lineRule="auto"/>
        <w:textAlignment w:val="baseline"/>
        <w:rPr>
          <w:rFonts w:eastAsia="Times New Roman" w:cstheme="minorHAnsi"/>
          <w:lang w:eastAsia="en-AU"/>
        </w:rPr>
      </w:pPr>
      <w:r>
        <w:rPr>
          <w:rFonts w:eastAsia="Times New Roman" w:cstheme="minorHAnsi"/>
          <w:lang w:eastAsia="en-AU"/>
        </w:rPr>
        <w:t>Mai e Nima (2022) Report to school principals</w:t>
      </w:r>
    </w:p>
    <w:p w14:paraId="17A82F1E" w14:textId="24E84695" w:rsidR="004874A0" w:rsidRDefault="00EE02CC" w:rsidP="00DF166F">
      <w:pPr>
        <w:spacing w:line="276" w:lineRule="auto"/>
        <w:rPr>
          <w:rFonts w:cstheme="minorHAnsi"/>
        </w:rPr>
      </w:pPr>
      <w:r>
        <w:rPr>
          <w:rFonts w:eastAsia="Times New Roman" w:cstheme="minorHAnsi"/>
          <w:lang w:eastAsia="en-AU"/>
        </w:rPr>
        <w:t>Specialist Health Service (2019)</w:t>
      </w:r>
      <w:r w:rsidR="000C79AB">
        <w:rPr>
          <w:rFonts w:eastAsia="Times New Roman" w:cstheme="minorHAnsi"/>
          <w:lang w:eastAsia="en-AU"/>
        </w:rPr>
        <w:t xml:space="preserve"> </w:t>
      </w:r>
      <w:r w:rsidR="0018170F">
        <w:rPr>
          <w:rFonts w:cstheme="minorHAnsi"/>
        </w:rPr>
        <w:t>THSSP2 Mid Term Review</w:t>
      </w:r>
    </w:p>
    <w:p w14:paraId="4B4A13C6" w14:textId="2498153D" w:rsidR="004874A0" w:rsidRDefault="004874A0" w:rsidP="00962FBE">
      <w:pPr>
        <w:pStyle w:val="Heading2"/>
        <w:spacing w:line="276" w:lineRule="auto"/>
      </w:pPr>
      <w:r>
        <w:rPr>
          <w:rFonts w:cstheme="minorHAnsi"/>
        </w:rPr>
        <w:br w:type="column"/>
      </w:r>
      <w:bookmarkStart w:id="62" w:name="_Toc92873349"/>
      <w:bookmarkStart w:id="63" w:name="_Toc148556353"/>
      <w:bookmarkStart w:id="64" w:name="_Ref151473954"/>
      <w:bookmarkStart w:id="65" w:name="_Toc153899674"/>
      <w:r w:rsidRPr="006D50BA">
        <w:lastRenderedPageBreak/>
        <w:t>List of</w:t>
      </w:r>
      <w:r>
        <w:t xml:space="preserve"> interviewees</w:t>
      </w:r>
      <w:bookmarkEnd w:id="62"/>
      <w:bookmarkEnd w:id="63"/>
      <w:bookmarkEnd w:id="64"/>
      <w:bookmarkEnd w:id="65"/>
    </w:p>
    <w:p w14:paraId="13D25973" w14:textId="1661FFA2" w:rsidR="00FA3B41" w:rsidRPr="00FA3B41" w:rsidRDefault="00FA3B41" w:rsidP="00FA3B41">
      <w:pPr>
        <w:rPr>
          <w:rFonts w:eastAsia="Times New Roman" w:cstheme="minorHAnsi"/>
          <w:b/>
          <w:bCs/>
          <w:color w:val="000000"/>
          <w:bdr w:val="none" w:sz="0" w:space="0" w:color="auto" w:frame="1"/>
          <w:lang w:eastAsia="en-AU"/>
        </w:rPr>
      </w:pPr>
      <w:r w:rsidRPr="00FA3B41">
        <w:rPr>
          <w:rFonts w:eastAsia="Times New Roman" w:cstheme="minorHAnsi"/>
          <w:b/>
          <w:bCs/>
          <w:color w:val="000000"/>
          <w:bdr w:val="none" w:sz="0" w:space="0" w:color="auto" w:frame="1"/>
          <w:lang w:eastAsia="en-AU"/>
        </w:rPr>
        <w:t>DFAT, TASP and THSSP3 </w:t>
      </w:r>
    </w:p>
    <w:p w14:paraId="27EA31D5" w14:textId="7CD5E015"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FA3B41">
        <w:rPr>
          <w:rFonts w:eastAsia="Times New Roman" w:cstheme="minorHAnsi"/>
          <w:color w:val="000000"/>
          <w:bdr w:val="none" w:sz="0" w:space="0" w:color="auto" w:frame="1"/>
          <w:lang w:eastAsia="en-AU"/>
        </w:rPr>
        <w:t>Shelly Thompson, First Secretary, Development, Individual </w:t>
      </w:r>
    </w:p>
    <w:p w14:paraId="63166B66" w14:textId="6649E0C2"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FA3B41">
        <w:rPr>
          <w:rFonts w:eastAsia="Times New Roman" w:cstheme="minorHAnsi"/>
          <w:color w:val="000000"/>
          <w:bdr w:val="none" w:sz="0" w:space="0" w:color="auto" w:frame="1"/>
          <w:lang w:eastAsia="en-AU"/>
        </w:rPr>
        <w:t>Ms</w:t>
      </w:r>
      <w:proofErr w:type="spellEnd"/>
      <w:r w:rsidRPr="00FA3B41">
        <w:rPr>
          <w:rFonts w:eastAsia="Times New Roman" w:cstheme="minorHAnsi"/>
          <w:color w:val="000000"/>
          <w:bdr w:val="none" w:sz="0" w:space="0" w:color="auto" w:frame="1"/>
          <w:lang w:eastAsia="en-AU"/>
        </w:rPr>
        <w:t xml:space="preserve"> Latu </w:t>
      </w:r>
      <w:proofErr w:type="spellStart"/>
      <w:r w:rsidRPr="00FA3B41">
        <w:rPr>
          <w:rFonts w:eastAsia="Times New Roman" w:cstheme="minorHAnsi"/>
          <w:color w:val="000000"/>
          <w:bdr w:val="none" w:sz="0" w:space="0" w:color="auto" w:frame="1"/>
          <w:lang w:eastAsia="en-AU"/>
        </w:rPr>
        <w:t>Fusimalohi</w:t>
      </w:r>
      <w:proofErr w:type="spellEnd"/>
      <w:r w:rsidRPr="00FA3B41">
        <w:rPr>
          <w:rFonts w:eastAsia="Times New Roman" w:cstheme="minorHAnsi"/>
          <w:color w:val="000000"/>
          <w:bdr w:val="none" w:sz="0" w:space="0" w:color="auto" w:frame="1"/>
          <w:lang w:eastAsia="en-AU"/>
        </w:rPr>
        <w:t>, Program Manager, Health &amp; WASH, Individual   </w:t>
      </w:r>
    </w:p>
    <w:p w14:paraId="3AE54CD1" w14:textId="1F1A7329"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FA3B41">
        <w:rPr>
          <w:rFonts w:eastAsia="Times New Roman" w:cstheme="minorHAnsi"/>
          <w:color w:val="000000"/>
          <w:bdr w:val="none" w:sz="0" w:space="0" w:color="auto" w:frame="1"/>
          <w:lang w:eastAsia="en-AU"/>
        </w:rPr>
        <w:t>‘</w:t>
      </w:r>
      <w:proofErr w:type="spellStart"/>
      <w:r w:rsidRPr="00FA3B41">
        <w:rPr>
          <w:rFonts w:eastAsia="Times New Roman" w:cstheme="minorHAnsi"/>
          <w:color w:val="000000"/>
          <w:bdr w:val="none" w:sz="0" w:space="0" w:color="auto" w:frame="1"/>
          <w:lang w:eastAsia="en-AU"/>
        </w:rPr>
        <w:t>Ofa</w:t>
      </w:r>
      <w:proofErr w:type="spellEnd"/>
      <w:r w:rsidRPr="00FA3B41">
        <w:rPr>
          <w:rFonts w:eastAsia="Times New Roman" w:cstheme="minorHAnsi"/>
          <w:color w:val="000000"/>
          <w:bdr w:val="none" w:sz="0" w:space="0" w:color="auto" w:frame="1"/>
          <w:lang w:eastAsia="en-AU"/>
        </w:rPr>
        <w:t xml:space="preserve"> Mafi, Finance Manager AHC, Individual   </w:t>
      </w:r>
    </w:p>
    <w:p w14:paraId="1C7D365C" w14:textId="096CF058"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FA3B41">
        <w:rPr>
          <w:rFonts w:eastAsia="Times New Roman" w:cstheme="minorHAnsi"/>
          <w:color w:val="000000"/>
          <w:bdr w:val="none" w:sz="0" w:space="0" w:color="auto" w:frame="1"/>
          <w:lang w:eastAsia="en-AU"/>
        </w:rPr>
        <w:t>Clare Whelan, THSSP3 Team Leader/Lead Adviser, Individual   </w:t>
      </w:r>
    </w:p>
    <w:p w14:paraId="4FA4D44A" w14:textId="39FF27A4" w:rsidR="00FA3B41" w:rsidRPr="00FA3B41" w:rsidRDefault="00FA3B41" w:rsidP="00FA3B41">
      <w:pPr>
        <w:spacing w:line="240" w:lineRule="auto"/>
        <w:rPr>
          <w:rFonts w:eastAsia="Times New Roman" w:cstheme="minorHAnsi"/>
          <w:b/>
          <w:bCs/>
          <w:color w:val="000000"/>
          <w:bdr w:val="none" w:sz="0" w:space="0" w:color="auto" w:frame="1"/>
          <w:lang w:eastAsia="en-AU"/>
        </w:rPr>
      </w:pPr>
      <w:r w:rsidRPr="00FA3B41">
        <w:rPr>
          <w:rFonts w:eastAsia="Times New Roman" w:cstheme="minorHAnsi"/>
          <w:b/>
          <w:bCs/>
          <w:color w:val="000000"/>
          <w:bdr w:val="none" w:sz="0" w:space="0" w:color="auto" w:frame="1"/>
          <w:lang w:eastAsia="en-AU"/>
        </w:rPr>
        <w:t xml:space="preserve">TongaHealth - </w:t>
      </w:r>
      <w:proofErr w:type="spellStart"/>
      <w:r w:rsidRPr="00FA3B41">
        <w:rPr>
          <w:rFonts w:eastAsia="Times New Roman" w:cstheme="minorHAnsi"/>
          <w:b/>
          <w:bCs/>
          <w:color w:val="000000"/>
          <w:bdr w:val="none" w:sz="0" w:space="0" w:color="auto" w:frame="1"/>
          <w:lang w:eastAsia="en-AU"/>
        </w:rPr>
        <w:t>Tongatapu</w:t>
      </w:r>
      <w:proofErr w:type="spellEnd"/>
      <w:r w:rsidRPr="00FA3B41">
        <w:rPr>
          <w:rFonts w:eastAsia="Times New Roman" w:cstheme="minorHAnsi"/>
          <w:b/>
          <w:bCs/>
          <w:color w:val="000000"/>
          <w:bdr w:val="none" w:sz="0" w:space="0" w:color="auto" w:frame="1"/>
          <w:lang w:eastAsia="en-AU"/>
        </w:rPr>
        <w:t xml:space="preserve"> based </w:t>
      </w:r>
      <w:proofErr w:type="gramStart"/>
      <w:r w:rsidRPr="00FA3B41">
        <w:rPr>
          <w:rFonts w:eastAsia="Times New Roman" w:cstheme="minorHAnsi"/>
          <w:b/>
          <w:bCs/>
          <w:color w:val="000000"/>
          <w:bdr w:val="none" w:sz="0" w:space="0" w:color="auto" w:frame="1"/>
          <w:lang w:eastAsia="en-AU"/>
        </w:rPr>
        <w:t>staff</w:t>
      </w:r>
      <w:proofErr w:type="gramEnd"/>
      <w:r w:rsidRPr="00FA3B41">
        <w:rPr>
          <w:rFonts w:eastAsia="Times New Roman" w:cstheme="minorHAnsi"/>
          <w:b/>
          <w:bCs/>
          <w:color w:val="000000"/>
          <w:bdr w:val="none" w:sz="0" w:space="0" w:color="auto" w:frame="1"/>
          <w:lang w:eastAsia="en-AU"/>
        </w:rPr>
        <w:t> </w:t>
      </w:r>
    </w:p>
    <w:p w14:paraId="08CE53C9" w14:textId="2AEC7B61"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w:t>
      </w:r>
      <w:proofErr w:type="spellStart"/>
      <w:r w:rsidRPr="0083133E">
        <w:rPr>
          <w:rFonts w:eastAsia="Times New Roman" w:cstheme="minorHAnsi"/>
          <w:color w:val="000000"/>
          <w:bdr w:val="none" w:sz="0" w:space="0" w:color="auto" w:frame="1"/>
          <w:lang w:eastAsia="en-AU"/>
        </w:rPr>
        <w:t>Ofeina</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Filimoehala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CEO</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30CCAA06" w14:textId="1BBE9F6C"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Joana Fili</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Program Manager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46DFD42C" w14:textId="54D9D6EB"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Losaline</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Fonua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Finance Manager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3EB4CE42" w14:textId="5819C42F"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Viliami</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Mahe</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Senior M&amp;E Officer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6C9DF167" w14:textId="3AEAE899"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Tu’ilautala</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Ma’u</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Program Officer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79ECDBA7" w14:textId="3A121935"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CC3E7E">
        <w:rPr>
          <w:rFonts w:eastAsia="Times New Roman" w:cstheme="minorHAnsi"/>
          <w:color w:val="000000"/>
          <w:bdr w:val="none" w:sz="0" w:space="0" w:color="auto" w:frame="1"/>
          <w:lang w:eastAsia="en-AU"/>
        </w:rPr>
        <w:t xml:space="preserve">Tupou </w:t>
      </w:r>
      <w:proofErr w:type="spellStart"/>
      <w:r w:rsidRPr="00CC3E7E">
        <w:rPr>
          <w:rFonts w:eastAsia="Times New Roman" w:cstheme="minorHAnsi"/>
          <w:color w:val="000000"/>
          <w:bdr w:val="none" w:sz="0" w:space="0" w:color="auto" w:frame="1"/>
          <w:lang w:eastAsia="en-AU"/>
        </w:rPr>
        <w:t>Ma’asi</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Program Officer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6FD482FF" w14:textId="00B1DBC0"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Karen </w:t>
      </w:r>
      <w:proofErr w:type="spellStart"/>
      <w:r w:rsidRPr="0083133E">
        <w:rPr>
          <w:rFonts w:eastAsia="Times New Roman" w:cstheme="minorHAnsi"/>
          <w:color w:val="000000"/>
          <w:bdr w:val="none" w:sz="0" w:space="0" w:color="auto" w:frame="1"/>
          <w:lang w:eastAsia="en-AU"/>
        </w:rPr>
        <w:t>Fukofuka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NCD Adviser/THSSP3 TASP Health Pillar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3082FF06" w14:textId="3C4CB354"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Linda </w:t>
      </w:r>
      <w:proofErr w:type="spellStart"/>
      <w:r w:rsidRPr="0083133E">
        <w:rPr>
          <w:rFonts w:eastAsia="Times New Roman" w:cstheme="minorHAnsi"/>
          <w:color w:val="000000"/>
          <w:bdr w:val="none" w:sz="0" w:space="0" w:color="auto" w:frame="1"/>
          <w:lang w:eastAsia="en-AU"/>
        </w:rPr>
        <w:t>Helu</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TH Officer, ‘</w:t>
      </w:r>
      <w:proofErr w:type="spellStart"/>
      <w:r w:rsidRPr="0083133E">
        <w:rPr>
          <w:rFonts w:eastAsia="Times New Roman" w:cstheme="minorHAnsi"/>
          <w:color w:val="000000"/>
          <w:bdr w:val="none" w:sz="0" w:space="0" w:color="auto" w:frame="1"/>
          <w:lang w:eastAsia="en-AU"/>
        </w:rPr>
        <w:t>Eua</w:t>
      </w:r>
      <w:proofErr w:type="spellEnd"/>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733B8FBE" w14:textId="788E6D06"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Silivia</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Tukutau</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 xml:space="preserve">TH Officer, </w:t>
      </w:r>
      <w:proofErr w:type="spellStart"/>
      <w:r w:rsidRPr="0083133E">
        <w:rPr>
          <w:rFonts w:eastAsia="Times New Roman" w:cstheme="minorHAnsi"/>
          <w:color w:val="000000"/>
          <w:bdr w:val="none" w:sz="0" w:space="0" w:color="auto" w:frame="1"/>
          <w:lang w:eastAsia="en-AU"/>
        </w:rPr>
        <w:t>Ha’apai</w:t>
      </w:r>
      <w:proofErr w:type="spellEnd"/>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4C16A732" w14:textId="2C481CB8" w:rsidR="00FA3B41" w:rsidRDefault="00FA3B41" w:rsidP="00FA3B41">
      <w:pPr>
        <w:spacing w:line="240" w:lineRule="auto"/>
        <w:rPr>
          <w:rFonts w:eastAsia="Times New Roman" w:cstheme="minorHAnsi"/>
          <w:b/>
          <w:bCs/>
          <w:color w:val="000000"/>
          <w:bdr w:val="none" w:sz="0" w:space="0" w:color="auto" w:frame="1"/>
          <w:lang w:eastAsia="en-AU"/>
        </w:rPr>
      </w:pPr>
      <w:r w:rsidRPr="00FA3B41">
        <w:rPr>
          <w:rFonts w:eastAsia="Times New Roman" w:cstheme="minorHAnsi"/>
          <w:b/>
          <w:bCs/>
          <w:color w:val="000000"/>
          <w:bdr w:val="none" w:sz="0" w:space="0" w:color="auto" w:frame="1"/>
          <w:lang w:eastAsia="en-AU"/>
        </w:rPr>
        <w:t>TongaHealth Board Members </w:t>
      </w:r>
    </w:p>
    <w:p w14:paraId="4037871C" w14:textId="5788FFBD"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Elder </w:t>
      </w:r>
      <w:proofErr w:type="spellStart"/>
      <w:r w:rsidRPr="0083133E">
        <w:rPr>
          <w:rFonts w:eastAsia="Times New Roman" w:cstheme="minorHAnsi"/>
          <w:color w:val="000000"/>
          <w:bdr w:val="none" w:sz="0" w:space="0" w:color="auto" w:frame="1"/>
          <w:lang w:eastAsia="en-AU"/>
        </w:rPr>
        <w:t>Sione</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Tuione</w:t>
      </w:r>
      <w:proofErr w:type="spellEnd"/>
      <w:r w:rsidRPr="0083133E">
        <w:rPr>
          <w:rFonts w:eastAsia="Times New Roman" w:cstheme="minorHAnsi"/>
          <w:color w:val="000000"/>
          <w:bdr w:val="none" w:sz="0" w:space="0" w:color="auto" w:frame="1"/>
          <w:lang w:eastAsia="en-AU"/>
        </w:rPr>
        <w:t xml:space="preserve"> (Chair)</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LDS Church Leader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0E6BBFF2" w14:textId="29677E24"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Sr. </w:t>
      </w:r>
      <w:proofErr w:type="spellStart"/>
      <w:r w:rsidRPr="0083133E">
        <w:rPr>
          <w:rFonts w:eastAsia="Times New Roman" w:cstheme="minorHAnsi"/>
          <w:color w:val="000000"/>
          <w:bdr w:val="none" w:sz="0" w:space="0" w:color="auto" w:frame="1"/>
          <w:lang w:eastAsia="en-AU"/>
        </w:rPr>
        <w:t>Tilema</w:t>
      </w:r>
      <w:proofErr w:type="spellEnd"/>
      <w:r w:rsidRPr="0083133E">
        <w:rPr>
          <w:rFonts w:eastAsia="Times New Roman" w:cstheme="minorHAnsi"/>
          <w:color w:val="000000"/>
          <w:bdr w:val="none" w:sz="0" w:space="0" w:color="auto" w:frame="1"/>
          <w:lang w:eastAsia="en-AU"/>
        </w:rPr>
        <w:t xml:space="preserve"> Cama</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Dean Health Science Faculty, Tonga National University (Health Expert Representative, TongaHealth Board)</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331A2D4B" w14:textId="0B80937C" w:rsidR="00FA3B41" w:rsidRDefault="00FA3B41" w:rsidP="00FA3B41">
      <w:pPr>
        <w:spacing w:line="240" w:lineRule="auto"/>
        <w:rPr>
          <w:rFonts w:eastAsia="Times New Roman" w:cstheme="minorHAnsi"/>
          <w:b/>
          <w:bCs/>
          <w:color w:val="000000"/>
          <w:bdr w:val="none" w:sz="0" w:space="0" w:color="auto" w:frame="1"/>
          <w:lang w:eastAsia="en-AU"/>
        </w:rPr>
      </w:pPr>
      <w:r w:rsidRPr="00FA3B41">
        <w:rPr>
          <w:rFonts w:eastAsia="Times New Roman" w:cstheme="minorHAnsi"/>
          <w:b/>
          <w:bCs/>
          <w:color w:val="000000"/>
          <w:bdr w:val="none" w:sz="0" w:space="0" w:color="auto" w:frame="1"/>
          <w:lang w:eastAsia="en-AU"/>
        </w:rPr>
        <w:t>MoH Key Counterparts </w:t>
      </w:r>
    </w:p>
    <w:p w14:paraId="15A3FEEB" w14:textId="32D934BC"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Dr </w:t>
      </w:r>
      <w:proofErr w:type="spellStart"/>
      <w:r w:rsidRPr="0083133E">
        <w:rPr>
          <w:rFonts w:eastAsia="Times New Roman" w:cstheme="minorHAnsi"/>
          <w:color w:val="000000"/>
          <w:bdr w:val="none" w:sz="0" w:space="0" w:color="auto" w:frame="1"/>
          <w:lang w:eastAsia="en-AU"/>
        </w:rPr>
        <w:t>Ofa</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Sanft</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Tukia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Acting Chief Medical officer, Public Health</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388EB088" w14:textId="7FF28E53"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Tinalasa</w:t>
      </w:r>
      <w:proofErr w:type="spellEnd"/>
      <w:r w:rsidRPr="0083133E">
        <w:rPr>
          <w:rFonts w:eastAsia="Times New Roman" w:cstheme="minorHAnsi"/>
          <w:color w:val="000000"/>
          <w:bdr w:val="none" w:sz="0" w:space="0" w:color="auto" w:frame="1"/>
          <w:lang w:eastAsia="en-AU"/>
        </w:rPr>
        <w:t xml:space="preserve"> Vunipola</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Senior Health promotion Officer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274E4169" w14:textId="6A843ED5"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Dr Reynold </w:t>
      </w:r>
      <w:proofErr w:type="spellStart"/>
      <w:r w:rsidRPr="0083133E">
        <w:rPr>
          <w:rFonts w:eastAsia="Times New Roman" w:cstheme="minorHAnsi"/>
          <w:color w:val="000000"/>
          <w:bdr w:val="none" w:sz="0" w:space="0" w:color="auto" w:frame="1"/>
          <w:lang w:eastAsia="en-AU"/>
        </w:rPr>
        <w:t>Ofanoa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CEO MoH, and former TongaHealth Board Member</w:t>
      </w:r>
      <w:r>
        <w:rPr>
          <w:rFonts w:eastAsia="Times New Roman" w:cstheme="minorHAnsi"/>
          <w:color w:val="000000"/>
          <w:bdr w:val="none" w:sz="0" w:space="0" w:color="auto" w:frame="1"/>
          <w:lang w:eastAsia="en-AU"/>
        </w:rPr>
        <w:t xml:space="preserve">, </w:t>
      </w:r>
      <w:r w:rsidRPr="00FA3B41">
        <w:rPr>
          <w:rFonts w:eastAsia="Times New Roman" w:cstheme="minorHAnsi"/>
          <w:color w:val="000000"/>
          <w:bdr w:val="none" w:sz="0" w:space="0" w:color="auto" w:frame="1"/>
          <w:lang w:eastAsia="en-AU"/>
        </w:rPr>
        <w:t>Individual</w:t>
      </w:r>
      <w:r w:rsidRPr="0083133E">
        <w:rPr>
          <w:rFonts w:eastAsia="Times New Roman" w:cstheme="minorHAnsi"/>
          <w:color w:val="000000"/>
          <w:bdr w:val="none" w:sz="0" w:space="0" w:color="auto" w:frame="1"/>
          <w:lang w:eastAsia="en-AU"/>
        </w:rPr>
        <w:t>      </w:t>
      </w:r>
    </w:p>
    <w:p w14:paraId="0F4E0B14" w14:textId="6887BFDB" w:rsidR="00FA3B41" w:rsidRPr="00FA3B41" w:rsidRDefault="00FA3B41" w:rsidP="00FA3B41">
      <w:pPr>
        <w:spacing w:line="240" w:lineRule="auto"/>
        <w:rPr>
          <w:rFonts w:eastAsia="Times New Roman" w:cstheme="minorHAnsi"/>
          <w:b/>
          <w:bCs/>
          <w:color w:val="000000"/>
          <w:bdr w:val="none" w:sz="0" w:space="0" w:color="auto" w:frame="1"/>
          <w:lang w:eastAsia="en-AU"/>
        </w:rPr>
      </w:pPr>
      <w:r w:rsidRPr="00FA3B41">
        <w:rPr>
          <w:rFonts w:eastAsia="Times New Roman" w:cstheme="minorHAnsi"/>
          <w:b/>
          <w:bCs/>
          <w:color w:val="000000"/>
          <w:bdr w:val="none" w:sz="0" w:space="0" w:color="auto" w:frame="1"/>
          <w:lang w:eastAsia="en-AU"/>
        </w:rPr>
        <w:t>Grantees</w:t>
      </w:r>
      <w:r>
        <w:rPr>
          <w:rFonts w:eastAsia="Times New Roman" w:cstheme="minorHAnsi"/>
          <w:b/>
          <w:bCs/>
          <w:color w:val="000000"/>
          <w:bdr w:val="none" w:sz="0" w:space="0" w:color="auto" w:frame="1"/>
          <w:lang w:eastAsia="en-AU"/>
        </w:rPr>
        <w:t xml:space="preserve"> (group interviews)</w:t>
      </w:r>
    </w:p>
    <w:p w14:paraId="263018B2" w14:textId="4D14FA8E"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Dr </w:t>
      </w:r>
      <w:proofErr w:type="spellStart"/>
      <w:r w:rsidRPr="0083133E">
        <w:rPr>
          <w:rFonts w:eastAsia="Times New Roman" w:cstheme="minorHAnsi"/>
          <w:color w:val="000000"/>
          <w:bdr w:val="none" w:sz="0" w:space="0" w:color="auto" w:frame="1"/>
          <w:lang w:eastAsia="en-AU"/>
        </w:rPr>
        <w:t>Viliami</w:t>
      </w:r>
      <w:proofErr w:type="spellEnd"/>
      <w:r w:rsidRPr="0083133E">
        <w:rPr>
          <w:rFonts w:eastAsia="Times New Roman" w:cstheme="minorHAnsi"/>
          <w:color w:val="000000"/>
          <w:bdr w:val="none" w:sz="0" w:space="0" w:color="auto" w:frame="1"/>
          <w:lang w:eastAsia="en-AU"/>
        </w:rPr>
        <w:t xml:space="preserve"> Manu</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CEO, Ministry Agriculture, Food and Forestry</w:t>
      </w:r>
    </w:p>
    <w:p w14:paraId="7B1F55E0" w14:textId="7CD42263"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Annelise </w:t>
      </w:r>
      <w:proofErr w:type="spellStart"/>
      <w:r w:rsidRPr="0083133E">
        <w:rPr>
          <w:rFonts w:eastAsia="Times New Roman" w:cstheme="minorHAnsi"/>
          <w:color w:val="000000"/>
          <w:bdr w:val="none" w:sz="0" w:space="0" w:color="auto" w:frame="1"/>
          <w:lang w:eastAsia="en-AU"/>
        </w:rPr>
        <w:t>Halafili</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Food Division, MAFF</w:t>
      </w:r>
    </w:p>
    <w:p w14:paraId="27118921" w14:textId="77777777" w:rsidR="00FA3B41" w:rsidRDefault="00FA3B41" w:rsidP="0039152B">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FA3B41">
        <w:rPr>
          <w:rFonts w:eastAsia="Times New Roman" w:cstheme="minorHAnsi"/>
          <w:color w:val="000000"/>
          <w:bdr w:val="none" w:sz="0" w:space="0" w:color="auto" w:frame="1"/>
          <w:lang w:eastAsia="en-AU"/>
        </w:rPr>
        <w:t>Asena</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Foliaki-Fa’anunu</w:t>
      </w:r>
      <w:proofErr w:type="spellEnd"/>
      <w:r w:rsidRPr="00FA3B41">
        <w:rPr>
          <w:rFonts w:eastAsia="Times New Roman" w:cstheme="minorHAnsi"/>
          <w:color w:val="000000"/>
          <w:bdr w:val="none" w:sz="0" w:space="0" w:color="auto" w:frame="1"/>
          <w:lang w:eastAsia="en-AU"/>
        </w:rPr>
        <w:t>, Food Division, MAFF</w:t>
      </w:r>
    </w:p>
    <w:p w14:paraId="36135E6A" w14:textId="2EE8765D" w:rsidR="00FA3B41" w:rsidRPr="00FA3B41" w:rsidRDefault="00FA3B41" w:rsidP="0039152B">
      <w:pPr>
        <w:pStyle w:val="ListParagraph"/>
        <w:numPr>
          <w:ilvl w:val="0"/>
          <w:numId w:val="47"/>
        </w:numPr>
        <w:spacing w:line="240" w:lineRule="auto"/>
        <w:rPr>
          <w:rFonts w:eastAsia="Times New Roman" w:cstheme="minorHAnsi"/>
          <w:color w:val="000000"/>
          <w:bdr w:val="none" w:sz="0" w:space="0" w:color="auto" w:frame="1"/>
          <w:lang w:eastAsia="en-AU"/>
        </w:rPr>
      </w:pPr>
      <w:r w:rsidRPr="00FA3B41">
        <w:rPr>
          <w:rFonts w:eastAsia="Times New Roman" w:cstheme="minorHAnsi"/>
          <w:color w:val="000000"/>
          <w:bdr w:val="none" w:sz="0" w:space="0" w:color="auto" w:frame="1"/>
          <w:lang w:eastAsia="en-AU"/>
        </w:rPr>
        <w:t>Charles Kato, Livestock Division, MAFF</w:t>
      </w:r>
    </w:p>
    <w:p w14:paraId="7FFD995B" w14:textId="6DCE0A2F"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Poasi</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Ngaluafe</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Acting CEO, Ministry of Fisheries  </w:t>
      </w:r>
    </w:p>
    <w:p w14:paraId="3D938648" w14:textId="34EA7A45"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Sioeli</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Afu</w:t>
      </w:r>
      <w:proofErr w:type="spellEnd"/>
      <w:r w:rsidRPr="0083133E">
        <w:rPr>
          <w:rFonts w:eastAsia="Times New Roman" w:cstheme="minorHAnsi"/>
          <w:color w:val="000000"/>
          <w:bdr w:val="none" w:sz="0" w:space="0" w:color="auto" w:frame="1"/>
          <w:lang w:eastAsia="en-AU"/>
        </w:rPr>
        <w:t> Fisheries Officer  </w:t>
      </w:r>
    </w:p>
    <w:p w14:paraId="743461D6" w14:textId="7777777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Domidilla</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Batidreu</w:t>
      </w:r>
      <w:proofErr w:type="spellEnd"/>
      <w:r>
        <w:rPr>
          <w:rFonts w:eastAsia="Times New Roman" w:cstheme="minorHAnsi"/>
          <w:color w:val="000000"/>
          <w:bdr w:val="none" w:sz="0" w:space="0" w:color="auto" w:frame="1"/>
          <w:lang w:eastAsia="en-AU"/>
        </w:rPr>
        <w:t>,</w:t>
      </w:r>
      <w:r w:rsidRPr="00FA3B41">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 xml:space="preserve">HPS Coordinator, Ministry of Education </w:t>
      </w:r>
    </w:p>
    <w:p w14:paraId="7790F8CC" w14:textId="7777777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Makeloti</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Afu</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HPS Program, Ministry of Education </w:t>
      </w:r>
    </w:p>
    <w:p w14:paraId="153012C1" w14:textId="7777777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Tavake</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Fangupo</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Mai-e-</w:t>
      </w:r>
      <w:proofErr w:type="spellStart"/>
      <w:r w:rsidRPr="0083133E">
        <w:rPr>
          <w:rFonts w:eastAsia="Times New Roman" w:cstheme="minorHAnsi"/>
          <w:color w:val="000000"/>
          <w:bdr w:val="none" w:sz="0" w:space="0" w:color="auto" w:frame="1"/>
          <w:lang w:eastAsia="en-AU"/>
        </w:rPr>
        <w:t>nima</w:t>
      </w:r>
      <w:proofErr w:type="spellEnd"/>
      <w:r w:rsidRPr="0083133E">
        <w:rPr>
          <w:rFonts w:eastAsia="Times New Roman" w:cstheme="minorHAnsi"/>
          <w:color w:val="000000"/>
          <w:bdr w:val="none" w:sz="0" w:space="0" w:color="auto" w:frame="1"/>
          <w:lang w:eastAsia="en-AU"/>
        </w:rPr>
        <w:t xml:space="preserve"> </w:t>
      </w:r>
      <w:r w:rsidRPr="00CC3E7E">
        <w:rPr>
          <w:rFonts w:eastAsia="Times New Roman" w:cstheme="minorHAnsi"/>
          <w:color w:val="000000"/>
          <w:bdr w:val="none" w:sz="0" w:space="0" w:color="auto" w:frame="1"/>
          <w:lang w:eastAsia="en-AU"/>
        </w:rPr>
        <w:t>and</w:t>
      </w:r>
      <w:r w:rsidRPr="0083133E">
        <w:rPr>
          <w:rFonts w:eastAsia="Times New Roman" w:cstheme="minorHAnsi"/>
          <w:color w:val="000000"/>
          <w:bdr w:val="none" w:sz="0" w:space="0" w:color="auto" w:frame="1"/>
          <w:lang w:eastAsia="en-AU"/>
        </w:rPr>
        <w:t xml:space="preserve"> NRL in-country rep  </w:t>
      </w:r>
    </w:p>
    <w:p w14:paraId="7E3B3982" w14:textId="252C059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CC3E7E">
        <w:rPr>
          <w:rFonts w:eastAsia="Times New Roman" w:cstheme="minorHAnsi"/>
          <w:color w:val="000000"/>
          <w:bdr w:val="none" w:sz="0" w:space="0" w:color="auto" w:frame="1"/>
          <w:lang w:eastAsia="en-AU"/>
        </w:rPr>
        <w:t>Minoru Nishi</w:t>
      </w:r>
      <w:r>
        <w:rPr>
          <w:rFonts w:eastAsia="Times New Roman" w:cstheme="minorHAnsi"/>
          <w:color w:val="000000"/>
          <w:bdr w:val="none" w:sz="0" w:space="0" w:color="auto" w:frame="1"/>
          <w:lang w:eastAsia="en-AU"/>
        </w:rPr>
        <w:t xml:space="preserve">, </w:t>
      </w:r>
      <w:r w:rsidRPr="00CC3E7E">
        <w:rPr>
          <w:rFonts w:eastAsia="Times New Roman" w:cstheme="minorHAnsi"/>
          <w:color w:val="000000"/>
          <w:bdr w:val="none" w:sz="0" w:space="0" w:color="auto" w:frame="1"/>
          <w:lang w:eastAsia="en-AU"/>
        </w:rPr>
        <w:t>Managing Director, Nishi Trading</w:t>
      </w:r>
    </w:p>
    <w:p w14:paraId="1DAC84E1" w14:textId="4C81E6D2"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CC3E7E">
        <w:rPr>
          <w:rFonts w:eastAsia="Times New Roman" w:cstheme="minorHAnsi"/>
          <w:color w:val="000000"/>
          <w:bdr w:val="none" w:sz="0" w:space="0" w:color="auto" w:frame="1"/>
          <w:lang w:eastAsia="en-AU"/>
        </w:rPr>
        <w:t>Holly Coulter</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NRL Volunteer</w:t>
      </w:r>
    </w:p>
    <w:p w14:paraId="46203C0E" w14:textId="2424DF0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CC3E7E">
        <w:rPr>
          <w:rFonts w:eastAsia="Times New Roman" w:cstheme="minorHAnsi"/>
          <w:color w:val="000000"/>
          <w:bdr w:val="none" w:sz="0" w:space="0" w:color="auto" w:frame="1"/>
          <w:lang w:eastAsia="en-AU"/>
        </w:rPr>
        <w:t>Leone Vi</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Mai-e-Nima Program Officer </w:t>
      </w:r>
    </w:p>
    <w:p w14:paraId="58667B68" w14:textId="5D78A93D"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CC3E7E">
        <w:rPr>
          <w:rFonts w:eastAsia="Times New Roman" w:cstheme="minorHAnsi"/>
          <w:color w:val="000000"/>
          <w:bdr w:val="none" w:sz="0" w:space="0" w:color="auto" w:frame="1"/>
          <w:lang w:eastAsia="en-AU"/>
        </w:rPr>
        <w:t xml:space="preserve">Lord </w:t>
      </w:r>
      <w:proofErr w:type="spellStart"/>
      <w:r w:rsidRPr="00CC3E7E">
        <w:rPr>
          <w:rFonts w:eastAsia="Times New Roman" w:cstheme="minorHAnsi"/>
          <w:color w:val="000000"/>
          <w:bdr w:val="none" w:sz="0" w:space="0" w:color="auto" w:frame="1"/>
          <w:lang w:eastAsia="en-AU"/>
        </w:rPr>
        <w:t>Fakafanua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Mai-e-Nima Board Chairman </w:t>
      </w:r>
    </w:p>
    <w:p w14:paraId="3B4B462D" w14:textId="570B06A4"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Mary </w:t>
      </w:r>
      <w:r w:rsidRPr="00CC3E7E">
        <w:rPr>
          <w:rFonts w:eastAsia="Times New Roman" w:cstheme="minorHAnsi"/>
          <w:color w:val="000000"/>
          <w:bdr w:val="none" w:sz="0" w:space="0" w:color="auto" w:frame="1"/>
          <w:lang w:eastAsia="en-AU"/>
        </w:rPr>
        <w:t xml:space="preserve">and </w:t>
      </w:r>
      <w:proofErr w:type="spellStart"/>
      <w:r w:rsidRPr="0083133E">
        <w:rPr>
          <w:rFonts w:eastAsia="Times New Roman" w:cstheme="minorHAnsi"/>
          <w:color w:val="000000"/>
          <w:bdr w:val="none" w:sz="0" w:space="0" w:color="auto" w:frame="1"/>
          <w:lang w:eastAsia="en-AU"/>
        </w:rPr>
        <w:t>Talaiasi</w:t>
      </w:r>
      <w:proofErr w:type="spellEnd"/>
      <w:r w:rsidRPr="0083133E">
        <w:rPr>
          <w:rFonts w:eastAsia="Times New Roman" w:cstheme="minorHAnsi"/>
          <w:color w:val="000000"/>
          <w:bdr w:val="none" w:sz="0" w:space="0" w:color="auto" w:frame="1"/>
          <w:lang w:eastAsia="en-AU"/>
        </w:rPr>
        <w:t xml:space="preserve"> Nau</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Breakthrough Nations Sports </w:t>
      </w:r>
    </w:p>
    <w:p w14:paraId="255ECB71" w14:textId="7777777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Siaosi</w:t>
      </w:r>
      <w:proofErr w:type="spellEnd"/>
      <w:r w:rsidRPr="0083133E">
        <w:rPr>
          <w:rFonts w:eastAsia="Times New Roman" w:cstheme="minorHAnsi"/>
          <w:color w:val="000000"/>
          <w:bdr w:val="none" w:sz="0" w:space="0" w:color="auto" w:frame="1"/>
          <w:lang w:eastAsia="en-AU"/>
        </w:rPr>
        <w:t xml:space="preserve"> and </w:t>
      </w:r>
      <w:proofErr w:type="spellStart"/>
      <w:r w:rsidRPr="0083133E">
        <w:rPr>
          <w:rFonts w:eastAsia="Times New Roman" w:cstheme="minorHAnsi"/>
          <w:color w:val="000000"/>
          <w:bdr w:val="none" w:sz="0" w:space="0" w:color="auto" w:frame="1"/>
          <w:lang w:eastAsia="en-AU"/>
        </w:rPr>
        <w:t>Alisi</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Afu</w:t>
      </w:r>
      <w:proofErr w:type="spellEnd"/>
      <w:r>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Dassah</w:t>
      </w:r>
      <w:proofErr w:type="spellEnd"/>
      <w:r w:rsidRPr="0083133E">
        <w:rPr>
          <w:rFonts w:eastAsia="Times New Roman" w:cstheme="minorHAnsi"/>
          <w:color w:val="000000"/>
          <w:bdr w:val="none" w:sz="0" w:space="0" w:color="auto" w:frame="1"/>
          <w:lang w:eastAsia="en-AU"/>
        </w:rPr>
        <w:t xml:space="preserve"> Nursery</w:t>
      </w:r>
    </w:p>
    <w:p w14:paraId="009B8D7D" w14:textId="7777777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 xml:space="preserve"> Manu </w:t>
      </w:r>
      <w:proofErr w:type="spellStart"/>
      <w:r w:rsidRPr="0083133E">
        <w:rPr>
          <w:rFonts w:eastAsia="Times New Roman" w:cstheme="minorHAnsi"/>
          <w:color w:val="000000"/>
          <w:bdr w:val="none" w:sz="0" w:space="0" w:color="auto" w:frame="1"/>
          <w:lang w:eastAsia="en-AU"/>
        </w:rPr>
        <w:t>Vihekite</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 xml:space="preserve">CEO </w:t>
      </w:r>
      <w:proofErr w:type="spellStart"/>
      <w:r w:rsidRPr="0083133E">
        <w:rPr>
          <w:rFonts w:eastAsia="Times New Roman" w:cstheme="minorHAnsi"/>
          <w:color w:val="000000"/>
          <w:bdr w:val="none" w:sz="0" w:space="0" w:color="auto" w:frame="1"/>
          <w:lang w:eastAsia="en-AU"/>
        </w:rPr>
        <w:t>Uluaki</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Faiako</w:t>
      </w:r>
      <w:proofErr w:type="spellEnd"/>
      <w:r w:rsidRPr="0083133E">
        <w:rPr>
          <w:rFonts w:eastAsia="Times New Roman" w:cstheme="minorHAnsi"/>
          <w:color w:val="000000"/>
          <w:bdr w:val="none" w:sz="0" w:space="0" w:color="auto" w:frame="1"/>
          <w:lang w:eastAsia="en-AU"/>
        </w:rPr>
        <w:t xml:space="preserve">  </w:t>
      </w:r>
    </w:p>
    <w:p w14:paraId="549FE254" w14:textId="77777777" w:rsidR="00FA3B41" w:rsidRDefault="00FA3B41" w:rsidP="003A63C6">
      <w:pPr>
        <w:pStyle w:val="ListParagraph"/>
        <w:numPr>
          <w:ilvl w:val="0"/>
          <w:numId w:val="47"/>
        </w:numPr>
        <w:spacing w:line="240" w:lineRule="auto"/>
        <w:rPr>
          <w:rFonts w:eastAsia="Times New Roman" w:cstheme="minorHAnsi"/>
          <w:color w:val="000000"/>
          <w:bdr w:val="none" w:sz="0" w:space="0" w:color="auto" w:frame="1"/>
          <w:lang w:eastAsia="en-AU"/>
        </w:rPr>
      </w:pPr>
      <w:r w:rsidRPr="00FA3B41">
        <w:rPr>
          <w:rFonts w:eastAsia="Times New Roman" w:cstheme="minorHAnsi"/>
          <w:color w:val="000000"/>
          <w:bdr w:val="none" w:sz="0" w:space="0" w:color="auto" w:frame="1"/>
          <w:lang w:eastAsia="en-AU"/>
        </w:rPr>
        <w:t xml:space="preserve"> Meleane Fifita, Health Promotion Officer, </w:t>
      </w:r>
      <w:proofErr w:type="spellStart"/>
      <w:r w:rsidRPr="00FA3B41">
        <w:rPr>
          <w:rFonts w:eastAsia="Times New Roman" w:cstheme="minorHAnsi"/>
          <w:color w:val="000000"/>
          <w:bdr w:val="none" w:sz="0" w:space="0" w:color="auto" w:frame="1"/>
          <w:lang w:eastAsia="en-AU"/>
        </w:rPr>
        <w:t>Uluaki</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Faiako</w:t>
      </w:r>
      <w:proofErr w:type="spellEnd"/>
    </w:p>
    <w:p w14:paraId="752B7E46" w14:textId="0A0DF5EB" w:rsidR="00FA3B41" w:rsidRPr="00FA3B41" w:rsidRDefault="00FA3B41" w:rsidP="003A63C6">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FA3B41">
        <w:rPr>
          <w:rFonts w:eastAsia="Times New Roman" w:cstheme="minorHAnsi"/>
          <w:color w:val="000000"/>
          <w:bdr w:val="none" w:sz="0" w:space="0" w:color="auto" w:frame="1"/>
          <w:lang w:eastAsia="en-AU"/>
        </w:rPr>
        <w:t>Loleta</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Falevai</w:t>
      </w:r>
      <w:proofErr w:type="spellEnd"/>
      <w:r w:rsidRPr="00FA3B41">
        <w:rPr>
          <w:rFonts w:eastAsia="Times New Roman" w:cstheme="minorHAnsi"/>
          <w:color w:val="000000"/>
          <w:bdr w:val="none" w:sz="0" w:space="0" w:color="auto" w:frame="1"/>
          <w:lang w:eastAsia="en-AU"/>
        </w:rPr>
        <w:t xml:space="preserve">, Finance Officer, </w:t>
      </w:r>
      <w:proofErr w:type="spellStart"/>
      <w:r w:rsidRPr="00FA3B41">
        <w:rPr>
          <w:rFonts w:eastAsia="Times New Roman" w:cstheme="minorHAnsi"/>
          <w:color w:val="000000"/>
          <w:bdr w:val="none" w:sz="0" w:space="0" w:color="auto" w:frame="1"/>
          <w:lang w:eastAsia="en-AU"/>
        </w:rPr>
        <w:t>Uluaki</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Faioko</w:t>
      </w:r>
      <w:proofErr w:type="spellEnd"/>
      <w:r w:rsidRPr="00FA3B41">
        <w:rPr>
          <w:rFonts w:eastAsia="Times New Roman" w:cstheme="minorHAnsi"/>
          <w:color w:val="000000"/>
          <w:bdr w:val="none" w:sz="0" w:space="0" w:color="auto" w:frame="1"/>
          <w:lang w:eastAsia="en-AU"/>
        </w:rPr>
        <w:t> </w:t>
      </w:r>
    </w:p>
    <w:p w14:paraId="50AC2733" w14:textId="7777777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Joseph ‘</w:t>
      </w:r>
      <w:proofErr w:type="spellStart"/>
      <w:r w:rsidRPr="0083133E">
        <w:rPr>
          <w:rFonts w:eastAsia="Times New Roman" w:cstheme="minorHAnsi"/>
          <w:color w:val="000000"/>
          <w:bdr w:val="none" w:sz="0" w:space="0" w:color="auto" w:frame="1"/>
          <w:lang w:eastAsia="en-AU"/>
        </w:rPr>
        <w:t>Aho</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Chair, Palace Office Wellness Committee (Private Secretary to His Majesty)  </w:t>
      </w:r>
    </w:p>
    <w:p w14:paraId="03934879" w14:textId="18CEBCAC"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Rhema Misa</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 xml:space="preserve">LATA </w:t>
      </w:r>
      <w:r>
        <w:rPr>
          <w:rFonts w:eastAsia="Times New Roman" w:cstheme="minorHAnsi"/>
          <w:color w:val="000000"/>
          <w:bdr w:val="none" w:sz="0" w:space="0" w:color="auto" w:frame="1"/>
          <w:lang w:eastAsia="en-AU"/>
        </w:rPr>
        <w:t>(</w:t>
      </w:r>
      <w:proofErr w:type="spellStart"/>
      <w:r>
        <w:rPr>
          <w:rFonts w:eastAsia="Times New Roman" w:cstheme="minorHAnsi"/>
          <w:color w:val="000000"/>
          <w:bdr w:val="none" w:sz="0" w:space="0" w:color="auto" w:frame="1"/>
          <w:lang w:eastAsia="en-AU"/>
        </w:rPr>
        <w:t>Organisation</w:t>
      </w:r>
      <w:proofErr w:type="spellEnd"/>
      <w:r>
        <w:rPr>
          <w:rFonts w:eastAsia="Times New Roman" w:cstheme="minorHAnsi"/>
          <w:color w:val="000000"/>
          <w:bdr w:val="none" w:sz="0" w:space="0" w:color="auto" w:frame="1"/>
          <w:lang w:eastAsia="en-AU"/>
        </w:rPr>
        <w:t xml:space="preserve"> of People with Disabilities), Individual</w:t>
      </w:r>
      <w:r w:rsidRPr="0083133E">
        <w:rPr>
          <w:rFonts w:eastAsia="Times New Roman" w:cstheme="minorHAnsi"/>
          <w:color w:val="000000"/>
          <w:bdr w:val="none" w:sz="0" w:space="0" w:color="auto" w:frame="1"/>
          <w:lang w:eastAsia="en-AU"/>
        </w:rPr>
        <w:t> </w:t>
      </w:r>
    </w:p>
    <w:p w14:paraId="0E4015AA" w14:textId="2384DC64"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CC3E7E">
        <w:rPr>
          <w:rFonts w:eastAsia="Times New Roman" w:cstheme="minorHAnsi"/>
          <w:color w:val="000000"/>
          <w:bdr w:val="none" w:sz="0" w:space="0" w:color="auto" w:frame="1"/>
          <w:lang w:eastAsia="en-AU"/>
        </w:rPr>
        <w:t>Mele Prescott</w:t>
      </w:r>
      <w:r>
        <w:rPr>
          <w:rFonts w:eastAsia="Times New Roman" w:cstheme="minorHAnsi"/>
          <w:color w:val="000000"/>
          <w:bdr w:val="none" w:sz="0" w:space="0" w:color="auto" w:frame="1"/>
          <w:lang w:eastAsia="en-AU"/>
        </w:rPr>
        <w:t>,</w:t>
      </w:r>
      <w:r w:rsidRPr="00FA3B41">
        <w:rPr>
          <w:rFonts w:eastAsia="Times New Roman" w:cstheme="minorHAnsi"/>
          <w:color w:val="000000"/>
          <w:bdr w:val="none" w:sz="0" w:space="0" w:color="auto" w:frame="1"/>
          <w:lang w:eastAsia="en-AU"/>
        </w:rPr>
        <w:t xml:space="preserve"> </w:t>
      </w:r>
      <w:r w:rsidRPr="00CC3E7E">
        <w:rPr>
          <w:rFonts w:eastAsia="Times New Roman" w:cstheme="minorHAnsi"/>
          <w:color w:val="000000"/>
          <w:bdr w:val="none" w:sz="0" w:space="0" w:color="auto" w:frame="1"/>
          <w:lang w:eastAsia="en-AU"/>
        </w:rPr>
        <w:t>Salvation Army</w:t>
      </w:r>
      <w:r>
        <w:rPr>
          <w:rFonts w:eastAsia="Times New Roman" w:cstheme="minorHAnsi"/>
          <w:color w:val="000000"/>
          <w:bdr w:val="none" w:sz="0" w:space="0" w:color="auto" w:frame="1"/>
          <w:lang w:eastAsia="en-AU"/>
        </w:rPr>
        <w:t xml:space="preserve">, Individual </w:t>
      </w:r>
    </w:p>
    <w:p w14:paraId="6A461AC4" w14:textId="1B61A70A" w:rsidR="00FA3B41" w:rsidRPr="00FA3B41" w:rsidRDefault="00FA3B41" w:rsidP="00FA3B41">
      <w:pPr>
        <w:spacing w:line="276" w:lineRule="auto"/>
        <w:rPr>
          <w:rFonts w:eastAsia="Times New Roman" w:cstheme="minorHAnsi"/>
          <w:b/>
          <w:bCs/>
          <w:color w:val="000000"/>
          <w:bdr w:val="none" w:sz="0" w:space="0" w:color="auto" w:frame="1"/>
          <w:lang w:eastAsia="en-AU"/>
        </w:rPr>
      </w:pPr>
      <w:r w:rsidRPr="00FA3B41">
        <w:rPr>
          <w:rFonts w:eastAsia="Times New Roman" w:cstheme="minorHAnsi"/>
          <w:b/>
          <w:bCs/>
          <w:color w:val="000000"/>
          <w:bdr w:val="none" w:sz="0" w:space="0" w:color="auto" w:frame="1"/>
          <w:lang w:eastAsia="en-AU"/>
        </w:rPr>
        <w:t>‘</w:t>
      </w:r>
      <w:proofErr w:type="spellStart"/>
      <w:r w:rsidRPr="00FA3B41">
        <w:rPr>
          <w:rFonts w:eastAsia="Times New Roman" w:cstheme="minorHAnsi"/>
          <w:b/>
          <w:bCs/>
          <w:color w:val="000000"/>
          <w:bdr w:val="none" w:sz="0" w:space="0" w:color="auto" w:frame="1"/>
          <w:lang w:eastAsia="en-AU"/>
        </w:rPr>
        <w:t>Eua</w:t>
      </w:r>
      <w:proofErr w:type="spellEnd"/>
      <w:r w:rsidRPr="00FA3B41">
        <w:rPr>
          <w:rFonts w:eastAsia="Times New Roman" w:cstheme="minorHAnsi"/>
          <w:b/>
          <w:bCs/>
          <w:color w:val="000000"/>
          <w:bdr w:val="none" w:sz="0" w:space="0" w:color="auto" w:frame="1"/>
          <w:lang w:eastAsia="en-AU"/>
        </w:rPr>
        <w:t xml:space="preserve"> grantees</w:t>
      </w:r>
    </w:p>
    <w:p w14:paraId="7B28DE82" w14:textId="31AC4F3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Lesieli</w:t>
      </w:r>
      <w:proofErr w:type="spellEnd"/>
      <w:r w:rsidRPr="0083133E">
        <w:rPr>
          <w:rFonts w:eastAsia="Times New Roman" w:cstheme="minorHAnsi"/>
          <w:color w:val="000000"/>
          <w:bdr w:val="none" w:sz="0" w:space="0" w:color="auto" w:frame="1"/>
          <w:lang w:eastAsia="en-AU"/>
        </w:rPr>
        <w:t xml:space="preserve"> Takai</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Soa Nursery</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Individual </w:t>
      </w:r>
      <w:r>
        <w:rPr>
          <w:rFonts w:eastAsia="Times New Roman" w:cstheme="minorHAnsi"/>
          <w:color w:val="000000"/>
          <w:bdr w:val="none" w:sz="0" w:space="0" w:color="auto" w:frame="1"/>
          <w:lang w:eastAsia="en-AU"/>
        </w:rPr>
        <w:t>(Zoom)</w:t>
      </w:r>
      <w:r w:rsidRPr="0083133E">
        <w:rPr>
          <w:rFonts w:eastAsia="Times New Roman" w:cstheme="minorHAnsi"/>
          <w:color w:val="000000"/>
          <w:bdr w:val="none" w:sz="0" w:space="0" w:color="auto" w:frame="1"/>
          <w:lang w:eastAsia="en-AU"/>
        </w:rPr>
        <w:t> </w:t>
      </w:r>
    </w:p>
    <w:p w14:paraId="29FA85E2" w14:textId="4CD3690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FA3B41">
        <w:rPr>
          <w:rFonts w:eastAsia="Times New Roman" w:cstheme="minorHAnsi"/>
          <w:color w:val="000000"/>
          <w:bdr w:val="none" w:sz="0" w:space="0" w:color="auto" w:frame="1"/>
          <w:lang w:eastAsia="en-AU"/>
        </w:rPr>
        <w:lastRenderedPageBreak/>
        <w:t>Silipa</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Lanumata</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Niueiki</w:t>
      </w:r>
      <w:proofErr w:type="spellEnd"/>
      <w:r w:rsidRPr="00FA3B41">
        <w:rPr>
          <w:rFonts w:eastAsia="Times New Roman" w:cstheme="minorHAnsi"/>
          <w:color w:val="000000"/>
          <w:bdr w:val="none" w:sz="0" w:space="0" w:color="auto" w:frame="1"/>
          <w:lang w:eastAsia="en-AU"/>
        </w:rPr>
        <w:t xml:space="preserve"> Hospital Sports Committee, </w:t>
      </w:r>
      <w:r w:rsidRPr="0083133E">
        <w:rPr>
          <w:rFonts w:eastAsia="Times New Roman" w:cstheme="minorHAnsi"/>
          <w:color w:val="000000"/>
          <w:bdr w:val="none" w:sz="0" w:space="0" w:color="auto" w:frame="1"/>
          <w:lang w:eastAsia="en-AU"/>
        </w:rPr>
        <w:t>Individual </w:t>
      </w:r>
      <w:r>
        <w:rPr>
          <w:rFonts w:eastAsia="Times New Roman" w:cstheme="minorHAnsi"/>
          <w:color w:val="000000"/>
          <w:bdr w:val="none" w:sz="0" w:space="0" w:color="auto" w:frame="1"/>
          <w:lang w:eastAsia="en-AU"/>
        </w:rPr>
        <w:t>(Zoom)</w:t>
      </w:r>
    </w:p>
    <w:p w14:paraId="6FC11829" w14:textId="307A14AC"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FA3B41">
        <w:rPr>
          <w:rFonts w:eastAsia="Times New Roman" w:cstheme="minorHAnsi"/>
          <w:color w:val="000000"/>
          <w:bdr w:val="none" w:sz="0" w:space="0" w:color="auto" w:frame="1"/>
          <w:lang w:eastAsia="en-AU"/>
        </w:rPr>
        <w:t xml:space="preserve">Maili Buster, </w:t>
      </w:r>
      <w:proofErr w:type="spellStart"/>
      <w:r w:rsidRPr="00FA3B41">
        <w:rPr>
          <w:rFonts w:eastAsia="Times New Roman" w:cstheme="minorHAnsi"/>
          <w:color w:val="000000"/>
          <w:bdr w:val="none" w:sz="0" w:space="0" w:color="auto" w:frame="1"/>
          <w:lang w:eastAsia="en-AU"/>
        </w:rPr>
        <w:t>Kulupu</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Toakase-Eua</w:t>
      </w:r>
      <w:proofErr w:type="spellEnd"/>
      <w:r w:rsidRPr="00FA3B41">
        <w:rPr>
          <w:rFonts w:eastAsia="Times New Roman" w:cstheme="minorHAnsi"/>
          <w:color w:val="000000"/>
          <w:bdr w:val="none" w:sz="0" w:space="0" w:color="auto" w:frame="1"/>
          <w:lang w:eastAsia="en-AU"/>
        </w:rPr>
        <w:t xml:space="preserve"> Bible Baptist, </w:t>
      </w:r>
      <w:r w:rsidRPr="0083133E">
        <w:rPr>
          <w:rFonts w:eastAsia="Times New Roman" w:cstheme="minorHAnsi"/>
          <w:color w:val="000000"/>
          <w:bdr w:val="none" w:sz="0" w:space="0" w:color="auto" w:frame="1"/>
          <w:lang w:eastAsia="en-AU"/>
        </w:rPr>
        <w:t>Individual </w:t>
      </w:r>
      <w:r>
        <w:rPr>
          <w:rFonts w:eastAsia="Times New Roman" w:cstheme="minorHAnsi"/>
          <w:color w:val="000000"/>
          <w:bdr w:val="none" w:sz="0" w:space="0" w:color="auto" w:frame="1"/>
          <w:lang w:eastAsia="en-AU"/>
        </w:rPr>
        <w:t>(Zoom)</w:t>
      </w:r>
      <w:r w:rsidRPr="0083133E">
        <w:rPr>
          <w:rFonts w:eastAsia="Times New Roman" w:cstheme="minorHAnsi"/>
          <w:color w:val="000000"/>
          <w:bdr w:val="none" w:sz="0" w:space="0" w:color="auto" w:frame="1"/>
          <w:lang w:eastAsia="en-AU"/>
        </w:rPr>
        <w:t> </w:t>
      </w:r>
    </w:p>
    <w:p w14:paraId="216132DA" w14:textId="6AD1A0D9"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FA3B41">
        <w:rPr>
          <w:rFonts w:eastAsia="Times New Roman" w:cstheme="minorHAnsi"/>
          <w:color w:val="000000"/>
          <w:bdr w:val="none" w:sz="0" w:space="0" w:color="auto" w:frame="1"/>
          <w:lang w:eastAsia="en-AU"/>
        </w:rPr>
        <w:t xml:space="preserve">Sitiveni </w:t>
      </w:r>
      <w:proofErr w:type="spellStart"/>
      <w:r w:rsidRPr="00FA3B41">
        <w:rPr>
          <w:rFonts w:eastAsia="Times New Roman" w:cstheme="minorHAnsi"/>
          <w:color w:val="000000"/>
          <w:bdr w:val="none" w:sz="0" w:space="0" w:color="auto" w:frame="1"/>
          <w:lang w:eastAsia="en-AU"/>
        </w:rPr>
        <w:t>Vaise</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Lautohi</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Fakasapate</w:t>
      </w:r>
      <w:proofErr w:type="spellEnd"/>
      <w:r w:rsidRPr="00FA3B41">
        <w:rPr>
          <w:rFonts w:eastAsia="Times New Roman" w:cstheme="minorHAnsi"/>
          <w:color w:val="000000"/>
          <w:bdr w:val="none" w:sz="0" w:space="0" w:color="auto" w:frame="1"/>
          <w:lang w:eastAsia="en-AU"/>
        </w:rPr>
        <w:t xml:space="preserve"> SUTT Houma, </w:t>
      </w:r>
      <w:r w:rsidRPr="00CC3E7E">
        <w:rPr>
          <w:rFonts w:eastAsia="Times New Roman" w:cstheme="minorHAnsi"/>
          <w:color w:val="000000"/>
          <w:bdr w:val="none" w:sz="0" w:space="0" w:color="auto" w:frame="1"/>
          <w:lang w:eastAsia="en-AU"/>
        </w:rPr>
        <w:t>I</w:t>
      </w:r>
      <w:r w:rsidRPr="0083133E">
        <w:rPr>
          <w:rFonts w:eastAsia="Times New Roman" w:cstheme="minorHAnsi"/>
          <w:color w:val="000000"/>
          <w:bdr w:val="none" w:sz="0" w:space="0" w:color="auto" w:frame="1"/>
          <w:lang w:eastAsia="en-AU"/>
        </w:rPr>
        <w:t>ndividual</w:t>
      </w:r>
      <w:r>
        <w:rPr>
          <w:rFonts w:eastAsia="Times New Roman" w:cstheme="minorHAnsi"/>
          <w:color w:val="000000"/>
          <w:bdr w:val="none" w:sz="0" w:space="0" w:color="auto" w:frame="1"/>
          <w:lang w:eastAsia="en-AU"/>
        </w:rPr>
        <w:t xml:space="preserve"> (Zoom)</w:t>
      </w:r>
      <w:r w:rsidRPr="0083133E">
        <w:rPr>
          <w:rFonts w:eastAsia="Times New Roman" w:cstheme="minorHAnsi"/>
          <w:color w:val="000000"/>
          <w:bdr w:val="none" w:sz="0" w:space="0" w:color="auto" w:frame="1"/>
          <w:lang w:eastAsia="en-AU"/>
        </w:rPr>
        <w:t> </w:t>
      </w:r>
    </w:p>
    <w:p w14:paraId="5D51FEEE" w14:textId="1D630279" w:rsidR="00FA3B41" w:rsidRDefault="00FA3B41" w:rsidP="00DF166F">
      <w:pPr>
        <w:spacing w:line="276" w:lineRule="auto"/>
        <w:rPr>
          <w:rFonts w:eastAsia="Times New Roman" w:cstheme="minorHAnsi"/>
          <w:b/>
          <w:bCs/>
          <w:color w:val="000000"/>
          <w:bdr w:val="none" w:sz="0" w:space="0" w:color="auto" w:frame="1"/>
          <w:lang w:eastAsia="en-AU"/>
        </w:rPr>
      </w:pPr>
      <w:proofErr w:type="spellStart"/>
      <w:r w:rsidRPr="00FA3B41">
        <w:rPr>
          <w:rFonts w:eastAsia="Times New Roman" w:cstheme="minorHAnsi"/>
          <w:b/>
          <w:bCs/>
          <w:color w:val="000000"/>
          <w:bdr w:val="none" w:sz="0" w:space="0" w:color="auto" w:frame="1"/>
          <w:lang w:eastAsia="en-AU"/>
        </w:rPr>
        <w:t>Ha’apai</w:t>
      </w:r>
      <w:proofErr w:type="spellEnd"/>
      <w:r w:rsidRPr="00FA3B41">
        <w:rPr>
          <w:rFonts w:eastAsia="Times New Roman" w:cstheme="minorHAnsi"/>
          <w:b/>
          <w:bCs/>
          <w:color w:val="000000"/>
          <w:bdr w:val="none" w:sz="0" w:space="0" w:color="auto" w:frame="1"/>
          <w:lang w:eastAsia="en-AU"/>
        </w:rPr>
        <w:t xml:space="preserve"> grantees</w:t>
      </w:r>
    </w:p>
    <w:p w14:paraId="6F22CBB9" w14:textId="4BF4D522"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FA3B41">
        <w:rPr>
          <w:rFonts w:eastAsia="Times New Roman" w:cstheme="minorHAnsi"/>
          <w:color w:val="000000"/>
          <w:bdr w:val="none" w:sz="0" w:space="0" w:color="auto" w:frame="1"/>
          <w:lang w:eastAsia="en-AU"/>
        </w:rPr>
        <w:t>Taipaleti</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Fangufangu</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Houmale’eia</w:t>
      </w:r>
      <w:proofErr w:type="spellEnd"/>
      <w:r w:rsidRPr="00FA3B41">
        <w:rPr>
          <w:rFonts w:eastAsia="Times New Roman" w:cstheme="minorHAnsi"/>
          <w:color w:val="000000"/>
          <w:bdr w:val="none" w:sz="0" w:space="0" w:color="auto" w:frame="1"/>
          <w:lang w:eastAsia="en-AU"/>
        </w:rPr>
        <w:t xml:space="preserve"> rugby club, </w:t>
      </w:r>
      <w:r w:rsidRPr="0083133E">
        <w:rPr>
          <w:rFonts w:eastAsia="Times New Roman" w:cstheme="minorHAnsi"/>
          <w:color w:val="000000"/>
          <w:bdr w:val="none" w:sz="0" w:space="0" w:color="auto" w:frame="1"/>
          <w:lang w:eastAsia="en-AU"/>
        </w:rPr>
        <w:t>Individual </w:t>
      </w:r>
      <w:r w:rsidRPr="00FA3B41">
        <w:rPr>
          <w:rFonts w:eastAsia="Times New Roman" w:cstheme="minorHAnsi"/>
          <w:color w:val="000000"/>
          <w:bdr w:val="none" w:sz="0" w:space="0" w:color="auto" w:frame="1"/>
          <w:lang w:eastAsia="en-AU"/>
        </w:rPr>
        <w:t> </w:t>
      </w:r>
    </w:p>
    <w:p w14:paraId="199ABBE3" w14:textId="6ABC03A4"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83133E">
        <w:rPr>
          <w:rFonts w:eastAsia="Times New Roman" w:cstheme="minorHAnsi"/>
          <w:color w:val="000000"/>
          <w:bdr w:val="none" w:sz="0" w:space="0" w:color="auto" w:frame="1"/>
          <w:lang w:eastAsia="en-AU"/>
        </w:rPr>
        <w:t>Tepola</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Siale</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 xml:space="preserve">Fat2fit </w:t>
      </w:r>
      <w:proofErr w:type="spellStart"/>
      <w:r w:rsidRPr="0083133E">
        <w:rPr>
          <w:rFonts w:eastAsia="Times New Roman" w:cstheme="minorHAnsi"/>
          <w:color w:val="000000"/>
          <w:bdr w:val="none" w:sz="0" w:space="0" w:color="auto" w:frame="1"/>
          <w:lang w:eastAsia="en-AU"/>
        </w:rPr>
        <w:t>Ha'apai</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Individual   </w:t>
      </w:r>
      <w:r w:rsidRPr="00FA3B41">
        <w:rPr>
          <w:rFonts w:eastAsia="Times New Roman" w:cstheme="minorHAnsi"/>
          <w:color w:val="000000"/>
          <w:bdr w:val="none" w:sz="0" w:space="0" w:color="auto" w:frame="1"/>
          <w:lang w:eastAsia="en-AU"/>
        </w:rPr>
        <w:t> </w:t>
      </w:r>
    </w:p>
    <w:p w14:paraId="7CF2C122" w14:textId="439E1486"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proofErr w:type="spellStart"/>
      <w:r w:rsidRPr="00FA3B41">
        <w:rPr>
          <w:rFonts w:eastAsia="Times New Roman" w:cstheme="minorHAnsi"/>
          <w:color w:val="000000"/>
          <w:bdr w:val="none" w:sz="0" w:space="0" w:color="auto" w:frame="1"/>
          <w:lang w:eastAsia="en-AU"/>
        </w:rPr>
        <w:t>Matafonua</w:t>
      </w:r>
      <w:proofErr w:type="spellEnd"/>
      <w:r w:rsidRPr="00FA3B41">
        <w:rPr>
          <w:rFonts w:eastAsia="Times New Roman" w:cstheme="minorHAnsi"/>
          <w:color w:val="000000"/>
          <w:bdr w:val="none" w:sz="0" w:space="0" w:color="auto" w:frame="1"/>
          <w:lang w:eastAsia="en-AU"/>
        </w:rPr>
        <w:t xml:space="preserve"> </w:t>
      </w:r>
      <w:proofErr w:type="spellStart"/>
      <w:r w:rsidRPr="00FA3B41">
        <w:rPr>
          <w:rFonts w:eastAsia="Times New Roman" w:cstheme="minorHAnsi"/>
          <w:color w:val="000000"/>
          <w:bdr w:val="none" w:sz="0" w:space="0" w:color="auto" w:frame="1"/>
          <w:lang w:eastAsia="en-AU"/>
        </w:rPr>
        <w:t>Tu’itakau</w:t>
      </w:r>
      <w:proofErr w:type="spellEnd"/>
      <w:r w:rsidRPr="00FA3B41">
        <w:rPr>
          <w:rFonts w:eastAsia="Times New Roman" w:cstheme="minorHAnsi"/>
          <w:color w:val="000000"/>
          <w:bdr w:val="none" w:sz="0" w:space="0" w:color="auto" w:frame="1"/>
          <w:lang w:eastAsia="en-AU"/>
        </w:rPr>
        <w:t xml:space="preserve">, GMS </w:t>
      </w:r>
      <w:proofErr w:type="spellStart"/>
      <w:r w:rsidRPr="00FA3B41">
        <w:rPr>
          <w:rFonts w:eastAsia="Times New Roman" w:cstheme="minorHAnsi"/>
          <w:color w:val="000000"/>
          <w:bdr w:val="none" w:sz="0" w:space="0" w:color="auto" w:frame="1"/>
          <w:lang w:eastAsia="en-AU"/>
        </w:rPr>
        <w:t>Fotua</w:t>
      </w:r>
      <w:proofErr w:type="spellEnd"/>
      <w:r w:rsidRPr="00FA3B41">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Individual  </w:t>
      </w:r>
    </w:p>
    <w:p w14:paraId="2EB544D3" w14:textId="79AF836E" w:rsidR="00F45394" w:rsidRPr="00FA3B41" w:rsidRDefault="00FA3B41" w:rsidP="00DF166F">
      <w:pPr>
        <w:spacing w:line="276" w:lineRule="auto"/>
        <w:rPr>
          <w:rFonts w:eastAsia="Times New Roman" w:cstheme="minorHAnsi"/>
          <w:b/>
          <w:bCs/>
          <w:color w:val="000000"/>
          <w:bdr w:val="none" w:sz="0" w:space="0" w:color="auto" w:frame="1"/>
          <w:lang w:eastAsia="en-AU"/>
        </w:rPr>
      </w:pPr>
      <w:r w:rsidRPr="00FA3B41">
        <w:rPr>
          <w:rFonts w:eastAsia="Times New Roman" w:cstheme="minorHAnsi"/>
          <w:b/>
          <w:bCs/>
          <w:color w:val="000000"/>
          <w:bdr w:val="none" w:sz="0" w:space="0" w:color="auto" w:frame="1"/>
          <w:lang w:eastAsia="en-AU"/>
        </w:rPr>
        <w:t>Other stakeholders </w:t>
      </w:r>
    </w:p>
    <w:p w14:paraId="0C091919" w14:textId="06B3D2B7" w:rsid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pPr>
      <w:r w:rsidRPr="0083133E">
        <w:rPr>
          <w:rFonts w:eastAsia="Times New Roman" w:cstheme="minorHAnsi"/>
          <w:color w:val="000000"/>
          <w:bdr w:val="none" w:sz="0" w:space="0" w:color="auto" w:frame="1"/>
          <w:lang w:eastAsia="en-AU"/>
        </w:rPr>
        <w:t>Rev</w:t>
      </w:r>
      <w:r w:rsidRPr="00CC3E7E">
        <w:rPr>
          <w:rFonts w:eastAsia="Times New Roman" w:cstheme="minorHAnsi"/>
          <w:color w:val="000000"/>
          <w:bdr w:val="none" w:sz="0" w:space="0" w:color="auto" w:frame="1"/>
          <w:lang w:eastAsia="en-AU"/>
        </w:rPr>
        <w:t>.</w:t>
      </w:r>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Viliami</w:t>
      </w:r>
      <w:proofErr w:type="spellEnd"/>
      <w:r w:rsidRPr="0083133E">
        <w:rPr>
          <w:rFonts w:eastAsia="Times New Roman" w:cstheme="minorHAnsi"/>
          <w:color w:val="000000"/>
          <w:bdr w:val="none" w:sz="0" w:space="0" w:color="auto" w:frame="1"/>
          <w:lang w:eastAsia="en-AU"/>
        </w:rPr>
        <w:t xml:space="preserve"> </w:t>
      </w:r>
      <w:proofErr w:type="spellStart"/>
      <w:r w:rsidRPr="0083133E">
        <w:rPr>
          <w:rFonts w:eastAsia="Times New Roman" w:cstheme="minorHAnsi"/>
          <w:color w:val="000000"/>
          <w:bdr w:val="none" w:sz="0" w:space="0" w:color="auto" w:frame="1"/>
          <w:lang w:eastAsia="en-AU"/>
        </w:rPr>
        <w:t>Polota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Secretary to Church leaders Council/ NNCDC member</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Individual   </w:t>
      </w:r>
    </w:p>
    <w:p w14:paraId="663C3441" w14:textId="008D9A19" w:rsidR="00FA3B41" w:rsidRPr="00FA3B41" w:rsidRDefault="00FA3B41" w:rsidP="00FA3B41">
      <w:pPr>
        <w:pStyle w:val="ListParagraph"/>
        <w:numPr>
          <w:ilvl w:val="0"/>
          <w:numId w:val="47"/>
        </w:numPr>
        <w:spacing w:line="240" w:lineRule="auto"/>
        <w:rPr>
          <w:rFonts w:eastAsia="Times New Roman" w:cstheme="minorHAnsi"/>
          <w:color w:val="000000"/>
          <w:bdr w:val="none" w:sz="0" w:space="0" w:color="auto" w:frame="1"/>
          <w:lang w:eastAsia="en-AU"/>
        </w:rPr>
        <w:sectPr w:rsidR="00FA3B41" w:rsidRPr="00FA3B41" w:rsidSect="007E3A07">
          <w:pgSz w:w="11906" w:h="16838"/>
          <w:pgMar w:top="1440" w:right="1080" w:bottom="1440" w:left="1080" w:header="170" w:footer="340" w:gutter="0"/>
          <w:pgNumType w:start="1"/>
          <w:cols w:space="720"/>
          <w:docGrid w:linePitch="272"/>
        </w:sectPr>
      </w:pPr>
      <w:r w:rsidRPr="00CC3E7E">
        <w:rPr>
          <w:rFonts w:eastAsia="Times New Roman" w:cstheme="minorHAnsi"/>
          <w:color w:val="000000"/>
          <w:bdr w:val="none" w:sz="0" w:space="0" w:color="auto" w:frame="1"/>
          <w:lang w:eastAsia="en-AU"/>
        </w:rPr>
        <w:t xml:space="preserve">Dr. </w:t>
      </w:r>
      <w:proofErr w:type="spellStart"/>
      <w:r w:rsidRPr="00CC3E7E">
        <w:rPr>
          <w:rFonts w:eastAsia="Times New Roman" w:cstheme="minorHAnsi"/>
          <w:color w:val="000000"/>
          <w:bdr w:val="none" w:sz="0" w:space="0" w:color="auto" w:frame="1"/>
          <w:lang w:eastAsia="en-AU"/>
        </w:rPr>
        <w:t>Viliami</w:t>
      </w:r>
      <w:proofErr w:type="spellEnd"/>
      <w:r w:rsidRPr="00CC3E7E">
        <w:rPr>
          <w:rFonts w:eastAsia="Times New Roman" w:cstheme="minorHAnsi"/>
          <w:color w:val="000000"/>
          <w:bdr w:val="none" w:sz="0" w:space="0" w:color="auto" w:frame="1"/>
          <w:lang w:eastAsia="en-AU"/>
        </w:rPr>
        <w:t xml:space="preserve"> </w:t>
      </w:r>
      <w:proofErr w:type="spellStart"/>
      <w:r w:rsidRPr="00CC3E7E">
        <w:rPr>
          <w:rFonts w:eastAsia="Times New Roman" w:cstheme="minorHAnsi"/>
          <w:color w:val="000000"/>
          <w:bdr w:val="none" w:sz="0" w:space="0" w:color="auto" w:frame="1"/>
          <w:lang w:eastAsia="en-AU"/>
        </w:rPr>
        <w:t>Puloka</w:t>
      </w:r>
      <w:proofErr w:type="spellEnd"/>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University of Otago</w:t>
      </w:r>
      <w:r>
        <w:rPr>
          <w:rFonts w:eastAsia="Times New Roman" w:cstheme="minorHAnsi"/>
          <w:color w:val="000000"/>
          <w:bdr w:val="none" w:sz="0" w:space="0" w:color="auto" w:frame="1"/>
          <w:lang w:eastAsia="en-AU"/>
        </w:rPr>
        <w:t xml:space="preserve">, </w:t>
      </w:r>
      <w:r w:rsidRPr="0083133E">
        <w:rPr>
          <w:rFonts w:eastAsia="Times New Roman" w:cstheme="minorHAnsi"/>
          <w:color w:val="000000"/>
          <w:bdr w:val="none" w:sz="0" w:space="0" w:color="auto" w:frame="1"/>
          <w:lang w:eastAsia="en-AU"/>
        </w:rPr>
        <w:t>Individual   </w:t>
      </w:r>
    </w:p>
    <w:p w14:paraId="7AF0E94C" w14:textId="2CCD9BCE" w:rsidR="002B12EB" w:rsidRPr="00C62508" w:rsidRDefault="002B12EB" w:rsidP="00DF166F">
      <w:pPr>
        <w:pStyle w:val="Heading2"/>
        <w:spacing w:line="276" w:lineRule="auto"/>
      </w:pPr>
      <w:bookmarkStart w:id="66" w:name="_Ref153899535"/>
      <w:bookmarkStart w:id="67" w:name="_Toc153899675"/>
      <w:bookmarkStart w:id="68" w:name="_Ref151920224"/>
      <w:r>
        <w:lastRenderedPageBreak/>
        <w:t>Assessment of review report against DFAT Design and M&amp;E Standard</w:t>
      </w:r>
      <w:r w:rsidR="0070660B">
        <w:t>s (Standard 10: Independent Evaluation Reports)</w:t>
      </w:r>
      <w:bookmarkEnd w:id="66"/>
      <w:bookmarkEnd w:id="67"/>
    </w:p>
    <w:p w14:paraId="0732F0D7" w14:textId="77777777" w:rsidR="002B12EB" w:rsidRPr="0070660B" w:rsidRDefault="002B12EB" w:rsidP="00962FBE">
      <w:pPr>
        <w:spacing w:line="276" w:lineRule="auto"/>
        <w:rPr>
          <w:rFonts w:cstheme="minorHAnsi"/>
        </w:rPr>
      </w:pPr>
      <w:r w:rsidRPr="0070660B">
        <w:rPr>
          <w:rFonts w:cstheme="minorHAnsi"/>
        </w:rPr>
        <w:t>The following points reflect elements of a strong Evaluation Report.</w:t>
      </w:r>
    </w:p>
    <w:tbl>
      <w:tblPr>
        <w:tblStyle w:val="GridTable4-Accent1"/>
        <w:tblW w:w="5183" w:type="pct"/>
        <w:tblInd w:w="-431" w:type="dxa"/>
        <w:tblLook w:val="04A0" w:firstRow="1" w:lastRow="0" w:firstColumn="1" w:lastColumn="0" w:noHBand="0" w:noVBand="1"/>
      </w:tblPr>
      <w:tblGrid>
        <w:gridCol w:w="708"/>
        <w:gridCol w:w="7445"/>
        <w:gridCol w:w="6308"/>
      </w:tblGrid>
      <w:tr w:rsidR="00E23889" w:rsidRPr="0070660B" w14:paraId="5643F2BF" w14:textId="77777777" w:rsidTr="00406A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 w:type="pct"/>
          </w:tcPr>
          <w:p w14:paraId="75968B0B" w14:textId="000B9A72" w:rsidR="002B12EB" w:rsidRPr="002A72D0" w:rsidRDefault="002B12EB" w:rsidP="00962FBE">
            <w:pPr>
              <w:pStyle w:val="BodyText"/>
              <w:rPr>
                <w:b w:val="0"/>
              </w:rPr>
            </w:pPr>
            <w:bookmarkStart w:id="69" w:name="_Hlk112077500"/>
            <w:r w:rsidRPr="002A72D0">
              <w:t>N</w:t>
            </w:r>
            <w:r w:rsidR="00E23889" w:rsidRPr="002A72D0">
              <w:t>o.</w:t>
            </w:r>
          </w:p>
        </w:tc>
        <w:tc>
          <w:tcPr>
            <w:tcW w:w="2573" w:type="pct"/>
          </w:tcPr>
          <w:p w14:paraId="2B6110AB" w14:textId="77777777" w:rsidR="002B12EB" w:rsidRPr="002A72D0" w:rsidRDefault="002B12EB" w:rsidP="00962FBE">
            <w:pPr>
              <w:pStyle w:val="BodyText"/>
              <w:cnfStyle w:val="100000000000" w:firstRow="1" w:lastRow="0" w:firstColumn="0" w:lastColumn="0" w:oddVBand="0" w:evenVBand="0" w:oddHBand="0" w:evenHBand="0" w:firstRowFirstColumn="0" w:firstRowLastColumn="0" w:lastRowFirstColumn="0" w:lastRowLastColumn="0"/>
              <w:rPr>
                <w:b w:val="0"/>
              </w:rPr>
            </w:pPr>
            <w:r w:rsidRPr="002A72D0">
              <w:t xml:space="preserve">Element </w:t>
            </w:r>
          </w:p>
        </w:tc>
        <w:tc>
          <w:tcPr>
            <w:tcW w:w="2181" w:type="pct"/>
          </w:tcPr>
          <w:p w14:paraId="45C94AB6" w14:textId="49563EC3" w:rsidR="002B12EB" w:rsidRPr="002A72D0" w:rsidRDefault="002A72D0" w:rsidP="00962FBE">
            <w:pPr>
              <w:pStyle w:val="BodyText"/>
              <w:cnfStyle w:val="100000000000" w:firstRow="1" w:lastRow="0" w:firstColumn="0" w:lastColumn="0" w:oddVBand="0" w:evenVBand="0" w:oddHBand="0" w:evenHBand="0" w:firstRowFirstColumn="0" w:firstRowLastColumn="0" w:lastRowFirstColumn="0" w:lastRowLastColumn="0"/>
              <w:rPr>
                <w:color w:val="auto"/>
              </w:rPr>
            </w:pPr>
            <w:r w:rsidRPr="002A72D0">
              <w:t>Comments</w:t>
            </w:r>
          </w:p>
        </w:tc>
      </w:tr>
      <w:tr w:rsidR="0051353A" w:rsidRPr="0070660B" w14:paraId="5A38B2CF"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07C45FEF" w14:textId="77777777" w:rsidR="002B12EB" w:rsidRPr="0070660B" w:rsidRDefault="002B12EB" w:rsidP="00962FBE">
            <w:pPr>
              <w:pStyle w:val="BodyText"/>
            </w:pPr>
            <w:r w:rsidRPr="0070660B">
              <w:t>10.1</w:t>
            </w:r>
          </w:p>
        </w:tc>
        <w:tc>
          <w:tcPr>
            <w:tcW w:w="2573" w:type="pct"/>
          </w:tcPr>
          <w:p w14:paraId="13A0FF6F"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rPr>
                <w:iCs/>
              </w:rPr>
            </w:pPr>
            <w:r w:rsidRPr="0070660B">
              <w:t>The executive summary provides all the necessary information to enable primary users to make good quality decisions</w:t>
            </w:r>
          </w:p>
        </w:tc>
        <w:tc>
          <w:tcPr>
            <w:tcW w:w="2181" w:type="pct"/>
          </w:tcPr>
          <w:p w14:paraId="2274143A" w14:textId="1CD37195"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 xml:space="preserve">See </w:t>
            </w:r>
            <w:r w:rsidR="00E23889">
              <w:t>E</w:t>
            </w:r>
            <w:r w:rsidRPr="0070660B">
              <w:t xml:space="preserve">xecutive </w:t>
            </w:r>
            <w:r w:rsidR="00E23889">
              <w:t>S</w:t>
            </w:r>
            <w:r w:rsidRPr="0070660B">
              <w:t>ummary</w:t>
            </w:r>
          </w:p>
        </w:tc>
      </w:tr>
      <w:tr w:rsidR="0051353A" w:rsidRPr="0070660B" w14:paraId="17F97E8D"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4C30A2D0" w14:textId="77777777" w:rsidR="002B12EB" w:rsidRPr="0070660B" w:rsidRDefault="002B12EB" w:rsidP="00962FBE">
            <w:pPr>
              <w:pStyle w:val="BodyText"/>
            </w:pPr>
            <w:r w:rsidRPr="0070660B">
              <w:t>10.2</w:t>
            </w:r>
          </w:p>
        </w:tc>
        <w:tc>
          <w:tcPr>
            <w:tcW w:w="2573" w:type="pct"/>
          </w:tcPr>
          <w:p w14:paraId="00E2E9D2"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 xml:space="preserve">The introduction provides </w:t>
            </w:r>
            <w:proofErr w:type="gramStart"/>
            <w:r w:rsidRPr="0070660B">
              <w:t>a brief summary</w:t>
            </w:r>
            <w:proofErr w:type="gramEnd"/>
            <w:r w:rsidRPr="0070660B">
              <w:t xml:space="preserve"> of the investment or program</w:t>
            </w:r>
          </w:p>
        </w:tc>
        <w:tc>
          <w:tcPr>
            <w:tcW w:w="2181" w:type="pct"/>
          </w:tcPr>
          <w:p w14:paraId="1C30D21E" w14:textId="2DC6188A"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 xml:space="preserve">See </w:t>
            </w:r>
            <w:r w:rsidR="00E23889">
              <w:t>S</w:t>
            </w:r>
            <w:r w:rsidRPr="0070660B">
              <w:t>ection 1.1</w:t>
            </w:r>
          </w:p>
        </w:tc>
      </w:tr>
      <w:tr w:rsidR="0051353A" w:rsidRPr="0070660B" w14:paraId="4A8685F6"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5978A84C" w14:textId="77777777" w:rsidR="002B12EB" w:rsidRPr="0070660B" w:rsidRDefault="002B12EB" w:rsidP="00962FBE">
            <w:pPr>
              <w:pStyle w:val="BodyText"/>
            </w:pPr>
            <w:r w:rsidRPr="0070660B">
              <w:t>10.3</w:t>
            </w:r>
          </w:p>
        </w:tc>
        <w:tc>
          <w:tcPr>
            <w:tcW w:w="2573" w:type="pct"/>
          </w:tcPr>
          <w:p w14:paraId="04DD4F3B"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proofErr w:type="gramStart"/>
            <w:r w:rsidRPr="0070660B">
              <w:t>A brief summary</w:t>
            </w:r>
            <w:proofErr w:type="gramEnd"/>
            <w:r w:rsidRPr="0070660B">
              <w:t xml:space="preserve"> of the methods employed is included</w:t>
            </w:r>
          </w:p>
        </w:tc>
        <w:tc>
          <w:tcPr>
            <w:tcW w:w="2181" w:type="pct"/>
          </w:tcPr>
          <w:p w14:paraId="39353D89" w14:textId="720AA839"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 xml:space="preserve">See </w:t>
            </w:r>
            <w:r w:rsidR="00E23889">
              <w:t>S</w:t>
            </w:r>
            <w:r w:rsidRPr="0070660B">
              <w:t>ection 2.2</w:t>
            </w:r>
          </w:p>
        </w:tc>
      </w:tr>
      <w:tr w:rsidR="0051353A" w:rsidRPr="0070660B" w14:paraId="407C1354"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25CE1C5D" w14:textId="77777777" w:rsidR="002B12EB" w:rsidRPr="0070660B" w:rsidRDefault="002B12EB" w:rsidP="00962FBE">
            <w:pPr>
              <w:pStyle w:val="BodyText"/>
            </w:pPr>
            <w:r w:rsidRPr="0070660B">
              <w:t>10.4</w:t>
            </w:r>
          </w:p>
        </w:tc>
        <w:tc>
          <w:tcPr>
            <w:tcW w:w="2573" w:type="pct"/>
          </w:tcPr>
          <w:p w14:paraId="6F22E822"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Key limitations of the methods are described, and any relevant guidance provided to enable appropriate interpretation of the findings</w:t>
            </w:r>
          </w:p>
        </w:tc>
        <w:tc>
          <w:tcPr>
            <w:tcW w:w="2181" w:type="pct"/>
          </w:tcPr>
          <w:p w14:paraId="29306414" w14:textId="494B8CDC"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 xml:space="preserve">See </w:t>
            </w:r>
            <w:r w:rsidR="00E23889">
              <w:t>S</w:t>
            </w:r>
            <w:r w:rsidRPr="0070660B">
              <w:t>ection 2.3</w:t>
            </w:r>
          </w:p>
        </w:tc>
      </w:tr>
      <w:bookmarkEnd w:id="69"/>
      <w:tr w:rsidR="00E23889" w:rsidRPr="0070660B" w14:paraId="78AE3F57"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6F0A7AF3" w14:textId="77777777" w:rsidR="002B12EB" w:rsidRPr="0070660B" w:rsidRDefault="002B12EB" w:rsidP="00962FBE">
            <w:pPr>
              <w:pStyle w:val="BodyText"/>
            </w:pPr>
            <w:r w:rsidRPr="0070660B">
              <w:t>10.5</w:t>
            </w:r>
          </w:p>
        </w:tc>
        <w:tc>
          <w:tcPr>
            <w:tcW w:w="2573" w:type="pct"/>
          </w:tcPr>
          <w:p w14:paraId="001BAF72"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 xml:space="preserve">The Report addresses all key evaluation questions </w:t>
            </w:r>
          </w:p>
        </w:tc>
        <w:tc>
          <w:tcPr>
            <w:tcW w:w="2181" w:type="pct"/>
          </w:tcPr>
          <w:p w14:paraId="412662EF"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Section 3 is structured against the Key Review Questions and sub-questions</w:t>
            </w:r>
          </w:p>
        </w:tc>
      </w:tr>
      <w:tr w:rsidR="00E23889" w:rsidRPr="0070660B" w14:paraId="2F61991D"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4FC0F6FF" w14:textId="77777777" w:rsidR="002B12EB" w:rsidRPr="0070660B" w:rsidRDefault="002B12EB" w:rsidP="00962FBE">
            <w:pPr>
              <w:pStyle w:val="BodyText"/>
            </w:pPr>
            <w:r w:rsidRPr="0070660B">
              <w:t>10.6</w:t>
            </w:r>
          </w:p>
        </w:tc>
        <w:tc>
          <w:tcPr>
            <w:tcW w:w="2573" w:type="pct"/>
          </w:tcPr>
          <w:p w14:paraId="38D0815C"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The overall position of the author is clear, and their professional judgments are unambiguous</w:t>
            </w:r>
          </w:p>
        </w:tc>
        <w:tc>
          <w:tcPr>
            <w:tcW w:w="2181" w:type="pct"/>
          </w:tcPr>
          <w:p w14:paraId="31FF6F67"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Clear judgments are provided in bold text throughout Section 3.</w:t>
            </w:r>
          </w:p>
        </w:tc>
      </w:tr>
      <w:tr w:rsidR="00E23889" w:rsidRPr="0070660B" w14:paraId="57C01915"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4E3BA714" w14:textId="77777777" w:rsidR="002B12EB" w:rsidRPr="0070660B" w:rsidRDefault="002B12EB" w:rsidP="00962FBE">
            <w:pPr>
              <w:pStyle w:val="BodyText"/>
            </w:pPr>
            <w:r w:rsidRPr="0070660B">
              <w:t>10.7</w:t>
            </w:r>
          </w:p>
        </w:tc>
        <w:tc>
          <w:tcPr>
            <w:tcW w:w="2573" w:type="pct"/>
          </w:tcPr>
          <w:p w14:paraId="61859749"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There is a clear line of sight from the key evaluation questions to the evidence presented, the findings, conclusions, and recommendations</w:t>
            </w:r>
          </w:p>
        </w:tc>
        <w:tc>
          <w:tcPr>
            <w:tcW w:w="2181" w:type="pct"/>
          </w:tcPr>
          <w:p w14:paraId="5D09B05F"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 xml:space="preserve">In Sections 3.1-3.4 data, analysis, and findings are arranged against the key review questions, with cross-references to relevant recommendations in Section 3.5. </w:t>
            </w:r>
          </w:p>
        </w:tc>
      </w:tr>
      <w:tr w:rsidR="00E23889" w:rsidRPr="0070660B" w14:paraId="67FCE64B"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7F8F1C08" w14:textId="77777777" w:rsidR="002B12EB" w:rsidRPr="0070660B" w:rsidRDefault="002B12EB" w:rsidP="00962FBE">
            <w:pPr>
              <w:pStyle w:val="BodyText"/>
            </w:pPr>
            <w:r w:rsidRPr="0070660B">
              <w:t>10.8</w:t>
            </w:r>
          </w:p>
        </w:tc>
        <w:tc>
          <w:tcPr>
            <w:tcW w:w="2573" w:type="pct"/>
          </w:tcPr>
          <w:p w14:paraId="30336434"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The Report identifies the strength of evidence that supports the conclusions and judgments made</w:t>
            </w:r>
          </w:p>
        </w:tc>
        <w:tc>
          <w:tcPr>
            <w:tcW w:w="2181" w:type="pct"/>
          </w:tcPr>
          <w:p w14:paraId="3E97FE20"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References to sources of evidence provided throughout Sections 3.1-3.4, including identification of areas where evidence is particularly weak e.g. grant effectiveness.</w:t>
            </w:r>
          </w:p>
        </w:tc>
      </w:tr>
      <w:tr w:rsidR="00E23889" w:rsidRPr="0070660B" w14:paraId="51935F77"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6C1BAED3" w14:textId="77777777" w:rsidR="002B12EB" w:rsidRPr="0070660B" w:rsidRDefault="002B12EB" w:rsidP="00962FBE">
            <w:pPr>
              <w:pStyle w:val="BodyText"/>
            </w:pPr>
            <w:r w:rsidRPr="0070660B">
              <w:t>10.9</w:t>
            </w:r>
          </w:p>
        </w:tc>
        <w:tc>
          <w:tcPr>
            <w:tcW w:w="2573" w:type="pct"/>
          </w:tcPr>
          <w:p w14:paraId="7D0EBDD9"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The relative importance of the issues communicated is clear to the reader</w:t>
            </w:r>
          </w:p>
        </w:tc>
        <w:tc>
          <w:tcPr>
            <w:tcW w:w="2181" w:type="pct"/>
          </w:tcPr>
          <w:p w14:paraId="39962EEF"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Important findings are bolded in Sections 3.1-3.4.</w:t>
            </w:r>
          </w:p>
        </w:tc>
      </w:tr>
      <w:tr w:rsidR="00E23889" w:rsidRPr="0070660B" w14:paraId="75BD2994"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1DC22D80" w14:textId="77777777" w:rsidR="002B12EB" w:rsidRPr="0070660B" w:rsidRDefault="002B12EB" w:rsidP="00962FBE">
            <w:pPr>
              <w:pStyle w:val="BodyText"/>
            </w:pPr>
            <w:r w:rsidRPr="0070660B">
              <w:t>10.10</w:t>
            </w:r>
          </w:p>
        </w:tc>
        <w:tc>
          <w:tcPr>
            <w:tcW w:w="2573" w:type="pct"/>
          </w:tcPr>
          <w:p w14:paraId="3D58561A"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There is a good balance between operational and strategic issues</w:t>
            </w:r>
          </w:p>
        </w:tc>
        <w:tc>
          <w:tcPr>
            <w:tcW w:w="2181" w:type="pct"/>
          </w:tcPr>
          <w:p w14:paraId="00EBEBAE"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In line with the KRQs, findings span operational issues like grant administration processes and strategic issues like relevance of activities to NCD strategy.</w:t>
            </w:r>
          </w:p>
        </w:tc>
      </w:tr>
      <w:tr w:rsidR="00E23889" w:rsidRPr="0070660B" w14:paraId="16F4359C"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74F11BE2" w14:textId="77777777" w:rsidR="002B12EB" w:rsidRPr="0070660B" w:rsidRDefault="002B12EB" w:rsidP="00962FBE">
            <w:pPr>
              <w:pStyle w:val="BodyText"/>
            </w:pPr>
            <w:r w:rsidRPr="0070660B">
              <w:lastRenderedPageBreak/>
              <w:t>10.11</w:t>
            </w:r>
          </w:p>
        </w:tc>
        <w:tc>
          <w:tcPr>
            <w:tcW w:w="2573" w:type="pct"/>
          </w:tcPr>
          <w:p w14:paraId="60C7A1EA"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Alternative points of view are presented and considered where appropriate</w:t>
            </w:r>
          </w:p>
        </w:tc>
        <w:tc>
          <w:tcPr>
            <w:tcW w:w="2181" w:type="pct"/>
          </w:tcPr>
          <w:p w14:paraId="659B6EBD" w14:textId="44275A05" w:rsidR="002B12EB" w:rsidRPr="0070660B" w:rsidRDefault="0074120B" w:rsidP="00962FBE">
            <w:pPr>
              <w:pStyle w:val="BodyText"/>
              <w:cnfStyle w:val="000000100000" w:firstRow="0" w:lastRow="0" w:firstColumn="0" w:lastColumn="0" w:oddVBand="0" w:evenVBand="0" w:oddHBand="1" w:evenHBand="0" w:firstRowFirstColumn="0" w:firstRowLastColumn="0" w:lastRowFirstColumn="0" w:lastRowLastColumn="0"/>
            </w:pPr>
            <w:r>
              <w:t xml:space="preserve">Where key stakeholders presented divergent points of view, this is noted (e.g. in Section 3.1.1 KRA 1, and Section 3.2.1) </w:t>
            </w:r>
          </w:p>
        </w:tc>
      </w:tr>
      <w:tr w:rsidR="00E23889" w:rsidRPr="0070660B" w14:paraId="41BC804B"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31B95932" w14:textId="77777777" w:rsidR="002B12EB" w:rsidRPr="0070660B" w:rsidRDefault="002B12EB" w:rsidP="00962FBE">
            <w:pPr>
              <w:pStyle w:val="BodyText"/>
            </w:pPr>
            <w:r w:rsidRPr="0070660B">
              <w:t>10.12</w:t>
            </w:r>
          </w:p>
        </w:tc>
        <w:tc>
          <w:tcPr>
            <w:tcW w:w="2573" w:type="pct"/>
          </w:tcPr>
          <w:p w14:paraId="2E9F9D7F"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Complicated and complex issues are adequately explored and not oversimplified</w:t>
            </w:r>
          </w:p>
        </w:tc>
        <w:tc>
          <w:tcPr>
            <w:tcW w:w="2181" w:type="pct"/>
          </w:tcPr>
          <w:p w14:paraId="3C69CBCE"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The report canvasses multiple internal and external factors explaining the level of progress achieved rather than posing simplistic explanations. For example, see section 3.1.6 on barriers to delivery.</w:t>
            </w:r>
          </w:p>
        </w:tc>
      </w:tr>
      <w:tr w:rsidR="00E23889" w:rsidRPr="0070660B" w14:paraId="1DB95D5F"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77928AA5" w14:textId="77777777" w:rsidR="002B12EB" w:rsidRPr="0070660B" w:rsidRDefault="002B12EB" w:rsidP="00962FBE">
            <w:pPr>
              <w:pStyle w:val="BodyText"/>
            </w:pPr>
            <w:r w:rsidRPr="0070660B">
              <w:t>10.13</w:t>
            </w:r>
          </w:p>
        </w:tc>
        <w:tc>
          <w:tcPr>
            <w:tcW w:w="2573" w:type="pct"/>
          </w:tcPr>
          <w:p w14:paraId="4BDDCE22"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The role of context and emergent risks to program performance are analysed</w:t>
            </w:r>
          </w:p>
        </w:tc>
        <w:tc>
          <w:tcPr>
            <w:tcW w:w="2181" w:type="pct"/>
          </w:tcPr>
          <w:p w14:paraId="1739C14D"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 xml:space="preserve">As above, contextual impacts on TongaHealth are well-canvassed, especially COVID-19 pandemic, the </w:t>
            </w:r>
            <w:proofErr w:type="spellStart"/>
            <w:r w:rsidRPr="0070660B">
              <w:t>Hunga</w:t>
            </w:r>
            <w:proofErr w:type="spellEnd"/>
            <w:r w:rsidRPr="0070660B">
              <w:t xml:space="preserve"> Tonga </w:t>
            </w:r>
            <w:proofErr w:type="spellStart"/>
            <w:r w:rsidRPr="0070660B">
              <w:t>Hunga</w:t>
            </w:r>
            <w:proofErr w:type="spellEnd"/>
            <w:r w:rsidRPr="0070660B">
              <w:t xml:space="preserve"> </w:t>
            </w:r>
            <w:proofErr w:type="spellStart"/>
            <w:r w:rsidRPr="0070660B">
              <w:t>Ha’apai</w:t>
            </w:r>
            <w:proofErr w:type="spellEnd"/>
            <w:r w:rsidRPr="0070660B">
              <w:t xml:space="preserve"> eruption and tsunami in January 2022.</w:t>
            </w:r>
          </w:p>
        </w:tc>
      </w:tr>
      <w:tr w:rsidR="00E23889" w:rsidRPr="0070660B" w14:paraId="4A6C3AFA"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6B3FDA67" w14:textId="77777777" w:rsidR="002B12EB" w:rsidRPr="0070660B" w:rsidRDefault="002B12EB" w:rsidP="00962FBE">
            <w:pPr>
              <w:pStyle w:val="BodyText"/>
            </w:pPr>
            <w:r w:rsidRPr="0070660B">
              <w:t>10.14</w:t>
            </w:r>
          </w:p>
        </w:tc>
        <w:tc>
          <w:tcPr>
            <w:tcW w:w="2573" w:type="pct"/>
          </w:tcPr>
          <w:p w14:paraId="0BAA99E8"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It is possible to trace the factors, over time, that have led to the current situation</w:t>
            </w:r>
          </w:p>
        </w:tc>
        <w:tc>
          <w:tcPr>
            <w:tcW w:w="2181" w:type="pct"/>
          </w:tcPr>
          <w:p w14:paraId="2ADF0FC1"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As above, a range of factors are explored that account for the current situation, including budget impacts of delays to the THSSP3 design, and changes in TH’s level of technical capacity e.g., see section 3.1.6.</w:t>
            </w:r>
          </w:p>
        </w:tc>
      </w:tr>
      <w:tr w:rsidR="00E23889" w:rsidRPr="0070660B" w14:paraId="190FB0DE"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351F56D2" w14:textId="77777777" w:rsidR="002B12EB" w:rsidRPr="0070660B" w:rsidRDefault="002B12EB" w:rsidP="00962FBE">
            <w:pPr>
              <w:pStyle w:val="BodyText"/>
            </w:pPr>
            <w:r w:rsidRPr="0070660B">
              <w:t>10.15</w:t>
            </w:r>
          </w:p>
        </w:tc>
        <w:tc>
          <w:tcPr>
            <w:tcW w:w="2573" w:type="pct"/>
          </w:tcPr>
          <w:p w14:paraId="0E529381"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Robust evidence and neutral language are used to communicate findings, not emotive arguments</w:t>
            </w:r>
          </w:p>
        </w:tc>
        <w:tc>
          <w:tcPr>
            <w:tcW w:w="2181" w:type="pct"/>
          </w:tcPr>
          <w:p w14:paraId="10F16DD8"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Section 3.1-3.4 adopts a professional tone, avoiding emotive language or unsubstantiated claims.</w:t>
            </w:r>
          </w:p>
        </w:tc>
      </w:tr>
      <w:tr w:rsidR="0070660B" w:rsidRPr="0070660B" w14:paraId="76C8B26A"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0A00ED5F" w14:textId="77777777" w:rsidR="002B12EB" w:rsidRPr="0070660B" w:rsidRDefault="002B12EB" w:rsidP="00962FBE">
            <w:pPr>
              <w:pStyle w:val="BodyText"/>
            </w:pPr>
            <w:r w:rsidRPr="0070660B">
              <w:t>10.16</w:t>
            </w:r>
          </w:p>
        </w:tc>
        <w:tc>
          <w:tcPr>
            <w:tcW w:w="2573" w:type="pct"/>
          </w:tcPr>
          <w:p w14:paraId="609F1C3E"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The implications of key findings are fully explored</w:t>
            </w:r>
          </w:p>
        </w:tc>
        <w:tc>
          <w:tcPr>
            <w:tcW w:w="2181" w:type="pct"/>
          </w:tcPr>
          <w:p w14:paraId="530B6258"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Implications of key findings are noted throughout Sections 3.1-3.4 as well as in Section 3.5 as part of the justification for each recommendation.</w:t>
            </w:r>
          </w:p>
        </w:tc>
      </w:tr>
      <w:tr w:rsidR="00E23889" w:rsidRPr="0070660B" w14:paraId="66FAA660" w14:textId="77777777" w:rsidTr="007412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 w:type="pct"/>
          </w:tcPr>
          <w:p w14:paraId="207D6CF3" w14:textId="77777777" w:rsidR="002B12EB" w:rsidRPr="0070660B" w:rsidRDefault="002B12EB" w:rsidP="00962FBE">
            <w:pPr>
              <w:pStyle w:val="BodyText"/>
            </w:pPr>
            <w:r w:rsidRPr="0070660B">
              <w:t>10.17</w:t>
            </w:r>
          </w:p>
        </w:tc>
        <w:tc>
          <w:tcPr>
            <w:tcW w:w="2573" w:type="pct"/>
          </w:tcPr>
          <w:p w14:paraId="06C9794D"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There is a limited number of feasible recommendations</w:t>
            </w:r>
          </w:p>
        </w:tc>
        <w:tc>
          <w:tcPr>
            <w:tcW w:w="2181" w:type="pct"/>
          </w:tcPr>
          <w:p w14:paraId="7A3F3C56" w14:textId="5C636E7A"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Ten recommendations are provided (Section 3.5) spanning the broad range of concerns identified in the report. Effort has been made to make th</w:t>
            </w:r>
            <w:r w:rsidR="001A2B97">
              <w:t>ese</w:t>
            </w:r>
            <w:r w:rsidRPr="0070660B">
              <w:t xml:space="preserve"> as realistic as possible</w:t>
            </w:r>
            <w:r w:rsidR="001A2B97">
              <w:t>, and for these to be implementable within the existing TongaHealth budget envelope</w:t>
            </w:r>
            <w:r w:rsidRPr="0070660B">
              <w:t>.</w:t>
            </w:r>
          </w:p>
        </w:tc>
      </w:tr>
      <w:tr w:rsidR="00E23889" w:rsidRPr="0070660B" w14:paraId="4B673D86"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38CDA9E3" w14:textId="77777777" w:rsidR="002B12EB" w:rsidRPr="0070660B" w:rsidRDefault="002B12EB" w:rsidP="00962FBE">
            <w:pPr>
              <w:pStyle w:val="BodyText"/>
            </w:pPr>
            <w:r w:rsidRPr="0070660B">
              <w:t>10.18</w:t>
            </w:r>
          </w:p>
        </w:tc>
        <w:tc>
          <w:tcPr>
            <w:tcW w:w="2573" w:type="pct"/>
          </w:tcPr>
          <w:p w14:paraId="44FB2A5A"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Individual positions have been allocated responsibility for responding to recommendations</w:t>
            </w:r>
          </w:p>
        </w:tc>
        <w:tc>
          <w:tcPr>
            <w:tcW w:w="2181" w:type="pct"/>
          </w:tcPr>
          <w:p w14:paraId="7294A412"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Recommendations are allocated to TongaHealth or DFAT. These partners will allocate responsibilities for actioning these recommendations in line with their own processes and guided by the management response to the review.</w:t>
            </w:r>
          </w:p>
        </w:tc>
      </w:tr>
      <w:tr w:rsidR="00E23889" w:rsidRPr="0070660B" w14:paraId="1494076E" w14:textId="77777777" w:rsidTr="00406A81">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45" w:type="pct"/>
          </w:tcPr>
          <w:p w14:paraId="52B0289A" w14:textId="77777777" w:rsidR="002B12EB" w:rsidRPr="0070660B" w:rsidRDefault="002B12EB" w:rsidP="00962FBE">
            <w:pPr>
              <w:pStyle w:val="BodyText"/>
            </w:pPr>
            <w:r w:rsidRPr="0070660B">
              <w:lastRenderedPageBreak/>
              <w:t>10.19</w:t>
            </w:r>
          </w:p>
        </w:tc>
        <w:tc>
          <w:tcPr>
            <w:tcW w:w="2573" w:type="pct"/>
          </w:tcPr>
          <w:p w14:paraId="4B127D80" w14:textId="77777777"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 xml:space="preserve">Where there are significant cost implications of recommendations, these have been estimated </w:t>
            </w:r>
          </w:p>
        </w:tc>
        <w:tc>
          <w:tcPr>
            <w:tcW w:w="2181" w:type="pct"/>
          </w:tcPr>
          <w:p w14:paraId="1F658460" w14:textId="6B1F2C10" w:rsidR="002B12EB" w:rsidRPr="0070660B" w:rsidRDefault="002B12EB" w:rsidP="00962FBE">
            <w:pPr>
              <w:pStyle w:val="BodyText"/>
              <w:cnfStyle w:val="000000100000" w:firstRow="0" w:lastRow="0" w:firstColumn="0" w:lastColumn="0" w:oddVBand="0" w:evenVBand="0" w:oddHBand="1" w:evenHBand="0" w:firstRowFirstColumn="0" w:firstRowLastColumn="0" w:lastRowFirstColumn="0" w:lastRowLastColumn="0"/>
            </w:pPr>
            <w:r w:rsidRPr="0070660B">
              <w:t xml:space="preserve"> </w:t>
            </w:r>
            <w:r w:rsidR="0051353A">
              <w:t>The recommendations are intended to be feasible to implement within the existing TongaHealth budget envelope. Where a re-allocation of existing budget may be required, this has been noted.</w:t>
            </w:r>
          </w:p>
        </w:tc>
      </w:tr>
      <w:tr w:rsidR="00E23889" w:rsidRPr="0070660B" w14:paraId="631A28DB" w14:textId="77777777" w:rsidTr="0074120B">
        <w:tc>
          <w:tcPr>
            <w:cnfStyle w:val="001000000000" w:firstRow="0" w:lastRow="0" w:firstColumn="1" w:lastColumn="0" w:oddVBand="0" w:evenVBand="0" w:oddHBand="0" w:evenHBand="0" w:firstRowFirstColumn="0" w:firstRowLastColumn="0" w:lastRowFirstColumn="0" w:lastRowLastColumn="0"/>
            <w:tcW w:w="245" w:type="pct"/>
          </w:tcPr>
          <w:p w14:paraId="0DEDD56A" w14:textId="77777777" w:rsidR="002B12EB" w:rsidRPr="0070660B" w:rsidRDefault="002B12EB" w:rsidP="00962FBE">
            <w:pPr>
              <w:pStyle w:val="BodyText"/>
            </w:pPr>
            <w:r w:rsidRPr="0070660B">
              <w:t>10.20</w:t>
            </w:r>
          </w:p>
        </w:tc>
        <w:tc>
          <w:tcPr>
            <w:tcW w:w="2573" w:type="pct"/>
          </w:tcPr>
          <w:p w14:paraId="7820FDCD"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The circumstances under which any important lessons are transferable are described</w:t>
            </w:r>
          </w:p>
        </w:tc>
        <w:tc>
          <w:tcPr>
            <w:tcW w:w="2181" w:type="pct"/>
          </w:tcPr>
          <w:p w14:paraId="24B58774" w14:textId="77777777" w:rsidR="002B12EB" w:rsidRPr="0070660B" w:rsidRDefault="002B12EB" w:rsidP="00962FBE">
            <w:pPr>
              <w:pStyle w:val="BodyText"/>
              <w:cnfStyle w:val="000000000000" w:firstRow="0" w:lastRow="0" w:firstColumn="0" w:lastColumn="0" w:oddVBand="0" w:evenVBand="0" w:oddHBand="0" w:evenHBand="0" w:firstRowFirstColumn="0" w:firstRowLastColumn="0" w:lastRowFirstColumn="0" w:lastRowLastColumn="0"/>
            </w:pPr>
            <w:r w:rsidRPr="0070660B">
              <w:t>Identification of transferrable lessons was not a focus of the KRQs.</w:t>
            </w:r>
          </w:p>
        </w:tc>
      </w:tr>
    </w:tbl>
    <w:p w14:paraId="498827AD" w14:textId="1D3D6EB7" w:rsidR="004B5E4D" w:rsidRDefault="004B5E4D" w:rsidP="004B5E4D">
      <w:pPr>
        <w:pStyle w:val="Heading2"/>
        <w:numPr>
          <w:ilvl w:val="0"/>
          <w:numId w:val="0"/>
        </w:numPr>
        <w:ind w:left="851" w:hanging="851"/>
      </w:pPr>
      <w:bookmarkStart w:id="70" w:name="_Toc153899676"/>
      <w:bookmarkStart w:id="71" w:name="_Ref153899743"/>
      <w:bookmarkStart w:id="72" w:name="_Ref153899768"/>
      <w:r>
        <w:br w:type="page"/>
      </w:r>
    </w:p>
    <w:p w14:paraId="71375F75" w14:textId="72C6A3D5" w:rsidR="005F52CD" w:rsidRDefault="005F52CD" w:rsidP="00962FBE">
      <w:pPr>
        <w:pStyle w:val="Heading2"/>
      </w:pPr>
      <w:r>
        <w:lastRenderedPageBreak/>
        <w:t>TongaHealth’s progress against outputs of the NCD Strategy</w:t>
      </w:r>
      <w:bookmarkEnd w:id="68"/>
      <w:bookmarkEnd w:id="70"/>
      <w:bookmarkEnd w:id="71"/>
      <w:bookmarkEnd w:id="72"/>
    </w:p>
    <w:p w14:paraId="72C9DBED" w14:textId="1A8E72A7" w:rsidR="005F52CD" w:rsidRPr="005846D1" w:rsidRDefault="005F52CD" w:rsidP="00DF166F">
      <w:pPr>
        <w:spacing w:line="276" w:lineRule="auto"/>
        <w:rPr>
          <w:rFonts w:ascii="Arial" w:hAnsi="Arial" w:cs="Arial"/>
        </w:rPr>
      </w:pPr>
      <w:r w:rsidRPr="00801095">
        <w:rPr>
          <w:rFonts w:eastAsiaTheme="minorHAnsi" w:cstheme="minorHAnsi"/>
          <w:lang w:val="en-AU"/>
        </w:rPr>
        <w:t>This table maps TongaHealth’s progress against the outputs and activities allocated to TongaHealth in the NCD Strategy. The table also includes activities allocated to the M&amp;E Taskforce, which TongaHealth</w:t>
      </w:r>
      <w:r w:rsidR="00AD6E8B">
        <w:rPr>
          <w:rFonts w:eastAsiaTheme="minorHAnsi" w:cstheme="minorHAnsi"/>
          <w:lang w:val="en-AU"/>
        </w:rPr>
        <w:t xml:space="preserve"> i</w:t>
      </w:r>
      <w:r w:rsidRPr="00801095">
        <w:rPr>
          <w:rFonts w:eastAsiaTheme="minorHAnsi" w:cstheme="minorHAnsi"/>
          <w:lang w:val="en-AU"/>
        </w:rPr>
        <w:t>s</w:t>
      </w:r>
      <w:r w:rsidR="00AD641D">
        <w:rPr>
          <w:rFonts w:eastAsiaTheme="minorHAnsi" w:cstheme="minorHAnsi"/>
          <w:lang w:val="en-AU"/>
        </w:rPr>
        <w:t xml:space="preserve"> responsible for establishing and convening</w:t>
      </w:r>
      <w:r w:rsidRPr="00801095">
        <w:rPr>
          <w:rFonts w:eastAsiaTheme="minorHAnsi" w:cstheme="minorHAnsi"/>
          <w:lang w:val="en-AU"/>
        </w:rPr>
        <w:t>. Note that for some activities, responsibility was jointly allocated to TongaHealth and other stakeholders</w:t>
      </w:r>
      <w:r w:rsidRPr="005846D1">
        <w:rPr>
          <w:rFonts w:ascii="Arial" w:hAnsi="Arial" w:cs="Arial"/>
        </w:rPr>
        <w:t xml:space="preserve">.  </w:t>
      </w:r>
    </w:p>
    <w:p w14:paraId="4507024B" w14:textId="77777777" w:rsidR="005F52CD" w:rsidRPr="005846D1" w:rsidRDefault="005F52CD" w:rsidP="00DF166F">
      <w:pPr>
        <w:spacing w:line="276" w:lineRule="auto"/>
        <w:rPr>
          <w:rFonts w:ascii="Arial" w:hAnsi="Arial" w:cs="Arial"/>
          <w:b/>
          <w:bCs/>
        </w:rPr>
      </w:pPr>
    </w:p>
    <w:tbl>
      <w:tblPr>
        <w:tblStyle w:val="TableGrid"/>
        <w:tblW w:w="0" w:type="auto"/>
        <w:tblInd w:w="-431" w:type="dxa"/>
        <w:tblBorders>
          <w:top w:val="single" w:sz="4" w:space="0" w:color="A64B63" w:themeColor="accent1"/>
          <w:left w:val="single" w:sz="4" w:space="0" w:color="A64B63" w:themeColor="accent1"/>
          <w:bottom w:val="single" w:sz="4" w:space="0" w:color="A64B63" w:themeColor="accent1"/>
          <w:right w:val="single" w:sz="4" w:space="0" w:color="A64B63" w:themeColor="accent1"/>
          <w:insideH w:val="single" w:sz="4" w:space="0" w:color="A64B63" w:themeColor="accent1"/>
          <w:insideV w:val="single" w:sz="4" w:space="0" w:color="A64B63" w:themeColor="accent1"/>
        </w:tblBorders>
        <w:tblLayout w:type="fixed"/>
        <w:tblLook w:val="04A0" w:firstRow="1" w:lastRow="0" w:firstColumn="1" w:lastColumn="0" w:noHBand="0" w:noVBand="1"/>
      </w:tblPr>
      <w:tblGrid>
        <w:gridCol w:w="1986"/>
        <w:gridCol w:w="3118"/>
        <w:gridCol w:w="2126"/>
        <w:gridCol w:w="426"/>
        <w:gridCol w:w="425"/>
        <w:gridCol w:w="425"/>
        <w:gridCol w:w="425"/>
        <w:gridCol w:w="426"/>
        <w:gridCol w:w="2126"/>
        <w:gridCol w:w="2898"/>
      </w:tblGrid>
      <w:tr w:rsidR="00566884" w:rsidRPr="00771A47" w14:paraId="3A45EDCE" w14:textId="77777777" w:rsidTr="00566884">
        <w:trPr>
          <w:tblHeader/>
        </w:trPr>
        <w:tc>
          <w:tcPr>
            <w:tcW w:w="1986" w:type="dxa"/>
            <w:shd w:val="clear" w:color="auto" w:fill="A64B63" w:themeFill="accent1"/>
          </w:tcPr>
          <w:p w14:paraId="743BC334" w14:textId="0E0B130E" w:rsidR="00566884" w:rsidRDefault="00566884" w:rsidP="00DF166F">
            <w:pPr>
              <w:spacing w:line="276" w:lineRule="auto"/>
              <w:rPr>
                <w:rFonts w:cstheme="minorHAnsi"/>
                <w:b/>
                <w:bCs/>
                <w:color w:val="FFFFFF" w:themeColor="background1"/>
                <w:sz w:val="19"/>
                <w:szCs w:val="19"/>
              </w:rPr>
            </w:pPr>
            <w:r>
              <w:rPr>
                <w:rFonts w:cstheme="minorHAnsi"/>
                <w:b/>
                <w:bCs/>
                <w:color w:val="FFFFFF" w:themeColor="background1"/>
                <w:sz w:val="19"/>
                <w:szCs w:val="19"/>
              </w:rPr>
              <w:t>Key Result Area and</w:t>
            </w:r>
          </w:p>
          <w:p w14:paraId="0A5A6702" w14:textId="68327EEA" w:rsidR="005F52CD" w:rsidRPr="002A72D0" w:rsidRDefault="005F52CD" w:rsidP="00DF166F">
            <w:pPr>
              <w:spacing w:line="276" w:lineRule="auto"/>
              <w:rPr>
                <w:rFonts w:cstheme="minorHAnsi"/>
                <w:b/>
                <w:bCs/>
                <w:color w:val="FFFFFF" w:themeColor="background1"/>
                <w:sz w:val="19"/>
                <w:szCs w:val="19"/>
              </w:rPr>
            </w:pPr>
            <w:r w:rsidRPr="002A72D0">
              <w:rPr>
                <w:rFonts w:cstheme="minorHAnsi"/>
                <w:b/>
                <w:bCs/>
                <w:color w:val="FFFFFF" w:themeColor="background1"/>
                <w:sz w:val="19"/>
                <w:szCs w:val="19"/>
              </w:rPr>
              <w:t>Outputs (from NCD Strategy)</w:t>
            </w:r>
          </w:p>
        </w:tc>
        <w:tc>
          <w:tcPr>
            <w:tcW w:w="3118" w:type="dxa"/>
            <w:shd w:val="clear" w:color="auto" w:fill="A64B63" w:themeFill="accent1"/>
          </w:tcPr>
          <w:p w14:paraId="492E8055" w14:textId="77777777"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Activities (from NCD Strategy)</w:t>
            </w:r>
          </w:p>
        </w:tc>
        <w:tc>
          <w:tcPr>
            <w:tcW w:w="2126" w:type="dxa"/>
            <w:shd w:val="clear" w:color="auto" w:fill="A64B63" w:themeFill="accent1"/>
          </w:tcPr>
          <w:p w14:paraId="17FE1718" w14:textId="77777777"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Who is responsible (from NCD Strategy)</w:t>
            </w:r>
          </w:p>
        </w:tc>
        <w:tc>
          <w:tcPr>
            <w:tcW w:w="426" w:type="dxa"/>
            <w:shd w:val="clear" w:color="auto" w:fill="A64B63" w:themeFill="accent1"/>
          </w:tcPr>
          <w:p w14:paraId="09C8C1DF" w14:textId="28604654"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21</w:t>
            </w:r>
          </w:p>
        </w:tc>
        <w:tc>
          <w:tcPr>
            <w:tcW w:w="425" w:type="dxa"/>
            <w:shd w:val="clear" w:color="auto" w:fill="A64B63" w:themeFill="accent1"/>
          </w:tcPr>
          <w:p w14:paraId="75C24CCB" w14:textId="2B8564EF"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22</w:t>
            </w:r>
          </w:p>
        </w:tc>
        <w:tc>
          <w:tcPr>
            <w:tcW w:w="425" w:type="dxa"/>
            <w:shd w:val="clear" w:color="auto" w:fill="A64B63" w:themeFill="accent1"/>
          </w:tcPr>
          <w:p w14:paraId="3A08FE35" w14:textId="1BB26446"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23</w:t>
            </w:r>
          </w:p>
        </w:tc>
        <w:tc>
          <w:tcPr>
            <w:tcW w:w="425" w:type="dxa"/>
            <w:shd w:val="clear" w:color="auto" w:fill="A64B63" w:themeFill="accent1"/>
          </w:tcPr>
          <w:p w14:paraId="060D17D7" w14:textId="48AFE44D"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24</w:t>
            </w:r>
          </w:p>
        </w:tc>
        <w:tc>
          <w:tcPr>
            <w:tcW w:w="426" w:type="dxa"/>
            <w:shd w:val="clear" w:color="auto" w:fill="A64B63" w:themeFill="accent1"/>
          </w:tcPr>
          <w:p w14:paraId="3F584BC0" w14:textId="77777777"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25</w:t>
            </w:r>
          </w:p>
        </w:tc>
        <w:tc>
          <w:tcPr>
            <w:tcW w:w="2126" w:type="dxa"/>
            <w:shd w:val="clear" w:color="auto" w:fill="A64B63" w:themeFill="accent1"/>
          </w:tcPr>
          <w:p w14:paraId="395EEAE1" w14:textId="04E51C6F" w:rsidR="005F52CD" w:rsidRPr="002A72D0" w:rsidRDefault="005F52CD" w:rsidP="00DF166F">
            <w:pPr>
              <w:spacing w:line="276" w:lineRule="auto"/>
              <w:rPr>
                <w:rFonts w:cstheme="minorHAnsi"/>
                <w:color w:val="FFFFFF" w:themeColor="background1"/>
                <w:sz w:val="19"/>
                <w:szCs w:val="19"/>
              </w:rPr>
            </w:pPr>
            <w:r w:rsidRPr="002A72D0">
              <w:rPr>
                <w:rFonts w:cstheme="minorHAnsi"/>
                <w:b/>
                <w:bCs/>
                <w:color w:val="FFFFFF" w:themeColor="background1"/>
                <w:sz w:val="19"/>
                <w:szCs w:val="19"/>
              </w:rPr>
              <w:t>Corresponding activity number in THSSP3 3-year workplan)</w:t>
            </w:r>
          </w:p>
        </w:tc>
        <w:tc>
          <w:tcPr>
            <w:tcW w:w="2898" w:type="dxa"/>
            <w:shd w:val="clear" w:color="auto" w:fill="A64B63" w:themeFill="accent1"/>
          </w:tcPr>
          <w:p w14:paraId="09658352" w14:textId="52C72155" w:rsidR="005F52CD" w:rsidRPr="002A72D0" w:rsidRDefault="005F52CD" w:rsidP="00DF166F">
            <w:pPr>
              <w:spacing w:line="276" w:lineRule="auto"/>
              <w:rPr>
                <w:rFonts w:cstheme="minorHAnsi"/>
                <w:b/>
                <w:bCs/>
                <w:color w:val="FFFFFF" w:themeColor="background1"/>
                <w:sz w:val="19"/>
                <w:szCs w:val="19"/>
              </w:rPr>
            </w:pPr>
            <w:r w:rsidRPr="002A72D0">
              <w:rPr>
                <w:rFonts w:cstheme="minorHAnsi"/>
                <w:b/>
                <w:bCs/>
                <w:color w:val="FFFFFF" w:themeColor="background1"/>
                <w:sz w:val="19"/>
                <w:szCs w:val="19"/>
              </w:rPr>
              <w:t xml:space="preserve">Progress </w:t>
            </w:r>
            <w:r w:rsidR="009B3A01" w:rsidRPr="002A72D0">
              <w:rPr>
                <w:rFonts w:cstheme="minorHAnsi"/>
                <w:b/>
                <w:bCs/>
                <w:color w:val="FFFFFF" w:themeColor="background1"/>
                <w:sz w:val="19"/>
                <w:szCs w:val="19"/>
              </w:rPr>
              <w:t>as of November 2023</w:t>
            </w:r>
            <w:r w:rsidRPr="002A72D0">
              <w:rPr>
                <w:rStyle w:val="FootnoteReference"/>
                <w:rFonts w:cstheme="minorHAnsi"/>
                <w:b/>
                <w:bCs/>
                <w:color w:val="FFFFFF" w:themeColor="background1"/>
                <w:sz w:val="19"/>
                <w:szCs w:val="19"/>
              </w:rPr>
              <w:footnoteReference w:id="13"/>
            </w:r>
          </w:p>
          <w:p w14:paraId="166BA281" w14:textId="77777777" w:rsidR="005F52CD" w:rsidRPr="002A72D0" w:rsidRDefault="005F52CD" w:rsidP="00DF166F">
            <w:pPr>
              <w:spacing w:line="276" w:lineRule="auto"/>
              <w:rPr>
                <w:rFonts w:cstheme="minorHAnsi"/>
                <w:color w:val="FFFFFF" w:themeColor="background1"/>
                <w:sz w:val="19"/>
                <w:szCs w:val="19"/>
              </w:rPr>
            </w:pPr>
          </w:p>
        </w:tc>
      </w:tr>
      <w:tr w:rsidR="00566884" w:rsidRPr="00771A47" w14:paraId="48C188FB" w14:textId="77777777" w:rsidTr="00566884">
        <w:tc>
          <w:tcPr>
            <w:tcW w:w="1986" w:type="dxa"/>
          </w:tcPr>
          <w:p w14:paraId="5E258BD3" w14:textId="77777777" w:rsidR="00BB1B9F" w:rsidRPr="00771A47" w:rsidRDefault="00BB1B9F" w:rsidP="00BB1B9F">
            <w:pPr>
              <w:spacing w:line="276" w:lineRule="auto"/>
              <w:rPr>
                <w:rFonts w:cstheme="minorHAnsi"/>
                <w:sz w:val="19"/>
                <w:szCs w:val="19"/>
              </w:rPr>
            </w:pPr>
            <w:r w:rsidRPr="00771A47">
              <w:rPr>
                <w:rFonts w:cstheme="minorHAnsi"/>
                <w:sz w:val="19"/>
                <w:szCs w:val="19"/>
              </w:rPr>
              <w:t>1.1 Effective governance of the NNCDC supports implementation of the Tonga NCD Strategy</w:t>
            </w:r>
          </w:p>
        </w:tc>
        <w:tc>
          <w:tcPr>
            <w:tcW w:w="3118" w:type="dxa"/>
          </w:tcPr>
          <w:p w14:paraId="6171FB63" w14:textId="267CE6C8" w:rsidR="00BB1B9F" w:rsidRPr="00771A47" w:rsidRDefault="00BB1B9F" w:rsidP="00BB1B9F">
            <w:pPr>
              <w:spacing w:line="276" w:lineRule="auto"/>
              <w:rPr>
                <w:rFonts w:cstheme="minorHAnsi"/>
                <w:sz w:val="19"/>
                <w:szCs w:val="19"/>
              </w:rPr>
            </w:pPr>
            <w:r w:rsidRPr="00771A47">
              <w:rPr>
                <w:rFonts w:cstheme="minorHAnsi"/>
                <w:sz w:val="19"/>
                <w:szCs w:val="19"/>
              </w:rPr>
              <w:t xml:space="preserve">1.1.1 Finalise the NNCDC Charter and submit for endorsement </w:t>
            </w:r>
          </w:p>
        </w:tc>
        <w:tc>
          <w:tcPr>
            <w:tcW w:w="2126" w:type="dxa"/>
          </w:tcPr>
          <w:p w14:paraId="6CC5E7B8"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TongaHealth</w:t>
            </w:r>
          </w:p>
        </w:tc>
        <w:tc>
          <w:tcPr>
            <w:tcW w:w="426" w:type="dxa"/>
          </w:tcPr>
          <w:p w14:paraId="7F57671D"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571BCBAE" w14:textId="26B3D548"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6061ADB2"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E517D8D" w14:textId="335C974F" w:rsidR="00BB1B9F" w:rsidRPr="00771A47" w:rsidRDefault="00BB1B9F" w:rsidP="00BB1B9F">
            <w:pPr>
              <w:spacing w:line="276" w:lineRule="auto"/>
              <w:rPr>
                <w:rFonts w:cstheme="minorHAnsi"/>
                <w:sz w:val="19"/>
                <w:szCs w:val="19"/>
              </w:rPr>
            </w:pPr>
            <w:r>
              <w:rPr>
                <w:rFonts w:cstheme="minorHAnsi"/>
                <w:sz w:val="19"/>
                <w:szCs w:val="19"/>
              </w:rPr>
              <w:t>-</w:t>
            </w:r>
          </w:p>
        </w:tc>
        <w:tc>
          <w:tcPr>
            <w:tcW w:w="426" w:type="dxa"/>
          </w:tcPr>
          <w:p w14:paraId="374A55AD"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39C5A451" w14:textId="60BD1E58"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6E3D826D"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Planned for FY23/24 </w:t>
            </w:r>
          </w:p>
        </w:tc>
      </w:tr>
      <w:tr w:rsidR="00566884" w:rsidRPr="00771A47" w14:paraId="360FC830" w14:textId="77777777" w:rsidTr="00566884">
        <w:tc>
          <w:tcPr>
            <w:tcW w:w="1986" w:type="dxa"/>
          </w:tcPr>
          <w:p w14:paraId="43B0E8EA" w14:textId="076F7888" w:rsidR="00BB1B9F" w:rsidRPr="00771A47" w:rsidRDefault="00BB1B9F" w:rsidP="00BB1B9F">
            <w:pPr>
              <w:spacing w:line="276" w:lineRule="auto"/>
              <w:rPr>
                <w:rFonts w:cstheme="minorHAnsi"/>
                <w:sz w:val="19"/>
                <w:szCs w:val="19"/>
              </w:rPr>
            </w:pPr>
            <w:r w:rsidRPr="00102D54">
              <w:rPr>
                <w:rFonts w:cstheme="minorHAnsi"/>
                <w:sz w:val="19"/>
                <w:szCs w:val="19"/>
              </w:rPr>
              <w:t>1.1 Effective governance of the NNCDC supports implementation of the Tonga NCD Strategy</w:t>
            </w:r>
          </w:p>
        </w:tc>
        <w:tc>
          <w:tcPr>
            <w:tcW w:w="3118" w:type="dxa"/>
          </w:tcPr>
          <w:p w14:paraId="74E429C7" w14:textId="77777777" w:rsidR="00BB1B9F" w:rsidRPr="00771A47" w:rsidRDefault="00BB1B9F" w:rsidP="00BB1B9F">
            <w:pPr>
              <w:spacing w:line="276" w:lineRule="auto"/>
              <w:rPr>
                <w:rFonts w:cstheme="minorHAnsi"/>
                <w:sz w:val="19"/>
                <w:szCs w:val="19"/>
              </w:rPr>
            </w:pPr>
            <w:r w:rsidRPr="00771A47">
              <w:rPr>
                <w:rFonts w:cstheme="minorHAnsi"/>
                <w:sz w:val="19"/>
                <w:szCs w:val="19"/>
              </w:rPr>
              <w:t>1.1.2 Review the MoU_2015 between the NNCDC and TongaHealth and communicate findings to stakeholders</w:t>
            </w:r>
          </w:p>
        </w:tc>
        <w:tc>
          <w:tcPr>
            <w:tcW w:w="2126" w:type="dxa"/>
          </w:tcPr>
          <w:p w14:paraId="7023B026"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TongaHealth</w:t>
            </w:r>
          </w:p>
        </w:tc>
        <w:tc>
          <w:tcPr>
            <w:tcW w:w="426" w:type="dxa"/>
          </w:tcPr>
          <w:p w14:paraId="2429A18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C27B93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4AFA9EF8"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0BB17E51"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3347A452"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5E77AEC9" w14:textId="4945CB17"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30793C6C" w14:textId="77777777"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r w:rsidR="00566884" w:rsidRPr="00771A47" w14:paraId="539C3587" w14:textId="77777777" w:rsidTr="00566884">
        <w:tc>
          <w:tcPr>
            <w:tcW w:w="1986" w:type="dxa"/>
          </w:tcPr>
          <w:p w14:paraId="167FA1D2" w14:textId="5A6F9FB1" w:rsidR="00BB1B9F" w:rsidRPr="00771A47" w:rsidRDefault="00BB1B9F" w:rsidP="00BB1B9F">
            <w:pPr>
              <w:spacing w:line="276" w:lineRule="auto"/>
              <w:rPr>
                <w:rFonts w:cstheme="minorHAnsi"/>
                <w:sz w:val="19"/>
                <w:szCs w:val="19"/>
              </w:rPr>
            </w:pPr>
            <w:r w:rsidRPr="00102D54">
              <w:rPr>
                <w:rFonts w:cstheme="minorHAnsi"/>
                <w:sz w:val="19"/>
                <w:szCs w:val="19"/>
              </w:rPr>
              <w:t>1.1 Effective governance of the NNCDC supports implementation of the Tonga NCD Strategy</w:t>
            </w:r>
          </w:p>
        </w:tc>
        <w:tc>
          <w:tcPr>
            <w:tcW w:w="3118" w:type="dxa"/>
          </w:tcPr>
          <w:p w14:paraId="396FBA99" w14:textId="77777777" w:rsidR="00BB1B9F" w:rsidRPr="00771A47" w:rsidRDefault="00BB1B9F" w:rsidP="00BB1B9F">
            <w:pPr>
              <w:spacing w:line="276" w:lineRule="auto"/>
              <w:rPr>
                <w:rFonts w:cstheme="minorHAnsi"/>
                <w:sz w:val="19"/>
                <w:szCs w:val="19"/>
              </w:rPr>
            </w:pPr>
            <w:r w:rsidRPr="00771A47">
              <w:rPr>
                <w:rFonts w:cstheme="minorHAnsi"/>
                <w:sz w:val="19"/>
                <w:szCs w:val="19"/>
              </w:rPr>
              <w:t>1.1.3 Convene quarterly NNCDC meetings</w:t>
            </w:r>
          </w:p>
        </w:tc>
        <w:tc>
          <w:tcPr>
            <w:tcW w:w="2126" w:type="dxa"/>
          </w:tcPr>
          <w:p w14:paraId="0E565A19"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TongaHealth</w:t>
            </w:r>
          </w:p>
        </w:tc>
        <w:tc>
          <w:tcPr>
            <w:tcW w:w="426" w:type="dxa"/>
          </w:tcPr>
          <w:p w14:paraId="21CB34B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0BB337B1"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756C2C88"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51F55631"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4BF86826"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13C04530" w14:textId="616032E6"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522AEB93" w14:textId="327105E5" w:rsidR="00BB1B9F" w:rsidRPr="00771A47" w:rsidRDefault="00BB1B9F" w:rsidP="00BB1B9F">
            <w:pPr>
              <w:spacing w:line="276" w:lineRule="auto"/>
              <w:rPr>
                <w:rFonts w:cstheme="minorHAnsi"/>
                <w:sz w:val="19"/>
                <w:szCs w:val="19"/>
              </w:rPr>
            </w:pPr>
            <w:r w:rsidRPr="00771A47">
              <w:rPr>
                <w:rFonts w:cstheme="minorHAnsi"/>
                <w:sz w:val="19"/>
                <w:szCs w:val="19"/>
              </w:rPr>
              <w:t xml:space="preserve">NNCDC has met twice since 2021 – in May 2022 to endorse TongaHealth Statement of Corporate Intent for FY22/23, and in August 2023 to endorse SCI for 23/24. NNCDC meetings were </w:t>
            </w:r>
            <w:r w:rsidRPr="00771A47">
              <w:rPr>
                <w:rFonts w:cstheme="minorHAnsi"/>
                <w:sz w:val="19"/>
                <w:szCs w:val="19"/>
              </w:rPr>
              <w:lastRenderedPageBreak/>
              <w:t xml:space="preserve">supposed to occur quarterly under current NCD Strategy. </w:t>
            </w:r>
          </w:p>
        </w:tc>
      </w:tr>
      <w:tr w:rsidR="00566884" w:rsidRPr="00771A47" w14:paraId="766A58AD" w14:textId="77777777" w:rsidTr="00566884">
        <w:tc>
          <w:tcPr>
            <w:tcW w:w="1986" w:type="dxa"/>
          </w:tcPr>
          <w:p w14:paraId="2ABE4EB1" w14:textId="17FAF227" w:rsidR="00BB1B9F" w:rsidRPr="00771A47" w:rsidRDefault="00BB1B9F" w:rsidP="00BB1B9F">
            <w:pPr>
              <w:spacing w:line="276" w:lineRule="auto"/>
              <w:rPr>
                <w:rFonts w:cstheme="minorHAnsi"/>
                <w:sz w:val="19"/>
                <w:szCs w:val="19"/>
              </w:rPr>
            </w:pPr>
            <w:r w:rsidRPr="00102D54">
              <w:rPr>
                <w:rFonts w:cstheme="minorHAnsi"/>
                <w:sz w:val="19"/>
                <w:szCs w:val="19"/>
              </w:rPr>
              <w:lastRenderedPageBreak/>
              <w:t>1.1 Effective governance of the NNCDC supports implementation of the Tonga NCD Strategy</w:t>
            </w:r>
          </w:p>
        </w:tc>
        <w:tc>
          <w:tcPr>
            <w:tcW w:w="3118" w:type="dxa"/>
          </w:tcPr>
          <w:p w14:paraId="61DD9D30" w14:textId="77777777" w:rsidR="00BB1B9F" w:rsidRPr="00771A47" w:rsidRDefault="00BB1B9F" w:rsidP="00BB1B9F">
            <w:pPr>
              <w:spacing w:line="276" w:lineRule="auto"/>
              <w:rPr>
                <w:rFonts w:cstheme="minorHAnsi"/>
                <w:sz w:val="19"/>
                <w:szCs w:val="19"/>
              </w:rPr>
            </w:pPr>
            <w:r w:rsidRPr="00771A47">
              <w:rPr>
                <w:rFonts w:cstheme="minorHAnsi"/>
                <w:sz w:val="19"/>
                <w:szCs w:val="19"/>
              </w:rPr>
              <w:t>1.1.4 Review NNCDC performance against the Charter and revised memorandum of understanding (MoU)</w:t>
            </w:r>
          </w:p>
        </w:tc>
        <w:tc>
          <w:tcPr>
            <w:tcW w:w="2126" w:type="dxa"/>
          </w:tcPr>
          <w:p w14:paraId="0DE41FD2"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TongaHealth</w:t>
            </w:r>
          </w:p>
        </w:tc>
        <w:tc>
          <w:tcPr>
            <w:tcW w:w="426" w:type="dxa"/>
          </w:tcPr>
          <w:p w14:paraId="03A5658D"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7B3596C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51E65836"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0CD2FCA4"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1532DE12"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5B7E1EBF" w14:textId="37E5FAA2"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106E66CC" w14:textId="60D04466" w:rsidR="00BB1B9F" w:rsidRPr="00771A47" w:rsidRDefault="00BB1B9F" w:rsidP="00BB1B9F">
            <w:pPr>
              <w:spacing w:line="276" w:lineRule="auto"/>
              <w:rPr>
                <w:rFonts w:cstheme="minorHAnsi"/>
                <w:sz w:val="19"/>
                <w:szCs w:val="19"/>
              </w:rPr>
            </w:pPr>
            <w:r w:rsidRPr="00771A47">
              <w:rPr>
                <w:rFonts w:cstheme="minorHAnsi"/>
                <w:sz w:val="19"/>
                <w:szCs w:val="19"/>
              </w:rPr>
              <w:t xml:space="preserve">No progress </w:t>
            </w:r>
          </w:p>
        </w:tc>
      </w:tr>
      <w:tr w:rsidR="00566884" w:rsidRPr="00771A47" w14:paraId="239422D7" w14:textId="77777777" w:rsidTr="00566884">
        <w:tc>
          <w:tcPr>
            <w:tcW w:w="1986" w:type="dxa"/>
          </w:tcPr>
          <w:p w14:paraId="68D8EA5E" w14:textId="75E319B6" w:rsidR="00BB1B9F" w:rsidRPr="00771A47" w:rsidRDefault="00BB1B9F" w:rsidP="00BB1B9F">
            <w:pPr>
              <w:spacing w:line="276" w:lineRule="auto"/>
              <w:rPr>
                <w:rFonts w:cstheme="minorHAnsi"/>
                <w:sz w:val="19"/>
                <w:szCs w:val="19"/>
              </w:rPr>
            </w:pPr>
            <w:r w:rsidRPr="00102D54">
              <w:rPr>
                <w:rFonts w:cstheme="minorHAnsi"/>
                <w:sz w:val="19"/>
                <w:szCs w:val="19"/>
              </w:rPr>
              <w:t>1.1 Effective governance of the NNCDC supports implementation of the Tonga NCD Strategy</w:t>
            </w:r>
          </w:p>
        </w:tc>
        <w:tc>
          <w:tcPr>
            <w:tcW w:w="3118" w:type="dxa"/>
          </w:tcPr>
          <w:p w14:paraId="64A40C5C" w14:textId="77777777" w:rsidR="00BB1B9F" w:rsidRPr="00771A47" w:rsidRDefault="00BB1B9F" w:rsidP="00BB1B9F">
            <w:pPr>
              <w:spacing w:line="276" w:lineRule="auto"/>
              <w:rPr>
                <w:rFonts w:cstheme="minorHAnsi"/>
                <w:sz w:val="19"/>
                <w:szCs w:val="19"/>
              </w:rPr>
            </w:pPr>
            <w:r w:rsidRPr="00771A47">
              <w:rPr>
                <w:rFonts w:cstheme="minorHAnsi"/>
                <w:sz w:val="19"/>
                <w:szCs w:val="19"/>
              </w:rPr>
              <w:t>1.1.5 Appoint an independent secretariat for the NNCDC and develop TORs for it</w:t>
            </w:r>
          </w:p>
        </w:tc>
        <w:tc>
          <w:tcPr>
            <w:tcW w:w="2126" w:type="dxa"/>
          </w:tcPr>
          <w:p w14:paraId="047B1B10"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TongaHealth</w:t>
            </w:r>
          </w:p>
        </w:tc>
        <w:tc>
          <w:tcPr>
            <w:tcW w:w="426" w:type="dxa"/>
          </w:tcPr>
          <w:p w14:paraId="01C9EF0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AE3E4EA" w14:textId="781DB106"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53D1CB23" w14:textId="1ACE254E"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326ADE4C" w14:textId="1CD2F613" w:rsidR="00BB1B9F" w:rsidRPr="00771A47" w:rsidRDefault="00BB1B9F" w:rsidP="00BB1B9F">
            <w:pPr>
              <w:spacing w:line="276" w:lineRule="auto"/>
              <w:rPr>
                <w:rFonts w:cstheme="minorHAnsi"/>
                <w:sz w:val="19"/>
                <w:szCs w:val="19"/>
              </w:rPr>
            </w:pPr>
            <w:r>
              <w:rPr>
                <w:rFonts w:cstheme="minorHAnsi"/>
                <w:sz w:val="19"/>
                <w:szCs w:val="19"/>
              </w:rPr>
              <w:t>-</w:t>
            </w:r>
          </w:p>
        </w:tc>
        <w:tc>
          <w:tcPr>
            <w:tcW w:w="426" w:type="dxa"/>
          </w:tcPr>
          <w:p w14:paraId="48DEE89E" w14:textId="10956991" w:rsidR="00BB1B9F" w:rsidRPr="00771A47" w:rsidRDefault="00BB1B9F" w:rsidP="00BB1B9F">
            <w:pPr>
              <w:spacing w:line="276" w:lineRule="auto"/>
              <w:rPr>
                <w:rFonts w:cstheme="minorHAnsi"/>
                <w:sz w:val="19"/>
                <w:szCs w:val="19"/>
              </w:rPr>
            </w:pPr>
            <w:r>
              <w:rPr>
                <w:rFonts w:cstheme="minorHAnsi"/>
                <w:sz w:val="19"/>
                <w:szCs w:val="19"/>
              </w:rPr>
              <w:t>-</w:t>
            </w:r>
          </w:p>
        </w:tc>
        <w:tc>
          <w:tcPr>
            <w:tcW w:w="2126" w:type="dxa"/>
          </w:tcPr>
          <w:p w14:paraId="2A8EDB87" w14:textId="2CACCBCE"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4588939F" w14:textId="25BC7D93" w:rsidR="00BB1B9F" w:rsidRPr="00771A47" w:rsidRDefault="00BB1B9F" w:rsidP="00BB1B9F">
            <w:pPr>
              <w:spacing w:line="276" w:lineRule="auto"/>
              <w:rPr>
                <w:rFonts w:cstheme="minorHAnsi"/>
                <w:sz w:val="19"/>
                <w:szCs w:val="19"/>
              </w:rPr>
            </w:pPr>
            <w:r w:rsidRPr="00771A47">
              <w:rPr>
                <w:rFonts w:cstheme="minorHAnsi"/>
                <w:sz w:val="19"/>
                <w:szCs w:val="19"/>
              </w:rPr>
              <w:t>The TongaHealth CEO is the Secretariat for the NNCDC</w:t>
            </w:r>
          </w:p>
        </w:tc>
      </w:tr>
      <w:tr w:rsidR="00566884" w:rsidRPr="00771A47" w14:paraId="7BA575E3" w14:textId="77777777" w:rsidTr="00566884">
        <w:tc>
          <w:tcPr>
            <w:tcW w:w="1986" w:type="dxa"/>
          </w:tcPr>
          <w:p w14:paraId="0509510D" w14:textId="77777777" w:rsidR="00BB1B9F" w:rsidRPr="00771A47" w:rsidRDefault="00BB1B9F" w:rsidP="00BB1B9F">
            <w:pPr>
              <w:spacing w:line="276" w:lineRule="auto"/>
              <w:rPr>
                <w:rFonts w:cstheme="minorHAnsi"/>
                <w:sz w:val="19"/>
                <w:szCs w:val="19"/>
              </w:rPr>
            </w:pPr>
            <w:r w:rsidRPr="00771A47">
              <w:rPr>
                <w:rFonts w:cstheme="minorHAnsi"/>
                <w:sz w:val="19"/>
                <w:szCs w:val="19"/>
              </w:rPr>
              <w:t>1.2 NNCDC members trained on effective governance and leadership, health promotion and NCD issues</w:t>
            </w:r>
          </w:p>
        </w:tc>
        <w:tc>
          <w:tcPr>
            <w:tcW w:w="3118" w:type="dxa"/>
          </w:tcPr>
          <w:p w14:paraId="51770303" w14:textId="77777777" w:rsidR="00BB1B9F" w:rsidRPr="00771A47" w:rsidRDefault="00BB1B9F" w:rsidP="00BB1B9F">
            <w:pPr>
              <w:spacing w:line="276" w:lineRule="auto"/>
              <w:rPr>
                <w:rFonts w:cstheme="minorHAnsi"/>
                <w:sz w:val="19"/>
                <w:szCs w:val="19"/>
              </w:rPr>
            </w:pPr>
            <w:r w:rsidRPr="00771A47">
              <w:rPr>
                <w:rFonts w:cstheme="minorHAnsi"/>
                <w:sz w:val="19"/>
                <w:szCs w:val="19"/>
              </w:rPr>
              <w:t>1.2.1 Provide training to NNCDC members on governance, leadership, health promotion and NCDs</w:t>
            </w:r>
          </w:p>
        </w:tc>
        <w:tc>
          <w:tcPr>
            <w:tcW w:w="2126" w:type="dxa"/>
          </w:tcPr>
          <w:p w14:paraId="17CBCE6C"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Prime Minister’s Office (PMO) </w:t>
            </w:r>
          </w:p>
          <w:p w14:paraId="433EDB14"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MOH </w:t>
            </w:r>
          </w:p>
          <w:p w14:paraId="5DBB7922" w14:textId="3BBFAC39" w:rsidR="00BB1B9F" w:rsidRPr="00771A47" w:rsidRDefault="00BB1B9F" w:rsidP="00BB1B9F">
            <w:pPr>
              <w:spacing w:line="276" w:lineRule="auto"/>
              <w:rPr>
                <w:rFonts w:cstheme="minorHAnsi"/>
                <w:sz w:val="19"/>
                <w:szCs w:val="19"/>
              </w:rPr>
            </w:pPr>
            <w:r w:rsidRPr="00771A47">
              <w:rPr>
                <w:rFonts w:cstheme="minorHAnsi"/>
                <w:sz w:val="19"/>
                <w:szCs w:val="19"/>
              </w:rPr>
              <w:t>TongaHealth</w:t>
            </w:r>
          </w:p>
        </w:tc>
        <w:tc>
          <w:tcPr>
            <w:tcW w:w="426" w:type="dxa"/>
          </w:tcPr>
          <w:p w14:paraId="7C22EE88" w14:textId="3DE4DFF4"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6325C7C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B6EC8A2" w14:textId="64E1DD4B"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2413BB6E"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240A36DE" w14:textId="400BCF53" w:rsidR="00BB1B9F" w:rsidRPr="00771A47" w:rsidRDefault="00BB1B9F" w:rsidP="00BB1B9F">
            <w:pPr>
              <w:spacing w:line="276" w:lineRule="auto"/>
              <w:rPr>
                <w:rFonts w:cstheme="minorHAnsi"/>
                <w:sz w:val="19"/>
                <w:szCs w:val="19"/>
              </w:rPr>
            </w:pPr>
            <w:r>
              <w:rPr>
                <w:rFonts w:cstheme="minorHAnsi"/>
                <w:sz w:val="19"/>
                <w:szCs w:val="19"/>
              </w:rPr>
              <w:t>-</w:t>
            </w:r>
          </w:p>
        </w:tc>
        <w:tc>
          <w:tcPr>
            <w:tcW w:w="2126" w:type="dxa"/>
          </w:tcPr>
          <w:p w14:paraId="36E79633" w14:textId="0D0371A6"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6D79FB2A" w14:textId="77777777"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r w:rsidR="00566884" w:rsidRPr="00771A47" w14:paraId="7B3790F9" w14:textId="77777777" w:rsidTr="00566884">
        <w:tc>
          <w:tcPr>
            <w:tcW w:w="1986" w:type="dxa"/>
          </w:tcPr>
          <w:p w14:paraId="31AF1B7E" w14:textId="77777777" w:rsidR="005F52CD" w:rsidRPr="00771A47" w:rsidRDefault="005F52CD" w:rsidP="00DF166F">
            <w:pPr>
              <w:spacing w:line="276" w:lineRule="auto"/>
              <w:rPr>
                <w:rFonts w:cstheme="minorHAnsi"/>
                <w:sz w:val="19"/>
                <w:szCs w:val="19"/>
              </w:rPr>
            </w:pPr>
            <w:r w:rsidRPr="00771A47">
              <w:rPr>
                <w:rFonts w:cstheme="minorHAnsi"/>
                <w:sz w:val="19"/>
                <w:szCs w:val="19"/>
              </w:rPr>
              <w:t>2.1 Effective NCD prevention and control interventions promoted among stakeholders</w:t>
            </w:r>
          </w:p>
        </w:tc>
        <w:tc>
          <w:tcPr>
            <w:tcW w:w="3118" w:type="dxa"/>
          </w:tcPr>
          <w:p w14:paraId="25BE91E2" w14:textId="77777777" w:rsidR="005F52CD" w:rsidRPr="00771A47" w:rsidRDefault="005F52CD" w:rsidP="00DF166F">
            <w:pPr>
              <w:spacing w:line="276" w:lineRule="auto"/>
              <w:rPr>
                <w:rFonts w:cstheme="minorHAnsi"/>
                <w:sz w:val="19"/>
                <w:szCs w:val="19"/>
              </w:rPr>
            </w:pPr>
            <w:r w:rsidRPr="00771A47">
              <w:rPr>
                <w:rFonts w:cstheme="minorHAnsi"/>
                <w:sz w:val="19"/>
                <w:szCs w:val="19"/>
              </w:rPr>
              <w:t>2.1.1 Convene and hold annual NCD forum with stakeholders</w:t>
            </w:r>
          </w:p>
        </w:tc>
        <w:tc>
          <w:tcPr>
            <w:tcW w:w="2126" w:type="dxa"/>
          </w:tcPr>
          <w:p w14:paraId="1AEF4E2A" w14:textId="77777777" w:rsidR="005F52CD" w:rsidRPr="00771A47" w:rsidRDefault="005F52CD" w:rsidP="00DF166F">
            <w:pPr>
              <w:spacing w:line="276" w:lineRule="auto"/>
              <w:rPr>
                <w:rFonts w:cstheme="minorHAnsi"/>
                <w:sz w:val="19"/>
                <w:szCs w:val="19"/>
              </w:rPr>
            </w:pPr>
            <w:r w:rsidRPr="00771A47">
              <w:rPr>
                <w:rFonts w:cstheme="minorHAnsi"/>
                <w:sz w:val="19"/>
                <w:szCs w:val="19"/>
              </w:rPr>
              <w:t>NNCDC TongaHealth</w:t>
            </w:r>
          </w:p>
        </w:tc>
        <w:tc>
          <w:tcPr>
            <w:tcW w:w="426" w:type="dxa"/>
          </w:tcPr>
          <w:p w14:paraId="69966A89" w14:textId="0D008F75"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4A81FC56"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77BA3EAA"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3F02EE47"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6E7BF0A2"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4CE2E598" w14:textId="0FF281AC" w:rsidR="005F52CD" w:rsidRPr="00771A47" w:rsidRDefault="005F52CD" w:rsidP="00DF166F">
            <w:pPr>
              <w:spacing w:line="276" w:lineRule="auto"/>
              <w:rPr>
                <w:rFonts w:cstheme="minorHAnsi"/>
                <w:sz w:val="19"/>
                <w:szCs w:val="19"/>
              </w:rPr>
            </w:pPr>
            <w:r w:rsidRPr="00771A47">
              <w:rPr>
                <w:rFonts w:cstheme="minorHAnsi"/>
                <w:sz w:val="19"/>
                <w:szCs w:val="19"/>
              </w:rPr>
              <w:t>5.1.2 Host annual national NCD stakeholder conference</w:t>
            </w:r>
          </w:p>
        </w:tc>
        <w:tc>
          <w:tcPr>
            <w:tcW w:w="2898" w:type="dxa"/>
          </w:tcPr>
          <w:p w14:paraId="378EC565" w14:textId="77777777" w:rsidR="005F52CD" w:rsidRPr="00771A47" w:rsidRDefault="005F52CD" w:rsidP="00DF166F">
            <w:pPr>
              <w:spacing w:line="276" w:lineRule="auto"/>
              <w:rPr>
                <w:rFonts w:cstheme="minorHAnsi"/>
                <w:sz w:val="19"/>
                <w:szCs w:val="19"/>
              </w:rPr>
            </w:pPr>
            <w:r w:rsidRPr="00771A47">
              <w:rPr>
                <w:rFonts w:cstheme="minorHAnsi"/>
                <w:sz w:val="19"/>
                <w:szCs w:val="19"/>
              </w:rPr>
              <w:t>Postponed to 2024</w:t>
            </w:r>
          </w:p>
        </w:tc>
      </w:tr>
      <w:tr w:rsidR="00566884" w:rsidRPr="00771A47" w14:paraId="2081F2D3" w14:textId="77777777" w:rsidTr="00566884">
        <w:tc>
          <w:tcPr>
            <w:tcW w:w="1986" w:type="dxa"/>
          </w:tcPr>
          <w:p w14:paraId="1DC1A622" w14:textId="7B8E3A84" w:rsidR="005F52CD" w:rsidRPr="00771A47" w:rsidRDefault="00BB1B9F" w:rsidP="00DF166F">
            <w:pPr>
              <w:spacing w:line="276" w:lineRule="auto"/>
              <w:rPr>
                <w:rFonts w:cstheme="minorHAnsi"/>
                <w:sz w:val="19"/>
                <w:szCs w:val="19"/>
              </w:rPr>
            </w:pPr>
            <w:r w:rsidRPr="00771A47">
              <w:rPr>
                <w:rFonts w:cstheme="minorHAnsi"/>
                <w:sz w:val="19"/>
                <w:szCs w:val="19"/>
              </w:rPr>
              <w:t xml:space="preserve">2.1 Effective NCD prevention and control interventions </w:t>
            </w:r>
            <w:r w:rsidRPr="00771A47">
              <w:rPr>
                <w:rFonts w:cstheme="minorHAnsi"/>
                <w:sz w:val="19"/>
                <w:szCs w:val="19"/>
              </w:rPr>
              <w:lastRenderedPageBreak/>
              <w:t>promoted among stakeholders</w:t>
            </w:r>
          </w:p>
        </w:tc>
        <w:tc>
          <w:tcPr>
            <w:tcW w:w="3118" w:type="dxa"/>
          </w:tcPr>
          <w:p w14:paraId="290F1BA1" w14:textId="77777777" w:rsidR="005F52CD" w:rsidRPr="00771A47" w:rsidRDefault="005F52CD" w:rsidP="00DF166F">
            <w:pPr>
              <w:spacing w:line="276" w:lineRule="auto"/>
              <w:rPr>
                <w:rFonts w:cstheme="minorHAnsi"/>
                <w:sz w:val="19"/>
                <w:szCs w:val="19"/>
              </w:rPr>
            </w:pPr>
            <w:r w:rsidRPr="00771A47">
              <w:rPr>
                <w:rFonts w:cstheme="minorHAnsi"/>
                <w:sz w:val="19"/>
                <w:szCs w:val="19"/>
              </w:rPr>
              <w:lastRenderedPageBreak/>
              <w:t>2.1.2 Prepare policy briefs and/or factsheets for stakeholders to guide and support their NCD prevention and control activities</w:t>
            </w:r>
          </w:p>
        </w:tc>
        <w:tc>
          <w:tcPr>
            <w:tcW w:w="2126" w:type="dxa"/>
          </w:tcPr>
          <w:p w14:paraId="20FD52EB" w14:textId="77777777" w:rsidR="00BD058B" w:rsidRPr="00771A47" w:rsidRDefault="005F52CD" w:rsidP="00DF166F">
            <w:pPr>
              <w:spacing w:line="276" w:lineRule="auto"/>
              <w:rPr>
                <w:rFonts w:cstheme="minorHAnsi"/>
                <w:sz w:val="19"/>
                <w:szCs w:val="19"/>
              </w:rPr>
            </w:pPr>
            <w:r w:rsidRPr="00771A47">
              <w:rPr>
                <w:rFonts w:cstheme="minorHAnsi"/>
                <w:sz w:val="19"/>
                <w:szCs w:val="19"/>
              </w:rPr>
              <w:t xml:space="preserve">TongaHealth </w:t>
            </w:r>
          </w:p>
          <w:p w14:paraId="43A3A895" w14:textId="39E85478" w:rsidR="005F52CD" w:rsidRPr="00771A47" w:rsidRDefault="005F52CD" w:rsidP="00DF166F">
            <w:pPr>
              <w:spacing w:line="276" w:lineRule="auto"/>
              <w:rPr>
                <w:rFonts w:cstheme="minorHAnsi"/>
                <w:sz w:val="19"/>
                <w:szCs w:val="19"/>
              </w:rPr>
            </w:pPr>
            <w:r w:rsidRPr="00771A47">
              <w:rPr>
                <w:rFonts w:cstheme="minorHAnsi"/>
                <w:sz w:val="19"/>
                <w:szCs w:val="19"/>
              </w:rPr>
              <w:t>MOH</w:t>
            </w:r>
          </w:p>
        </w:tc>
        <w:tc>
          <w:tcPr>
            <w:tcW w:w="426" w:type="dxa"/>
          </w:tcPr>
          <w:p w14:paraId="788745B3" w14:textId="59896BB9"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7889E19B"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5CA0E1A1" w14:textId="73277757"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22FCD41A"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5861B186" w14:textId="10860B07" w:rsidR="005F52CD" w:rsidRPr="00771A47" w:rsidRDefault="00BB1B9F" w:rsidP="00DF166F">
            <w:pPr>
              <w:spacing w:line="276" w:lineRule="auto"/>
              <w:rPr>
                <w:rFonts w:cstheme="minorHAnsi"/>
                <w:sz w:val="19"/>
                <w:szCs w:val="19"/>
              </w:rPr>
            </w:pPr>
            <w:r>
              <w:rPr>
                <w:rFonts w:cstheme="minorHAnsi"/>
                <w:sz w:val="19"/>
                <w:szCs w:val="19"/>
              </w:rPr>
              <w:t>-</w:t>
            </w:r>
          </w:p>
        </w:tc>
        <w:tc>
          <w:tcPr>
            <w:tcW w:w="2126" w:type="dxa"/>
          </w:tcPr>
          <w:p w14:paraId="710ABE1A" w14:textId="081861CF" w:rsidR="005F52CD" w:rsidRPr="00771A47" w:rsidRDefault="005F52CD" w:rsidP="00DF166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5.1.5 Prepare policy briefs on NCDs for </w:t>
            </w:r>
            <w:proofErr w:type="gramStart"/>
            <w:r w:rsidRPr="00771A47">
              <w:rPr>
                <w:rFonts w:asciiTheme="minorHAnsi" w:eastAsiaTheme="minorHAnsi" w:hAnsiTheme="minorHAnsi" w:cstheme="minorHAnsi"/>
                <w:kern w:val="2"/>
                <w:sz w:val="19"/>
                <w:szCs w:val="19"/>
                <w14:ligatures w14:val="standardContextual"/>
              </w:rPr>
              <w:t>stakeholders;</w:t>
            </w:r>
            <w:proofErr w:type="gramEnd"/>
            <w:r w:rsidRPr="00771A47">
              <w:rPr>
                <w:rFonts w:asciiTheme="minorHAnsi" w:eastAsiaTheme="minorHAnsi" w:hAnsiTheme="minorHAnsi" w:cstheme="minorHAnsi"/>
                <w:kern w:val="2"/>
                <w:sz w:val="19"/>
                <w:szCs w:val="19"/>
                <w14:ligatures w14:val="standardContextual"/>
              </w:rPr>
              <w:t xml:space="preserve"> </w:t>
            </w:r>
          </w:p>
          <w:p w14:paraId="442BD3F8" w14:textId="77777777" w:rsidR="005F52CD" w:rsidRPr="00771A47" w:rsidRDefault="005F52CD" w:rsidP="00DF166F">
            <w:pPr>
              <w:pStyle w:val="TableParagraph"/>
              <w:spacing w:line="276" w:lineRule="auto"/>
              <w:rPr>
                <w:rFonts w:asciiTheme="minorHAnsi" w:eastAsiaTheme="minorHAnsi" w:hAnsiTheme="minorHAnsi" w:cstheme="minorHAnsi"/>
                <w:kern w:val="2"/>
                <w:sz w:val="19"/>
                <w:szCs w:val="19"/>
                <w14:ligatures w14:val="standardContextual"/>
              </w:rPr>
            </w:pPr>
          </w:p>
          <w:p w14:paraId="393C4AA2" w14:textId="2629B6DD" w:rsidR="005F52CD" w:rsidRPr="00771A47" w:rsidRDefault="005F52CD" w:rsidP="00DF166F">
            <w:pPr>
              <w:pStyle w:val="TableParagraph"/>
              <w:spacing w:line="276" w:lineRule="auto"/>
              <w:rPr>
                <w:rFonts w:asciiTheme="minorHAnsi" w:hAnsiTheme="minorHAnsi" w:cstheme="minorHAnsi"/>
                <w:sz w:val="19"/>
                <w:szCs w:val="19"/>
              </w:rPr>
            </w:pPr>
            <w:r w:rsidRPr="00771A47">
              <w:rPr>
                <w:rFonts w:asciiTheme="minorHAnsi" w:eastAsiaTheme="minorHAnsi" w:hAnsiTheme="minorHAnsi" w:cstheme="minorHAnsi"/>
                <w:kern w:val="2"/>
                <w:sz w:val="19"/>
                <w:szCs w:val="19"/>
                <w14:ligatures w14:val="standardContextual"/>
              </w:rPr>
              <w:lastRenderedPageBreak/>
              <w:t xml:space="preserve">5.1.16 Developing /adapt NCD </w:t>
            </w:r>
            <w:r w:rsidRPr="00771A47">
              <w:rPr>
                <w:rFonts w:asciiTheme="minorHAnsi" w:hAnsiTheme="minorHAnsi" w:cstheme="minorHAnsi"/>
                <w:sz w:val="19"/>
                <w:szCs w:val="19"/>
              </w:rPr>
              <w:t>factsheets</w:t>
            </w:r>
          </w:p>
        </w:tc>
        <w:tc>
          <w:tcPr>
            <w:tcW w:w="2898" w:type="dxa"/>
          </w:tcPr>
          <w:p w14:paraId="5907EFA8" w14:textId="3E91F63F" w:rsidR="005F52CD" w:rsidRPr="00771A47" w:rsidRDefault="00311626" w:rsidP="00DF166F">
            <w:pPr>
              <w:spacing w:line="276" w:lineRule="auto"/>
              <w:rPr>
                <w:rFonts w:cstheme="minorHAnsi"/>
                <w:sz w:val="19"/>
                <w:szCs w:val="19"/>
              </w:rPr>
            </w:pPr>
            <w:r w:rsidRPr="00771A47">
              <w:rPr>
                <w:rFonts w:cstheme="minorHAnsi"/>
                <w:sz w:val="19"/>
                <w:szCs w:val="19"/>
              </w:rPr>
              <w:lastRenderedPageBreak/>
              <w:t>NCD f</w:t>
            </w:r>
            <w:r w:rsidR="005F52CD" w:rsidRPr="00771A47">
              <w:rPr>
                <w:rFonts w:cstheme="minorHAnsi"/>
                <w:sz w:val="19"/>
                <w:szCs w:val="19"/>
              </w:rPr>
              <w:t>actsheets drafted in FY22/23 but not completed</w:t>
            </w:r>
          </w:p>
        </w:tc>
      </w:tr>
      <w:tr w:rsidR="00566884" w:rsidRPr="00771A47" w14:paraId="5B10F43B" w14:textId="77777777" w:rsidTr="00566884">
        <w:tc>
          <w:tcPr>
            <w:tcW w:w="1986" w:type="dxa"/>
          </w:tcPr>
          <w:p w14:paraId="344D469E" w14:textId="7AF398D1" w:rsidR="00BB1B9F" w:rsidRPr="00771A47" w:rsidRDefault="00BB1B9F" w:rsidP="00BB1B9F">
            <w:pPr>
              <w:spacing w:line="276" w:lineRule="auto"/>
              <w:rPr>
                <w:rFonts w:cstheme="minorHAnsi"/>
                <w:sz w:val="19"/>
                <w:szCs w:val="19"/>
              </w:rPr>
            </w:pPr>
            <w:r w:rsidRPr="00771A47">
              <w:rPr>
                <w:rFonts w:cstheme="minorHAnsi"/>
                <w:sz w:val="19"/>
                <w:szCs w:val="19"/>
              </w:rPr>
              <w:t>2.1 Effective NCD prevention and control interventions promoted among stakeholders</w:t>
            </w:r>
          </w:p>
        </w:tc>
        <w:tc>
          <w:tcPr>
            <w:tcW w:w="3118" w:type="dxa"/>
          </w:tcPr>
          <w:p w14:paraId="139AFD8F" w14:textId="77777777" w:rsidR="00BB1B9F" w:rsidRPr="00771A47" w:rsidRDefault="00BB1B9F" w:rsidP="00BB1B9F">
            <w:pPr>
              <w:spacing w:line="276" w:lineRule="auto"/>
              <w:rPr>
                <w:rFonts w:cstheme="minorHAnsi"/>
                <w:sz w:val="19"/>
                <w:szCs w:val="19"/>
              </w:rPr>
            </w:pPr>
            <w:r w:rsidRPr="00771A47">
              <w:rPr>
                <w:rFonts w:cstheme="minorHAnsi"/>
                <w:sz w:val="19"/>
                <w:szCs w:val="19"/>
              </w:rPr>
              <w:t>2.1.3 Engage parliamentarians to garner support for NCD actions</w:t>
            </w:r>
          </w:p>
        </w:tc>
        <w:tc>
          <w:tcPr>
            <w:tcW w:w="2126" w:type="dxa"/>
          </w:tcPr>
          <w:p w14:paraId="3BFE087A"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TongaHealth MOH</w:t>
            </w:r>
          </w:p>
        </w:tc>
        <w:tc>
          <w:tcPr>
            <w:tcW w:w="426" w:type="dxa"/>
          </w:tcPr>
          <w:p w14:paraId="1B980CA2" w14:textId="488FC392"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3329744D"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585F7275" w14:textId="21F71F7A"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60B6CD1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5FE6DC59" w14:textId="4857166B" w:rsidR="00BB1B9F" w:rsidRPr="00771A47" w:rsidRDefault="00BB1B9F" w:rsidP="00BB1B9F">
            <w:pPr>
              <w:spacing w:line="276" w:lineRule="auto"/>
              <w:rPr>
                <w:rFonts w:cstheme="minorHAnsi"/>
                <w:sz w:val="19"/>
                <w:szCs w:val="19"/>
              </w:rPr>
            </w:pPr>
            <w:r>
              <w:rPr>
                <w:rFonts w:cstheme="minorHAnsi"/>
                <w:sz w:val="19"/>
                <w:szCs w:val="19"/>
              </w:rPr>
              <w:t>-</w:t>
            </w:r>
          </w:p>
        </w:tc>
        <w:tc>
          <w:tcPr>
            <w:tcW w:w="2126" w:type="dxa"/>
          </w:tcPr>
          <w:p w14:paraId="36A018E0" w14:textId="186D746D"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36E71B59" w14:textId="77777777"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r w:rsidR="00566884" w:rsidRPr="00771A47" w14:paraId="60C92FC2" w14:textId="77777777" w:rsidTr="00566884">
        <w:tc>
          <w:tcPr>
            <w:tcW w:w="1986" w:type="dxa"/>
          </w:tcPr>
          <w:p w14:paraId="34765F8A" w14:textId="052398D1" w:rsidR="005F52CD" w:rsidRPr="00771A47" w:rsidRDefault="005F52CD" w:rsidP="00DF166F">
            <w:pPr>
              <w:spacing w:line="276" w:lineRule="auto"/>
              <w:rPr>
                <w:rFonts w:cstheme="minorHAnsi"/>
                <w:sz w:val="19"/>
                <w:szCs w:val="19"/>
              </w:rPr>
            </w:pPr>
            <w:r w:rsidRPr="00771A47">
              <w:rPr>
                <w:rFonts w:cstheme="minorHAnsi"/>
                <w:sz w:val="19"/>
                <w:szCs w:val="19"/>
              </w:rPr>
              <w:t xml:space="preserve">2.2 Mechanisms for </w:t>
            </w:r>
            <w:r w:rsidR="00AA3C76">
              <w:rPr>
                <w:rFonts w:cstheme="minorHAnsi"/>
                <w:sz w:val="19"/>
                <w:szCs w:val="19"/>
              </w:rPr>
              <w:t>multisectoral</w:t>
            </w:r>
            <w:r w:rsidRPr="00771A47">
              <w:rPr>
                <w:rFonts w:cstheme="minorHAnsi"/>
                <w:sz w:val="19"/>
                <w:szCs w:val="19"/>
              </w:rPr>
              <w:t xml:space="preserve"> collaboration and partnerships established</w:t>
            </w:r>
          </w:p>
        </w:tc>
        <w:tc>
          <w:tcPr>
            <w:tcW w:w="3118" w:type="dxa"/>
          </w:tcPr>
          <w:p w14:paraId="3C3BFE62" w14:textId="77777777" w:rsidR="005F52CD" w:rsidRPr="00771A47" w:rsidRDefault="005F52CD" w:rsidP="00DF166F">
            <w:pPr>
              <w:spacing w:line="276" w:lineRule="auto"/>
              <w:rPr>
                <w:rFonts w:cstheme="minorHAnsi"/>
                <w:sz w:val="19"/>
                <w:szCs w:val="19"/>
              </w:rPr>
            </w:pPr>
            <w:r w:rsidRPr="00771A47">
              <w:rPr>
                <w:rFonts w:cstheme="minorHAnsi"/>
                <w:sz w:val="19"/>
                <w:szCs w:val="19"/>
              </w:rPr>
              <w:t>2.2.1 Map stakeholder NCD activities and identify opportunities for collaboration</w:t>
            </w:r>
          </w:p>
        </w:tc>
        <w:tc>
          <w:tcPr>
            <w:tcW w:w="2126" w:type="dxa"/>
          </w:tcPr>
          <w:p w14:paraId="649AD9DB" w14:textId="77777777" w:rsidR="005F52CD" w:rsidRPr="00771A47" w:rsidRDefault="005F52CD" w:rsidP="00DF166F">
            <w:pPr>
              <w:spacing w:line="276" w:lineRule="auto"/>
              <w:rPr>
                <w:rFonts w:cstheme="minorHAnsi"/>
                <w:sz w:val="19"/>
                <w:szCs w:val="19"/>
              </w:rPr>
            </w:pPr>
            <w:r w:rsidRPr="00771A47">
              <w:rPr>
                <w:rFonts w:cstheme="minorHAnsi"/>
                <w:sz w:val="19"/>
                <w:szCs w:val="19"/>
              </w:rPr>
              <w:t>TongaHealth NNCDC</w:t>
            </w:r>
          </w:p>
        </w:tc>
        <w:tc>
          <w:tcPr>
            <w:tcW w:w="426" w:type="dxa"/>
          </w:tcPr>
          <w:p w14:paraId="23A481C0"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79125865" w14:textId="1BFEA749"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4FD61CFE" w14:textId="451956ED"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64231151"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305C307C" w14:textId="783B3D44" w:rsidR="005F52CD" w:rsidRPr="00771A47" w:rsidRDefault="00BB1B9F" w:rsidP="00DF166F">
            <w:pPr>
              <w:spacing w:line="276" w:lineRule="auto"/>
              <w:rPr>
                <w:rFonts w:cstheme="minorHAnsi"/>
                <w:sz w:val="19"/>
                <w:szCs w:val="19"/>
              </w:rPr>
            </w:pPr>
            <w:r>
              <w:rPr>
                <w:rFonts w:cstheme="minorHAnsi"/>
                <w:sz w:val="19"/>
                <w:szCs w:val="19"/>
              </w:rPr>
              <w:t>-</w:t>
            </w:r>
          </w:p>
        </w:tc>
        <w:tc>
          <w:tcPr>
            <w:tcW w:w="2126" w:type="dxa"/>
          </w:tcPr>
          <w:p w14:paraId="5BBCD9A4" w14:textId="77777777" w:rsidR="005F52CD" w:rsidRPr="00771A47" w:rsidRDefault="005F52CD" w:rsidP="00DF166F">
            <w:pPr>
              <w:pStyle w:val="TableParagraph"/>
              <w:spacing w:line="276" w:lineRule="auto"/>
              <w:rPr>
                <w:rFonts w:asciiTheme="minorHAnsi" w:hAnsiTheme="minorHAnsi" w:cstheme="minorHAnsi"/>
                <w:sz w:val="19"/>
                <w:szCs w:val="19"/>
              </w:rPr>
            </w:pPr>
            <w:r w:rsidRPr="00771A47">
              <w:rPr>
                <w:rFonts w:asciiTheme="minorHAnsi" w:eastAsiaTheme="minorHAnsi" w:hAnsiTheme="minorHAnsi" w:cstheme="minorHAnsi"/>
                <w:kern w:val="2"/>
                <w:sz w:val="19"/>
                <w:szCs w:val="19"/>
                <w14:ligatures w14:val="standardContextual"/>
              </w:rPr>
              <w:t xml:space="preserve">5.1.6 Conduct stakeholder mapping of </w:t>
            </w:r>
            <w:r w:rsidRPr="00771A47">
              <w:rPr>
                <w:rFonts w:asciiTheme="minorHAnsi" w:hAnsiTheme="minorHAnsi" w:cstheme="minorHAnsi"/>
                <w:sz w:val="19"/>
                <w:szCs w:val="19"/>
              </w:rPr>
              <w:t>NCD activities</w:t>
            </w:r>
          </w:p>
        </w:tc>
        <w:tc>
          <w:tcPr>
            <w:tcW w:w="2898" w:type="dxa"/>
          </w:tcPr>
          <w:p w14:paraId="76F64530" w14:textId="5E276B0F" w:rsidR="005F52CD" w:rsidRPr="00771A47" w:rsidRDefault="005F52CD" w:rsidP="00DF166F">
            <w:pPr>
              <w:spacing w:line="276" w:lineRule="auto"/>
              <w:rPr>
                <w:rFonts w:cstheme="minorHAnsi"/>
                <w:sz w:val="19"/>
                <w:szCs w:val="19"/>
              </w:rPr>
            </w:pPr>
            <w:r w:rsidRPr="00771A47">
              <w:rPr>
                <w:rFonts w:cstheme="minorHAnsi"/>
                <w:sz w:val="19"/>
                <w:szCs w:val="19"/>
              </w:rPr>
              <w:t>Desktop review commenced FY22/</w:t>
            </w:r>
            <w:proofErr w:type="gramStart"/>
            <w:r w:rsidRPr="00771A47">
              <w:rPr>
                <w:rFonts w:cstheme="minorHAnsi"/>
                <w:sz w:val="19"/>
                <w:szCs w:val="19"/>
              </w:rPr>
              <w:t>23,</w:t>
            </w:r>
            <w:proofErr w:type="gramEnd"/>
            <w:r w:rsidRPr="00771A47">
              <w:rPr>
                <w:rFonts w:cstheme="minorHAnsi"/>
                <w:sz w:val="19"/>
                <w:szCs w:val="19"/>
              </w:rPr>
              <w:t xml:space="preserve"> verification visits postponed to FY23/24</w:t>
            </w:r>
          </w:p>
        </w:tc>
      </w:tr>
      <w:tr w:rsidR="00566884" w:rsidRPr="00771A47" w14:paraId="2D2F073F" w14:textId="77777777" w:rsidTr="00566884">
        <w:tc>
          <w:tcPr>
            <w:tcW w:w="1986" w:type="dxa"/>
          </w:tcPr>
          <w:p w14:paraId="2139FFEB" w14:textId="67B70651" w:rsidR="00BB1B9F" w:rsidRPr="00771A47" w:rsidRDefault="00BB1B9F" w:rsidP="00BB1B9F">
            <w:pPr>
              <w:spacing w:line="276" w:lineRule="auto"/>
              <w:rPr>
                <w:rFonts w:cstheme="minorHAnsi"/>
                <w:sz w:val="19"/>
                <w:szCs w:val="19"/>
              </w:rPr>
            </w:pPr>
            <w:r w:rsidRPr="00D335DA">
              <w:rPr>
                <w:rFonts w:cstheme="minorHAnsi"/>
                <w:sz w:val="19"/>
                <w:szCs w:val="19"/>
              </w:rPr>
              <w:t>2.2 Mechanisms for multisectoral collaboration and partnerships established</w:t>
            </w:r>
          </w:p>
        </w:tc>
        <w:tc>
          <w:tcPr>
            <w:tcW w:w="3118" w:type="dxa"/>
          </w:tcPr>
          <w:p w14:paraId="491B9710" w14:textId="77777777" w:rsidR="00BB1B9F" w:rsidRPr="00771A47" w:rsidRDefault="00BB1B9F" w:rsidP="00BB1B9F">
            <w:pPr>
              <w:spacing w:line="276" w:lineRule="auto"/>
              <w:rPr>
                <w:rFonts w:cstheme="minorHAnsi"/>
                <w:sz w:val="19"/>
                <w:szCs w:val="19"/>
              </w:rPr>
            </w:pPr>
            <w:r w:rsidRPr="00771A47">
              <w:rPr>
                <w:rFonts w:cstheme="minorHAnsi"/>
                <w:sz w:val="19"/>
                <w:szCs w:val="19"/>
              </w:rPr>
              <w:t>2.2.2 Establish and strengthen CSO alliances</w:t>
            </w:r>
          </w:p>
        </w:tc>
        <w:tc>
          <w:tcPr>
            <w:tcW w:w="2126" w:type="dxa"/>
          </w:tcPr>
          <w:p w14:paraId="427F1F99" w14:textId="77777777" w:rsidR="00BB1B9F" w:rsidRPr="00771A47" w:rsidRDefault="00BB1B9F" w:rsidP="00BB1B9F">
            <w:pPr>
              <w:spacing w:line="276" w:lineRule="auto"/>
              <w:rPr>
                <w:rFonts w:cstheme="minorHAnsi"/>
                <w:sz w:val="19"/>
                <w:szCs w:val="19"/>
              </w:rPr>
            </w:pPr>
            <w:r w:rsidRPr="00771A47">
              <w:rPr>
                <w:rFonts w:cstheme="minorHAnsi"/>
                <w:sz w:val="19"/>
                <w:szCs w:val="19"/>
              </w:rPr>
              <w:t>TongaHealth</w:t>
            </w:r>
          </w:p>
        </w:tc>
        <w:tc>
          <w:tcPr>
            <w:tcW w:w="426" w:type="dxa"/>
          </w:tcPr>
          <w:p w14:paraId="21EC01CE" w14:textId="02947D30"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760E11C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4CCE63F" w14:textId="1F285FF7"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13A9C88B" w14:textId="00EA8FA7" w:rsidR="00BB1B9F" w:rsidRPr="00771A47" w:rsidRDefault="00BB1B9F" w:rsidP="00BB1B9F">
            <w:pPr>
              <w:spacing w:line="276" w:lineRule="auto"/>
              <w:rPr>
                <w:rFonts w:cstheme="minorHAnsi"/>
                <w:sz w:val="19"/>
                <w:szCs w:val="19"/>
              </w:rPr>
            </w:pPr>
            <w:r>
              <w:rPr>
                <w:rFonts w:cstheme="minorHAnsi"/>
                <w:sz w:val="19"/>
                <w:szCs w:val="19"/>
              </w:rPr>
              <w:t>-</w:t>
            </w:r>
          </w:p>
        </w:tc>
        <w:tc>
          <w:tcPr>
            <w:tcW w:w="426" w:type="dxa"/>
          </w:tcPr>
          <w:p w14:paraId="737F452C" w14:textId="3CCF93F0" w:rsidR="00BB1B9F" w:rsidRPr="00771A47" w:rsidRDefault="00BB1B9F" w:rsidP="00BB1B9F">
            <w:pPr>
              <w:spacing w:line="276" w:lineRule="auto"/>
              <w:rPr>
                <w:rFonts w:cstheme="minorHAnsi"/>
                <w:sz w:val="19"/>
                <w:szCs w:val="19"/>
              </w:rPr>
            </w:pPr>
            <w:r>
              <w:rPr>
                <w:rFonts w:cstheme="minorHAnsi"/>
                <w:sz w:val="19"/>
                <w:szCs w:val="19"/>
              </w:rPr>
              <w:t>-</w:t>
            </w:r>
          </w:p>
        </w:tc>
        <w:tc>
          <w:tcPr>
            <w:tcW w:w="2126" w:type="dxa"/>
          </w:tcPr>
          <w:p w14:paraId="748DB087" w14:textId="77777777" w:rsidR="00BB1B9F" w:rsidRPr="00771A47" w:rsidRDefault="00BB1B9F" w:rsidP="00BB1B9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5.1.7 Establish and strengthen </w:t>
            </w:r>
            <w:proofErr w:type="gramStart"/>
            <w:r w:rsidRPr="00771A47">
              <w:rPr>
                <w:rFonts w:asciiTheme="minorHAnsi" w:eastAsiaTheme="minorHAnsi" w:hAnsiTheme="minorHAnsi" w:cstheme="minorHAnsi"/>
                <w:kern w:val="2"/>
                <w:sz w:val="19"/>
                <w:szCs w:val="19"/>
                <w14:ligatures w14:val="standardContextual"/>
              </w:rPr>
              <w:t>CSO</w:t>
            </w:r>
            <w:proofErr w:type="gramEnd"/>
          </w:p>
          <w:p w14:paraId="7ABA1B82" w14:textId="77777777" w:rsidR="00BB1B9F" w:rsidRPr="00771A47" w:rsidRDefault="00BB1B9F" w:rsidP="00BB1B9F">
            <w:pPr>
              <w:spacing w:line="276" w:lineRule="auto"/>
              <w:rPr>
                <w:rFonts w:cstheme="minorHAnsi"/>
                <w:sz w:val="19"/>
                <w:szCs w:val="19"/>
              </w:rPr>
            </w:pPr>
            <w:r w:rsidRPr="00771A47">
              <w:rPr>
                <w:rFonts w:cstheme="minorHAnsi"/>
                <w:sz w:val="19"/>
                <w:szCs w:val="19"/>
              </w:rPr>
              <w:t>alliances for NCDs</w:t>
            </w:r>
          </w:p>
        </w:tc>
        <w:tc>
          <w:tcPr>
            <w:tcW w:w="2898" w:type="dxa"/>
          </w:tcPr>
          <w:p w14:paraId="50BE3CCB" w14:textId="2E363636"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r w:rsidR="00566884" w:rsidRPr="00771A47" w14:paraId="4F1A7B7C" w14:textId="77777777" w:rsidTr="00566884">
        <w:tc>
          <w:tcPr>
            <w:tcW w:w="1986" w:type="dxa"/>
          </w:tcPr>
          <w:p w14:paraId="0035CB04" w14:textId="737A3DC5" w:rsidR="00BB1B9F" w:rsidRPr="00771A47" w:rsidRDefault="00BB1B9F" w:rsidP="00BB1B9F">
            <w:pPr>
              <w:spacing w:line="276" w:lineRule="auto"/>
              <w:rPr>
                <w:rFonts w:cstheme="minorHAnsi"/>
                <w:sz w:val="19"/>
                <w:szCs w:val="19"/>
              </w:rPr>
            </w:pPr>
            <w:r w:rsidRPr="00D335DA">
              <w:rPr>
                <w:rFonts w:cstheme="minorHAnsi"/>
                <w:sz w:val="19"/>
                <w:szCs w:val="19"/>
              </w:rPr>
              <w:t>2.2 Mechanisms for multisectoral collaboration and partnerships established</w:t>
            </w:r>
          </w:p>
        </w:tc>
        <w:tc>
          <w:tcPr>
            <w:tcW w:w="3118" w:type="dxa"/>
          </w:tcPr>
          <w:p w14:paraId="2ABA04BD" w14:textId="77777777" w:rsidR="00BB1B9F" w:rsidRPr="00771A47" w:rsidRDefault="00BB1B9F" w:rsidP="00BB1B9F">
            <w:pPr>
              <w:spacing w:line="276" w:lineRule="auto"/>
              <w:rPr>
                <w:rFonts w:cstheme="minorHAnsi"/>
                <w:sz w:val="19"/>
                <w:szCs w:val="19"/>
              </w:rPr>
            </w:pPr>
            <w:r w:rsidRPr="00771A47">
              <w:rPr>
                <w:rFonts w:cstheme="minorHAnsi"/>
                <w:sz w:val="19"/>
                <w:szCs w:val="19"/>
              </w:rPr>
              <w:t>2.2.3 Create and maintain a registry of technical experts</w:t>
            </w:r>
          </w:p>
        </w:tc>
        <w:tc>
          <w:tcPr>
            <w:tcW w:w="2126" w:type="dxa"/>
          </w:tcPr>
          <w:p w14:paraId="3D54878D" w14:textId="77777777" w:rsidR="00BB1B9F" w:rsidRPr="00771A47" w:rsidRDefault="00BB1B9F" w:rsidP="00BB1B9F">
            <w:pPr>
              <w:spacing w:line="276" w:lineRule="auto"/>
              <w:rPr>
                <w:rFonts w:cstheme="minorHAnsi"/>
                <w:sz w:val="19"/>
                <w:szCs w:val="19"/>
              </w:rPr>
            </w:pPr>
            <w:r w:rsidRPr="00771A47">
              <w:rPr>
                <w:rFonts w:cstheme="minorHAnsi"/>
                <w:sz w:val="19"/>
                <w:szCs w:val="19"/>
              </w:rPr>
              <w:t>TongaHealth</w:t>
            </w:r>
          </w:p>
        </w:tc>
        <w:tc>
          <w:tcPr>
            <w:tcW w:w="426" w:type="dxa"/>
          </w:tcPr>
          <w:p w14:paraId="6EE0F99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47D53AF4" w14:textId="26E765B6"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5A437596"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902D840" w14:textId="73A18A1D" w:rsidR="00BB1B9F" w:rsidRPr="00771A47" w:rsidRDefault="00BB1B9F" w:rsidP="00BB1B9F">
            <w:pPr>
              <w:spacing w:line="276" w:lineRule="auto"/>
              <w:rPr>
                <w:rFonts w:cstheme="minorHAnsi"/>
                <w:sz w:val="19"/>
                <w:szCs w:val="19"/>
              </w:rPr>
            </w:pPr>
            <w:r>
              <w:rPr>
                <w:rFonts w:cstheme="minorHAnsi"/>
                <w:sz w:val="19"/>
                <w:szCs w:val="19"/>
              </w:rPr>
              <w:t>-</w:t>
            </w:r>
          </w:p>
        </w:tc>
        <w:tc>
          <w:tcPr>
            <w:tcW w:w="426" w:type="dxa"/>
          </w:tcPr>
          <w:p w14:paraId="2D2F0A82"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00B2EF5A" w14:textId="50B07F0A"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6B95062A" w14:textId="0D8F8D2B" w:rsidR="00BB1B9F" w:rsidRPr="00771A47" w:rsidRDefault="00BB1B9F" w:rsidP="00BB1B9F">
            <w:pPr>
              <w:spacing w:line="276" w:lineRule="auto"/>
              <w:rPr>
                <w:rFonts w:cstheme="minorHAnsi"/>
                <w:sz w:val="19"/>
                <w:szCs w:val="19"/>
              </w:rPr>
            </w:pPr>
            <w:r w:rsidRPr="00771A47">
              <w:rPr>
                <w:rFonts w:cstheme="minorHAnsi"/>
                <w:sz w:val="19"/>
                <w:szCs w:val="19"/>
              </w:rPr>
              <w:t>Modified approach – under the previous NCD Strategy there were Subcommittees for each NCD risk factor, TongaHealth now reaches out to former Subcommittee members as required</w:t>
            </w:r>
          </w:p>
        </w:tc>
      </w:tr>
      <w:tr w:rsidR="00566884" w:rsidRPr="00771A47" w14:paraId="59FCB509" w14:textId="77777777" w:rsidTr="00566884">
        <w:tc>
          <w:tcPr>
            <w:tcW w:w="1986" w:type="dxa"/>
          </w:tcPr>
          <w:p w14:paraId="46001D96" w14:textId="33A0A16F" w:rsidR="00BB1B9F" w:rsidRPr="00771A47" w:rsidRDefault="00BB1B9F" w:rsidP="00BB1B9F">
            <w:pPr>
              <w:spacing w:line="276" w:lineRule="auto"/>
              <w:rPr>
                <w:rFonts w:cstheme="minorHAnsi"/>
                <w:sz w:val="19"/>
                <w:szCs w:val="19"/>
              </w:rPr>
            </w:pPr>
            <w:r w:rsidRPr="00D335DA">
              <w:rPr>
                <w:rFonts w:cstheme="minorHAnsi"/>
                <w:sz w:val="19"/>
                <w:szCs w:val="19"/>
              </w:rPr>
              <w:t xml:space="preserve">2.2 Mechanisms for multisectoral collaboration and </w:t>
            </w:r>
            <w:r w:rsidRPr="00D335DA">
              <w:rPr>
                <w:rFonts w:cstheme="minorHAnsi"/>
                <w:sz w:val="19"/>
                <w:szCs w:val="19"/>
              </w:rPr>
              <w:lastRenderedPageBreak/>
              <w:t>partnerships established</w:t>
            </w:r>
          </w:p>
        </w:tc>
        <w:tc>
          <w:tcPr>
            <w:tcW w:w="3118" w:type="dxa"/>
          </w:tcPr>
          <w:p w14:paraId="0D7BDFA8" w14:textId="77777777" w:rsidR="00BB1B9F" w:rsidRPr="00771A47" w:rsidRDefault="00BB1B9F" w:rsidP="00BB1B9F">
            <w:pPr>
              <w:spacing w:line="276" w:lineRule="auto"/>
              <w:rPr>
                <w:rFonts w:cstheme="minorHAnsi"/>
                <w:sz w:val="19"/>
                <w:szCs w:val="19"/>
              </w:rPr>
            </w:pPr>
            <w:r w:rsidRPr="00771A47">
              <w:rPr>
                <w:rFonts w:cstheme="minorHAnsi"/>
                <w:sz w:val="19"/>
                <w:szCs w:val="19"/>
              </w:rPr>
              <w:lastRenderedPageBreak/>
              <w:t>2.2.4 Cultivate innovative partnerships for NCD actions</w:t>
            </w:r>
          </w:p>
        </w:tc>
        <w:tc>
          <w:tcPr>
            <w:tcW w:w="2126" w:type="dxa"/>
          </w:tcPr>
          <w:p w14:paraId="643FF38A" w14:textId="77777777" w:rsidR="00BB1B9F" w:rsidRPr="00771A47" w:rsidRDefault="00BB1B9F" w:rsidP="00BB1B9F">
            <w:pPr>
              <w:spacing w:line="276" w:lineRule="auto"/>
              <w:rPr>
                <w:rFonts w:cstheme="minorHAnsi"/>
                <w:sz w:val="19"/>
                <w:szCs w:val="19"/>
              </w:rPr>
            </w:pPr>
            <w:r w:rsidRPr="00771A47">
              <w:rPr>
                <w:rFonts w:cstheme="minorHAnsi"/>
                <w:sz w:val="19"/>
                <w:szCs w:val="19"/>
              </w:rPr>
              <w:t>TongaHealth, development partners</w:t>
            </w:r>
          </w:p>
        </w:tc>
        <w:tc>
          <w:tcPr>
            <w:tcW w:w="426" w:type="dxa"/>
          </w:tcPr>
          <w:p w14:paraId="046EE83A" w14:textId="09CD2540"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2DCFAC8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31B488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8BA62C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416CFA56"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0CCC8100" w14:textId="77777777" w:rsidR="00BB1B9F" w:rsidRPr="00771A47" w:rsidRDefault="00BB1B9F" w:rsidP="00BB1B9F">
            <w:pPr>
              <w:pStyle w:val="TableParagraph"/>
              <w:spacing w:line="276" w:lineRule="auto"/>
              <w:ind w:right="167"/>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5.3.1 Strengthen partnerships with SPC, WB, the Health Promotion Foundation </w:t>
            </w:r>
            <w:r w:rsidRPr="00771A47">
              <w:rPr>
                <w:rFonts w:asciiTheme="minorHAnsi" w:eastAsiaTheme="minorHAnsi" w:hAnsiTheme="minorHAnsi" w:cstheme="minorHAnsi"/>
                <w:kern w:val="2"/>
                <w:sz w:val="19"/>
                <w:szCs w:val="19"/>
                <w14:ligatures w14:val="standardContextual"/>
              </w:rPr>
              <w:lastRenderedPageBreak/>
              <w:t>and Vic Health – and review partnership arrangements and establish MOUs/Written agreements as</w:t>
            </w:r>
          </w:p>
          <w:p w14:paraId="1C7D829E" w14:textId="77777777" w:rsidR="00BB1B9F" w:rsidRPr="00771A47" w:rsidRDefault="00BB1B9F" w:rsidP="00BB1B9F">
            <w:pPr>
              <w:spacing w:line="276" w:lineRule="auto"/>
              <w:rPr>
                <w:rFonts w:cstheme="minorHAnsi"/>
                <w:sz w:val="19"/>
                <w:szCs w:val="19"/>
              </w:rPr>
            </w:pPr>
            <w:proofErr w:type="gramStart"/>
            <w:r w:rsidRPr="00771A47">
              <w:rPr>
                <w:rFonts w:cstheme="minorHAnsi"/>
                <w:sz w:val="19"/>
                <w:szCs w:val="19"/>
              </w:rPr>
              <w:t>Necessary;</w:t>
            </w:r>
            <w:proofErr w:type="gramEnd"/>
            <w:r w:rsidRPr="00771A47">
              <w:rPr>
                <w:rFonts w:cstheme="minorHAnsi"/>
                <w:sz w:val="19"/>
                <w:szCs w:val="19"/>
              </w:rPr>
              <w:t xml:space="preserve">  </w:t>
            </w:r>
          </w:p>
          <w:p w14:paraId="1608A1EC" w14:textId="77777777" w:rsidR="00BB1B9F" w:rsidRPr="00771A47" w:rsidRDefault="00BB1B9F" w:rsidP="00BB1B9F">
            <w:pPr>
              <w:spacing w:line="276" w:lineRule="auto"/>
              <w:rPr>
                <w:rFonts w:cstheme="minorHAnsi"/>
                <w:sz w:val="19"/>
                <w:szCs w:val="19"/>
              </w:rPr>
            </w:pPr>
          </w:p>
          <w:p w14:paraId="643888E3" w14:textId="77777777" w:rsidR="00BB1B9F" w:rsidRPr="00771A47" w:rsidRDefault="00BB1B9F" w:rsidP="00BB1B9F">
            <w:pPr>
              <w:spacing w:line="276" w:lineRule="auto"/>
              <w:rPr>
                <w:rFonts w:cstheme="minorHAnsi"/>
                <w:sz w:val="19"/>
                <w:szCs w:val="19"/>
              </w:rPr>
            </w:pPr>
            <w:r w:rsidRPr="00771A47">
              <w:rPr>
                <w:rFonts w:cstheme="minorHAnsi"/>
                <w:sz w:val="19"/>
                <w:szCs w:val="19"/>
              </w:rPr>
              <w:t>5.3.3 International network for NCD - paid by Tonga Government</w:t>
            </w:r>
          </w:p>
        </w:tc>
        <w:tc>
          <w:tcPr>
            <w:tcW w:w="2898" w:type="dxa"/>
          </w:tcPr>
          <w:p w14:paraId="67E86878" w14:textId="58561DF9" w:rsidR="00BB1B9F" w:rsidRPr="00771A47" w:rsidRDefault="00BB1B9F" w:rsidP="00BB1B9F">
            <w:pPr>
              <w:spacing w:line="276" w:lineRule="auto"/>
              <w:rPr>
                <w:rFonts w:cstheme="minorHAnsi"/>
                <w:sz w:val="19"/>
                <w:szCs w:val="19"/>
              </w:rPr>
            </w:pPr>
            <w:r w:rsidRPr="00771A47">
              <w:rPr>
                <w:rFonts w:cstheme="minorHAnsi"/>
                <w:sz w:val="19"/>
                <w:szCs w:val="19"/>
              </w:rPr>
              <w:lastRenderedPageBreak/>
              <w:t>In 2023, formalised agreement with VicHealth for TongaHealth staff to visit VicHealth office in 2024 for learning exchange.</w:t>
            </w:r>
          </w:p>
        </w:tc>
      </w:tr>
      <w:tr w:rsidR="00566884" w:rsidRPr="00771A47" w14:paraId="7010DF61" w14:textId="77777777" w:rsidTr="00566884">
        <w:tc>
          <w:tcPr>
            <w:tcW w:w="1986" w:type="dxa"/>
          </w:tcPr>
          <w:p w14:paraId="4EB9F442" w14:textId="41955A21" w:rsidR="00BB1B9F" w:rsidRPr="00771A47" w:rsidRDefault="00BB1B9F" w:rsidP="00BB1B9F">
            <w:pPr>
              <w:spacing w:line="276" w:lineRule="auto"/>
              <w:rPr>
                <w:rFonts w:cstheme="minorHAnsi"/>
                <w:sz w:val="19"/>
                <w:szCs w:val="19"/>
              </w:rPr>
            </w:pPr>
            <w:r w:rsidRPr="00771A47">
              <w:rPr>
                <w:rFonts w:cstheme="minorHAnsi"/>
                <w:sz w:val="19"/>
                <w:szCs w:val="19"/>
              </w:rPr>
              <w:t xml:space="preserve">2.2 Mechanisms for </w:t>
            </w:r>
            <w:r>
              <w:rPr>
                <w:rFonts w:cstheme="minorHAnsi"/>
                <w:sz w:val="19"/>
                <w:szCs w:val="19"/>
              </w:rPr>
              <w:t>multisectoral</w:t>
            </w:r>
            <w:r w:rsidRPr="00771A47">
              <w:rPr>
                <w:rFonts w:cstheme="minorHAnsi"/>
                <w:sz w:val="19"/>
                <w:szCs w:val="19"/>
              </w:rPr>
              <w:t xml:space="preserve"> collaboration and partnerships established</w:t>
            </w:r>
          </w:p>
        </w:tc>
        <w:tc>
          <w:tcPr>
            <w:tcW w:w="3118" w:type="dxa"/>
          </w:tcPr>
          <w:p w14:paraId="4EDC6796" w14:textId="77777777" w:rsidR="00BB1B9F" w:rsidRPr="00771A47" w:rsidRDefault="00BB1B9F" w:rsidP="00BB1B9F">
            <w:pPr>
              <w:spacing w:line="276" w:lineRule="auto"/>
              <w:rPr>
                <w:rFonts w:cstheme="minorHAnsi"/>
                <w:sz w:val="19"/>
                <w:szCs w:val="19"/>
              </w:rPr>
            </w:pPr>
            <w:r w:rsidRPr="00771A47">
              <w:rPr>
                <w:rFonts w:cstheme="minorHAnsi"/>
                <w:sz w:val="19"/>
                <w:szCs w:val="19"/>
              </w:rPr>
              <w:t>2.2.5 Create and maintain a platform for inter-ministerial collaboration</w:t>
            </w:r>
          </w:p>
        </w:tc>
        <w:tc>
          <w:tcPr>
            <w:tcW w:w="2126" w:type="dxa"/>
          </w:tcPr>
          <w:p w14:paraId="787EB6A3"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TongaHealth</w:t>
            </w:r>
          </w:p>
        </w:tc>
        <w:tc>
          <w:tcPr>
            <w:tcW w:w="426" w:type="dxa"/>
          </w:tcPr>
          <w:p w14:paraId="3031808E" w14:textId="7CA3970C"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761D8C71"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6A1C87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794F338"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584391B2"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33393826" w14:textId="2ACC423F"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352BE585" w14:textId="7B482D16"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r w:rsidR="00566884" w:rsidRPr="00771A47" w14:paraId="7EEFEBB3" w14:textId="77777777" w:rsidTr="00566884">
        <w:tc>
          <w:tcPr>
            <w:tcW w:w="1986" w:type="dxa"/>
          </w:tcPr>
          <w:p w14:paraId="525671B1" w14:textId="7F9065F9" w:rsidR="00BB1B9F" w:rsidRPr="00771A47" w:rsidRDefault="00BB1B9F" w:rsidP="00BB1B9F">
            <w:pPr>
              <w:spacing w:line="276" w:lineRule="auto"/>
              <w:rPr>
                <w:rFonts w:cstheme="minorHAnsi"/>
                <w:sz w:val="19"/>
                <w:szCs w:val="19"/>
              </w:rPr>
            </w:pPr>
            <w:r w:rsidRPr="00771A47">
              <w:rPr>
                <w:rFonts w:cstheme="minorHAnsi"/>
                <w:sz w:val="19"/>
                <w:szCs w:val="19"/>
              </w:rPr>
              <w:t xml:space="preserve">2.2 Mechanisms for </w:t>
            </w:r>
            <w:r>
              <w:rPr>
                <w:rFonts w:cstheme="minorHAnsi"/>
                <w:sz w:val="19"/>
                <w:szCs w:val="19"/>
              </w:rPr>
              <w:t>multisectoral</w:t>
            </w:r>
            <w:r w:rsidRPr="00771A47">
              <w:rPr>
                <w:rFonts w:cstheme="minorHAnsi"/>
                <w:sz w:val="19"/>
                <w:szCs w:val="19"/>
              </w:rPr>
              <w:t xml:space="preserve"> collaboration and partnerships established</w:t>
            </w:r>
          </w:p>
        </w:tc>
        <w:tc>
          <w:tcPr>
            <w:tcW w:w="3118" w:type="dxa"/>
          </w:tcPr>
          <w:p w14:paraId="59546B0A" w14:textId="77777777" w:rsidR="00BB1B9F" w:rsidRPr="00771A47" w:rsidRDefault="00BB1B9F" w:rsidP="00BB1B9F">
            <w:pPr>
              <w:spacing w:line="276" w:lineRule="auto"/>
              <w:rPr>
                <w:rFonts w:cstheme="minorHAnsi"/>
                <w:sz w:val="19"/>
                <w:szCs w:val="19"/>
              </w:rPr>
            </w:pPr>
            <w:r w:rsidRPr="00771A47">
              <w:rPr>
                <w:rFonts w:cstheme="minorHAnsi"/>
                <w:sz w:val="19"/>
                <w:szCs w:val="19"/>
              </w:rPr>
              <w:t>2.2.6 Advocate for health-in-all policies to be incorporated into all government policy development processes</w:t>
            </w:r>
          </w:p>
        </w:tc>
        <w:tc>
          <w:tcPr>
            <w:tcW w:w="2126" w:type="dxa"/>
          </w:tcPr>
          <w:p w14:paraId="169B5360" w14:textId="77777777" w:rsidR="00BB1B9F" w:rsidRPr="00771A47" w:rsidRDefault="00BB1B9F" w:rsidP="00BB1B9F">
            <w:pPr>
              <w:spacing w:line="276" w:lineRule="auto"/>
              <w:rPr>
                <w:rFonts w:cstheme="minorHAnsi"/>
                <w:sz w:val="19"/>
                <w:szCs w:val="19"/>
              </w:rPr>
            </w:pPr>
            <w:r w:rsidRPr="00771A47">
              <w:rPr>
                <w:rFonts w:cstheme="minorHAnsi"/>
                <w:sz w:val="19"/>
                <w:szCs w:val="19"/>
              </w:rPr>
              <w:t>NNCDC PMO TongaHealth</w:t>
            </w:r>
          </w:p>
        </w:tc>
        <w:tc>
          <w:tcPr>
            <w:tcW w:w="426" w:type="dxa"/>
          </w:tcPr>
          <w:p w14:paraId="5FDA3D33" w14:textId="0ECF857C"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526AB7A0"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31356C1"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77F41DF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6B2DEC6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5BD45396" w14:textId="0229E27D"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39842C83"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Supported the sector engagement workshops led by PMO, by facilitating engagement with government and non-government stakeholders on mainstreaming NCD actions into annual corporate plans. </w:t>
            </w:r>
          </w:p>
          <w:p w14:paraId="7B9785AB" w14:textId="6AA0E528" w:rsidR="00BB1B9F" w:rsidRPr="00771A47" w:rsidRDefault="00BB1B9F" w:rsidP="00BB1B9F">
            <w:pPr>
              <w:spacing w:line="276" w:lineRule="auto"/>
              <w:rPr>
                <w:rFonts w:cstheme="minorHAnsi"/>
                <w:sz w:val="19"/>
                <w:szCs w:val="19"/>
              </w:rPr>
            </w:pPr>
            <w:r w:rsidRPr="00771A47">
              <w:rPr>
                <w:rFonts w:cstheme="minorHAnsi"/>
                <w:sz w:val="19"/>
                <w:szCs w:val="19"/>
              </w:rPr>
              <w:t xml:space="preserve">Contributed to the consultation process by the Ministry of Trade &amp; Economic Development to review and update the list of regulated </w:t>
            </w:r>
            <w:r w:rsidRPr="00771A47">
              <w:rPr>
                <w:rFonts w:cstheme="minorHAnsi"/>
                <w:sz w:val="19"/>
                <w:szCs w:val="19"/>
              </w:rPr>
              <w:lastRenderedPageBreak/>
              <w:t xml:space="preserve">goods with a particular focus on unhealthy foods.  </w:t>
            </w:r>
          </w:p>
        </w:tc>
      </w:tr>
      <w:tr w:rsidR="00566884" w:rsidRPr="00771A47" w14:paraId="7BE2C519" w14:textId="77777777" w:rsidTr="00566884">
        <w:tc>
          <w:tcPr>
            <w:tcW w:w="1986" w:type="dxa"/>
          </w:tcPr>
          <w:p w14:paraId="781F1DA1" w14:textId="77777777" w:rsidR="005F52CD" w:rsidRPr="00771A47" w:rsidRDefault="005F52CD" w:rsidP="00DF166F">
            <w:pPr>
              <w:spacing w:line="276" w:lineRule="auto"/>
              <w:rPr>
                <w:rFonts w:cstheme="minorHAnsi"/>
                <w:sz w:val="19"/>
                <w:szCs w:val="19"/>
              </w:rPr>
            </w:pPr>
            <w:r w:rsidRPr="00771A47">
              <w:rPr>
                <w:rFonts w:cstheme="minorHAnsi"/>
                <w:sz w:val="19"/>
                <w:szCs w:val="19"/>
              </w:rPr>
              <w:lastRenderedPageBreak/>
              <w:t xml:space="preserve">3.1 Health promoting actions targeting the four key NCD risk factors (unhealthy diet, physical inactivity, alcohol misuse and tobacco use) are implemented in key settings – schools, workplaces, churches, villages, </w:t>
            </w:r>
            <w:proofErr w:type="gramStart"/>
            <w:r w:rsidRPr="00771A47">
              <w:rPr>
                <w:rFonts w:cstheme="minorHAnsi"/>
                <w:sz w:val="19"/>
                <w:szCs w:val="19"/>
              </w:rPr>
              <w:t>communities</w:t>
            </w:r>
            <w:proofErr w:type="gramEnd"/>
            <w:r w:rsidRPr="00771A47">
              <w:rPr>
                <w:rFonts w:cstheme="minorHAnsi"/>
                <w:sz w:val="19"/>
                <w:szCs w:val="19"/>
              </w:rPr>
              <w:t xml:space="preserve"> and islands – and reported on</w:t>
            </w:r>
          </w:p>
        </w:tc>
        <w:tc>
          <w:tcPr>
            <w:tcW w:w="3118" w:type="dxa"/>
          </w:tcPr>
          <w:p w14:paraId="5CC097A2" w14:textId="0E15E15A" w:rsidR="005F52CD" w:rsidRPr="00771A47" w:rsidRDefault="005F52CD" w:rsidP="00DF166F">
            <w:pPr>
              <w:spacing w:line="276" w:lineRule="auto"/>
              <w:rPr>
                <w:rFonts w:cstheme="minorHAnsi"/>
                <w:sz w:val="19"/>
                <w:szCs w:val="19"/>
              </w:rPr>
            </w:pPr>
            <w:r w:rsidRPr="00771A47">
              <w:rPr>
                <w:rFonts w:cstheme="minorHAnsi"/>
                <w:sz w:val="19"/>
                <w:szCs w:val="19"/>
              </w:rPr>
              <w:t xml:space="preserve">3.1.1 Work with the Ministry of Education to implement, strengthen, evaluate, </w:t>
            </w:r>
            <w:proofErr w:type="gramStart"/>
            <w:r w:rsidRPr="00771A47">
              <w:rPr>
                <w:rFonts w:cstheme="minorHAnsi"/>
                <w:sz w:val="19"/>
                <w:szCs w:val="19"/>
              </w:rPr>
              <w:t>report</w:t>
            </w:r>
            <w:proofErr w:type="gramEnd"/>
            <w:r w:rsidRPr="00771A47">
              <w:rPr>
                <w:rFonts w:cstheme="minorHAnsi"/>
                <w:sz w:val="19"/>
                <w:szCs w:val="19"/>
              </w:rPr>
              <w:t xml:space="preserve"> and expand health</w:t>
            </w:r>
            <w:r w:rsidR="00F40B49" w:rsidRPr="00771A47">
              <w:rPr>
                <w:rFonts w:cstheme="minorHAnsi"/>
                <w:sz w:val="19"/>
                <w:szCs w:val="19"/>
              </w:rPr>
              <w:t xml:space="preserve"> </w:t>
            </w:r>
            <w:r w:rsidRPr="00771A47">
              <w:rPr>
                <w:rFonts w:cstheme="minorHAnsi"/>
                <w:sz w:val="19"/>
                <w:szCs w:val="19"/>
              </w:rPr>
              <w:t>promoting actions in all schools in Tonga</w:t>
            </w:r>
          </w:p>
        </w:tc>
        <w:tc>
          <w:tcPr>
            <w:tcW w:w="2126" w:type="dxa"/>
          </w:tcPr>
          <w:p w14:paraId="6385FC4A" w14:textId="77777777" w:rsidR="005F52CD" w:rsidRPr="00771A47" w:rsidRDefault="005F52CD" w:rsidP="00DF166F">
            <w:pPr>
              <w:spacing w:line="276" w:lineRule="auto"/>
              <w:rPr>
                <w:rFonts w:cstheme="minorHAnsi"/>
                <w:sz w:val="19"/>
                <w:szCs w:val="19"/>
              </w:rPr>
            </w:pPr>
            <w:r w:rsidRPr="00771A47">
              <w:rPr>
                <w:rFonts w:cstheme="minorHAnsi"/>
                <w:sz w:val="19"/>
                <w:szCs w:val="19"/>
              </w:rPr>
              <w:t>Ministry of Education MOH Health Promotion Unit (HPU) TongaHealth Schools CSOs Private sector</w:t>
            </w:r>
          </w:p>
        </w:tc>
        <w:tc>
          <w:tcPr>
            <w:tcW w:w="426" w:type="dxa"/>
          </w:tcPr>
          <w:p w14:paraId="262C85F1"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151B26FA"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4DB2EFAE"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64A1BC27"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2BBC0B1F"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68036DC4" w14:textId="77777777" w:rsidR="005F52CD" w:rsidRPr="00771A47" w:rsidRDefault="005F52CD" w:rsidP="00DF166F">
            <w:pPr>
              <w:pStyle w:val="TableParagraph"/>
              <w:spacing w:line="276" w:lineRule="auto"/>
              <w:ind w:left="57"/>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5.1.10 Health promoting </w:t>
            </w:r>
            <w:proofErr w:type="gramStart"/>
            <w:r w:rsidRPr="00771A47">
              <w:rPr>
                <w:rFonts w:asciiTheme="minorHAnsi" w:eastAsiaTheme="minorHAnsi" w:hAnsiTheme="minorHAnsi" w:cstheme="minorHAnsi"/>
                <w:kern w:val="2"/>
                <w:sz w:val="19"/>
                <w:szCs w:val="19"/>
                <w14:ligatures w14:val="standardContextual"/>
              </w:rPr>
              <w:t>school’s</w:t>
            </w:r>
            <w:proofErr w:type="gramEnd"/>
          </w:p>
          <w:p w14:paraId="6696D94F" w14:textId="7E122D4A" w:rsidR="005F52CD" w:rsidRPr="00771A47" w:rsidRDefault="005F52CD" w:rsidP="00DF166F">
            <w:pPr>
              <w:pStyle w:val="TableParagraph"/>
              <w:spacing w:line="276" w:lineRule="auto"/>
              <w:ind w:left="57" w:right="138"/>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Initiatives</w:t>
            </w:r>
          </w:p>
          <w:p w14:paraId="441B9520" w14:textId="77777777" w:rsidR="005F52CD" w:rsidRPr="00771A47" w:rsidRDefault="005F52CD" w:rsidP="00DF166F">
            <w:pPr>
              <w:spacing w:line="276" w:lineRule="auto"/>
              <w:rPr>
                <w:rFonts w:cstheme="minorHAnsi"/>
                <w:sz w:val="19"/>
                <w:szCs w:val="19"/>
              </w:rPr>
            </w:pPr>
          </w:p>
        </w:tc>
        <w:tc>
          <w:tcPr>
            <w:tcW w:w="2898" w:type="dxa"/>
          </w:tcPr>
          <w:p w14:paraId="4930AB54" w14:textId="679D95E5" w:rsidR="0093741C" w:rsidRPr="00771A47" w:rsidRDefault="0093741C" w:rsidP="00DF166F">
            <w:pPr>
              <w:pStyle w:val="TableParagraph"/>
              <w:spacing w:line="276" w:lineRule="auto"/>
              <w:rPr>
                <w:rFonts w:asciiTheme="minorHAnsi" w:hAnsiTheme="minorHAnsi" w:cstheme="minorHAnsi"/>
                <w:b/>
                <w:bCs/>
                <w:sz w:val="19"/>
                <w:szCs w:val="19"/>
              </w:rPr>
            </w:pPr>
            <w:r w:rsidRPr="00771A47">
              <w:rPr>
                <w:rFonts w:asciiTheme="minorHAnsi" w:hAnsiTheme="minorHAnsi" w:cstheme="minorHAnsi"/>
                <w:b/>
                <w:bCs/>
                <w:sz w:val="19"/>
                <w:szCs w:val="19"/>
              </w:rPr>
              <w:t>Grants</w:t>
            </w:r>
            <w:r w:rsidR="00CC44A7" w:rsidRPr="00771A47">
              <w:rPr>
                <w:rStyle w:val="FootnoteReference"/>
                <w:rFonts w:asciiTheme="minorHAnsi" w:hAnsiTheme="minorHAnsi" w:cstheme="minorHAnsi"/>
                <w:b/>
                <w:bCs/>
                <w:sz w:val="19"/>
                <w:szCs w:val="19"/>
              </w:rPr>
              <w:footnoteReference w:id="14"/>
            </w:r>
            <w:r w:rsidRPr="00771A47">
              <w:rPr>
                <w:rFonts w:asciiTheme="minorHAnsi" w:hAnsiTheme="minorHAnsi" w:cstheme="minorHAnsi"/>
                <w:b/>
                <w:bCs/>
                <w:sz w:val="19"/>
                <w:szCs w:val="19"/>
              </w:rPr>
              <w:t xml:space="preserve"> for FY21/22:</w:t>
            </w:r>
          </w:p>
          <w:p w14:paraId="42FFD66A" w14:textId="62320C7E" w:rsidR="00F40B49" w:rsidRPr="00771A47" w:rsidRDefault="00DF3D0C" w:rsidP="00DF166F">
            <w:pPr>
              <w:pStyle w:val="TableParagraph"/>
              <w:numPr>
                <w:ilvl w:val="0"/>
                <w:numId w:val="24"/>
              </w:numPr>
              <w:spacing w:line="276" w:lineRule="auto"/>
              <w:rPr>
                <w:rFonts w:asciiTheme="minorHAnsi" w:hAnsiTheme="minorHAnsi" w:cstheme="minorHAnsi"/>
                <w:sz w:val="19"/>
                <w:szCs w:val="19"/>
              </w:rPr>
            </w:pPr>
            <w:r w:rsidRPr="00771A47">
              <w:rPr>
                <w:rFonts w:asciiTheme="minorHAnsi" w:hAnsiTheme="minorHAnsi" w:cstheme="minorHAnsi"/>
                <w:sz w:val="19"/>
                <w:szCs w:val="19"/>
              </w:rPr>
              <w:t xml:space="preserve">Healthy diet program for </w:t>
            </w:r>
            <w:r w:rsidR="00530B27" w:rsidRPr="00771A47">
              <w:rPr>
                <w:rFonts w:asciiTheme="minorHAnsi" w:hAnsiTheme="minorHAnsi" w:cstheme="minorHAnsi"/>
                <w:sz w:val="19"/>
                <w:szCs w:val="19"/>
              </w:rPr>
              <w:t>special education class, G</w:t>
            </w:r>
            <w:r w:rsidR="00AE2C9D" w:rsidRPr="00771A47">
              <w:rPr>
                <w:rFonts w:asciiTheme="minorHAnsi" w:hAnsiTheme="minorHAnsi" w:cstheme="minorHAnsi"/>
                <w:sz w:val="19"/>
                <w:szCs w:val="19"/>
              </w:rPr>
              <w:t>overnment Primary School</w:t>
            </w:r>
            <w:r w:rsidR="00530B27" w:rsidRPr="00771A47">
              <w:rPr>
                <w:rFonts w:asciiTheme="minorHAnsi" w:hAnsiTheme="minorHAnsi" w:cstheme="minorHAnsi"/>
                <w:sz w:val="19"/>
                <w:szCs w:val="19"/>
              </w:rPr>
              <w:t xml:space="preserve"> </w:t>
            </w:r>
            <w:proofErr w:type="spellStart"/>
            <w:r w:rsidR="00530B27" w:rsidRPr="00771A47">
              <w:rPr>
                <w:rFonts w:asciiTheme="minorHAnsi" w:hAnsiTheme="minorHAnsi" w:cstheme="minorHAnsi"/>
                <w:sz w:val="19"/>
                <w:szCs w:val="19"/>
              </w:rPr>
              <w:t>N</w:t>
            </w:r>
            <w:r w:rsidR="0009061E" w:rsidRPr="00771A47">
              <w:rPr>
                <w:rFonts w:asciiTheme="minorHAnsi" w:hAnsiTheme="minorHAnsi" w:cstheme="minorHAnsi"/>
                <w:sz w:val="19"/>
                <w:szCs w:val="19"/>
              </w:rPr>
              <w:t>gele’ia</w:t>
            </w:r>
            <w:proofErr w:type="spellEnd"/>
          </w:p>
          <w:p w14:paraId="74459930" w14:textId="7BE09179" w:rsidR="0009061E" w:rsidRPr="00771A47" w:rsidRDefault="00293DC1" w:rsidP="00DF166F">
            <w:pPr>
              <w:pStyle w:val="TableParagraph"/>
              <w:numPr>
                <w:ilvl w:val="0"/>
                <w:numId w:val="24"/>
              </w:numPr>
              <w:spacing w:line="276" w:lineRule="auto"/>
              <w:rPr>
                <w:rFonts w:asciiTheme="minorHAnsi" w:hAnsiTheme="minorHAnsi" w:cstheme="minorHAnsi"/>
                <w:sz w:val="19"/>
                <w:szCs w:val="19"/>
              </w:rPr>
            </w:pPr>
            <w:r w:rsidRPr="00771A47">
              <w:rPr>
                <w:rFonts w:asciiTheme="minorHAnsi" w:hAnsiTheme="minorHAnsi" w:cstheme="minorHAnsi"/>
                <w:sz w:val="19"/>
                <w:szCs w:val="19"/>
              </w:rPr>
              <w:t>Health Promoting Schools Awards</w:t>
            </w:r>
          </w:p>
          <w:p w14:paraId="5509D39F" w14:textId="77777777" w:rsidR="0093741C" w:rsidRPr="00771A47" w:rsidRDefault="0093741C" w:rsidP="00DF166F">
            <w:pPr>
              <w:pStyle w:val="TableParagraph"/>
              <w:spacing w:line="276" w:lineRule="auto"/>
              <w:rPr>
                <w:rFonts w:asciiTheme="minorHAnsi" w:hAnsiTheme="minorHAnsi" w:cstheme="minorHAnsi"/>
                <w:b/>
                <w:bCs/>
                <w:sz w:val="19"/>
                <w:szCs w:val="19"/>
              </w:rPr>
            </w:pPr>
          </w:p>
          <w:p w14:paraId="7134B5E7" w14:textId="56DC1B22" w:rsidR="005F52CD" w:rsidRPr="00771A47" w:rsidRDefault="005F52CD" w:rsidP="00DF166F">
            <w:pPr>
              <w:pStyle w:val="TableParagraph"/>
              <w:spacing w:line="276" w:lineRule="auto"/>
              <w:rPr>
                <w:rFonts w:asciiTheme="minorHAnsi" w:hAnsiTheme="minorHAnsi" w:cstheme="minorHAnsi"/>
                <w:b/>
                <w:bCs/>
                <w:sz w:val="19"/>
                <w:szCs w:val="19"/>
              </w:rPr>
            </w:pPr>
            <w:r w:rsidRPr="00771A47">
              <w:rPr>
                <w:rFonts w:asciiTheme="minorHAnsi" w:hAnsiTheme="minorHAnsi" w:cstheme="minorHAnsi"/>
                <w:b/>
                <w:bCs/>
                <w:sz w:val="19"/>
                <w:szCs w:val="19"/>
              </w:rPr>
              <w:t xml:space="preserve">Grants for FY22/23:  </w:t>
            </w:r>
          </w:p>
          <w:p w14:paraId="06DE6B0B" w14:textId="77777777" w:rsidR="00293DC1" w:rsidRPr="00771A47" w:rsidRDefault="00293DC1" w:rsidP="00DF166F">
            <w:pPr>
              <w:pStyle w:val="TableParagraph"/>
              <w:numPr>
                <w:ilvl w:val="0"/>
                <w:numId w:val="25"/>
              </w:numPr>
              <w:spacing w:line="276" w:lineRule="auto"/>
              <w:rPr>
                <w:rFonts w:asciiTheme="minorHAnsi" w:hAnsiTheme="minorHAnsi" w:cstheme="minorHAnsi"/>
                <w:sz w:val="19"/>
                <w:szCs w:val="19"/>
              </w:rPr>
            </w:pPr>
            <w:r w:rsidRPr="00771A47">
              <w:rPr>
                <w:rFonts w:asciiTheme="minorHAnsi" w:hAnsiTheme="minorHAnsi" w:cstheme="minorHAnsi"/>
                <w:sz w:val="19"/>
                <w:szCs w:val="19"/>
              </w:rPr>
              <w:t>Health Promoting Schools Awards</w:t>
            </w:r>
          </w:p>
          <w:p w14:paraId="3010B432" w14:textId="2B0080C6" w:rsidR="005F52CD" w:rsidRPr="00771A47" w:rsidRDefault="00EB345B" w:rsidP="00DF166F">
            <w:pPr>
              <w:pStyle w:val="TableParagraph"/>
              <w:numPr>
                <w:ilvl w:val="0"/>
                <w:numId w:val="25"/>
              </w:numPr>
              <w:spacing w:line="276" w:lineRule="auto"/>
              <w:rPr>
                <w:rFonts w:asciiTheme="minorHAnsi" w:hAnsiTheme="minorHAnsi" w:cstheme="minorHAnsi"/>
                <w:sz w:val="19"/>
                <w:szCs w:val="19"/>
              </w:rPr>
            </w:pPr>
            <w:r w:rsidRPr="00771A47">
              <w:rPr>
                <w:rFonts w:asciiTheme="minorHAnsi" w:hAnsiTheme="minorHAnsi" w:cstheme="minorHAnsi"/>
                <w:sz w:val="19"/>
                <w:szCs w:val="19"/>
              </w:rPr>
              <w:t xml:space="preserve">Construction of </w:t>
            </w:r>
            <w:r w:rsidR="00AE2C9D" w:rsidRPr="00771A47">
              <w:rPr>
                <w:rFonts w:asciiTheme="minorHAnsi" w:hAnsiTheme="minorHAnsi" w:cstheme="minorHAnsi"/>
                <w:sz w:val="19"/>
                <w:szCs w:val="19"/>
              </w:rPr>
              <w:t xml:space="preserve">Nuku’alofa Government Middle School playground  </w:t>
            </w:r>
          </w:p>
          <w:p w14:paraId="0BDDA30E" w14:textId="77777777" w:rsidR="005F52CD" w:rsidRPr="00771A47" w:rsidRDefault="005F52CD" w:rsidP="00DF166F">
            <w:pPr>
              <w:pStyle w:val="TableParagraph"/>
              <w:spacing w:line="276" w:lineRule="auto"/>
              <w:rPr>
                <w:rFonts w:asciiTheme="minorHAnsi" w:hAnsiTheme="minorHAnsi" w:cstheme="minorHAnsi"/>
                <w:sz w:val="19"/>
                <w:szCs w:val="19"/>
              </w:rPr>
            </w:pPr>
          </w:p>
          <w:p w14:paraId="00670CA5" w14:textId="42BA253D" w:rsidR="005F52CD" w:rsidRPr="00771A47" w:rsidRDefault="00CC44A7" w:rsidP="00DF166F">
            <w:pPr>
              <w:spacing w:line="276" w:lineRule="auto"/>
              <w:rPr>
                <w:rFonts w:cstheme="minorHAnsi"/>
                <w:b/>
                <w:bCs/>
                <w:sz w:val="19"/>
                <w:szCs w:val="19"/>
              </w:rPr>
            </w:pPr>
            <w:r w:rsidRPr="00771A47">
              <w:rPr>
                <w:rFonts w:cstheme="minorHAnsi"/>
                <w:b/>
                <w:bCs/>
                <w:sz w:val="19"/>
                <w:szCs w:val="19"/>
              </w:rPr>
              <w:t>G</w:t>
            </w:r>
            <w:r w:rsidR="005F52CD" w:rsidRPr="00771A47">
              <w:rPr>
                <w:rFonts w:cstheme="minorHAnsi"/>
                <w:b/>
                <w:bCs/>
                <w:sz w:val="19"/>
                <w:szCs w:val="19"/>
              </w:rPr>
              <w:t>rants for FY23/24:</w:t>
            </w:r>
          </w:p>
          <w:p w14:paraId="49B33AC7" w14:textId="3466A64C" w:rsidR="005F52CD" w:rsidRPr="00771A47" w:rsidRDefault="00EB345B" w:rsidP="00DF166F">
            <w:pPr>
              <w:pStyle w:val="ListParagraph"/>
              <w:numPr>
                <w:ilvl w:val="0"/>
                <w:numId w:val="26"/>
              </w:numPr>
              <w:spacing w:after="0" w:line="276" w:lineRule="auto"/>
              <w:rPr>
                <w:rFonts w:cstheme="minorHAnsi"/>
                <w:sz w:val="19"/>
                <w:szCs w:val="19"/>
              </w:rPr>
            </w:pPr>
            <w:r w:rsidRPr="00771A47">
              <w:rPr>
                <w:rFonts w:cstheme="minorHAnsi"/>
                <w:sz w:val="19"/>
                <w:szCs w:val="19"/>
              </w:rPr>
              <w:t xml:space="preserve">Construction of </w:t>
            </w:r>
            <w:proofErr w:type="spellStart"/>
            <w:r w:rsidRPr="00771A47">
              <w:rPr>
                <w:rFonts w:cstheme="minorHAnsi"/>
                <w:sz w:val="19"/>
                <w:szCs w:val="19"/>
              </w:rPr>
              <w:t>Apifo</w:t>
            </w:r>
            <w:r w:rsidR="00846D20" w:rsidRPr="00771A47">
              <w:rPr>
                <w:rFonts w:cstheme="minorHAnsi"/>
                <w:sz w:val="19"/>
                <w:szCs w:val="19"/>
              </w:rPr>
              <w:t>’</w:t>
            </w:r>
            <w:r w:rsidRPr="00771A47">
              <w:rPr>
                <w:rFonts w:cstheme="minorHAnsi"/>
                <w:sz w:val="19"/>
                <w:szCs w:val="19"/>
              </w:rPr>
              <w:t>ou</w:t>
            </w:r>
            <w:proofErr w:type="spellEnd"/>
            <w:r w:rsidRPr="00771A47">
              <w:rPr>
                <w:rFonts w:cstheme="minorHAnsi"/>
                <w:sz w:val="19"/>
                <w:szCs w:val="19"/>
              </w:rPr>
              <w:t xml:space="preserve"> School Canteen Patio</w:t>
            </w:r>
            <w:r w:rsidR="005F52CD" w:rsidRPr="00771A47">
              <w:rPr>
                <w:rFonts w:cstheme="minorHAnsi"/>
                <w:sz w:val="19"/>
                <w:szCs w:val="19"/>
              </w:rPr>
              <w:t xml:space="preserve"> </w:t>
            </w:r>
          </w:p>
        </w:tc>
      </w:tr>
      <w:tr w:rsidR="00566884" w:rsidRPr="00771A47" w14:paraId="2F340436" w14:textId="77777777" w:rsidTr="00566884">
        <w:tc>
          <w:tcPr>
            <w:tcW w:w="1986" w:type="dxa"/>
          </w:tcPr>
          <w:p w14:paraId="45B043FF" w14:textId="3572CF8A" w:rsidR="00BB1B9F" w:rsidRPr="00771A47" w:rsidRDefault="00BB1B9F" w:rsidP="00BB1B9F">
            <w:pPr>
              <w:spacing w:line="276" w:lineRule="auto"/>
              <w:rPr>
                <w:rFonts w:cstheme="minorHAnsi"/>
                <w:sz w:val="19"/>
                <w:szCs w:val="19"/>
              </w:rPr>
            </w:pPr>
            <w:r w:rsidRPr="003613C8">
              <w:rPr>
                <w:rFonts w:cstheme="minorHAnsi"/>
                <w:sz w:val="19"/>
                <w:szCs w:val="19"/>
              </w:rPr>
              <w:t xml:space="preserve">3.1 Health promoting actions targeting the four key NCD risk factors (unhealthy diet, physical inactivity, alcohol </w:t>
            </w:r>
            <w:r w:rsidRPr="003613C8">
              <w:rPr>
                <w:rFonts w:cstheme="minorHAnsi"/>
                <w:sz w:val="19"/>
                <w:szCs w:val="19"/>
              </w:rPr>
              <w:lastRenderedPageBreak/>
              <w:t xml:space="preserve">misuse and tobacco use) are implemented in key settings – schools, workplaces, churches, villages, </w:t>
            </w:r>
            <w:proofErr w:type="gramStart"/>
            <w:r w:rsidRPr="003613C8">
              <w:rPr>
                <w:rFonts w:cstheme="minorHAnsi"/>
                <w:sz w:val="19"/>
                <w:szCs w:val="19"/>
              </w:rPr>
              <w:t>communities</w:t>
            </w:r>
            <w:proofErr w:type="gramEnd"/>
            <w:r w:rsidRPr="003613C8">
              <w:rPr>
                <w:rFonts w:cstheme="minorHAnsi"/>
                <w:sz w:val="19"/>
                <w:szCs w:val="19"/>
              </w:rPr>
              <w:t xml:space="preserve"> and islands – and reported on</w:t>
            </w:r>
          </w:p>
        </w:tc>
        <w:tc>
          <w:tcPr>
            <w:tcW w:w="3118" w:type="dxa"/>
          </w:tcPr>
          <w:p w14:paraId="162D677B" w14:textId="77777777" w:rsidR="00BB1B9F" w:rsidRPr="00771A47" w:rsidRDefault="00BB1B9F" w:rsidP="00BB1B9F">
            <w:pPr>
              <w:spacing w:line="276" w:lineRule="auto"/>
              <w:rPr>
                <w:rFonts w:cstheme="minorHAnsi"/>
                <w:sz w:val="19"/>
                <w:szCs w:val="19"/>
              </w:rPr>
            </w:pPr>
            <w:r w:rsidRPr="00771A47">
              <w:rPr>
                <w:rFonts w:cstheme="minorHAnsi"/>
                <w:sz w:val="19"/>
                <w:szCs w:val="19"/>
              </w:rPr>
              <w:lastRenderedPageBreak/>
              <w:t xml:space="preserve">3.1.2 Work with CEOs to implement, strengthen, evaluate, </w:t>
            </w:r>
            <w:proofErr w:type="gramStart"/>
            <w:r w:rsidRPr="00771A47">
              <w:rPr>
                <w:rFonts w:cstheme="minorHAnsi"/>
                <w:sz w:val="19"/>
                <w:szCs w:val="19"/>
              </w:rPr>
              <w:t>report</w:t>
            </w:r>
            <w:proofErr w:type="gramEnd"/>
            <w:r w:rsidRPr="00771A47">
              <w:rPr>
                <w:rFonts w:cstheme="minorHAnsi"/>
                <w:sz w:val="19"/>
                <w:szCs w:val="19"/>
              </w:rPr>
              <w:t xml:space="preserve"> and expand health promoting actions in the workplace</w:t>
            </w:r>
          </w:p>
        </w:tc>
        <w:tc>
          <w:tcPr>
            <w:tcW w:w="2126" w:type="dxa"/>
          </w:tcPr>
          <w:p w14:paraId="66E784FD" w14:textId="77777777" w:rsidR="00BB1B9F" w:rsidRPr="00771A47" w:rsidRDefault="00BB1B9F" w:rsidP="00BB1B9F">
            <w:pPr>
              <w:spacing w:line="276" w:lineRule="auto"/>
              <w:rPr>
                <w:rFonts w:cstheme="minorHAnsi"/>
                <w:sz w:val="19"/>
                <w:szCs w:val="19"/>
              </w:rPr>
            </w:pPr>
            <w:r w:rsidRPr="00771A47">
              <w:rPr>
                <w:rFonts w:cstheme="minorHAnsi"/>
                <w:sz w:val="19"/>
                <w:szCs w:val="19"/>
              </w:rPr>
              <w:t>Public Service Commission (PSC) MOH HPU TongaHealth Private sector</w:t>
            </w:r>
          </w:p>
        </w:tc>
        <w:tc>
          <w:tcPr>
            <w:tcW w:w="426" w:type="dxa"/>
          </w:tcPr>
          <w:p w14:paraId="5AE5DDA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F7590F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C47DF4D"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0C4E58F4"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34B7432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75985069" w14:textId="46D9D8A8" w:rsidR="00BB1B9F" w:rsidRPr="00771A47" w:rsidRDefault="00BB1B9F" w:rsidP="00BB1B9F">
            <w:pPr>
              <w:spacing w:line="276" w:lineRule="auto"/>
              <w:rPr>
                <w:rFonts w:cstheme="minorHAnsi"/>
                <w:sz w:val="19"/>
                <w:szCs w:val="19"/>
              </w:rPr>
            </w:pPr>
            <w:r w:rsidRPr="00771A47">
              <w:rPr>
                <w:rFonts w:cstheme="minorHAnsi"/>
                <w:sz w:val="19"/>
                <w:szCs w:val="19"/>
              </w:rPr>
              <w:t>5.1.12 Health promoting workplaces</w:t>
            </w:r>
          </w:p>
        </w:tc>
        <w:tc>
          <w:tcPr>
            <w:tcW w:w="2898" w:type="dxa"/>
          </w:tcPr>
          <w:p w14:paraId="75601CE5" w14:textId="77777777" w:rsidR="00BB1B9F" w:rsidRPr="00771A47" w:rsidRDefault="00BB1B9F" w:rsidP="00BB1B9F">
            <w:pPr>
              <w:spacing w:line="276" w:lineRule="auto"/>
              <w:rPr>
                <w:rFonts w:cstheme="minorHAnsi"/>
                <w:b/>
                <w:bCs/>
                <w:sz w:val="19"/>
                <w:szCs w:val="19"/>
              </w:rPr>
            </w:pPr>
            <w:r w:rsidRPr="00771A47">
              <w:rPr>
                <w:rFonts w:cstheme="minorHAnsi"/>
                <w:b/>
                <w:bCs/>
                <w:sz w:val="19"/>
                <w:szCs w:val="19"/>
              </w:rPr>
              <w:t>Grants for FY21/22:</w:t>
            </w:r>
          </w:p>
          <w:p w14:paraId="4CD3C56B" w14:textId="77777777" w:rsidR="00BB1B9F" w:rsidRPr="00771A47" w:rsidRDefault="00BB1B9F" w:rsidP="00BB1B9F">
            <w:pPr>
              <w:pStyle w:val="ListParagraph"/>
              <w:numPr>
                <w:ilvl w:val="0"/>
                <w:numId w:val="27"/>
              </w:numPr>
              <w:spacing w:line="276" w:lineRule="auto"/>
              <w:rPr>
                <w:rFonts w:cstheme="minorHAnsi"/>
                <w:sz w:val="19"/>
                <w:szCs w:val="19"/>
              </w:rPr>
            </w:pPr>
            <w:r w:rsidRPr="00771A47">
              <w:rPr>
                <w:rFonts w:cstheme="minorHAnsi"/>
                <w:sz w:val="19"/>
                <w:szCs w:val="19"/>
              </w:rPr>
              <w:t>Palace Office Health and Wellness Program</w:t>
            </w:r>
          </w:p>
          <w:p w14:paraId="6F51C826" w14:textId="57B81A3F" w:rsidR="00BB1B9F" w:rsidRPr="00771A47" w:rsidRDefault="00BB1B9F" w:rsidP="00BB1B9F">
            <w:pPr>
              <w:spacing w:line="276" w:lineRule="auto"/>
              <w:rPr>
                <w:rFonts w:cstheme="minorHAnsi"/>
                <w:b/>
                <w:bCs/>
                <w:sz w:val="19"/>
                <w:szCs w:val="19"/>
              </w:rPr>
            </w:pPr>
            <w:r w:rsidRPr="00771A47">
              <w:rPr>
                <w:rFonts w:cstheme="minorHAnsi"/>
                <w:b/>
                <w:bCs/>
                <w:sz w:val="19"/>
                <w:szCs w:val="19"/>
              </w:rPr>
              <w:t xml:space="preserve">Grants for FY22/23: </w:t>
            </w:r>
          </w:p>
          <w:p w14:paraId="2F784B53" w14:textId="7831579D" w:rsidR="00BB1B9F" w:rsidRPr="00771A47" w:rsidRDefault="00BB1B9F" w:rsidP="00BB1B9F">
            <w:pPr>
              <w:pStyle w:val="ListParagraph"/>
              <w:numPr>
                <w:ilvl w:val="0"/>
                <w:numId w:val="28"/>
              </w:numPr>
              <w:spacing w:after="0" w:line="276" w:lineRule="auto"/>
              <w:rPr>
                <w:rFonts w:cstheme="minorHAnsi"/>
                <w:sz w:val="19"/>
                <w:szCs w:val="19"/>
              </w:rPr>
            </w:pPr>
            <w:r w:rsidRPr="00771A47">
              <w:rPr>
                <w:rFonts w:cstheme="minorHAnsi"/>
                <w:sz w:val="19"/>
                <w:szCs w:val="19"/>
              </w:rPr>
              <w:lastRenderedPageBreak/>
              <w:t xml:space="preserve">Ministry of Internal Affairs for </w:t>
            </w:r>
            <w:proofErr w:type="spellStart"/>
            <w:r w:rsidRPr="00771A47">
              <w:rPr>
                <w:rFonts w:cstheme="minorHAnsi"/>
                <w:sz w:val="19"/>
                <w:szCs w:val="19"/>
              </w:rPr>
              <w:t>Fiefia</w:t>
            </w:r>
            <w:proofErr w:type="spellEnd"/>
            <w:r w:rsidRPr="00771A47">
              <w:rPr>
                <w:rFonts w:cstheme="minorHAnsi"/>
                <w:sz w:val="19"/>
                <w:szCs w:val="19"/>
              </w:rPr>
              <w:t xml:space="preserve"> Sports</w:t>
            </w:r>
          </w:p>
          <w:p w14:paraId="395E7FBF" w14:textId="77777777" w:rsidR="00BB1B9F" w:rsidRPr="00771A47" w:rsidRDefault="00BB1B9F" w:rsidP="00BB1B9F">
            <w:pPr>
              <w:pStyle w:val="ListParagraph"/>
              <w:spacing w:line="276" w:lineRule="auto"/>
              <w:ind w:left="360"/>
              <w:rPr>
                <w:rFonts w:cstheme="minorHAnsi"/>
                <w:sz w:val="19"/>
                <w:szCs w:val="19"/>
              </w:rPr>
            </w:pPr>
          </w:p>
          <w:p w14:paraId="79578FC9" w14:textId="77777777" w:rsidR="00BB1B9F" w:rsidRPr="00771A47" w:rsidRDefault="00BB1B9F" w:rsidP="00BB1B9F">
            <w:pPr>
              <w:pStyle w:val="ListParagraph"/>
              <w:spacing w:after="0" w:line="276" w:lineRule="auto"/>
              <w:ind w:left="360"/>
              <w:rPr>
                <w:rFonts w:cstheme="minorHAnsi"/>
                <w:sz w:val="19"/>
                <w:szCs w:val="19"/>
              </w:rPr>
            </w:pPr>
          </w:p>
        </w:tc>
      </w:tr>
      <w:tr w:rsidR="00566884" w:rsidRPr="00771A47" w14:paraId="6D081B4E" w14:textId="77777777" w:rsidTr="00566884">
        <w:tc>
          <w:tcPr>
            <w:tcW w:w="1986" w:type="dxa"/>
          </w:tcPr>
          <w:p w14:paraId="79925E8F" w14:textId="1090A073" w:rsidR="00BB1B9F" w:rsidRPr="00771A47" w:rsidRDefault="00BB1B9F" w:rsidP="00BB1B9F">
            <w:pPr>
              <w:spacing w:line="276" w:lineRule="auto"/>
              <w:rPr>
                <w:rFonts w:cstheme="minorHAnsi"/>
                <w:sz w:val="19"/>
                <w:szCs w:val="19"/>
              </w:rPr>
            </w:pPr>
            <w:r w:rsidRPr="003613C8">
              <w:rPr>
                <w:rFonts w:cstheme="minorHAnsi"/>
                <w:sz w:val="19"/>
                <w:szCs w:val="19"/>
              </w:rPr>
              <w:lastRenderedPageBreak/>
              <w:t xml:space="preserve">3.1 Health promoting actions targeting the four key NCD risk factors (unhealthy diet, physical inactivity, alcohol misuse and tobacco use) are implemented in key settings – schools, workplaces, churches, villages, </w:t>
            </w:r>
            <w:proofErr w:type="gramStart"/>
            <w:r w:rsidRPr="003613C8">
              <w:rPr>
                <w:rFonts w:cstheme="minorHAnsi"/>
                <w:sz w:val="19"/>
                <w:szCs w:val="19"/>
              </w:rPr>
              <w:t>communities</w:t>
            </w:r>
            <w:proofErr w:type="gramEnd"/>
            <w:r w:rsidRPr="003613C8">
              <w:rPr>
                <w:rFonts w:cstheme="minorHAnsi"/>
                <w:sz w:val="19"/>
                <w:szCs w:val="19"/>
              </w:rPr>
              <w:t xml:space="preserve"> and islands – and reported on</w:t>
            </w:r>
          </w:p>
        </w:tc>
        <w:tc>
          <w:tcPr>
            <w:tcW w:w="3118" w:type="dxa"/>
          </w:tcPr>
          <w:p w14:paraId="7F429712"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3.1.3 Work with church leaders to implement, strengthen, evaluate, </w:t>
            </w:r>
            <w:proofErr w:type="gramStart"/>
            <w:r w:rsidRPr="00771A47">
              <w:rPr>
                <w:rFonts w:cstheme="minorHAnsi"/>
                <w:sz w:val="19"/>
                <w:szCs w:val="19"/>
              </w:rPr>
              <w:t>report</w:t>
            </w:r>
            <w:proofErr w:type="gramEnd"/>
            <w:r w:rsidRPr="00771A47">
              <w:rPr>
                <w:rFonts w:cstheme="minorHAnsi"/>
                <w:sz w:val="19"/>
                <w:szCs w:val="19"/>
              </w:rPr>
              <w:t xml:space="preserve"> and expand health-promoting actions in churches</w:t>
            </w:r>
          </w:p>
        </w:tc>
        <w:tc>
          <w:tcPr>
            <w:tcW w:w="2126" w:type="dxa"/>
          </w:tcPr>
          <w:p w14:paraId="38AA88F2"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Council of Churches </w:t>
            </w:r>
          </w:p>
          <w:p w14:paraId="01548C0D" w14:textId="77777777" w:rsidR="00BB1B9F" w:rsidRPr="00771A47" w:rsidRDefault="00BB1B9F" w:rsidP="00BB1B9F">
            <w:pPr>
              <w:spacing w:line="276" w:lineRule="auto"/>
              <w:rPr>
                <w:rFonts w:cstheme="minorHAnsi"/>
                <w:sz w:val="19"/>
                <w:szCs w:val="19"/>
              </w:rPr>
            </w:pPr>
            <w:r w:rsidRPr="00771A47">
              <w:rPr>
                <w:rFonts w:cstheme="minorHAnsi"/>
                <w:sz w:val="19"/>
                <w:szCs w:val="19"/>
              </w:rPr>
              <w:t>MOH HPU TongaHealth Private sector</w:t>
            </w:r>
          </w:p>
        </w:tc>
        <w:tc>
          <w:tcPr>
            <w:tcW w:w="426" w:type="dxa"/>
          </w:tcPr>
          <w:p w14:paraId="238D83E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070ACD3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446FFCE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7460F6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75C9F71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60187C20" w14:textId="77777777" w:rsidR="00BB1B9F" w:rsidRPr="00771A47" w:rsidRDefault="00BB1B9F" w:rsidP="00BB1B9F">
            <w:pPr>
              <w:spacing w:line="276" w:lineRule="auto"/>
              <w:rPr>
                <w:rFonts w:cstheme="minorHAnsi"/>
                <w:sz w:val="19"/>
                <w:szCs w:val="19"/>
              </w:rPr>
            </w:pPr>
            <w:r w:rsidRPr="00771A47">
              <w:rPr>
                <w:rFonts w:cstheme="minorHAnsi"/>
                <w:sz w:val="19"/>
                <w:szCs w:val="19"/>
              </w:rPr>
              <w:t>5.1.11 Health promoting churches;</w:t>
            </w:r>
          </w:p>
        </w:tc>
        <w:tc>
          <w:tcPr>
            <w:tcW w:w="2898" w:type="dxa"/>
          </w:tcPr>
          <w:p w14:paraId="1A327A27" w14:textId="77777777" w:rsidR="00BB1B9F" w:rsidRPr="00771A47" w:rsidRDefault="00BB1B9F" w:rsidP="00BB1B9F">
            <w:pPr>
              <w:spacing w:line="276" w:lineRule="auto"/>
              <w:rPr>
                <w:rFonts w:cstheme="minorHAnsi"/>
                <w:b/>
                <w:bCs/>
                <w:sz w:val="19"/>
                <w:szCs w:val="19"/>
              </w:rPr>
            </w:pPr>
            <w:r w:rsidRPr="00771A47">
              <w:rPr>
                <w:rFonts w:cstheme="minorHAnsi"/>
                <w:b/>
                <w:bCs/>
                <w:sz w:val="19"/>
                <w:szCs w:val="19"/>
              </w:rPr>
              <w:t xml:space="preserve">Grants for FY21/22: </w:t>
            </w:r>
          </w:p>
          <w:p w14:paraId="4549A5EC" w14:textId="77777777" w:rsidR="00BB1B9F" w:rsidRPr="00771A47" w:rsidRDefault="00BB1B9F" w:rsidP="00BB1B9F">
            <w:pPr>
              <w:pStyle w:val="ListParagraph"/>
              <w:numPr>
                <w:ilvl w:val="0"/>
                <w:numId w:val="29"/>
              </w:numPr>
              <w:spacing w:line="276" w:lineRule="auto"/>
              <w:rPr>
                <w:rFonts w:cstheme="minorHAnsi"/>
                <w:sz w:val="19"/>
                <w:szCs w:val="19"/>
              </w:rPr>
            </w:pPr>
            <w:r w:rsidRPr="00771A47">
              <w:rPr>
                <w:rFonts w:cstheme="minorHAnsi"/>
                <w:sz w:val="19"/>
                <w:szCs w:val="19"/>
              </w:rPr>
              <w:t>‘</w:t>
            </w:r>
            <w:proofErr w:type="spellStart"/>
            <w:r w:rsidRPr="00771A47">
              <w:rPr>
                <w:rFonts w:cstheme="minorHAnsi"/>
                <w:sz w:val="19"/>
                <w:szCs w:val="19"/>
              </w:rPr>
              <w:t>Aho</w:t>
            </w:r>
            <w:proofErr w:type="spellEnd"/>
            <w:r w:rsidRPr="00771A47">
              <w:rPr>
                <w:rFonts w:cstheme="minorHAnsi"/>
                <w:sz w:val="19"/>
                <w:szCs w:val="19"/>
              </w:rPr>
              <w:t xml:space="preserve"> kau </w:t>
            </w:r>
            <w:proofErr w:type="spellStart"/>
            <w:r w:rsidRPr="00771A47">
              <w:rPr>
                <w:rFonts w:cstheme="minorHAnsi"/>
                <w:sz w:val="19"/>
                <w:szCs w:val="19"/>
              </w:rPr>
              <w:t>Toulekeleka</w:t>
            </w:r>
            <w:proofErr w:type="spellEnd"/>
            <w:r w:rsidRPr="00771A47">
              <w:rPr>
                <w:rFonts w:cstheme="minorHAnsi"/>
                <w:sz w:val="19"/>
                <w:szCs w:val="19"/>
              </w:rPr>
              <w:t xml:space="preserve"> social fun day</w:t>
            </w:r>
          </w:p>
          <w:p w14:paraId="019A6269" w14:textId="77777777" w:rsidR="00BB1B9F" w:rsidRPr="00771A47" w:rsidRDefault="00BB1B9F" w:rsidP="00BB1B9F">
            <w:pPr>
              <w:pStyle w:val="ListParagraph"/>
              <w:numPr>
                <w:ilvl w:val="0"/>
                <w:numId w:val="29"/>
              </w:numPr>
              <w:spacing w:line="276" w:lineRule="auto"/>
              <w:rPr>
                <w:rFonts w:cstheme="minorHAnsi"/>
                <w:sz w:val="19"/>
                <w:szCs w:val="19"/>
              </w:rPr>
            </w:pPr>
            <w:r w:rsidRPr="00771A47">
              <w:rPr>
                <w:rFonts w:cstheme="minorHAnsi"/>
                <w:sz w:val="19"/>
                <w:szCs w:val="19"/>
              </w:rPr>
              <w:t xml:space="preserve">SDA </w:t>
            </w:r>
            <w:proofErr w:type="spellStart"/>
            <w:r w:rsidRPr="00771A47">
              <w:rPr>
                <w:rFonts w:cstheme="minorHAnsi"/>
                <w:sz w:val="19"/>
                <w:szCs w:val="19"/>
              </w:rPr>
              <w:t>Niuatoputapu</w:t>
            </w:r>
            <w:proofErr w:type="spellEnd"/>
            <w:r w:rsidRPr="00771A47">
              <w:rPr>
                <w:rFonts w:cstheme="minorHAnsi"/>
                <w:sz w:val="19"/>
                <w:szCs w:val="19"/>
              </w:rPr>
              <w:t xml:space="preserve"> elderly fun walk and social day</w:t>
            </w:r>
          </w:p>
          <w:p w14:paraId="4B1B2FDD" w14:textId="087D7735" w:rsidR="00BB1B9F" w:rsidRPr="00771A47" w:rsidRDefault="00BB1B9F" w:rsidP="00BB1B9F">
            <w:pPr>
              <w:spacing w:line="276" w:lineRule="auto"/>
              <w:rPr>
                <w:rFonts w:cstheme="minorHAnsi"/>
                <w:i/>
                <w:iCs/>
                <w:sz w:val="19"/>
                <w:szCs w:val="19"/>
              </w:rPr>
            </w:pPr>
            <w:r w:rsidRPr="00771A47">
              <w:rPr>
                <w:rFonts w:cstheme="minorHAnsi"/>
                <w:sz w:val="19"/>
                <w:szCs w:val="19"/>
              </w:rPr>
              <w:t>No grants for FY22/23 or FY23/24</w:t>
            </w:r>
          </w:p>
        </w:tc>
      </w:tr>
      <w:tr w:rsidR="00566884" w:rsidRPr="00771A47" w14:paraId="77F23A6D" w14:textId="77777777" w:rsidTr="00566884">
        <w:tc>
          <w:tcPr>
            <w:tcW w:w="1986" w:type="dxa"/>
          </w:tcPr>
          <w:p w14:paraId="6B0C805C" w14:textId="2884A460" w:rsidR="005F52CD" w:rsidRPr="00771A47" w:rsidRDefault="00BB1B9F" w:rsidP="00DF166F">
            <w:pPr>
              <w:spacing w:line="276" w:lineRule="auto"/>
              <w:rPr>
                <w:rFonts w:cstheme="minorHAnsi"/>
                <w:sz w:val="19"/>
                <w:szCs w:val="19"/>
              </w:rPr>
            </w:pPr>
            <w:r w:rsidRPr="00771A47">
              <w:rPr>
                <w:rFonts w:cstheme="minorHAnsi"/>
                <w:sz w:val="19"/>
                <w:szCs w:val="19"/>
              </w:rPr>
              <w:t xml:space="preserve">3.1 Health promoting actions targeting the four key NCD risk factors (unhealthy diet, physical inactivity, alcohol </w:t>
            </w:r>
            <w:r w:rsidRPr="00771A47">
              <w:rPr>
                <w:rFonts w:cstheme="minorHAnsi"/>
                <w:sz w:val="19"/>
                <w:szCs w:val="19"/>
              </w:rPr>
              <w:lastRenderedPageBreak/>
              <w:t xml:space="preserve">misuse and tobacco use) are implemented in key settings – schools, workplaces, churches, villages, </w:t>
            </w:r>
            <w:proofErr w:type="gramStart"/>
            <w:r w:rsidRPr="00771A47">
              <w:rPr>
                <w:rFonts w:cstheme="minorHAnsi"/>
                <w:sz w:val="19"/>
                <w:szCs w:val="19"/>
              </w:rPr>
              <w:t>communities</w:t>
            </w:r>
            <w:proofErr w:type="gramEnd"/>
            <w:r w:rsidRPr="00771A47">
              <w:rPr>
                <w:rFonts w:cstheme="minorHAnsi"/>
                <w:sz w:val="19"/>
                <w:szCs w:val="19"/>
              </w:rPr>
              <w:t xml:space="preserve"> and islands – and reported on</w:t>
            </w:r>
          </w:p>
        </w:tc>
        <w:tc>
          <w:tcPr>
            <w:tcW w:w="3118" w:type="dxa"/>
          </w:tcPr>
          <w:p w14:paraId="59A54188" w14:textId="77777777" w:rsidR="005F52CD" w:rsidRPr="00771A47" w:rsidRDefault="005F52CD" w:rsidP="00DF166F">
            <w:pPr>
              <w:spacing w:line="276" w:lineRule="auto"/>
              <w:rPr>
                <w:rFonts w:cstheme="minorHAnsi"/>
                <w:sz w:val="19"/>
                <w:szCs w:val="19"/>
              </w:rPr>
            </w:pPr>
            <w:r w:rsidRPr="00771A47">
              <w:rPr>
                <w:rFonts w:cstheme="minorHAnsi"/>
                <w:sz w:val="19"/>
                <w:szCs w:val="19"/>
              </w:rPr>
              <w:lastRenderedPageBreak/>
              <w:t xml:space="preserve">3.1.4 Work with community leaders and town councils to implement, strengthen, evaluate, report </w:t>
            </w:r>
            <w:proofErr w:type="gramStart"/>
            <w:r w:rsidRPr="00771A47">
              <w:rPr>
                <w:rFonts w:cstheme="minorHAnsi"/>
                <w:sz w:val="19"/>
                <w:szCs w:val="19"/>
              </w:rPr>
              <w:t>on</w:t>
            </w:r>
            <w:proofErr w:type="gramEnd"/>
            <w:r w:rsidRPr="00771A47">
              <w:rPr>
                <w:rFonts w:cstheme="minorHAnsi"/>
                <w:sz w:val="19"/>
                <w:szCs w:val="19"/>
              </w:rPr>
              <w:t xml:space="preserve"> and expand health-promoting actions in communities and villages</w:t>
            </w:r>
          </w:p>
        </w:tc>
        <w:tc>
          <w:tcPr>
            <w:tcW w:w="2126" w:type="dxa"/>
          </w:tcPr>
          <w:p w14:paraId="33CFDED7" w14:textId="77777777" w:rsidR="005F52CD" w:rsidRPr="00771A47" w:rsidRDefault="005F52CD" w:rsidP="00DF166F">
            <w:pPr>
              <w:spacing w:line="276" w:lineRule="auto"/>
              <w:rPr>
                <w:rFonts w:cstheme="minorHAnsi"/>
                <w:sz w:val="19"/>
                <w:szCs w:val="19"/>
              </w:rPr>
            </w:pPr>
            <w:r w:rsidRPr="00771A47">
              <w:rPr>
                <w:rFonts w:cstheme="minorHAnsi"/>
                <w:sz w:val="19"/>
                <w:szCs w:val="19"/>
              </w:rPr>
              <w:t>Town Councils and Officers CSOs MOH HPU TongaHealth Private sector</w:t>
            </w:r>
          </w:p>
        </w:tc>
        <w:tc>
          <w:tcPr>
            <w:tcW w:w="426" w:type="dxa"/>
          </w:tcPr>
          <w:p w14:paraId="48A4AF2D"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70E13FB7"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0C563EAD"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63AF3B9A"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548E6B18"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76AF63FD" w14:textId="3040EC9D" w:rsidR="005F52CD" w:rsidRPr="00771A47" w:rsidRDefault="005F52CD" w:rsidP="00DF166F">
            <w:pPr>
              <w:spacing w:line="276" w:lineRule="auto"/>
              <w:rPr>
                <w:rFonts w:cstheme="minorHAnsi"/>
                <w:sz w:val="19"/>
                <w:szCs w:val="19"/>
              </w:rPr>
            </w:pPr>
            <w:r w:rsidRPr="00771A47">
              <w:rPr>
                <w:rFonts w:cstheme="minorHAnsi"/>
                <w:sz w:val="19"/>
                <w:szCs w:val="19"/>
              </w:rPr>
              <w:t>5.1.13 Health promoting communities</w:t>
            </w:r>
          </w:p>
        </w:tc>
        <w:tc>
          <w:tcPr>
            <w:tcW w:w="2898" w:type="dxa"/>
          </w:tcPr>
          <w:p w14:paraId="0045856F" w14:textId="3E2F6946" w:rsidR="0087781C" w:rsidRPr="00771A47" w:rsidRDefault="005F52CD" w:rsidP="00DF166F">
            <w:pPr>
              <w:spacing w:line="276" w:lineRule="auto"/>
              <w:rPr>
                <w:rFonts w:cstheme="minorHAnsi"/>
                <w:b/>
                <w:bCs/>
                <w:sz w:val="19"/>
                <w:szCs w:val="19"/>
              </w:rPr>
            </w:pPr>
            <w:r w:rsidRPr="00771A47">
              <w:rPr>
                <w:rFonts w:cstheme="minorHAnsi"/>
                <w:b/>
                <w:bCs/>
                <w:sz w:val="19"/>
                <w:szCs w:val="19"/>
              </w:rPr>
              <w:t>Grant</w:t>
            </w:r>
            <w:r w:rsidR="0087781C" w:rsidRPr="00771A47">
              <w:rPr>
                <w:rFonts w:cstheme="minorHAnsi"/>
                <w:b/>
                <w:bCs/>
                <w:sz w:val="19"/>
                <w:szCs w:val="19"/>
              </w:rPr>
              <w:t>s for FY21/22:</w:t>
            </w:r>
          </w:p>
          <w:p w14:paraId="71579443" w14:textId="69DAF2D0" w:rsidR="0087781C" w:rsidRPr="00771A47" w:rsidRDefault="00B04E40" w:rsidP="00DF166F">
            <w:pPr>
              <w:pStyle w:val="ListParagraph"/>
              <w:numPr>
                <w:ilvl w:val="0"/>
                <w:numId w:val="30"/>
              </w:numPr>
              <w:spacing w:line="276" w:lineRule="auto"/>
              <w:rPr>
                <w:rFonts w:cstheme="minorHAnsi"/>
                <w:sz w:val="19"/>
                <w:szCs w:val="19"/>
              </w:rPr>
            </w:pPr>
            <w:r w:rsidRPr="00771A47">
              <w:rPr>
                <w:rFonts w:cstheme="minorHAnsi"/>
                <w:sz w:val="19"/>
                <w:szCs w:val="19"/>
              </w:rPr>
              <w:t>Production of cooking videos</w:t>
            </w:r>
          </w:p>
          <w:p w14:paraId="2D2125AF" w14:textId="7D047D25" w:rsidR="00DA41EB" w:rsidRPr="00771A47" w:rsidRDefault="00DA41EB" w:rsidP="00DF166F">
            <w:pPr>
              <w:pStyle w:val="ListParagraph"/>
              <w:numPr>
                <w:ilvl w:val="0"/>
                <w:numId w:val="30"/>
              </w:numPr>
              <w:spacing w:line="276" w:lineRule="auto"/>
              <w:rPr>
                <w:rFonts w:cstheme="minorHAnsi"/>
                <w:sz w:val="19"/>
                <w:szCs w:val="19"/>
              </w:rPr>
            </w:pPr>
            <w:r w:rsidRPr="00771A47">
              <w:rPr>
                <w:rFonts w:cstheme="minorHAnsi"/>
                <w:sz w:val="19"/>
                <w:szCs w:val="19"/>
              </w:rPr>
              <w:t>Drop Everything and Shake (radio physical activity break)</w:t>
            </w:r>
          </w:p>
          <w:p w14:paraId="0A2F80DD" w14:textId="373F2AF5" w:rsidR="00DA41EB" w:rsidRPr="00771A47" w:rsidRDefault="00815255" w:rsidP="00DF166F">
            <w:pPr>
              <w:pStyle w:val="ListParagraph"/>
              <w:numPr>
                <w:ilvl w:val="0"/>
                <w:numId w:val="30"/>
              </w:numPr>
              <w:spacing w:line="276" w:lineRule="auto"/>
              <w:rPr>
                <w:rFonts w:cstheme="minorHAnsi"/>
                <w:sz w:val="19"/>
                <w:szCs w:val="19"/>
              </w:rPr>
            </w:pPr>
            <w:r w:rsidRPr="00771A47">
              <w:rPr>
                <w:rFonts w:cstheme="minorHAnsi"/>
                <w:sz w:val="19"/>
                <w:szCs w:val="19"/>
              </w:rPr>
              <w:t>Grants to five nurseries for seedling distribution</w:t>
            </w:r>
          </w:p>
          <w:p w14:paraId="6CBD4FB8" w14:textId="6B04F95F" w:rsidR="00815255" w:rsidRPr="00771A47" w:rsidRDefault="00815255" w:rsidP="00DF166F">
            <w:pPr>
              <w:pStyle w:val="ListParagraph"/>
              <w:numPr>
                <w:ilvl w:val="0"/>
                <w:numId w:val="30"/>
              </w:numPr>
              <w:spacing w:line="276" w:lineRule="auto"/>
              <w:rPr>
                <w:rFonts w:cstheme="minorHAnsi"/>
                <w:sz w:val="19"/>
                <w:szCs w:val="19"/>
              </w:rPr>
            </w:pPr>
            <w:r w:rsidRPr="00771A47">
              <w:rPr>
                <w:rFonts w:cstheme="minorHAnsi"/>
                <w:sz w:val="19"/>
                <w:szCs w:val="19"/>
              </w:rPr>
              <w:lastRenderedPageBreak/>
              <w:t>Breakthrough Nation Zumba</w:t>
            </w:r>
          </w:p>
          <w:p w14:paraId="55D776C6" w14:textId="6AC27035" w:rsidR="00815255" w:rsidRPr="00771A47" w:rsidRDefault="0075329D" w:rsidP="00DF166F">
            <w:pPr>
              <w:pStyle w:val="ListParagraph"/>
              <w:numPr>
                <w:ilvl w:val="0"/>
                <w:numId w:val="30"/>
              </w:numPr>
              <w:spacing w:line="276" w:lineRule="auto"/>
              <w:rPr>
                <w:rFonts w:cstheme="minorHAnsi"/>
                <w:sz w:val="19"/>
                <w:szCs w:val="19"/>
              </w:rPr>
            </w:pPr>
            <w:r w:rsidRPr="00771A47">
              <w:rPr>
                <w:rFonts w:cstheme="minorHAnsi"/>
                <w:sz w:val="19"/>
                <w:szCs w:val="19"/>
              </w:rPr>
              <w:t xml:space="preserve">Maui </w:t>
            </w:r>
            <w:proofErr w:type="spellStart"/>
            <w:r w:rsidRPr="00771A47">
              <w:rPr>
                <w:rFonts w:cstheme="minorHAnsi"/>
                <w:sz w:val="19"/>
                <w:szCs w:val="19"/>
              </w:rPr>
              <w:t>Fusi</w:t>
            </w:r>
            <w:proofErr w:type="spellEnd"/>
            <w:r w:rsidRPr="00771A47">
              <w:rPr>
                <w:rFonts w:cstheme="minorHAnsi"/>
                <w:sz w:val="19"/>
                <w:szCs w:val="19"/>
              </w:rPr>
              <w:t xml:space="preserve"> </w:t>
            </w:r>
            <w:proofErr w:type="spellStart"/>
            <w:r w:rsidRPr="00771A47">
              <w:rPr>
                <w:rFonts w:cstheme="minorHAnsi"/>
                <w:sz w:val="19"/>
                <w:szCs w:val="19"/>
              </w:rPr>
              <w:t>Fonua</w:t>
            </w:r>
            <w:proofErr w:type="spellEnd"/>
            <w:r w:rsidRPr="00771A47">
              <w:rPr>
                <w:rFonts w:cstheme="minorHAnsi"/>
                <w:sz w:val="19"/>
                <w:szCs w:val="19"/>
              </w:rPr>
              <w:t xml:space="preserve"> Rugby tournament</w:t>
            </w:r>
          </w:p>
          <w:p w14:paraId="316BFF9A" w14:textId="6A9744D7" w:rsidR="0075329D" w:rsidRPr="00771A47" w:rsidRDefault="0075329D" w:rsidP="00DF166F">
            <w:pPr>
              <w:pStyle w:val="ListParagraph"/>
              <w:numPr>
                <w:ilvl w:val="0"/>
                <w:numId w:val="30"/>
              </w:numPr>
              <w:spacing w:line="276" w:lineRule="auto"/>
              <w:rPr>
                <w:rFonts w:cstheme="minorHAnsi"/>
                <w:sz w:val="19"/>
                <w:szCs w:val="19"/>
              </w:rPr>
            </w:pPr>
            <w:r w:rsidRPr="00771A47">
              <w:rPr>
                <w:rFonts w:cstheme="minorHAnsi"/>
                <w:sz w:val="19"/>
                <w:szCs w:val="19"/>
              </w:rPr>
              <w:t>Household budgeting radio program</w:t>
            </w:r>
          </w:p>
          <w:p w14:paraId="0C8F24EC" w14:textId="4C15E8C5" w:rsidR="001A4876" w:rsidRPr="00771A47" w:rsidRDefault="001A4876" w:rsidP="00DF166F">
            <w:pPr>
              <w:pStyle w:val="ListParagraph"/>
              <w:numPr>
                <w:ilvl w:val="0"/>
                <w:numId w:val="30"/>
              </w:numPr>
              <w:spacing w:line="276" w:lineRule="auto"/>
              <w:rPr>
                <w:rFonts w:cstheme="minorHAnsi"/>
                <w:sz w:val="19"/>
                <w:szCs w:val="19"/>
              </w:rPr>
            </w:pPr>
            <w:proofErr w:type="spellStart"/>
            <w:r w:rsidRPr="00771A47">
              <w:rPr>
                <w:rFonts w:cstheme="minorHAnsi"/>
                <w:sz w:val="19"/>
                <w:szCs w:val="19"/>
              </w:rPr>
              <w:t>Sunia</w:t>
            </w:r>
            <w:proofErr w:type="spellEnd"/>
            <w:r w:rsidR="00C87FBE" w:rsidRPr="00771A47">
              <w:rPr>
                <w:rFonts w:cstheme="minorHAnsi"/>
                <w:sz w:val="19"/>
                <w:szCs w:val="19"/>
              </w:rPr>
              <w:t xml:space="preserve"> </w:t>
            </w:r>
            <w:proofErr w:type="spellStart"/>
            <w:r w:rsidR="00C87FBE" w:rsidRPr="00771A47">
              <w:rPr>
                <w:rFonts w:cstheme="minorHAnsi"/>
                <w:sz w:val="19"/>
                <w:szCs w:val="19"/>
              </w:rPr>
              <w:t>Mafileo</w:t>
            </w:r>
            <w:proofErr w:type="spellEnd"/>
            <w:r w:rsidRPr="00771A47">
              <w:rPr>
                <w:rFonts w:cstheme="minorHAnsi"/>
                <w:sz w:val="19"/>
                <w:szCs w:val="19"/>
              </w:rPr>
              <w:t xml:space="preserve"> Gym Zumba</w:t>
            </w:r>
          </w:p>
          <w:p w14:paraId="656AE8DC" w14:textId="232D97DD" w:rsidR="001A4876" w:rsidRPr="00771A47" w:rsidRDefault="001A4876" w:rsidP="00DF166F">
            <w:pPr>
              <w:pStyle w:val="ListParagraph"/>
              <w:numPr>
                <w:ilvl w:val="0"/>
                <w:numId w:val="30"/>
              </w:numPr>
              <w:spacing w:line="276" w:lineRule="auto"/>
              <w:rPr>
                <w:rFonts w:cstheme="minorHAnsi"/>
                <w:sz w:val="19"/>
                <w:szCs w:val="19"/>
              </w:rPr>
            </w:pPr>
            <w:proofErr w:type="spellStart"/>
            <w:r w:rsidRPr="00771A47">
              <w:rPr>
                <w:rFonts w:cstheme="minorHAnsi"/>
                <w:sz w:val="19"/>
                <w:szCs w:val="19"/>
              </w:rPr>
              <w:t>Kolo</w:t>
            </w:r>
            <w:r w:rsidR="00263C9C" w:rsidRPr="00771A47">
              <w:rPr>
                <w:rFonts w:cstheme="minorHAnsi"/>
                <w:sz w:val="19"/>
                <w:szCs w:val="19"/>
              </w:rPr>
              <w:t>motu’a</w:t>
            </w:r>
            <w:proofErr w:type="spellEnd"/>
            <w:r w:rsidR="00263C9C" w:rsidRPr="00771A47">
              <w:rPr>
                <w:rFonts w:cstheme="minorHAnsi"/>
                <w:sz w:val="19"/>
                <w:szCs w:val="19"/>
              </w:rPr>
              <w:t xml:space="preserve"> Sports Festival</w:t>
            </w:r>
          </w:p>
          <w:p w14:paraId="69DF0DCA" w14:textId="1AE9CE19" w:rsidR="00263C9C" w:rsidRPr="00771A47" w:rsidRDefault="00263C9C" w:rsidP="00DF166F">
            <w:pPr>
              <w:spacing w:line="276" w:lineRule="auto"/>
              <w:rPr>
                <w:rFonts w:cstheme="minorHAnsi"/>
                <w:b/>
                <w:bCs/>
                <w:sz w:val="19"/>
                <w:szCs w:val="19"/>
              </w:rPr>
            </w:pPr>
            <w:r w:rsidRPr="00771A47">
              <w:rPr>
                <w:rFonts w:cstheme="minorHAnsi"/>
                <w:b/>
                <w:bCs/>
                <w:sz w:val="19"/>
                <w:szCs w:val="19"/>
              </w:rPr>
              <w:t>Grants for FY22/23:</w:t>
            </w:r>
          </w:p>
          <w:p w14:paraId="64971B2E" w14:textId="353B574D" w:rsidR="00263C9C" w:rsidRPr="00771A47" w:rsidRDefault="00263C9C" w:rsidP="00DF166F">
            <w:pPr>
              <w:pStyle w:val="ListParagraph"/>
              <w:numPr>
                <w:ilvl w:val="0"/>
                <w:numId w:val="31"/>
              </w:numPr>
              <w:spacing w:line="276" w:lineRule="auto"/>
              <w:rPr>
                <w:rFonts w:cstheme="minorHAnsi"/>
                <w:sz w:val="19"/>
                <w:szCs w:val="19"/>
              </w:rPr>
            </w:pPr>
            <w:r w:rsidRPr="00771A47">
              <w:rPr>
                <w:rFonts w:cstheme="minorHAnsi"/>
                <w:sz w:val="19"/>
                <w:szCs w:val="19"/>
              </w:rPr>
              <w:t>Eva Mafi Zumba</w:t>
            </w:r>
          </w:p>
          <w:p w14:paraId="0B7D09BE" w14:textId="33C63FBB" w:rsidR="00263C9C" w:rsidRPr="00771A47" w:rsidRDefault="00C05EB5" w:rsidP="00DF166F">
            <w:pPr>
              <w:pStyle w:val="ListParagraph"/>
              <w:numPr>
                <w:ilvl w:val="0"/>
                <w:numId w:val="31"/>
              </w:numPr>
              <w:spacing w:line="276" w:lineRule="auto"/>
              <w:rPr>
                <w:rFonts w:cstheme="minorHAnsi"/>
                <w:sz w:val="19"/>
                <w:szCs w:val="19"/>
              </w:rPr>
            </w:pPr>
            <w:r w:rsidRPr="00771A47">
              <w:rPr>
                <w:rFonts w:cstheme="minorHAnsi"/>
                <w:sz w:val="19"/>
                <w:szCs w:val="19"/>
              </w:rPr>
              <w:t>G</w:t>
            </w:r>
            <w:r w:rsidR="00263C9C" w:rsidRPr="00771A47">
              <w:rPr>
                <w:rFonts w:cstheme="minorHAnsi"/>
                <w:sz w:val="19"/>
                <w:szCs w:val="19"/>
              </w:rPr>
              <w:t>rants to four nurseries for seedling distribution</w:t>
            </w:r>
          </w:p>
          <w:p w14:paraId="086875D7" w14:textId="12048F6E" w:rsidR="00263C9C" w:rsidRPr="00771A47" w:rsidRDefault="00EB08A7" w:rsidP="00DF166F">
            <w:pPr>
              <w:pStyle w:val="ListParagraph"/>
              <w:numPr>
                <w:ilvl w:val="0"/>
                <w:numId w:val="31"/>
              </w:numPr>
              <w:spacing w:line="276" w:lineRule="auto"/>
              <w:rPr>
                <w:rFonts w:cstheme="minorHAnsi"/>
                <w:sz w:val="19"/>
                <w:szCs w:val="19"/>
              </w:rPr>
            </w:pPr>
            <w:r w:rsidRPr="00771A47">
              <w:rPr>
                <w:rFonts w:cstheme="minorHAnsi"/>
                <w:sz w:val="19"/>
                <w:szCs w:val="19"/>
              </w:rPr>
              <w:t>Breastfeeding Awareness Month promotional materials</w:t>
            </w:r>
          </w:p>
          <w:p w14:paraId="6D4A77C2" w14:textId="2CDE060E" w:rsidR="00EB08A7" w:rsidRPr="00771A47" w:rsidRDefault="00EB08A7" w:rsidP="00DF166F">
            <w:pPr>
              <w:spacing w:line="276" w:lineRule="auto"/>
              <w:rPr>
                <w:rFonts w:cstheme="minorHAnsi"/>
                <w:b/>
                <w:bCs/>
                <w:sz w:val="19"/>
                <w:szCs w:val="19"/>
              </w:rPr>
            </w:pPr>
            <w:r w:rsidRPr="00771A47">
              <w:rPr>
                <w:rFonts w:cstheme="minorHAnsi"/>
                <w:b/>
                <w:bCs/>
                <w:sz w:val="19"/>
                <w:szCs w:val="19"/>
              </w:rPr>
              <w:t>Grants for FY23/24:</w:t>
            </w:r>
          </w:p>
          <w:p w14:paraId="114D1F08" w14:textId="30893172" w:rsidR="00EB08A7" w:rsidRPr="00771A47" w:rsidRDefault="00EB08A7" w:rsidP="00DF166F">
            <w:pPr>
              <w:pStyle w:val="ListParagraph"/>
              <w:numPr>
                <w:ilvl w:val="0"/>
                <w:numId w:val="32"/>
              </w:numPr>
              <w:spacing w:line="276" w:lineRule="auto"/>
              <w:rPr>
                <w:rFonts w:cstheme="minorHAnsi"/>
                <w:sz w:val="19"/>
                <w:szCs w:val="19"/>
              </w:rPr>
            </w:pPr>
            <w:r w:rsidRPr="00771A47">
              <w:rPr>
                <w:rFonts w:cstheme="minorHAnsi"/>
                <w:sz w:val="19"/>
                <w:szCs w:val="19"/>
              </w:rPr>
              <w:t>Grant to one nursery for seedling distribution</w:t>
            </w:r>
          </w:p>
          <w:p w14:paraId="08BF3AA5" w14:textId="251F6C7D" w:rsidR="00EB08A7" w:rsidRPr="00771A47" w:rsidRDefault="00C05EB5" w:rsidP="00DF166F">
            <w:pPr>
              <w:pStyle w:val="ListParagraph"/>
              <w:numPr>
                <w:ilvl w:val="0"/>
                <w:numId w:val="32"/>
              </w:numPr>
              <w:spacing w:line="276" w:lineRule="auto"/>
              <w:rPr>
                <w:rFonts w:cstheme="minorHAnsi"/>
                <w:sz w:val="19"/>
                <w:szCs w:val="19"/>
              </w:rPr>
            </w:pPr>
            <w:proofErr w:type="spellStart"/>
            <w:r w:rsidRPr="00771A47">
              <w:rPr>
                <w:rFonts w:cstheme="minorHAnsi"/>
                <w:sz w:val="19"/>
                <w:szCs w:val="19"/>
              </w:rPr>
              <w:t>K</w:t>
            </w:r>
            <w:r w:rsidR="00EB08A7" w:rsidRPr="00771A47">
              <w:rPr>
                <w:rFonts w:cstheme="minorHAnsi"/>
                <w:sz w:val="19"/>
                <w:szCs w:val="19"/>
              </w:rPr>
              <w:t>olomotu’a</w:t>
            </w:r>
            <w:proofErr w:type="spellEnd"/>
            <w:r w:rsidR="00EB08A7" w:rsidRPr="00771A47">
              <w:rPr>
                <w:rFonts w:cstheme="minorHAnsi"/>
                <w:sz w:val="19"/>
                <w:szCs w:val="19"/>
              </w:rPr>
              <w:t xml:space="preserve"> Zumba</w:t>
            </w:r>
          </w:p>
          <w:p w14:paraId="18C379BE" w14:textId="77777777" w:rsidR="00C87FBE" w:rsidRPr="00771A47" w:rsidRDefault="00EB08A7" w:rsidP="00DF166F">
            <w:pPr>
              <w:pStyle w:val="ListParagraph"/>
              <w:numPr>
                <w:ilvl w:val="0"/>
                <w:numId w:val="32"/>
              </w:numPr>
              <w:spacing w:line="276" w:lineRule="auto"/>
              <w:rPr>
                <w:rFonts w:cstheme="minorHAnsi"/>
                <w:sz w:val="19"/>
                <w:szCs w:val="19"/>
              </w:rPr>
            </w:pPr>
            <w:r w:rsidRPr="00771A47">
              <w:rPr>
                <w:rFonts w:cstheme="minorHAnsi"/>
                <w:sz w:val="19"/>
                <w:szCs w:val="19"/>
              </w:rPr>
              <w:t>Radio awareness program on life planning and healthy habits</w:t>
            </w:r>
          </w:p>
          <w:p w14:paraId="71071ED7" w14:textId="7EA3D483" w:rsidR="00C87FBE" w:rsidRPr="00771A47" w:rsidRDefault="00C87FBE" w:rsidP="00DF166F">
            <w:pPr>
              <w:pStyle w:val="ListParagraph"/>
              <w:numPr>
                <w:ilvl w:val="0"/>
                <w:numId w:val="32"/>
              </w:numPr>
              <w:spacing w:line="276" w:lineRule="auto"/>
              <w:rPr>
                <w:rFonts w:cstheme="minorHAnsi"/>
                <w:sz w:val="19"/>
                <w:szCs w:val="19"/>
              </w:rPr>
            </w:pPr>
            <w:r w:rsidRPr="00771A47">
              <w:rPr>
                <w:rFonts w:cstheme="minorHAnsi"/>
                <w:sz w:val="19"/>
                <w:szCs w:val="19"/>
              </w:rPr>
              <w:t>Kingdom Media Limited drug and alcohol radio awareness program</w:t>
            </w:r>
          </w:p>
          <w:p w14:paraId="52468F3F" w14:textId="2BE1AC53" w:rsidR="005F52CD" w:rsidRPr="00771A47" w:rsidRDefault="005F52CD" w:rsidP="00DF166F">
            <w:pPr>
              <w:spacing w:line="276" w:lineRule="auto"/>
              <w:rPr>
                <w:rFonts w:cstheme="minorHAnsi"/>
                <w:sz w:val="19"/>
                <w:szCs w:val="19"/>
              </w:rPr>
            </w:pPr>
          </w:p>
        </w:tc>
      </w:tr>
      <w:tr w:rsidR="00566884" w:rsidRPr="00771A47" w14:paraId="588B9391" w14:textId="77777777" w:rsidTr="00566884">
        <w:tc>
          <w:tcPr>
            <w:tcW w:w="1986" w:type="dxa"/>
          </w:tcPr>
          <w:p w14:paraId="22B85FEF" w14:textId="11D6D164" w:rsidR="005F52CD" w:rsidRPr="00771A47" w:rsidRDefault="00BB1B9F" w:rsidP="00DF166F">
            <w:pPr>
              <w:spacing w:line="276" w:lineRule="auto"/>
              <w:rPr>
                <w:rFonts w:cstheme="minorHAnsi"/>
                <w:sz w:val="19"/>
                <w:szCs w:val="19"/>
              </w:rPr>
            </w:pPr>
            <w:r w:rsidRPr="00771A47">
              <w:rPr>
                <w:rFonts w:cstheme="minorHAnsi"/>
                <w:sz w:val="19"/>
                <w:szCs w:val="19"/>
              </w:rPr>
              <w:lastRenderedPageBreak/>
              <w:t xml:space="preserve">3.1 Health promoting actions targeting the four key NCD risk </w:t>
            </w:r>
            <w:r w:rsidRPr="00771A47">
              <w:rPr>
                <w:rFonts w:cstheme="minorHAnsi"/>
                <w:sz w:val="19"/>
                <w:szCs w:val="19"/>
              </w:rPr>
              <w:lastRenderedPageBreak/>
              <w:t xml:space="preserve">factors (unhealthy diet, physical inactivity, alcohol misuse and tobacco use) are implemented in key settings – schools, workplaces, churches, villages, </w:t>
            </w:r>
            <w:proofErr w:type="gramStart"/>
            <w:r w:rsidRPr="00771A47">
              <w:rPr>
                <w:rFonts w:cstheme="minorHAnsi"/>
                <w:sz w:val="19"/>
                <w:szCs w:val="19"/>
              </w:rPr>
              <w:t>communities</w:t>
            </w:r>
            <w:proofErr w:type="gramEnd"/>
            <w:r w:rsidRPr="00771A47">
              <w:rPr>
                <w:rFonts w:cstheme="minorHAnsi"/>
                <w:sz w:val="19"/>
                <w:szCs w:val="19"/>
              </w:rPr>
              <w:t xml:space="preserve"> and islands – and reported on</w:t>
            </w:r>
          </w:p>
        </w:tc>
        <w:tc>
          <w:tcPr>
            <w:tcW w:w="3118" w:type="dxa"/>
          </w:tcPr>
          <w:p w14:paraId="164522E0" w14:textId="3AF40ABD" w:rsidR="005F52CD" w:rsidRPr="00771A47" w:rsidRDefault="005F52CD" w:rsidP="00DF166F">
            <w:pPr>
              <w:spacing w:line="276" w:lineRule="auto"/>
              <w:rPr>
                <w:rFonts w:cstheme="minorHAnsi"/>
                <w:sz w:val="19"/>
                <w:szCs w:val="19"/>
              </w:rPr>
            </w:pPr>
            <w:r w:rsidRPr="00771A47">
              <w:rPr>
                <w:rFonts w:cstheme="minorHAnsi"/>
                <w:sz w:val="19"/>
                <w:szCs w:val="19"/>
              </w:rPr>
              <w:lastRenderedPageBreak/>
              <w:t>3.1.5 Pilot Healthy Promoting Island initiative in ‘</w:t>
            </w:r>
            <w:proofErr w:type="spellStart"/>
            <w:r w:rsidRPr="00771A47">
              <w:rPr>
                <w:rFonts w:cstheme="minorHAnsi"/>
                <w:sz w:val="19"/>
                <w:szCs w:val="19"/>
              </w:rPr>
              <w:t>Eua</w:t>
            </w:r>
            <w:proofErr w:type="spellEnd"/>
            <w:r w:rsidRPr="00771A47">
              <w:rPr>
                <w:rFonts w:cstheme="minorHAnsi"/>
                <w:sz w:val="19"/>
                <w:szCs w:val="19"/>
              </w:rPr>
              <w:t xml:space="preserve">, including </w:t>
            </w:r>
            <w:r w:rsidRPr="00771A47">
              <w:rPr>
                <w:rFonts w:cstheme="minorHAnsi"/>
                <w:sz w:val="19"/>
                <w:szCs w:val="19"/>
              </w:rPr>
              <w:lastRenderedPageBreak/>
              <w:t xml:space="preserve">establishing a </w:t>
            </w:r>
            <w:r w:rsidR="00AA3C76">
              <w:rPr>
                <w:rFonts w:cstheme="minorHAnsi"/>
                <w:sz w:val="19"/>
                <w:szCs w:val="19"/>
              </w:rPr>
              <w:t>multisectoral</w:t>
            </w:r>
            <w:r w:rsidRPr="00771A47">
              <w:rPr>
                <w:rFonts w:cstheme="minorHAnsi"/>
                <w:sz w:val="19"/>
                <w:szCs w:val="19"/>
              </w:rPr>
              <w:t xml:space="preserve"> committee</w:t>
            </w:r>
          </w:p>
        </w:tc>
        <w:tc>
          <w:tcPr>
            <w:tcW w:w="2126" w:type="dxa"/>
          </w:tcPr>
          <w:p w14:paraId="7557B70D" w14:textId="77777777" w:rsidR="005F52CD" w:rsidRPr="00771A47" w:rsidRDefault="005F52CD" w:rsidP="00DF166F">
            <w:pPr>
              <w:spacing w:line="276" w:lineRule="auto"/>
              <w:rPr>
                <w:rFonts w:cstheme="minorHAnsi"/>
                <w:sz w:val="19"/>
                <w:szCs w:val="19"/>
              </w:rPr>
            </w:pPr>
            <w:r w:rsidRPr="00771A47">
              <w:rPr>
                <w:rFonts w:cstheme="minorHAnsi"/>
                <w:sz w:val="19"/>
                <w:szCs w:val="19"/>
              </w:rPr>
              <w:lastRenderedPageBreak/>
              <w:t>‘</w:t>
            </w:r>
            <w:proofErr w:type="spellStart"/>
            <w:r w:rsidRPr="00771A47">
              <w:rPr>
                <w:rFonts w:cstheme="minorHAnsi"/>
                <w:sz w:val="19"/>
                <w:szCs w:val="19"/>
              </w:rPr>
              <w:t>Eua</w:t>
            </w:r>
            <w:proofErr w:type="spellEnd"/>
            <w:r w:rsidRPr="00771A47">
              <w:rPr>
                <w:rFonts w:cstheme="minorHAnsi"/>
                <w:sz w:val="19"/>
                <w:szCs w:val="19"/>
              </w:rPr>
              <w:t xml:space="preserve"> MP and Town Council MOH HPU </w:t>
            </w:r>
            <w:r w:rsidRPr="00771A47">
              <w:rPr>
                <w:rFonts w:cstheme="minorHAnsi"/>
                <w:sz w:val="19"/>
                <w:szCs w:val="19"/>
              </w:rPr>
              <w:lastRenderedPageBreak/>
              <w:t>TongaHealth Private sector</w:t>
            </w:r>
          </w:p>
        </w:tc>
        <w:tc>
          <w:tcPr>
            <w:tcW w:w="426" w:type="dxa"/>
          </w:tcPr>
          <w:p w14:paraId="41165918" w14:textId="3DFD478C" w:rsidR="005F52CD" w:rsidRPr="00771A47" w:rsidRDefault="00BB1B9F" w:rsidP="00DF166F">
            <w:pPr>
              <w:spacing w:line="276" w:lineRule="auto"/>
              <w:rPr>
                <w:rFonts w:cstheme="minorHAnsi"/>
                <w:sz w:val="19"/>
                <w:szCs w:val="19"/>
              </w:rPr>
            </w:pPr>
            <w:r>
              <w:rPr>
                <w:rFonts w:cstheme="minorHAnsi"/>
                <w:sz w:val="19"/>
                <w:szCs w:val="19"/>
              </w:rPr>
              <w:lastRenderedPageBreak/>
              <w:t>-</w:t>
            </w:r>
          </w:p>
        </w:tc>
        <w:tc>
          <w:tcPr>
            <w:tcW w:w="425" w:type="dxa"/>
          </w:tcPr>
          <w:p w14:paraId="1164D2CD"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63F7B738"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313CDAC0"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06A0D7D0" w14:textId="45869056" w:rsidR="005F52CD" w:rsidRPr="00771A47" w:rsidRDefault="00BB1B9F" w:rsidP="00DF166F">
            <w:pPr>
              <w:spacing w:line="276" w:lineRule="auto"/>
              <w:rPr>
                <w:rFonts w:cstheme="minorHAnsi"/>
                <w:sz w:val="19"/>
                <w:szCs w:val="19"/>
              </w:rPr>
            </w:pPr>
            <w:r>
              <w:rPr>
                <w:rFonts w:cstheme="minorHAnsi"/>
                <w:sz w:val="19"/>
                <w:szCs w:val="19"/>
              </w:rPr>
              <w:t>-</w:t>
            </w:r>
          </w:p>
        </w:tc>
        <w:tc>
          <w:tcPr>
            <w:tcW w:w="2126" w:type="dxa"/>
          </w:tcPr>
          <w:p w14:paraId="6383F4CB" w14:textId="77777777" w:rsidR="005F52CD" w:rsidRPr="00771A47" w:rsidRDefault="005F52CD" w:rsidP="00DF166F">
            <w:pPr>
              <w:pStyle w:val="TableParagraph"/>
              <w:spacing w:line="276" w:lineRule="auto"/>
              <w:ind w:left="57" w:right="138"/>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5.1.14 Health promoting islands (set up and staffing Year 1 - </w:t>
            </w:r>
            <w:r w:rsidRPr="00771A47">
              <w:rPr>
                <w:rFonts w:asciiTheme="minorHAnsi" w:eastAsiaTheme="minorHAnsi" w:hAnsiTheme="minorHAnsi" w:cstheme="minorHAnsi"/>
                <w:kern w:val="2"/>
                <w:sz w:val="19"/>
                <w:szCs w:val="19"/>
                <w14:ligatures w14:val="standardContextual"/>
              </w:rPr>
              <w:lastRenderedPageBreak/>
              <w:t>community grants and initiatives; year 2 &amp; 3 staffing to transfer to GOT</w:t>
            </w:r>
            <w:proofErr w:type="gramStart"/>
            <w:r w:rsidRPr="00771A47">
              <w:rPr>
                <w:rFonts w:asciiTheme="minorHAnsi" w:eastAsiaTheme="minorHAnsi" w:hAnsiTheme="minorHAnsi" w:cstheme="minorHAnsi"/>
                <w:kern w:val="2"/>
                <w:sz w:val="19"/>
                <w:szCs w:val="19"/>
                <w14:ligatures w14:val="standardContextual"/>
              </w:rPr>
              <w:t>);</w:t>
            </w:r>
            <w:proofErr w:type="gramEnd"/>
            <w:r w:rsidRPr="00771A47">
              <w:rPr>
                <w:rFonts w:asciiTheme="minorHAnsi" w:eastAsiaTheme="minorHAnsi" w:hAnsiTheme="minorHAnsi" w:cstheme="minorHAnsi"/>
                <w:kern w:val="2"/>
                <w:sz w:val="19"/>
                <w:szCs w:val="19"/>
                <w14:ligatures w14:val="standardContextual"/>
              </w:rPr>
              <w:t xml:space="preserve"> </w:t>
            </w:r>
          </w:p>
          <w:p w14:paraId="5852EC5B" w14:textId="77777777" w:rsidR="005F52CD" w:rsidRPr="00771A47" w:rsidRDefault="005F52CD" w:rsidP="00DF166F">
            <w:pPr>
              <w:pStyle w:val="TableParagraph"/>
              <w:spacing w:line="276" w:lineRule="auto"/>
              <w:ind w:left="57" w:right="138"/>
              <w:rPr>
                <w:rFonts w:asciiTheme="minorHAnsi" w:eastAsiaTheme="minorHAnsi" w:hAnsiTheme="minorHAnsi" w:cstheme="minorHAnsi"/>
                <w:kern w:val="2"/>
                <w:sz w:val="19"/>
                <w:szCs w:val="19"/>
                <w14:ligatures w14:val="standardContextual"/>
              </w:rPr>
            </w:pPr>
          </w:p>
          <w:p w14:paraId="00424C62" w14:textId="77777777" w:rsidR="005F52CD" w:rsidRPr="00771A47" w:rsidRDefault="005F52CD" w:rsidP="00DF166F">
            <w:pPr>
              <w:pStyle w:val="TableParagraph"/>
              <w:spacing w:line="276" w:lineRule="auto"/>
              <w:ind w:left="57" w:right="138"/>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5.1.4 Establish </w:t>
            </w:r>
            <w:proofErr w:type="gramStart"/>
            <w:r w:rsidRPr="00771A47">
              <w:rPr>
                <w:rFonts w:asciiTheme="minorHAnsi" w:eastAsiaTheme="minorHAnsi" w:hAnsiTheme="minorHAnsi" w:cstheme="minorHAnsi"/>
                <w:kern w:val="2"/>
                <w:sz w:val="19"/>
                <w:szCs w:val="19"/>
                <w14:ligatures w14:val="standardContextual"/>
              </w:rPr>
              <w:t>multisectoral</w:t>
            </w:r>
            <w:proofErr w:type="gramEnd"/>
          </w:p>
          <w:p w14:paraId="0A78FF9B" w14:textId="77777777" w:rsidR="005F52CD" w:rsidRPr="00771A47" w:rsidRDefault="005F52CD" w:rsidP="00DF166F">
            <w:pPr>
              <w:spacing w:line="276" w:lineRule="auto"/>
              <w:rPr>
                <w:rFonts w:cstheme="minorHAnsi"/>
                <w:sz w:val="19"/>
                <w:szCs w:val="19"/>
              </w:rPr>
            </w:pPr>
            <w:r w:rsidRPr="00771A47">
              <w:rPr>
                <w:rFonts w:cstheme="minorHAnsi"/>
                <w:sz w:val="19"/>
                <w:szCs w:val="19"/>
              </w:rPr>
              <w:t>committees in the outer islands - Meeting fees</w:t>
            </w:r>
          </w:p>
        </w:tc>
        <w:tc>
          <w:tcPr>
            <w:tcW w:w="2898" w:type="dxa"/>
          </w:tcPr>
          <w:p w14:paraId="1E222E00" w14:textId="321C0012" w:rsidR="00A062A6" w:rsidRPr="00771A47" w:rsidRDefault="003844A6" w:rsidP="00DF166F">
            <w:pPr>
              <w:spacing w:after="0" w:line="276" w:lineRule="auto"/>
              <w:rPr>
                <w:rFonts w:cstheme="minorHAnsi"/>
                <w:b/>
                <w:bCs/>
                <w:sz w:val="19"/>
                <w:szCs w:val="19"/>
              </w:rPr>
            </w:pPr>
            <w:r w:rsidRPr="00771A47">
              <w:rPr>
                <w:rFonts w:cstheme="minorHAnsi"/>
                <w:b/>
                <w:bCs/>
                <w:sz w:val="19"/>
                <w:szCs w:val="19"/>
              </w:rPr>
              <w:lastRenderedPageBreak/>
              <w:t>Grants for FY21/22:</w:t>
            </w:r>
          </w:p>
          <w:p w14:paraId="6913C367" w14:textId="006B1DA3" w:rsidR="003844A6" w:rsidRPr="00771A47" w:rsidRDefault="003844A6" w:rsidP="00DF166F">
            <w:pPr>
              <w:pStyle w:val="ListParagraph"/>
              <w:numPr>
                <w:ilvl w:val="0"/>
                <w:numId w:val="33"/>
              </w:numPr>
              <w:spacing w:after="0" w:line="276" w:lineRule="auto"/>
              <w:rPr>
                <w:rFonts w:cstheme="minorHAnsi"/>
                <w:sz w:val="19"/>
                <w:szCs w:val="19"/>
              </w:rPr>
            </w:pPr>
            <w:r w:rsidRPr="00771A47">
              <w:rPr>
                <w:rFonts w:cstheme="minorHAnsi"/>
                <w:sz w:val="19"/>
                <w:szCs w:val="19"/>
              </w:rPr>
              <w:t xml:space="preserve">Chicken coops for </w:t>
            </w:r>
            <w:proofErr w:type="spellStart"/>
            <w:r w:rsidRPr="00771A47">
              <w:rPr>
                <w:rFonts w:cstheme="minorHAnsi"/>
                <w:sz w:val="19"/>
                <w:szCs w:val="19"/>
              </w:rPr>
              <w:t>Ongo</w:t>
            </w:r>
            <w:proofErr w:type="spellEnd"/>
            <w:r w:rsidRPr="00771A47">
              <w:rPr>
                <w:rFonts w:cstheme="minorHAnsi"/>
                <w:sz w:val="19"/>
                <w:szCs w:val="19"/>
              </w:rPr>
              <w:t xml:space="preserve"> </w:t>
            </w:r>
            <w:proofErr w:type="spellStart"/>
            <w:r w:rsidRPr="00771A47">
              <w:rPr>
                <w:rFonts w:cstheme="minorHAnsi"/>
                <w:sz w:val="19"/>
                <w:szCs w:val="19"/>
              </w:rPr>
              <w:t>Niua</w:t>
            </w:r>
            <w:proofErr w:type="spellEnd"/>
          </w:p>
          <w:p w14:paraId="7A997DEC" w14:textId="7E7CE309" w:rsidR="003844A6" w:rsidRPr="00771A47" w:rsidRDefault="00773DA3" w:rsidP="00DF166F">
            <w:pPr>
              <w:pStyle w:val="ListParagraph"/>
              <w:numPr>
                <w:ilvl w:val="0"/>
                <w:numId w:val="33"/>
              </w:numPr>
              <w:spacing w:after="0" w:line="276" w:lineRule="auto"/>
              <w:rPr>
                <w:rFonts w:cstheme="minorHAnsi"/>
                <w:sz w:val="19"/>
                <w:szCs w:val="19"/>
              </w:rPr>
            </w:pPr>
            <w:r w:rsidRPr="00771A47">
              <w:rPr>
                <w:rFonts w:cstheme="minorHAnsi"/>
                <w:sz w:val="19"/>
                <w:szCs w:val="19"/>
              </w:rPr>
              <w:lastRenderedPageBreak/>
              <w:t>Establishment</w:t>
            </w:r>
            <w:r w:rsidR="003844A6" w:rsidRPr="00771A47">
              <w:rPr>
                <w:rFonts w:cstheme="minorHAnsi"/>
                <w:sz w:val="19"/>
                <w:szCs w:val="19"/>
              </w:rPr>
              <w:t xml:space="preserve"> of T</w:t>
            </w:r>
            <w:r w:rsidRPr="00771A47">
              <w:rPr>
                <w:rFonts w:cstheme="minorHAnsi"/>
                <w:sz w:val="19"/>
                <w:szCs w:val="19"/>
              </w:rPr>
              <w:t>o</w:t>
            </w:r>
            <w:r w:rsidR="003844A6" w:rsidRPr="00771A47">
              <w:rPr>
                <w:rFonts w:cstheme="minorHAnsi"/>
                <w:sz w:val="19"/>
                <w:szCs w:val="19"/>
              </w:rPr>
              <w:t>ngaHealth Outer Island Offices</w:t>
            </w:r>
          </w:p>
          <w:p w14:paraId="33AFA48E" w14:textId="422E46BD" w:rsidR="0087781C" w:rsidRPr="00771A47" w:rsidRDefault="0087781C" w:rsidP="00DF166F">
            <w:pPr>
              <w:spacing w:after="0" w:line="276" w:lineRule="auto"/>
              <w:rPr>
                <w:rFonts w:cstheme="minorHAnsi"/>
                <w:b/>
                <w:bCs/>
                <w:sz w:val="19"/>
                <w:szCs w:val="19"/>
              </w:rPr>
            </w:pPr>
            <w:r w:rsidRPr="00771A47">
              <w:rPr>
                <w:rFonts w:cstheme="minorHAnsi"/>
                <w:b/>
                <w:bCs/>
                <w:sz w:val="19"/>
                <w:szCs w:val="19"/>
              </w:rPr>
              <w:t>Grants for 23/24:</w:t>
            </w:r>
          </w:p>
          <w:p w14:paraId="38DB0C3C" w14:textId="0112885B" w:rsidR="0087781C" w:rsidRPr="00771A47" w:rsidRDefault="0087781C" w:rsidP="00DF166F">
            <w:pPr>
              <w:pStyle w:val="ListParagraph"/>
              <w:numPr>
                <w:ilvl w:val="0"/>
                <w:numId w:val="34"/>
              </w:numPr>
              <w:spacing w:after="0" w:line="276" w:lineRule="auto"/>
              <w:rPr>
                <w:rFonts w:cstheme="minorHAnsi"/>
                <w:sz w:val="19"/>
                <w:szCs w:val="19"/>
              </w:rPr>
            </w:pPr>
            <w:r w:rsidRPr="00771A47">
              <w:rPr>
                <w:rFonts w:cstheme="minorHAnsi"/>
                <w:sz w:val="19"/>
                <w:szCs w:val="19"/>
              </w:rPr>
              <w:t xml:space="preserve">Be Fit </w:t>
            </w:r>
            <w:proofErr w:type="spellStart"/>
            <w:r w:rsidRPr="00771A47">
              <w:rPr>
                <w:rFonts w:cstheme="minorHAnsi"/>
                <w:sz w:val="19"/>
                <w:szCs w:val="19"/>
              </w:rPr>
              <w:t>Vava’u</w:t>
            </w:r>
            <w:proofErr w:type="spellEnd"/>
            <w:r w:rsidRPr="00771A47">
              <w:rPr>
                <w:rFonts w:cstheme="minorHAnsi"/>
                <w:sz w:val="19"/>
                <w:szCs w:val="19"/>
              </w:rPr>
              <w:t xml:space="preserve"> (Zumba sessions)</w:t>
            </w:r>
          </w:p>
          <w:p w14:paraId="220A95D7" w14:textId="77777777" w:rsidR="003844A6" w:rsidRPr="00771A47" w:rsidRDefault="003844A6" w:rsidP="00DF166F">
            <w:pPr>
              <w:spacing w:after="0" w:line="276" w:lineRule="auto"/>
              <w:rPr>
                <w:rFonts w:cstheme="minorHAnsi"/>
                <w:sz w:val="19"/>
                <w:szCs w:val="19"/>
              </w:rPr>
            </w:pPr>
          </w:p>
          <w:p w14:paraId="498B623C" w14:textId="6D69FCB5" w:rsidR="00A062A6" w:rsidRPr="00771A47" w:rsidRDefault="00773DA3" w:rsidP="00DF166F">
            <w:pPr>
              <w:spacing w:after="0" w:line="276" w:lineRule="auto"/>
              <w:rPr>
                <w:rFonts w:cstheme="minorHAnsi"/>
                <w:b/>
                <w:bCs/>
                <w:sz w:val="19"/>
                <w:szCs w:val="19"/>
              </w:rPr>
            </w:pPr>
            <w:r w:rsidRPr="00771A47">
              <w:rPr>
                <w:rFonts w:cstheme="minorHAnsi"/>
                <w:b/>
                <w:bCs/>
                <w:sz w:val="19"/>
                <w:szCs w:val="19"/>
              </w:rPr>
              <w:t>Other progress:</w:t>
            </w:r>
          </w:p>
          <w:p w14:paraId="1AFF8B31" w14:textId="7DE05598" w:rsidR="005F52CD" w:rsidRPr="00771A47" w:rsidRDefault="00AA3C76" w:rsidP="00DF166F">
            <w:pPr>
              <w:pStyle w:val="ListParagraph"/>
              <w:numPr>
                <w:ilvl w:val="0"/>
                <w:numId w:val="35"/>
              </w:numPr>
              <w:spacing w:after="0" w:line="276" w:lineRule="auto"/>
              <w:rPr>
                <w:rFonts w:cstheme="minorHAnsi"/>
                <w:sz w:val="19"/>
                <w:szCs w:val="19"/>
              </w:rPr>
            </w:pPr>
            <w:r>
              <w:rPr>
                <w:rFonts w:cstheme="minorHAnsi"/>
                <w:sz w:val="19"/>
                <w:szCs w:val="19"/>
              </w:rPr>
              <w:t>Multisectoral</w:t>
            </w:r>
            <w:r w:rsidR="00176DE4" w:rsidRPr="00771A47">
              <w:rPr>
                <w:rFonts w:cstheme="minorHAnsi"/>
                <w:sz w:val="19"/>
                <w:szCs w:val="19"/>
              </w:rPr>
              <w:t xml:space="preserve"> committees established in </w:t>
            </w:r>
            <w:proofErr w:type="spellStart"/>
            <w:r w:rsidR="00176DE4" w:rsidRPr="00771A47">
              <w:rPr>
                <w:rFonts w:cstheme="minorHAnsi"/>
                <w:sz w:val="19"/>
                <w:szCs w:val="19"/>
              </w:rPr>
              <w:t>Ha’apai</w:t>
            </w:r>
            <w:proofErr w:type="spellEnd"/>
            <w:r w:rsidR="00176DE4" w:rsidRPr="00771A47">
              <w:rPr>
                <w:rFonts w:cstheme="minorHAnsi"/>
                <w:sz w:val="19"/>
                <w:szCs w:val="19"/>
              </w:rPr>
              <w:t xml:space="preserve"> and </w:t>
            </w:r>
            <w:proofErr w:type="spellStart"/>
            <w:r w:rsidR="00176DE4" w:rsidRPr="00771A47">
              <w:rPr>
                <w:rFonts w:cstheme="minorHAnsi"/>
                <w:sz w:val="19"/>
                <w:szCs w:val="19"/>
              </w:rPr>
              <w:t>Vava’u</w:t>
            </w:r>
            <w:proofErr w:type="spellEnd"/>
          </w:p>
        </w:tc>
      </w:tr>
      <w:tr w:rsidR="00566884" w:rsidRPr="00771A47" w14:paraId="6F1AC759" w14:textId="77777777" w:rsidTr="00566884">
        <w:tc>
          <w:tcPr>
            <w:tcW w:w="1986" w:type="dxa"/>
          </w:tcPr>
          <w:p w14:paraId="7DA9076D" w14:textId="3A904A41" w:rsidR="005F52CD" w:rsidRPr="00771A47" w:rsidRDefault="00BB1B9F" w:rsidP="00DF166F">
            <w:pPr>
              <w:spacing w:line="276" w:lineRule="auto"/>
              <w:rPr>
                <w:rFonts w:cstheme="minorHAnsi"/>
                <w:sz w:val="19"/>
                <w:szCs w:val="19"/>
              </w:rPr>
            </w:pPr>
            <w:r w:rsidRPr="00771A47">
              <w:rPr>
                <w:rFonts w:cstheme="minorHAnsi"/>
                <w:sz w:val="19"/>
                <w:szCs w:val="19"/>
              </w:rPr>
              <w:lastRenderedPageBreak/>
              <w:t xml:space="preserve">3.1 Health promoting actions targeting the four key NCD risk factors (unhealthy diet, physical inactivity, alcohol misuse and tobacco use) are implemented in key settings – schools, workplaces, churches, villages, </w:t>
            </w:r>
            <w:proofErr w:type="gramStart"/>
            <w:r w:rsidRPr="00771A47">
              <w:rPr>
                <w:rFonts w:cstheme="minorHAnsi"/>
                <w:sz w:val="19"/>
                <w:szCs w:val="19"/>
              </w:rPr>
              <w:t>communities</w:t>
            </w:r>
            <w:proofErr w:type="gramEnd"/>
            <w:r w:rsidRPr="00771A47">
              <w:rPr>
                <w:rFonts w:cstheme="minorHAnsi"/>
                <w:sz w:val="19"/>
                <w:szCs w:val="19"/>
              </w:rPr>
              <w:t xml:space="preserve"> and islands – and reported on</w:t>
            </w:r>
          </w:p>
        </w:tc>
        <w:tc>
          <w:tcPr>
            <w:tcW w:w="3118" w:type="dxa"/>
          </w:tcPr>
          <w:p w14:paraId="588ED410" w14:textId="77777777" w:rsidR="005F52CD" w:rsidRPr="00771A47" w:rsidRDefault="005F52CD" w:rsidP="00DF166F">
            <w:pPr>
              <w:spacing w:line="276" w:lineRule="auto"/>
              <w:rPr>
                <w:rFonts w:cstheme="minorHAnsi"/>
                <w:sz w:val="19"/>
                <w:szCs w:val="19"/>
              </w:rPr>
            </w:pPr>
            <w:r w:rsidRPr="00771A47">
              <w:rPr>
                <w:rFonts w:cstheme="minorHAnsi"/>
                <w:sz w:val="19"/>
                <w:szCs w:val="19"/>
              </w:rPr>
              <w:t>3.1.6 Identify champions in the different settings who model and actively demonstrate health promoting behaviours</w:t>
            </w:r>
          </w:p>
        </w:tc>
        <w:tc>
          <w:tcPr>
            <w:tcW w:w="2126" w:type="dxa"/>
          </w:tcPr>
          <w:p w14:paraId="7A6A4034" w14:textId="77777777" w:rsidR="005F52CD" w:rsidRPr="00771A47" w:rsidRDefault="005F52CD" w:rsidP="00DF166F">
            <w:pPr>
              <w:spacing w:line="276" w:lineRule="auto"/>
              <w:rPr>
                <w:rFonts w:cstheme="minorHAnsi"/>
                <w:sz w:val="19"/>
                <w:szCs w:val="19"/>
              </w:rPr>
            </w:pPr>
            <w:r w:rsidRPr="00771A47">
              <w:rPr>
                <w:rFonts w:cstheme="minorHAnsi"/>
                <w:sz w:val="19"/>
                <w:szCs w:val="19"/>
              </w:rPr>
              <w:t>TongaHealth</w:t>
            </w:r>
          </w:p>
        </w:tc>
        <w:tc>
          <w:tcPr>
            <w:tcW w:w="426" w:type="dxa"/>
          </w:tcPr>
          <w:p w14:paraId="592DF54A" w14:textId="32206F18"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5327EF06" w14:textId="3C93205E"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3E099C89"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11C70811"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1B8D34EB"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1333CC74" w14:textId="77777777" w:rsidR="005F52CD" w:rsidRPr="00771A47" w:rsidRDefault="005F52CD" w:rsidP="00DF166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5.1.3 Identify community champions </w:t>
            </w:r>
            <w:r w:rsidRPr="00771A47">
              <w:rPr>
                <w:rFonts w:asciiTheme="minorHAnsi" w:hAnsiTheme="minorHAnsi" w:cstheme="minorHAnsi"/>
                <w:sz w:val="19"/>
                <w:szCs w:val="19"/>
              </w:rPr>
              <w:t xml:space="preserve">to drive implementation of NCD </w:t>
            </w:r>
            <w:proofErr w:type="gramStart"/>
            <w:r w:rsidRPr="00771A47">
              <w:rPr>
                <w:rFonts w:asciiTheme="minorHAnsi" w:hAnsiTheme="minorHAnsi" w:cstheme="minorHAnsi"/>
                <w:sz w:val="19"/>
                <w:szCs w:val="19"/>
              </w:rPr>
              <w:t>actions</w:t>
            </w:r>
            <w:proofErr w:type="gramEnd"/>
          </w:p>
          <w:p w14:paraId="453730A4" w14:textId="77777777" w:rsidR="005F52CD" w:rsidRPr="00771A47" w:rsidRDefault="005F52CD" w:rsidP="00DF166F">
            <w:pPr>
              <w:spacing w:line="276" w:lineRule="auto"/>
              <w:rPr>
                <w:rFonts w:cstheme="minorHAnsi"/>
                <w:sz w:val="19"/>
                <w:szCs w:val="19"/>
              </w:rPr>
            </w:pPr>
          </w:p>
        </w:tc>
        <w:tc>
          <w:tcPr>
            <w:tcW w:w="2898" w:type="dxa"/>
          </w:tcPr>
          <w:p w14:paraId="7151EDC0" w14:textId="77777777" w:rsidR="005F52CD" w:rsidRPr="00771A47" w:rsidRDefault="005F52CD" w:rsidP="00DF166F">
            <w:pPr>
              <w:spacing w:line="276" w:lineRule="auto"/>
              <w:rPr>
                <w:rFonts w:cstheme="minorHAnsi"/>
                <w:sz w:val="19"/>
                <w:szCs w:val="19"/>
              </w:rPr>
            </w:pPr>
            <w:r w:rsidRPr="00771A47">
              <w:rPr>
                <w:rFonts w:cstheme="minorHAnsi"/>
                <w:sz w:val="19"/>
                <w:szCs w:val="19"/>
              </w:rPr>
              <w:t>Postponed to FY23/24</w:t>
            </w:r>
          </w:p>
        </w:tc>
      </w:tr>
      <w:tr w:rsidR="00566884" w:rsidRPr="00771A47" w14:paraId="10AD7A41" w14:textId="77777777" w:rsidTr="00566884">
        <w:tc>
          <w:tcPr>
            <w:tcW w:w="1986" w:type="dxa"/>
          </w:tcPr>
          <w:p w14:paraId="715E910C" w14:textId="77777777" w:rsidR="005F52CD" w:rsidRPr="00771A47" w:rsidRDefault="005F52CD" w:rsidP="00DF166F">
            <w:pPr>
              <w:spacing w:line="276" w:lineRule="auto"/>
              <w:rPr>
                <w:rFonts w:cstheme="minorHAnsi"/>
                <w:sz w:val="19"/>
                <w:szCs w:val="19"/>
              </w:rPr>
            </w:pPr>
            <w:r w:rsidRPr="00771A47">
              <w:rPr>
                <w:rFonts w:cstheme="minorHAnsi"/>
                <w:sz w:val="19"/>
                <w:szCs w:val="19"/>
              </w:rPr>
              <w:t xml:space="preserve">3.2 Cost-effective measures (e.g. legislative measures) </w:t>
            </w:r>
            <w:r w:rsidRPr="00771A47">
              <w:rPr>
                <w:rFonts w:cstheme="minorHAnsi"/>
                <w:sz w:val="19"/>
                <w:szCs w:val="19"/>
              </w:rPr>
              <w:lastRenderedPageBreak/>
              <w:t xml:space="preserve">adapted, </w:t>
            </w:r>
            <w:proofErr w:type="gramStart"/>
            <w:r w:rsidRPr="00771A47">
              <w:rPr>
                <w:rFonts w:cstheme="minorHAnsi"/>
                <w:sz w:val="19"/>
                <w:szCs w:val="19"/>
              </w:rPr>
              <w:t>implemented</w:t>
            </w:r>
            <w:proofErr w:type="gramEnd"/>
            <w:r w:rsidRPr="00771A47">
              <w:rPr>
                <w:rFonts w:cstheme="minorHAnsi"/>
                <w:sz w:val="19"/>
                <w:szCs w:val="19"/>
              </w:rPr>
              <w:t xml:space="preserve"> and reported on</w:t>
            </w:r>
          </w:p>
        </w:tc>
        <w:tc>
          <w:tcPr>
            <w:tcW w:w="3118" w:type="dxa"/>
          </w:tcPr>
          <w:p w14:paraId="53EF72F8" w14:textId="77777777" w:rsidR="005F52CD" w:rsidRPr="00771A47" w:rsidRDefault="005F52CD" w:rsidP="00DF166F">
            <w:pPr>
              <w:spacing w:line="276" w:lineRule="auto"/>
              <w:rPr>
                <w:rFonts w:cstheme="minorHAnsi"/>
                <w:sz w:val="19"/>
                <w:szCs w:val="19"/>
              </w:rPr>
            </w:pPr>
            <w:r w:rsidRPr="00771A47">
              <w:rPr>
                <w:rFonts w:cstheme="minorHAnsi"/>
                <w:sz w:val="19"/>
                <w:szCs w:val="19"/>
              </w:rPr>
              <w:lastRenderedPageBreak/>
              <w:t xml:space="preserve">3.2.4 Provide training on salt reduction interventions to food </w:t>
            </w:r>
            <w:r w:rsidRPr="00771A47">
              <w:rPr>
                <w:rFonts w:cstheme="minorHAnsi"/>
                <w:sz w:val="19"/>
                <w:szCs w:val="19"/>
              </w:rPr>
              <w:lastRenderedPageBreak/>
              <w:t>handlers, caterers, restaurant owners and bakeries</w:t>
            </w:r>
          </w:p>
        </w:tc>
        <w:tc>
          <w:tcPr>
            <w:tcW w:w="2126" w:type="dxa"/>
          </w:tcPr>
          <w:p w14:paraId="241A6671" w14:textId="77777777" w:rsidR="005F52CD" w:rsidRPr="00771A47" w:rsidRDefault="005F52CD" w:rsidP="00DF166F">
            <w:pPr>
              <w:spacing w:line="276" w:lineRule="auto"/>
              <w:rPr>
                <w:rFonts w:cstheme="minorHAnsi"/>
                <w:sz w:val="19"/>
                <w:szCs w:val="19"/>
              </w:rPr>
            </w:pPr>
            <w:r w:rsidRPr="00771A47">
              <w:rPr>
                <w:rFonts w:cstheme="minorHAnsi"/>
                <w:sz w:val="19"/>
                <w:szCs w:val="19"/>
              </w:rPr>
              <w:lastRenderedPageBreak/>
              <w:t>TongaHealth MOH HPU CSOs</w:t>
            </w:r>
          </w:p>
        </w:tc>
        <w:tc>
          <w:tcPr>
            <w:tcW w:w="426" w:type="dxa"/>
          </w:tcPr>
          <w:p w14:paraId="23D8C86E" w14:textId="4EAC12E0"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4E8DF376"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36C1C4FE"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42AF16EB"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520F1C9F" w14:textId="7C1442F6" w:rsidR="005F52CD" w:rsidRPr="00771A47" w:rsidRDefault="00BB1B9F" w:rsidP="00DF166F">
            <w:pPr>
              <w:spacing w:line="276" w:lineRule="auto"/>
              <w:rPr>
                <w:rFonts w:cstheme="minorHAnsi"/>
                <w:sz w:val="19"/>
                <w:szCs w:val="19"/>
              </w:rPr>
            </w:pPr>
            <w:r>
              <w:rPr>
                <w:rFonts w:cstheme="minorHAnsi"/>
                <w:sz w:val="19"/>
                <w:szCs w:val="19"/>
              </w:rPr>
              <w:t>-</w:t>
            </w:r>
          </w:p>
        </w:tc>
        <w:tc>
          <w:tcPr>
            <w:tcW w:w="2126" w:type="dxa"/>
          </w:tcPr>
          <w:p w14:paraId="28C9E524" w14:textId="77777777" w:rsidR="005F52CD" w:rsidRPr="00771A47" w:rsidRDefault="005F52CD" w:rsidP="00DF166F">
            <w:pPr>
              <w:pStyle w:val="TableParagraph"/>
              <w:spacing w:line="276" w:lineRule="auto"/>
              <w:rPr>
                <w:rFonts w:asciiTheme="minorHAnsi" w:hAnsiTheme="minorHAnsi" w:cstheme="minorHAnsi"/>
                <w:sz w:val="19"/>
                <w:szCs w:val="19"/>
              </w:rPr>
            </w:pPr>
            <w:r w:rsidRPr="00771A47">
              <w:rPr>
                <w:rFonts w:asciiTheme="minorHAnsi" w:hAnsiTheme="minorHAnsi" w:cstheme="minorHAnsi"/>
                <w:sz w:val="19"/>
                <w:szCs w:val="19"/>
              </w:rPr>
              <w:t xml:space="preserve">5.1.17 Build capacity of implementers - CSOs, restaurant owners, </w:t>
            </w:r>
            <w:r w:rsidRPr="00771A47">
              <w:rPr>
                <w:rFonts w:asciiTheme="minorHAnsi" w:hAnsiTheme="minorHAnsi" w:cstheme="minorHAnsi"/>
                <w:sz w:val="19"/>
                <w:szCs w:val="19"/>
              </w:rPr>
              <w:lastRenderedPageBreak/>
              <w:t>street vendors, community groups on</w:t>
            </w:r>
          </w:p>
          <w:p w14:paraId="646866B3" w14:textId="77777777" w:rsidR="005F52CD" w:rsidRPr="00771A47" w:rsidRDefault="005F52CD" w:rsidP="00DF166F">
            <w:pPr>
              <w:spacing w:line="276" w:lineRule="auto"/>
              <w:rPr>
                <w:rFonts w:eastAsia="Arial MT" w:cstheme="minorHAnsi"/>
                <w:sz w:val="19"/>
                <w:szCs w:val="19"/>
                <w:lang w:val="en-US"/>
              </w:rPr>
            </w:pPr>
            <w:r w:rsidRPr="00771A47">
              <w:rPr>
                <w:rFonts w:eastAsia="Arial MT" w:cstheme="minorHAnsi"/>
                <w:sz w:val="19"/>
                <w:szCs w:val="19"/>
                <w:lang w:val="en-US"/>
              </w:rPr>
              <w:t>NCDs</w:t>
            </w:r>
          </w:p>
          <w:p w14:paraId="1438CBF4" w14:textId="77777777" w:rsidR="005F52CD" w:rsidRPr="00771A47" w:rsidRDefault="005F52CD" w:rsidP="00DF166F">
            <w:pPr>
              <w:spacing w:line="276" w:lineRule="auto"/>
              <w:rPr>
                <w:rFonts w:cstheme="minorHAnsi"/>
                <w:sz w:val="19"/>
                <w:szCs w:val="19"/>
              </w:rPr>
            </w:pPr>
            <w:r w:rsidRPr="00771A47">
              <w:rPr>
                <w:rFonts w:eastAsia="Arial MT" w:cstheme="minorHAnsi"/>
                <w:sz w:val="19"/>
                <w:szCs w:val="19"/>
                <w:lang w:val="en-US"/>
              </w:rPr>
              <w:t>(note this is broader in scope than the NCD Strategy’s focus on salt reduction)</w:t>
            </w:r>
          </w:p>
        </w:tc>
        <w:tc>
          <w:tcPr>
            <w:tcW w:w="2898" w:type="dxa"/>
          </w:tcPr>
          <w:p w14:paraId="61F50AD5" w14:textId="77777777" w:rsidR="005F52CD" w:rsidRPr="00771A47" w:rsidRDefault="005F52CD" w:rsidP="00DF166F">
            <w:pPr>
              <w:spacing w:line="276" w:lineRule="auto"/>
              <w:rPr>
                <w:rFonts w:cstheme="minorHAnsi"/>
                <w:sz w:val="19"/>
                <w:szCs w:val="19"/>
              </w:rPr>
            </w:pPr>
            <w:r w:rsidRPr="00771A47">
              <w:rPr>
                <w:rFonts w:cstheme="minorHAnsi"/>
                <w:sz w:val="19"/>
                <w:szCs w:val="19"/>
              </w:rPr>
              <w:lastRenderedPageBreak/>
              <w:t>Postponed to FY23/24</w:t>
            </w:r>
          </w:p>
        </w:tc>
      </w:tr>
      <w:tr w:rsidR="00566884" w:rsidRPr="00771A47" w14:paraId="6D782E21" w14:textId="77777777" w:rsidTr="00566884">
        <w:tc>
          <w:tcPr>
            <w:tcW w:w="1986" w:type="dxa"/>
          </w:tcPr>
          <w:p w14:paraId="6A37C02A" w14:textId="42D78076" w:rsidR="00BB1B9F" w:rsidRPr="00771A47" w:rsidRDefault="00BB1B9F" w:rsidP="00BB1B9F">
            <w:pPr>
              <w:spacing w:line="276" w:lineRule="auto"/>
              <w:rPr>
                <w:rFonts w:cstheme="minorHAnsi"/>
                <w:sz w:val="19"/>
                <w:szCs w:val="19"/>
              </w:rPr>
            </w:pPr>
            <w:r w:rsidRPr="00BD4362">
              <w:rPr>
                <w:rFonts w:cstheme="minorHAnsi"/>
                <w:sz w:val="19"/>
                <w:szCs w:val="19"/>
              </w:rPr>
              <w:t xml:space="preserve">3.2 Cost-effective measures (e.g. legislative measures) adapted, </w:t>
            </w:r>
            <w:proofErr w:type="gramStart"/>
            <w:r w:rsidRPr="00BD4362">
              <w:rPr>
                <w:rFonts w:cstheme="minorHAnsi"/>
                <w:sz w:val="19"/>
                <w:szCs w:val="19"/>
              </w:rPr>
              <w:t>implemented</w:t>
            </w:r>
            <w:proofErr w:type="gramEnd"/>
            <w:r w:rsidRPr="00BD4362">
              <w:rPr>
                <w:rFonts w:cstheme="minorHAnsi"/>
                <w:sz w:val="19"/>
                <w:szCs w:val="19"/>
              </w:rPr>
              <w:t xml:space="preserve"> and reported on</w:t>
            </w:r>
          </w:p>
        </w:tc>
        <w:tc>
          <w:tcPr>
            <w:tcW w:w="3118" w:type="dxa"/>
          </w:tcPr>
          <w:p w14:paraId="77D40011"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3.2.5 </w:t>
            </w:r>
            <w:proofErr w:type="gramStart"/>
            <w:r w:rsidRPr="00771A47">
              <w:rPr>
                <w:rFonts w:cstheme="minorHAnsi"/>
                <w:sz w:val="19"/>
                <w:szCs w:val="19"/>
              </w:rPr>
              <w:t>Provide assistance to</w:t>
            </w:r>
            <w:proofErr w:type="gramEnd"/>
            <w:r w:rsidRPr="00771A47">
              <w:rPr>
                <w:rFonts w:cstheme="minorHAnsi"/>
                <w:sz w:val="19"/>
                <w:szCs w:val="19"/>
              </w:rPr>
              <w:t xml:space="preserve"> stakeholders to support the implementation of the Social Behaviour Change Communication Strategy to Address Obesity and NCDs in Tonga 2021–2026</w:t>
            </w:r>
          </w:p>
        </w:tc>
        <w:tc>
          <w:tcPr>
            <w:tcW w:w="2126" w:type="dxa"/>
          </w:tcPr>
          <w:p w14:paraId="1B139333" w14:textId="77777777" w:rsidR="00BB1B9F" w:rsidRPr="00771A47" w:rsidRDefault="00BB1B9F" w:rsidP="00BB1B9F">
            <w:pPr>
              <w:spacing w:line="276" w:lineRule="auto"/>
              <w:rPr>
                <w:rFonts w:cstheme="minorHAnsi"/>
                <w:sz w:val="19"/>
                <w:szCs w:val="19"/>
              </w:rPr>
            </w:pPr>
            <w:r w:rsidRPr="00771A47">
              <w:rPr>
                <w:rFonts w:cstheme="minorHAnsi"/>
                <w:sz w:val="19"/>
                <w:szCs w:val="19"/>
              </w:rPr>
              <w:t>TongaHealth World Bank Media</w:t>
            </w:r>
          </w:p>
        </w:tc>
        <w:tc>
          <w:tcPr>
            <w:tcW w:w="426" w:type="dxa"/>
          </w:tcPr>
          <w:p w14:paraId="5902CB4A" w14:textId="5173E31C"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5B3DC5D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BDB17BA"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4F2A1FD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1E159E08" w14:textId="77777777" w:rsidR="00BB1B9F" w:rsidRPr="00771A47" w:rsidRDefault="00BB1B9F" w:rsidP="00BB1B9F">
            <w:pPr>
              <w:spacing w:line="276" w:lineRule="auto"/>
              <w:rPr>
                <w:rFonts w:eastAsia="Arial MT" w:cstheme="minorHAnsi"/>
                <w:sz w:val="19"/>
                <w:szCs w:val="19"/>
                <w:lang w:val="en-US"/>
              </w:rPr>
            </w:pPr>
            <w:r w:rsidRPr="00771A47">
              <w:rPr>
                <w:rFonts w:eastAsia="Arial MT" w:cstheme="minorHAnsi"/>
                <w:sz w:val="19"/>
                <w:szCs w:val="19"/>
                <w:lang w:val="en-US"/>
              </w:rPr>
              <w:t>x</w:t>
            </w:r>
          </w:p>
        </w:tc>
        <w:tc>
          <w:tcPr>
            <w:tcW w:w="2126" w:type="dxa"/>
          </w:tcPr>
          <w:p w14:paraId="3E5C6196" w14:textId="77777777" w:rsidR="00BB1B9F" w:rsidRPr="00771A47" w:rsidRDefault="00BB1B9F" w:rsidP="00BB1B9F">
            <w:pPr>
              <w:spacing w:line="276" w:lineRule="auto"/>
              <w:rPr>
                <w:rFonts w:eastAsia="Arial MT" w:cstheme="minorHAnsi"/>
                <w:sz w:val="19"/>
                <w:szCs w:val="19"/>
                <w:lang w:val="en-US"/>
              </w:rPr>
            </w:pPr>
            <w:r w:rsidRPr="00771A47">
              <w:rPr>
                <w:rFonts w:eastAsia="Arial MT" w:cstheme="minorHAnsi"/>
                <w:sz w:val="19"/>
                <w:szCs w:val="19"/>
                <w:lang w:val="en-US"/>
              </w:rPr>
              <w:t>5.1.9 Implement the Tonga SBCC strategy (campaigns on risk factors)</w:t>
            </w:r>
          </w:p>
        </w:tc>
        <w:tc>
          <w:tcPr>
            <w:tcW w:w="2898" w:type="dxa"/>
          </w:tcPr>
          <w:p w14:paraId="5BC9F2E5" w14:textId="2C8F5006" w:rsidR="00BB1B9F" w:rsidRPr="00771A47" w:rsidRDefault="00BB1B9F" w:rsidP="00BB1B9F">
            <w:pPr>
              <w:spacing w:line="276" w:lineRule="auto"/>
              <w:rPr>
                <w:rFonts w:cstheme="minorHAnsi"/>
                <w:sz w:val="19"/>
                <w:szCs w:val="19"/>
              </w:rPr>
            </w:pPr>
            <w:r w:rsidRPr="00771A47">
              <w:rPr>
                <w:rFonts w:cstheme="minorHAnsi"/>
                <w:sz w:val="19"/>
                <w:szCs w:val="19"/>
              </w:rPr>
              <w:t>Planned for FY23/24 and FY24/25. Campaign will focus on obesity prevention (Live Light campaign).</w:t>
            </w:r>
          </w:p>
        </w:tc>
      </w:tr>
      <w:tr w:rsidR="00566884" w:rsidRPr="00771A47" w14:paraId="7A1F0C65" w14:textId="77777777" w:rsidTr="00566884">
        <w:tc>
          <w:tcPr>
            <w:tcW w:w="1986" w:type="dxa"/>
          </w:tcPr>
          <w:p w14:paraId="368E9A41" w14:textId="606814D8" w:rsidR="00BB1B9F" w:rsidRPr="00771A47" w:rsidRDefault="00BB1B9F" w:rsidP="00BB1B9F">
            <w:pPr>
              <w:spacing w:line="276" w:lineRule="auto"/>
              <w:rPr>
                <w:rFonts w:cstheme="minorHAnsi"/>
                <w:sz w:val="19"/>
                <w:szCs w:val="19"/>
              </w:rPr>
            </w:pPr>
            <w:r w:rsidRPr="00BD4362">
              <w:rPr>
                <w:rFonts w:cstheme="minorHAnsi"/>
                <w:sz w:val="19"/>
                <w:szCs w:val="19"/>
              </w:rPr>
              <w:t xml:space="preserve">3.2 Cost-effective measures (e.g. legislative measures) adapted, </w:t>
            </w:r>
            <w:proofErr w:type="gramStart"/>
            <w:r w:rsidRPr="00BD4362">
              <w:rPr>
                <w:rFonts w:cstheme="minorHAnsi"/>
                <w:sz w:val="19"/>
                <w:szCs w:val="19"/>
              </w:rPr>
              <w:t>implemented</w:t>
            </w:r>
            <w:proofErr w:type="gramEnd"/>
            <w:r w:rsidRPr="00BD4362">
              <w:rPr>
                <w:rFonts w:cstheme="minorHAnsi"/>
                <w:sz w:val="19"/>
                <w:szCs w:val="19"/>
              </w:rPr>
              <w:t xml:space="preserve"> and reported on</w:t>
            </w:r>
          </w:p>
        </w:tc>
        <w:tc>
          <w:tcPr>
            <w:tcW w:w="3118" w:type="dxa"/>
          </w:tcPr>
          <w:p w14:paraId="17C0899B"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3.2.6 </w:t>
            </w:r>
            <w:proofErr w:type="gramStart"/>
            <w:r w:rsidRPr="00771A47">
              <w:rPr>
                <w:rFonts w:cstheme="minorHAnsi"/>
                <w:sz w:val="19"/>
                <w:szCs w:val="19"/>
              </w:rPr>
              <w:t>Provide assistance to</w:t>
            </w:r>
            <w:proofErr w:type="gramEnd"/>
            <w:r w:rsidRPr="00771A47">
              <w:rPr>
                <w:rFonts w:cstheme="minorHAnsi"/>
                <w:sz w:val="19"/>
                <w:szCs w:val="19"/>
              </w:rPr>
              <w:t xml:space="preserve"> stakeholders to support implementation of the Healthy Living Guidelines for Tonga</w:t>
            </w:r>
          </w:p>
        </w:tc>
        <w:tc>
          <w:tcPr>
            <w:tcW w:w="2126" w:type="dxa"/>
          </w:tcPr>
          <w:p w14:paraId="506BB88E"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MAFF </w:t>
            </w:r>
          </w:p>
          <w:p w14:paraId="4F93F0BC" w14:textId="77777777" w:rsidR="00BB1B9F" w:rsidRPr="00771A47" w:rsidRDefault="00BB1B9F" w:rsidP="00BB1B9F">
            <w:pPr>
              <w:spacing w:line="276" w:lineRule="auto"/>
              <w:rPr>
                <w:rFonts w:cstheme="minorHAnsi"/>
                <w:sz w:val="19"/>
                <w:szCs w:val="19"/>
              </w:rPr>
            </w:pPr>
            <w:r w:rsidRPr="00771A47">
              <w:rPr>
                <w:rFonts w:cstheme="minorHAnsi"/>
                <w:sz w:val="19"/>
                <w:szCs w:val="19"/>
              </w:rPr>
              <w:t>MOH TongaHealth</w:t>
            </w:r>
          </w:p>
        </w:tc>
        <w:tc>
          <w:tcPr>
            <w:tcW w:w="426" w:type="dxa"/>
          </w:tcPr>
          <w:p w14:paraId="79872B45" w14:textId="13481AF1"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5193E12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130EB4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CBF14C1"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098C03A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5B75322D" w14:textId="77777777" w:rsidR="00BB1B9F" w:rsidRPr="00771A47" w:rsidRDefault="00BB1B9F" w:rsidP="00BB1B9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5.1.19 Support implementation of the</w:t>
            </w:r>
          </w:p>
          <w:p w14:paraId="3A12C2A3" w14:textId="77777777" w:rsidR="00BB1B9F" w:rsidRPr="00771A47" w:rsidRDefault="00BB1B9F" w:rsidP="00BB1B9F">
            <w:pPr>
              <w:spacing w:line="276" w:lineRule="auto"/>
              <w:rPr>
                <w:rFonts w:cstheme="minorHAnsi"/>
                <w:sz w:val="19"/>
                <w:szCs w:val="19"/>
              </w:rPr>
            </w:pPr>
            <w:r w:rsidRPr="00771A47">
              <w:rPr>
                <w:rFonts w:cstheme="minorHAnsi"/>
                <w:sz w:val="19"/>
                <w:szCs w:val="19"/>
              </w:rPr>
              <w:t>Tonga Guidelines for Healthy Living</w:t>
            </w:r>
          </w:p>
        </w:tc>
        <w:tc>
          <w:tcPr>
            <w:tcW w:w="2898" w:type="dxa"/>
          </w:tcPr>
          <w:p w14:paraId="7CC1BC54" w14:textId="6C69B184" w:rsidR="00BB1B9F" w:rsidRPr="00771A47" w:rsidRDefault="00BB1B9F" w:rsidP="00BB1B9F">
            <w:pPr>
              <w:spacing w:line="276" w:lineRule="auto"/>
              <w:rPr>
                <w:rFonts w:cstheme="minorHAnsi"/>
                <w:b/>
                <w:bCs/>
                <w:sz w:val="19"/>
                <w:szCs w:val="19"/>
              </w:rPr>
            </w:pPr>
            <w:r w:rsidRPr="00771A47">
              <w:rPr>
                <w:rFonts w:cstheme="minorHAnsi"/>
                <w:b/>
                <w:bCs/>
                <w:sz w:val="19"/>
                <w:szCs w:val="19"/>
              </w:rPr>
              <w:t xml:space="preserve">Grants in FY22/23: </w:t>
            </w:r>
          </w:p>
          <w:p w14:paraId="1E27DB91" w14:textId="18F10272" w:rsidR="00BB1B9F" w:rsidRPr="00771A47" w:rsidRDefault="00BB1B9F" w:rsidP="00BB1B9F">
            <w:pPr>
              <w:pStyle w:val="ListParagraph"/>
              <w:numPr>
                <w:ilvl w:val="0"/>
                <w:numId w:val="36"/>
              </w:numPr>
              <w:spacing w:after="0" w:line="276" w:lineRule="auto"/>
              <w:rPr>
                <w:rFonts w:cstheme="minorHAnsi"/>
                <w:sz w:val="19"/>
                <w:szCs w:val="19"/>
              </w:rPr>
            </w:pPr>
            <w:r w:rsidRPr="00771A47">
              <w:rPr>
                <w:rFonts w:cstheme="minorHAnsi"/>
                <w:sz w:val="19"/>
                <w:szCs w:val="19"/>
              </w:rPr>
              <w:t xml:space="preserve">Grant to MAFF to develop promotional materials for the Guidelines (Guidelines launched April 2023). </w:t>
            </w:r>
          </w:p>
        </w:tc>
      </w:tr>
      <w:tr w:rsidR="00566884" w:rsidRPr="00771A47" w14:paraId="7CBAA0A8" w14:textId="77777777" w:rsidTr="00566884">
        <w:tc>
          <w:tcPr>
            <w:tcW w:w="1986" w:type="dxa"/>
          </w:tcPr>
          <w:p w14:paraId="142B8886" w14:textId="77777777" w:rsidR="005F52CD" w:rsidRPr="00771A47" w:rsidRDefault="005F52CD" w:rsidP="00DF166F">
            <w:pPr>
              <w:spacing w:line="276" w:lineRule="auto"/>
              <w:rPr>
                <w:rFonts w:cstheme="minorHAnsi"/>
                <w:sz w:val="19"/>
                <w:szCs w:val="19"/>
              </w:rPr>
            </w:pPr>
            <w:r w:rsidRPr="00771A47">
              <w:rPr>
                <w:rFonts w:cstheme="minorHAnsi"/>
                <w:sz w:val="19"/>
                <w:szCs w:val="19"/>
              </w:rPr>
              <w:t xml:space="preserve">3.3 Cost-effective life course approaches (1,000-Days initiatives, Baby Friendly Hospital, Exclusive Breastfeeding Campaigns) developed, </w:t>
            </w:r>
            <w:proofErr w:type="gramStart"/>
            <w:r w:rsidRPr="00771A47">
              <w:rPr>
                <w:rFonts w:cstheme="minorHAnsi"/>
                <w:sz w:val="19"/>
                <w:szCs w:val="19"/>
              </w:rPr>
              <w:lastRenderedPageBreak/>
              <w:t>implemented</w:t>
            </w:r>
            <w:proofErr w:type="gramEnd"/>
            <w:r w:rsidRPr="00771A47">
              <w:rPr>
                <w:rFonts w:cstheme="minorHAnsi"/>
                <w:sz w:val="19"/>
                <w:szCs w:val="19"/>
              </w:rPr>
              <w:t xml:space="preserve"> and reported on</w:t>
            </w:r>
          </w:p>
        </w:tc>
        <w:tc>
          <w:tcPr>
            <w:tcW w:w="3118" w:type="dxa"/>
          </w:tcPr>
          <w:p w14:paraId="65214848" w14:textId="65D12B69" w:rsidR="005F52CD" w:rsidRPr="00771A47" w:rsidRDefault="005F52CD" w:rsidP="00DF166F">
            <w:pPr>
              <w:spacing w:line="276" w:lineRule="auto"/>
              <w:rPr>
                <w:rFonts w:cstheme="minorHAnsi"/>
                <w:sz w:val="19"/>
                <w:szCs w:val="19"/>
              </w:rPr>
            </w:pPr>
            <w:r w:rsidRPr="00771A47">
              <w:rPr>
                <w:rFonts w:cstheme="minorHAnsi"/>
                <w:sz w:val="19"/>
                <w:szCs w:val="19"/>
              </w:rPr>
              <w:lastRenderedPageBreak/>
              <w:t>3.3.2 Strengthen and expand the implementation of</w:t>
            </w:r>
            <w:r w:rsidR="00591C49">
              <w:rPr>
                <w:rFonts w:cstheme="minorHAnsi"/>
                <w:sz w:val="19"/>
                <w:szCs w:val="19"/>
              </w:rPr>
              <w:t xml:space="preserve"> First</w:t>
            </w:r>
            <w:r w:rsidRPr="00771A47">
              <w:rPr>
                <w:rFonts w:cstheme="minorHAnsi"/>
                <w:sz w:val="19"/>
                <w:szCs w:val="19"/>
              </w:rPr>
              <w:t xml:space="preserve"> 1,000</w:t>
            </w:r>
            <w:r w:rsidR="00591C49">
              <w:rPr>
                <w:rFonts w:cstheme="minorHAnsi"/>
                <w:sz w:val="19"/>
                <w:szCs w:val="19"/>
              </w:rPr>
              <w:t xml:space="preserve"> </w:t>
            </w:r>
            <w:r w:rsidRPr="00771A47">
              <w:rPr>
                <w:rFonts w:cstheme="minorHAnsi"/>
                <w:sz w:val="19"/>
                <w:szCs w:val="19"/>
              </w:rPr>
              <w:t>Days initiatives (e.g. Baby Friendly Hospital and workplaces)</w:t>
            </w:r>
          </w:p>
        </w:tc>
        <w:tc>
          <w:tcPr>
            <w:tcW w:w="2126" w:type="dxa"/>
          </w:tcPr>
          <w:p w14:paraId="48DED68F" w14:textId="77777777" w:rsidR="005F52CD" w:rsidRPr="00771A47" w:rsidRDefault="005F52CD" w:rsidP="00DF166F">
            <w:pPr>
              <w:spacing w:line="276" w:lineRule="auto"/>
              <w:rPr>
                <w:rFonts w:cstheme="minorHAnsi"/>
                <w:sz w:val="19"/>
                <w:szCs w:val="19"/>
              </w:rPr>
            </w:pPr>
            <w:r w:rsidRPr="00771A47">
              <w:rPr>
                <w:rFonts w:cstheme="minorHAnsi"/>
                <w:sz w:val="19"/>
                <w:szCs w:val="19"/>
              </w:rPr>
              <w:t>MOH TongaHealth</w:t>
            </w:r>
          </w:p>
        </w:tc>
        <w:tc>
          <w:tcPr>
            <w:tcW w:w="426" w:type="dxa"/>
          </w:tcPr>
          <w:p w14:paraId="27DA1513" w14:textId="5A8CB5FD" w:rsidR="005F52CD" w:rsidRPr="00771A47" w:rsidRDefault="00BB1B9F" w:rsidP="00DF166F">
            <w:pPr>
              <w:spacing w:line="276" w:lineRule="auto"/>
              <w:rPr>
                <w:rFonts w:cstheme="minorHAnsi"/>
                <w:sz w:val="19"/>
                <w:szCs w:val="19"/>
              </w:rPr>
            </w:pPr>
            <w:r>
              <w:rPr>
                <w:rFonts w:cstheme="minorHAnsi"/>
                <w:sz w:val="19"/>
                <w:szCs w:val="19"/>
              </w:rPr>
              <w:t>-</w:t>
            </w:r>
          </w:p>
        </w:tc>
        <w:tc>
          <w:tcPr>
            <w:tcW w:w="425" w:type="dxa"/>
          </w:tcPr>
          <w:p w14:paraId="74674DAB" w14:textId="77777777" w:rsidR="005F52CD" w:rsidRPr="00771A47" w:rsidRDefault="005F52CD" w:rsidP="00DF166F">
            <w:pPr>
              <w:spacing w:line="276" w:lineRule="auto"/>
              <w:rPr>
                <w:rFonts w:cstheme="minorHAnsi"/>
                <w:sz w:val="19"/>
                <w:szCs w:val="19"/>
              </w:rPr>
            </w:pPr>
          </w:p>
        </w:tc>
        <w:tc>
          <w:tcPr>
            <w:tcW w:w="425" w:type="dxa"/>
          </w:tcPr>
          <w:p w14:paraId="3A1B9C2C"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504311FC"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3815CDC2"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378363D1" w14:textId="77777777" w:rsidR="005F52CD" w:rsidRPr="00771A47" w:rsidRDefault="005F52CD" w:rsidP="00DF166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5.1.18 Implement first 1,000 days </w:t>
            </w:r>
            <w:r w:rsidRPr="00771A47">
              <w:rPr>
                <w:rFonts w:asciiTheme="minorHAnsi" w:hAnsiTheme="minorHAnsi" w:cstheme="minorHAnsi"/>
                <w:sz w:val="19"/>
                <w:szCs w:val="19"/>
              </w:rPr>
              <w:t>initiatives, exclusive breastfeeding</w:t>
            </w:r>
          </w:p>
        </w:tc>
        <w:tc>
          <w:tcPr>
            <w:tcW w:w="2898" w:type="dxa"/>
          </w:tcPr>
          <w:p w14:paraId="469928AF" w14:textId="77777777" w:rsidR="005F52CD" w:rsidRPr="00771A47" w:rsidRDefault="005F52CD" w:rsidP="00DF166F">
            <w:pPr>
              <w:pStyle w:val="TableParagraph"/>
              <w:spacing w:line="276" w:lineRule="auto"/>
              <w:rPr>
                <w:rFonts w:asciiTheme="minorHAnsi" w:hAnsiTheme="minorHAnsi" w:cstheme="minorHAnsi"/>
                <w:sz w:val="19"/>
                <w:szCs w:val="19"/>
              </w:rPr>
            </w:pPr>
            <w:r w:rsidRPr="00771A47">
              <w:rPr>
                <w:rFonts w:asciiTheme="minorHAnsi" w:hAnsiTheme="minorHAnsi" w:cstheme="minorHAnsi"/>
                <w:sz w:val="19"/>
                <w:szCs w:val="19"/>
              </w:rPr>
              <w:t xml:space="preserve">Exploring opportunity to work with </w:t>
            </w:r>
            <w:proofErr w:type="spellStart"/>
            <w:r w:rsidRPr="00771A47">
              <w:rPr>
                <w:rFonts w:asciiTheme="minorHAnsi" w:hAnsiTheme="minorHAnsi" w:cstheme="minorHAnsi"/>
                <w:sz w:val="19"/>
                <w:szCs w:val="19"/>
              </w:rPr>
              <w:t>Uluaki</w:t>
            </w:r>
            <w:proofErr w:type="spellEnd"/>
            <w:r w:rsidRPr="00771A47">
              <w:rPr>
                <w:rFonts w:asciiTheme="minorHAnsi" w:hAnsiTheme="minorHAnsi" w:cstheme="minorHAnsi"/>
                <w:sz w:val="19"/>
                <w:szCs w:val="19"/>
              </w:rPr>
              <w:t xml:space="preserve"> </w:t>
            </w:r>
            <w:proofErr w:type="spellStart"/>
            <w:r w:rsidRPr="00771A47">
              <w:rPr>
                <w:rFonts w:asciiTheme="minorHAnsi" w:hAnsiTheme="minorHAnsi" w:cstheme="minorHAnsi"/>
                <w:sz w:val="19"/>
                <w:szCs w:val="19"/>
              </w:rPr>
              <w:t>Faiako</w:t>
            </w:r>
            <w:proofErr w:type="spellEnd"/>
            <w:r w:rsidRPr="00771A47">
              <w:rPr>
                <w:rFonts w:asciiTheme="minorHAnsi" w:hAnsiTheme="minorHAnsi" w:cstheme="minorHAnsi"/>
                <w:sz w:val="19"/>
                <w:szCs w:val="19"/>
              </w:rPr>
              <w:t xml:space="preserve"> to implement first 1,000 Days initiative as well as breastfeeding awareness among young mothers. </w:t>
            </w:r>
            <w:proofErr w:type="spellStart"/>
            <w:r w:rsidRPr="00771A47">
              <w:rPr>
                <w:rFonts w:asciiTheme="minorHAnsi" w:hAnsiTheme="minorHAnsi" w:cstheme="minorHAnsi"/>
                <w:sz w:val="19"/>
                <w:szCs w:val="19"/>
              </w:rPr>
              <w:t>Uluaki</w:t>
            </w:r>
            <w:proofErr w:type="spellEnd"/>
            <w:r w:rsidRPr="00771A47">
              <w:rPr>
                <w:rFonts w:asciiTheme="minorHAnsi" w:hAnsiTheme="minorHAnsi" w:cstheme="minorHAnsi"/>
                <w:sz w:val="19"/>
                <w:szCs w:val="19"/>
              </w:rPr>
              <w:t xml:space="preserve"> </w:t>
            </w:r>
            <w:proofErr w:type="spellStart"/>
            <w:r w:rsidRPr="00771A47">
              <w:rPr>
                <w:rFonts w:asciiTheme="minorHAnsi" w:hAnsiTheme="minorHAnsi" w:cstheme="minorHAnsi"/>
                <w:sz w:val="19"/>
                <w:szCs w:val="19"/>
              </w:rPr>
              <w:t>Faiako</w:t>
            </w:r>
            <w:proofErr w:type="spellEnd"/>
            <w:r w:rsidRPr="00771A47">
              <w:rPr>
                <w:rFonts w:asciiTheme="minorHAnsi" w:hAnsiTheme="minorHAnsi" w:cstheme="minorHAnsi"/>
                <w:sz w:val="19"/>
                <w:szCs w:val="19"/>
              </w:rPr>
              <w:t xml:space="preserve"> is an NGO working with vulnerable families, especially those with children with disabilities.</w:t>
            </w:r>
          </w:p>
        </w:tc>
      </w:tr>
      <w:tr w:rsidR="00566884" w:rsidRPr="00771A47" w14:paraId="48BD472B" w14:textId="77777777" w:rsidTr="00566884">
        <w:tc>
          <w:tcPr>
            <w:tcW w:w="1986" w:type="dxa"/>
          </w:tcPr>
          <w:p w14:paraId="1EB23A21" w14:textId="3DF3E4F1" w:rsidR="00BB1B9F" w:rsidRPr="00771A47" w:rsidRDefault="00BB1B9F" w:rsidP="00BB1B9F">
            <w:pPr>
              <w:spacing w:line="276" w:lineRule="auto"/>
              <w:rPr>
                <w:rFonts w:cstheme="minorHAnsi"/>
                <w:sz w:val="19"/>
                <w:szCs w:val="19"/>
              </w:rPr>
            </w:pPr>
            <w:r w:rsidRPr="00771A47">
              <w:rPr>
                <w:rFonts w:cstheme="minorHAnsi"/>
                <w:sz w:val="19"/>
                <w:szCs w:val="19"/>
              </w:rPr>
              <w:t xml:space="preserve">3.3 Cost-effective life course approaches (1,000-Days initiatives, Baby Friendly Hospital, Exclusive Breastfeeding Campaigns) developed, </w:t>
            </w:r>
            <w:proofErr w:type="gramStart"/>
            <w:r w:rsidRPr="00771A47">
              <w:rPr>
                <w:rFonts w:cstheme="minorHAnsi"/>
                <w:sz w:val="19"/>
                <w:szCs w:val="19"/>
              </w:rPr>
              <w:t>implemented</w:t>
            </w:r>
            <w:proofErr w:type="gramEnd"/>
            <w:r w:rsidRPr="00771A47">
              <w:rPr>
                <w:rFonts w:cstheme="minorHAnsi"/>
                <w:sz w:val="19"/>
                <w:szCs w:val="19"/>
              </w:rPr>
              <w:t xml:space="preserve"> and reported on</w:t>
            </w:r>
          </w:p>
        </w:tc>
        <w:tc>
          <w:tcPr>
            <w:tcW w:w="3118" w:type="dxa"/>
          </w:tcPr>
          <w:p w14:paraId="366CC973" w14:textId="77777777" w:rsidR="00BB1B9F" w:rsidRPr="00771A47" w:rsidRDefault="00BB1B9F" w:rsidP="00BB1B9F">
            <w:pPr>
              <w:spacing w:line="276" w:lineRule="auto"/>
              <w:rPr>
                <w:rFonts w:cstheme="minorHAnsi"/>
                <w:sz w:val="19"/>
                <w:szCs w:val="19"/>
              </w:rPr>
            </w:pPr>
            <w:r w:rsidRPr="00771A47">
              <w:rPr>
                <w:rFonts w:cstheme="minorHAnsi"/>
                <w:sz w:val="19"/>
                <w:szCs w:val="19"/>
              </w:rPr>
              <w:t>3.3.3 Support breastfeeding awareness week activities</w:t>
            </w:r>
          </w:p>
        </w:tc>
        <w:tc>
          <w:tcPr>
            <w:tcW w:w="2126" w:type="dxa"/>
          </w:tcPr>
          <w:p w14:paraId="067902DE" w14:textId="77777777" w:rsidR="00BB1B9F" w:rsidRPr="00771A47" w:rsidRDefault="00BB1B9F" w:rsidP="00BB1B9F">
            <w:pPr>
              <w:spacing w:line="276" w:lineRule="auto"/>
              <w:rPr>
                <w:rFonts w:cstheme="minorHAnsi"/>
                <w:sz w:val="19"/>
                <w:szCs w:val="19"/>
              </w:rPr>
            </w:pPr>
            <w:r w:rsidRPr="00771A47">
              <w:rPr>
                <w:rFonts w:cstheme="minorHAnsi"/>
                <w:sz w:val="19"/>
                <w:szCs w:val="19"/>
              </w:rPr>
              <w:t>MOH TongaHealth</w:t>
            </w:r>
          </w:p>
        </w:tc>
        <w:tc>
          <w:tcPr>
            <w:tcW w:w="426" w:type="dxa"/>
          </w:tcPr>
          <w:p w14:paraId="6B6FBA10" w14:textId="1CA3CBCB"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3841F997" w14:textId="5D94566A"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5610E068"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07DEBB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59C8C7E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06AB10B7" w14:textId="70EDA9CF"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6BACFDBE" w14:textId="77777777" w:rsidR="00BB1B9F" w:rsidRPr="00771A47" w:rsidRDefault="00BB1B9F" w:rsidP="00BB1B9F">
            <w:pPr>
              <w:pStyle w:val="TableParagraph"/>
              <w:spacing w:line="276" w:lineRule="auto"/>
              <w:rPr>
                <w:rFonts w:asciiTheme="minorHAnsi" w:hAnsiTheme="minorHAnsi" w:cstheme="minorHAnsi"/>
                <w:b/>
                <w:bCs/>
                <w:sz w:val="19"/>
                <w:szCs w:val="19"/>
              </w:rPr>
            </w:pPr>
            <w:r w:rsidRPr="00771A47">
              <w:rPr>
                <w:rFonts w:asciiTheme="minorHAnsi" w:hAnsiTheme="minorHAnsi" w:cstheme="minorHAnsi"/>
                <w:b/>
                <w:bCs/>
                <w:sz w:val="19"/>
                <w:szCs w:val="19"/>
              </w:rPr>
              <w:t>Grants in FY22/23:</w:t>
            </w:r>
          </w:p>
          <w:p w14:paraId="6A4CBE02" w14:textId="5EFB6A75" w:rsidR="00BB1B9F" w:rsidRPr="00771A47" w:rsidRDefault="00BB1B9F" w:rsidP="00BB1B9F">
            <w:pPr>
              <w:pStyle w:val="TableParagraph"/>
              <w:spacing w:line="276" w:lineRule="auto"/>
              <w:rPr>
                <w:rFonts w:asciiTheme="minorHAnsi" w:hAnsiTheme="minorHAnsi" w:cstheme="minorHAnsi"/>
                <w:sz w:val="19"/>
                <w:szCs w:val="19"/>
              </w:rPr>
            </w:pPr>
            <w:r w:rsidRPr="00771A47">
              <w:rPr>
                <w:rFonts w:asciiTheme="minorHAnsi" w:hAnsiTheme="minorHAnsi" w:cstheme="minorHAnsi"/>
                <w:sz w:val="19"/>
                <w:szCs w:val="19"/>
              </w:rPr>
              <w:t xml:space="preserve">Grant to MOH for Breastfeeding Awareness Month. (Resources developed but not distributed due to cancellation of MOH Breastfeeding Awareness </w:t>
            </w:r>
            <w:proofErr w:type="gramStart"/>
            <w:r w:rsidRPr="00771A47">
              <w:rPr>
                <w:rFonts w:asciiTheme="minorHAnsi" w:hAnsiTheme="minorHAnsi" w:cstheme="minorHAnsi"/>
                <w:sz w:val="19"/>
                <w:szCs w:val="19"/>
              </w:rPr>
              <w:t>event, but</w:t>
            </w:r>
            <w:proofErr w:type="gramEnd"/>
            <w:r w:rsidRPr="00771A47">
              <w:rPr>
                <w:rFonts w:asciiTheme="minorHAnsi" w:hAnsiTheme="minorHAnsi" w:cstheme="minorHAnsi"/>
                <w:sz w:val="19"/>
                <w:szCs w:val="19"/>
              </w:rPr>
              <w:t xml:space="preserve"> will be distributed to Health Centres in FY23/24.)</w:t>
            </w:r>
          </w:p>
          <w:p w14:paraId="1D225255" w14:textId="77777777" w:rsidR="00BB1B9F" w:rsidRPr="00771A47" w:rsidRDefault="00BB1B9F" w:rsidP="00BB1B9F">
            <w:pPr>
              <w:spacing w:line="276" w:lineRule="auto"/>
              <w:rPr>
                <w:rFonts w:cstheme="minorHAnsi"/>
                <w:sz w:val="19"/>
                <w:szCs w:val="19"/>
              </w:rPr>
            </w:pPr>
          </w:p>
        </w:tc>
      </w:tr>
      <w:tr w:rsidR="00566884" w:rsidRPr="00771A47" w14:paraId="2ACFC581" w14:textId="77777777" w:rsidTr="00566884">
        <w:tc>
          <w:tcPr>
            <w:tcW w:w="1986" w:type="dxa"/>
          </w:tcPr>
          <w:p w14:paraId="2060109E" w14:textId="77777777" w:rsidR="005F52CD" w:rsidRPr="00771A47" w:rsidRDefault="005F52CD" w:rsidP="00DF166F">
            <w:pPr>
              <w:spacing w:line="276" w:lineRule="auto"/>
              <w:rPr>
                <w:rFonts w:cstheme="minorHAnsi"/>
                <w:sz w:val="19"/>
                <w:szCs w:val="19"/>
              </w:rPr>
            </w:pPr>
            <w:r w:rsidRPr="00771A47">
              <w:rPr>
                <w:rFonts w:cstheme="minorHAnsi"/>
                <w:sz w:val="19"/>
                <w:szCs w:val="19"/>
              </w:rPr>
              <w:t>3.4 Awareness raised on all aspects relating to NCD prevention and control</w:t>
            </w:r>
          </w:p>
        </w:tc>
        <w:tc>
          <w:tcPr>
            <w:tcW w:w="3118" w:type="dxa"/>
          </w:tcPr>
          <w:p w14:paraId="206A48A1" w14:textId="77777777" w:rsidR="005F52CD" w:rsidRPr="00771A47" w:rsidRDefault="005F52CD" w:rsidP="00DF166F">
            <w:pPr>
              <w:spacing w:line="276" w:lineRule="auto"/>
              <w:rPr>
                <w:rFonts w:cstheme="minorHAnsi"/>
                <w:sz w:val="19"/>
                <w:szCs w:val="19"/>
              </w:rPr>
            </w:pPr>
            <w:r w:rsidRPr="00771A47">
              <w:rPr>
                <w:rFonts w:cstheme="minorHAnsi"/>
                <w:sz w:val="19"/>
                <w:szCs w:val="19"/>
              </w:rPr>
              <w:t>3.4.1 Engage media and communications agencies to raise awareness on the importance of making healthy behaviour changes</w:t>
            </w:r>
          </w:p>
        </w:tc>
        <w:tc>
          <w:tcPr>
            <w:tcW w:w="2126" w:type="dxa"/>
          </w:tcPr>
          <w:p w14:paraId="28710A0D" w14:textId="77777777" w:rsidR="005F52CD" w:rsidRPr="00771A47" w:rsidRDefault="005F52CD" w:rsidP="00DF166F">
            <w:pPr>
              <w:spacing w:line="276" w:lineRule="auto"/>
              <w:rPr>
                <w:rFonts w:cstheme="minorHAnsi"/>
                <w:sz w:val="19"/>
                <w:szCs w:val="19"/>
              </w:rPr>
            </w:pPr>
            <w:r w:rsidRPr="00771A47">
              <w:rPr>
                <w:rFonts w:cstheme="minorHAnsi"/>
                <w:sz w:val="19"/>
                <w:szCs w:val="19"/>
              </w:rPr>
              <w:t xml:space="preserve">TongaHealth Media </w:t>
            </w:r>
          </w:p>
          <w:p w14:paraId="139B6C18" w14:textId="77777777" w:rsidR="005F52CD" w:rsidRPr="00771A47" w:rsidRDefault="005F52CD" w:rsidP="00DF166F">
            <w:pPr>
              <w:spacing w:line="276" w:lineRule="auto"/>
              <w:rPr>
                <w:rFonts w:cstheme="minorHAnsi"/>
                <w:sz w:val="19"/>
                <w:szCs w:val="19"/>
              </w:rPr>
            </w:pPr>
            <w:r w:rsidRPr="00771A47">
              <w:rPr>
                <w:rFonts w:cstheme="minorHAnsi"/>
                <w:sz w:val="19"/>
                <w:szCs w:val="19"/>
              </w:rPr>
              <w:t>MOH</w:t>
            </w:r>
          </w:p>
        </w:tc>
        <w:tc>
          <w:tcPr>
            <w:tcW w:w="426" w:type="dxa"/>
          </w:tcPr>
          <w:p w14:paraId="4C8E8040"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11DB058C"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1A708DB9"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6AF9BF15"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0A247069"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32F90F49" w14:textId="77777777" w:rsidR="005F52CD" w:rsidRPr="00771A47" w:rsidRDefault="005F52CD" w:rsidP="00DF166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5.1.15 Engage media collaborations and initiatives to raise awareness on importance of making healthy </w:t>
            </w:r>
            <w:proofErr w:type="gramStart"/>
            <w:r w:rsidRPr="00771A47">
              <w:rPr>
                <w:rFonts w:asciiTheme="minorHAnsi" w:eastAsiaTheme="minorHAnsi" w:hAnsiTheme="minorHAnsi" w:cstheme="minorHAnsi"/>
                <w:kern w:val="2"/>
                <w:sz w:val="19"/>
                <w:szCs w:val="19"/>
                <w14:ligatures w14:val="standardContextual"/>
              </w:rPr>
              <w:t>behaviour</w:t>
            </w:r>
            <w:proofErr w:type="gramEnd"/>
          </w:p>
          <w:p w14:paraId="17CC44A1" w14:textId="77777777" w:rsidR="005F52CD" w:rsidRPr="00771A47" w:rsidRDefault="005F52CD" w:rsidP="00DF166F">
            <w:pPr>
              <w:spacing w:line="276" w:lineRule="auto"/>
              <w:rPr>
                <w:rFonts w:cstheme="minorHAnsi"/>
                <w:sz w:val="19"/>
                <w:szCs w:val="19"/>
              </w:rPr>
            </w:pPr>
            <w:r w:rsidRPr="00771A47">
              <w:rPr>
                <w:rFonts w:cstheme="minorHAnsi"/>
                <w:sz w:val="19"/>
                <w:szCs w:val="19"/>
              </w:rPr>
              <w:t>changes</w:t>
            </w:r>
          </w:p>
        </w:tc>
        <w:tc>
          <w:tcPr>
            <w:tcW w:w="2898" w:type="dxa"/>
          </w:tcPr>
          <w:p w14:paraId="2082FAAF" w14:textId="77777777" w:rsidR="005F52CD" w:rsidRPr="00771A47" w:rsidRDefault="00F87DB2" w:rsidP="00DF166F">
            <w:pPr>
              <w:spacing w:line="276" w:lineRule="auto"/>
              <w:rPr>
                <w:rFonts w:cstheme="minorHAnsi"/>
                <w:sz w:val="19"/>
                <w:szCs w:val="19"/>
              </w:rPr>
            </w:pPr>
            <w:r w:rsidRPr="00771A47">
              <w:rPr>
                <w:rFonts w:cstheme="minorHAnsi"/>
                <w:sz w:val="19"/>
                <w:szCs w:val="19"/>
              </w:rPr>
              <w:t>Several grants have used media to raise awareness of healthy behaviour, including:</w:t>
            </w:r>
          </w:p>
          <w:p w14:paraId="0C72F90C" w14:textId="77777777" w:rsidR="00F87DB2" w:rsidRPr="00771A47" w:rsidRDefault="00F87DB2" w:rsidP="00DF166F">
            <w:pPr>
              <w:pStyle w:val="ListParagraph"/>
              <w:numPr>
                <w:ilvl w:val="0"/>
                <w:numId w:val="37"/>
              </w:numPr>
              <w:spacing w:line="276" w:lineRule="auto"/>
              <w:rPr>
                <w:rFonts w:cstheme="minorHAnsi"/>
                <w:sz w:val="19"/>
                <w:szCs w:val="19"/>
              </w:rPr>
            </w:pPr>
            <w:r w:rsidRPr="00771A47">
              <w:rPr>
                <w:rFonts w:cstheme="minorHAnsi"/>
                <w:sz w:val="19"/>
                <w:szCs w:val="19"/>
              </w:rPr>
              <w:t>Radio awareness program on life planning and healthy habits</w:t>
            </w:r>
          </w:p>
          <w:p w14:paraId="31C8FE0D" w14:textId="77777777" w:rsidR="00F87DB2" w:rsidRPr="00771A47" w:rsidRDefault="00F87DB2" w:rsidP="00DF166F">
            <w:pPr>
              <w:pStyle w:val="ListParagraph"/>
              <w:numPr>
                <w:ilvl w:val="0"/>
                <w:numId w:val="37"/>
              </w:numPr>
              <w:spacing w:line="276" w:lineRule="auto"/>
              <w:rPr>
                <w:rFonts w:cstheme="minorHAnsi"/>
                <w:sz w:val="19"/>
                <w:szCs w:val="19"/>
              </w:rPr>
            </w:pPr>
            <w:r w:rsidRPr="00771A47">
              <w:rPr>
                <w:rFonts w:cstheme="minorHAnsi"/>
                <w:sz w:val="19"/>
                <w:szCs w:val="19"/>
              </w:rPr>
              <w:t>Kingdom Media Limited drug and alcohol radio awareness program</w:t>
            </w:r>
          </w:p>
          <w:p w14:paraId="03E2E3BD" w14:textId="77777777" w:rsidR="00673772" w:rsidRPr="00771A47" w:rsidRDefault="00673772" w:rsidP="00DF166F">
            <w:pPr>
              <w:pStyle w:val="ListParagraph"/>
              <w:numPr>
                <w:ilvl w:val="0"/>
                <w:numId w:val="38"/>
              </w:numPr>
              <w:spacing w:line="276" w:lineRule="auto"/>
              <w:rPr>
                <w:rFonts w:cstheme="minorHAnsi"/>
                <w:sz w:val="19"/>
                <w:szCs w:val="19"/>
              </w:rPr>
            </w:pPr>
            <w:r w:rsidRPr="00771A47">
              <w:rPr>
                <w:rFonts w:cstheme="minorHAnsi"/>
                <w:sz w:val="19"/>
                <w:szCs w:val="19"/>
              </w:rPr>
              <w:t>Drop Everything and Shake (radio physical activity break)</w:t>
            </w:r>
          </w:p>
          <w:p w14:paraId="750FAD28" w14:textId="77777777" w:rsidR="00673772" w:rsidRPr="00771A47" w:rsidRDefault="00673772" w:rsidP="00DF166F">
            <w:pPr>
              <w:pStyle w:val="ListParagraph"/>
              <w:numPr>
                <w:ilvl w:val="0"/>
                <w:numId w:val="38"/>
              </w:numPr>
              <w:spacing w:line="276" w:lineRule="auto"/>
              <w:rPr>
                <w:rFonts w:cstheme="minorHAnsi"/>
                <w:sz w:val="19"/>
                <w:szCs w:val="19"/>
              </w:rPr>
            </w:pPr>
            <w:r w:rsidRPr="00771A47">
              <w:rPr>
                <w:rFonts w:cstheme="minorHAnsi"/>
                <w:sz w:val="19"/>
                <w:szCs w:val="19"/>
              </w:rPr>
              <w:t>Household budgeting radio program</w:t>
            </w:r>
          </w:p>
          <w:p w14:paraId="0806B233" w14:textId="6A516DC3" w:rsidR="00673772" w:rsidRPr="00771A47" w:rsidRDefault="00673772" w:rsidP="00DF166F">
            <w:pPr>
              <w:spacing w:line="276" w:lineRule="auto"/>
              <w:rPr>
                <w:rFonts w:cstheme="minorHAnsi"/>
                <w:sz w:val="19"/>
                <w:szCs w:val="19"/>
              </w:rPr>
            </w:pPr>
            <w:r w:rsidRPr="00771A47">
              <w:rPr>
                <w:rFonts w:cstheme="minorHAnsi"/>
                <w:sz w:val="19"/>
                <w:szCs w:val="19"/>
              </w:rPr>
              <w:lastRenderedPageBreak/>
              <w:t xml:space="preserve">TongaHealth also promotes healthy lifestyle messages via the TongaHealth Facebook </w:t>
            </w:r>
            <w:proofErr w:type="gramStart"/>
            <w:r w:rsidRPr="00771A47">
              <w:rPr>
                <w:rFonts w:cstheme="minorHAnsi"/>
                <w:sz w:val="19"/>
                <w:szCs w:val="19"/>
              </w:rPr>
              <w:t>page</w:t>
            </w:r>
            <w:proofErr w:type="gramEnd"/>
          </w:p>
          <w:p w14:paraId="1271978D" w14:textId="46B66027" w:rsidR="00F87DB2" w:rsidRPr="00771A47" w:rsidRDefault="00F87DB2" w:rsidP="00DF166F">
            <w:pPr>
              <w:spacing w:line="276" w:lineRule="auto"/>
              <w:rPr>
                <w:rFonts w:cstheme="minorHAnsi"/>
                <w:sz w:val="19"/>
                <w:szCs w:val="19"/>
              </w:rPr>
            </w:pPr>
          </w:p>
        </w:tc>
      </w:tr>
      <w:tr w:rsidR="00566884" w:rsidRPr="00771A47" w14:paraId="08512BFF" w14:textId="77777777" w:rsidTr="00566884">
        <w:tc>
          <w:tcPr>
            <w:tcW w:w="1986" w:type="dxa"/>
          </w:tcPr>
          <w:p w14:paraId="7FD8B210" w14:textId="4D1E019A" w:rsidR="00BB1B9F" w:rsidRPr="00771A47" w:rsidRDefault="00BB1B9F" w:rsidP="00BB1B9F">
            <w:pPr>
              <w:spacing w:line="276" w:lineRule="auto"/>
              <w:rPr>
                <w:rFonts w:cstheme="minorHAnsi"/>
                <w:sz w:val="19"/>
                <w:szCs w:val="19"/>
              </w:rPr>
            </w:pPr>
            <w:r w:rsidRPr="003348CF">
              <w:rPr>
                <w:rFonts w:cstheme="minorHAnsi"/>
                <w:sz w:val="19"/>
                <w:szCs w:val="19"/>
              </w:rPr>
              <w:lastRenderedPageBreak/>
              <w:t>3.4 Awareness raised on all aspects relating to NCD prevention and control</w:t>
            </w:r>
          </w:p>
        </w:tc>
        <w:tc>
          <w:tcPr>
            <w:tcW w:w="3118" w:type="dxa"/>
          </w:tcPr>
          <w:p w14:paraId="3734059A" w14:textId="77777777" w:rsidR="00BB1B9F" w:rsidRPr="00771A47" w:rsidRDefault="00BB1B9F" w:rsidP="00BB1B9F">
            <w:pPr>
              <w:spacing w:line="276" w:lineRule="auto"/>
              <w:rPr>
                <w:rFonts w:cstheme="minorHAnsi"/>
                <w:sz w:val="19"/>
                <w:szCs w:val="19"/>
              </w:rPr>
            </w:pPr>
            <w:r w:rsidRPr="00771A47">
              <w:rPr>
                <w:rFonts w:cstheme="minorHAnsi"/>
                <w:sz w:val="19"/>
                <w:szCs w:val="19"/>
              </w:rPr>
              <w:t>3.4.2 Develop a mass media campaign to raise awareness of the four NCD risk factors</w:t>
            </w:r>
          </w:p>
        </w:tc>
        <w:tc>
          <w:tcPr>
            <w:tcW w:w="2126" w:type="dxa"/>
          </w:tcPr>
          <w:p w14:paraId="61C7AD19"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TongaHealth Media </w:t>
            </w:r>
          </w:p>
          <w:p w14:paraId="44489536" w14:textId="77777777" w:rsidR="00BB1B9F" w:rsidRPr="00771A47" w:rsidRDefault="00BB1B9F" w:rsidP="00BB1B9F">
            <w:pPr>
              <w:spacing w:line="276" w:lineRule="auto"/>
              <w:rPr>
                <w:rFonts w:cstheme="minorHAnsi"/>
                <w:sz w:val="19"/>
                <w:szCs w:val="19"/>
              </w:rPr>
            </w:pPr>
            <w:r w:rsidRPr="00771A47">
              <w:rPr>
                <w:rFonts w:cstheme="minorHAnsi"/>
                <w:sz w:val="19"/>
                <w:szCs w:val="19"/>
              </w:rPr>
              <w:t>MOH</w:t>
            </w:r>
          </w:p>
        </w:tc>
        <w:tc>
          <w:tcPr>
            <w:tcW w:w="426" w:type="dxa"/>
          </w:tcPr>
          <w:p w14:paraId="2F911F7F" w14:textId="77777777" w:rsidR="00BB1B9F" w:rsidRPr="00771A47" w:rsidRDefault="00BB1B9F" w:rsidP="00BB1B9F">
            <w:pPr>
              <w:spacing w:line="276" w:lineRule="auto"/>
              <w:rPr>
                <w:rFonts w:cstheme="minorHAnsi"/>
                <w:sz w:val="19"/>
                <w:szCs w:val="19"/>
              </w:rPr>
            </w:pPr>
          </w:p>
        </w:tc>
        <w:tc>
          <w:tcPr>
            <w:tcW w:w="425" w:type="dxa"/>
          </w:tcPr>
          <w:p w14:paraId="6D720DA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4B8364B6"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0ABB833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56A6B54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5485DAEE" w14:textId="3A0134E3"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2E2CD0C0" w14:textId="6AB2DC4D" w:rsidR="00BB1B9F" w:rsidRPr="00771A47" w:rsidRDefault="00BB1B9F" w:rsidP="00BB1B9F">
            <w:pPr>
              <w:spacing w:line="276" w:lineRule="auto"/>
              <w:rPr>
                <w:rFonts w:cstheme="minorHAnsi"/>
                <w:sz w:val="19"/>
                <w:szCs w:val="19"/>
              </w:rPr>
            </w:pPr>
            <w:r w:rsidRPr="00771A47">
              <w:rPr>
                <w:rFonts w:cstheme="minorHAnsi"/>
                <w:sz w:val="19"/>
                <w:szCs w:val="19"/>
              </w:rPr>
              <w:t>Planned for FY23/24 and FY24/25. Campaign will focus on obesity prevention (‘Live Lighter’ campaign).</w:t>
            </w:r>
          </w:p>
        </w:tc>
      </w:tr>
      <w:tr w:rsidR="00566884" w:rsidRPr="00771A47" w14:paraId="747EA388" w14:textId="77777777" w:rsidTr="00566884">
        <w:tc>
          <w:tcPr>
            <w:tcW w:w="1986" w:type="dxa"/>
          </w:tcPr>
          <w:p w14:paraId="2D118BBD" w14:textId="13304CF6" w:rsidR="00BB1B9F" w:rsidRPr="00771A47" w:rsidRDefault="00BB1B9F" w:rsidP="00BB1B9F">
            <w:pPr>
              <w:spacing w:line="276" w:lineRule="auto"/>
              <w:rPr>
                <w:rFonts w:cstheme="minorHAnsi"/>
                <w:sz w:val="19"/>
                <w:szCs w:val="19"/>
              </w:rPr>
            </w:pPr>
            <w:r w:rsidRPr="003348CF">
              <w:rPr>
                <w:rFonts w:cstheme="minorHAnsi"/>
                <w:sz w:val="19"/>
                <w:szCs w:val="19"/>
              </w:rPr>
              <w:t>3.4 Awareness raised on all aspects relating to NCD prevention and control</w:t>
            </w:r>
          </w:p>
        </w:tc>
        <w:tc>
          <w:tcPr>
            <w:tcW w:w="3118" w:type="dxa"/>
          </w:tcPr>
          <w:p w14:paraId="152A8AAF" w14:textId="77777777" w:rsidR="00BB1B9F" w:rsidRPr="00771A47" w:rsidRDefault="00BB1B9F" w:rsidP="00BB1B9F">
            <w:pPr>
              <w:spacing w:line="276" w:lineRule="auto"/>
              <w:rPr>
                <w:rFonts w:cstheme="minorHAnsi"/>
                <w:sz w:val="19"/>
                <w:szCs w:val="19"/>
              </w:rPr>
            </w:pPr>
            <w:r w:rsidRPr="00771A47">
              <w:rPr>
                <w:rFonts w:cstheme="minorHAnsi"/>
                <w:sz w:val="19"/>
                <w:szCs w:val="19"/>
              </w:rPr>
              <w:t>3.4.3 Communicate and sensitise all key stakeholders to the Tonga NCD Strategy</w:t>
            </w:r>
          </w:p>
        </w:tc>
        <w:tc>
          <w:tcPr>
            <w:tcW w:w="2126" w:type="dxa"/>
          </w:tcPr>
          <w:p w14:paraId="45530326"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TongaHealth </w:t>
            </w:r>
          </w:p>
          <w:p w14:paraId="1C1717D2" w14:textId="1B026114" w:rsidR="00BB1B9F" w:rsidRPr="00771A47" w:rsidRDefault="00BB1B9F" w:rsidP="00BB1B9F">
            <w:pPr>
              <w:spacing w:line="276" w:lineRule="auto"/>
              <w:rPr>
                <w:rFonts w:cstheme="minorHAnsi"/>
                <w:sz w:val="19"/>
                <w:szCs w:val="19"/>
              </w:rPr>
            </w:pPr>
            <w:r w:rsidRPr="00771A47">
              <w:rPr>
                <w:rFonts w:cstheme="minorHAnsi"/>
                <w:sz w:val="19"/>
                <w:szCs w:val="19"/>
              </w:rPr>
              <w:t xml:space="preserve">MOH </w:t>
            </w:r>
          </w:p>
          <w:p w14:paraId="3CF98844"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NNCDC </w:t>
            </w:r>
          </w:p>
          <w:p w14:paraId="4BED5C4A" w14:textId="77777777" w:rsidR="00BB1B9F" w:rsidRPr="00771A47" w:rsidRDefault="00BB1B9F" w:rsidP="00BB1B9F">
            <w:pPr>
              <w:spacing w:line="276" w:lineRule="auto"/>
              <w:rPr>
                <w:rFonts w:cstheme="minorHAnsi"/>
                <w:sz w:val="19"/>
                <w:szCs w:val="19"/>
              </w:rPr>
            </w:pPr>
            <w:r w:rsidRPr="00771A47">
              <w:rPr>
                <w:rFonts w:cstheme="minorHAnsi"/>
                <w:sz w:val="19"/>
                <w:szCs w:val="19"/>
              </w:rPr>
              <w:t>Media</w:t>
            </w:r>
          </w:p>
        </w:tc>
        <w:tc>
          <w:tcPr>
            <w:tcW w:w="426" w:type="dxa"/>
          </w:tcPr>
          <w:p w14:paraId="6BFA569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7DD8417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C55041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48AE2AA"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2F26546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6C8183B4" w14:textId="62BED655"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3FA693BE" w14:textId="77777777" w:rsidR="00BB1B9F" w:rsidRPr="00771A47" w:rsidRDefault="00BB1B9F" w:rsidP="00BB1B9F">
            <w:pPr>
              <w:spacing w:line="276" w:lineRule="auto"/>
              <w:rPr>
                <w:rFonts w:cstheme="minorHAnsi"/>
                <w:sz w:val="19"/>
                <w:szCs w:val="19"/>
              </w:rPr>
            </w:pPr>
          </w:p>
        </w:tc>
      </w:tr>
      <w:tr w:rsidR="00566884" w:rsidRPr="00771A47" w14:paraId="620BF5AD" w14:textId="77777777" w:rsidTr="00566884">
        <w:tc>
          <w:tcPr>
            <w:tcW w:w="1986" w:type="dxa"/>
          </w:tcPr>
          <w:p w14:paraId="08A06DE2" w14:textId="77777777" w:rsidR="00BB1B9F" w:rsidRPr="00771A47" w:rsidRDefault="00BB1B9F" w:rsidP="00BB1B9F">
            <w:pPr>
              <w:spacing w:line="276" w:lineRule="auto"/>
              <w:rPr>
                <w:rFonts w:cstheme="minorHAnsi"/>
                <w:sz w:val="19"/>
                <w:szCs w:val="19"/>
              </w:rPr>
            </w:pPr>
            <w:r w:rsidRPr="00771A47">
              <w:rPr>
                <w:rFonts w:cstheme="minorHAnsi"/>
                <w:sz w:val="19"/>
                <w:szCs w:val="19"/>
              </w:rPr>
              <w:t>4.2 Comprehensive packages of essential services (PEHS) and WHO PEN delivered and reported on</w:t>
            </w:r>
          </w:p>
        </w:tc>
        <w:tc>
          <w:tcPr>
            <w:tcW w:w="3118" w:type="dxa"/>
          </w:tcPr>
          <w:p w14:paraId="0DA41E98" w14:textId="77777777" w:rsidR="00BB1B9F" w:rsidRPr="00771A47" w:rsidRDefault="00BB1B9F" w:rsidP="00BB1B9F">
            <w:pPr>
              <w:spacing w:line="276" w:lineRule="auto"/>
              <w:rPr>
                <w:rFonts w:cstheme="minorHAnsi"/>
                <w:sz w:val="19"/>
                <w:szCs w:val="19"/>
              </w:rPr>
            </w:pPr>
            <w:r w:rsidRPr="00771A47">
              <w:rPr>
                <w:rFonts w:cstheme="minorHAnsi"/>
                <w:sz w:val="19"/>
                <w:szCs w:val="19"/>
              </w:rPr>
              <w:t>4.2.4 Foster closer relationships between MOH and TongaHealth</w:t>
            </w:r>
          </w:p>
        </w:tc>
        <w:tc>
          <w:tcPr>
            <w:tcW w:w="2126" w:type="dxa"/>
          </w:tcPr>
          <w:p w14:paraId="1AD1C96C"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MOH </w:t>
            </w:r>
          </w:p>
          <w:p w14:paraId="6C365621" w14:textId="203B37A0" w:rsidR="00BB1B9F" w:rsidRPr="00771A47" w:rsidRDefault="00BB1B9F" w:rsidP="00BB1B9F">
            <w:pPr>
              <w:spacing w:line="276" w:lineRule="auto"/>
              <w:rPr>
                <w:rFonts w:cstheme="minorHAnsi"/>
                <w:sz w:val="19"/>
                <w:szCs w:val="19"/>
              </w:rPr>
            </w:pPr>
            <w:r w:rsidRPr="00771A47">
              <w:rPr>
                <w:rFonts w:cstheme="minorHAnsi"/>
                <w:sz w:val="19"/>
                <w:szCs w:val="19"/>
              </w:rPr>
              <w:t>TongaHealth</w:t>
            </w:r>
          </w:p>
        </w:tc>
        <w:tc>
          <w:tcPr>
            <w:tcW w:w="426" w:type="dxa"/>
          </w:tcPr>
          <w:p w14:paraId="7B931091"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53EF901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2878E26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409388C0"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76F2121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3FAC6B6C" w14:textId="09845495"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27302AAB" w14:textId="77777777" w:rsidR="00BB1B9F" w:rsidRPr="00771A47" w:rsidRDefault="00BB1B9F" w:rsidP="00BB1B9F">
            <w:pPr>
              <w:spacing w:line="276" w:lineRule="auto"/>
              <w:rPr>
                <w:rFonts w:cstheme="minorHAnsi"/>
                <w:sz w:val="19"/>
                <w:szCs w:val="19"/>
              </w:rPr>
            </w:pPr>
            <w:r w:rsidRPr="00771A47">
              <w:rPr>
                <w:rFonts w:cstheme="minorHAnsi"/>
                <w:sz w:val="19"/>
                <w:szCs w:val="19"/>
              </w:rPr>
              <w:t>No regular meetings in place. Two meetings held in 2023, in which HPU and TongaHealth identified areas for collaboration.</w:t>
            </w:r>
          </w:p>
          <w:p w14:paraId="54A1E646" w14:textId="21ABE5E9" w:rsidR="00BB1B9F" w:rsidRPr="00771A47" w:rsidRDefault="00BB1B9F" w:rsidP="00BB1B9F">
            <w:pPr>
              <w:spacing w:line="276" w:lineRule="auto"/>
              <w:rPr>
                <w:rFonts w:cstheme="minorHAnsi"/>
                <w:sz w:val="19"/>
                <w:szCs w:val="19"/>
              </w:rPr>
            </w:pPr>
            <w:r w:rsidRPr="00771A47">
              <w:rPr>
                <w:rFonts w:cstheme="minorHAnsi"/>
                <w:sz w:val="19"/>
                <w:szCs w:val="19"/>
              </w:rPr>
              <w:t xml:space="preserve">Current collaboration is mainly through grants (e.g. Health Promoting Schools Awards) </w:t>
            </w:r>
          </w:p>
        </w:tc>
      </w:tr>
      <w:tr w:rsidR="00566884" w:rsidRPr="00771A47" w14:paraId="7CE2971D" w14:textId="77777777" w:rsidTr="00566884">
        <w:tc>
          <w:tcPr>
            <w:tcW w:w="1986" w:type="dxa"/>
          </w:tcPr>
          <w:p w14:paraId="42B7BDF1" w14:textId="77777777" w:rsidR="005F52CD" w:rsidRPr="00771A47" w:rsidRDefault="005F52CD" w:rsidP="00DF166F">
            <w:pPr>
              <w:spacing w:line="276" w:lineRule="auto"/>
              <w:rPr>
                <w:rFonts w:cstheme="minorHAnsi"/>
                <w:sz w:val="19"/>
                <w:szCs w:val="19"/>
              </w:rPr>
            </w:pPr>
            <w:r w:rsidRPr="00771A47">
              <w:rPr>
                <w:rFonts w:cstheme="minorHAnsi"/>
                <w:sz w:val="19"/>
                <w:szCs w:val="19"/>
              </w:rPr>
              <w:t>5.1 National M&amp;E Taskforce established and operational</w:t>
            </w:r>
          </w:p>
        </w:tc>
        <w:tc>
          <w:tcPr>
            <w:tcW w:w="3118" w:type="dxa"/>
          </w:tcPr>
          <w:p w14:paraId="1DFEAEEE" w14:textId="77777777" w:rsidR="005F52CD" w:rsidRPr="00771A47" w:rsidRDefault="005F52CD" w:rsidP="00DF166F">
            <w:pPr>
              <w:spacing w:line="276" w:lineRule="auto"/>
              <w:rPr>
                <w:rFonts w:cstheme="minorHAnsi"/>
                <w:sz w:val="19"/>
                <w:szCs w:val="19"/>
              </w:rPr>
            </w:pPr>
            <w:r w:rsidRPr="00771A47">
              <w:rPr>
                <w:rFonts w:cstheme="minorHAnsi"/>
                <w:sz w:val="19"/>
                <w:szCs w:val="19"/>
              </w:rPr>
              <w:t>5.1.1 Establish National M&amp;E Taskforce with clear TORs to monitor, evaluate and report on the progress of NCD actions against agreed targets</w:t>
            </w:r>
          </w:p>
        </w:tc>
        <w:tc>
          <w:tcPr>
            <w:tcW w:w="2126" w:type="dxa"/>
          </w:tcPr>
          <w:p w14:paraId="4E8994E9" w14:textId="77777777" w:rsidR="005F52CD" w:rsidRPr="00771A47" w:rsidRDefault="005F52CD" w:rsidP="00DF166F">
            <w:pPr>
              <w:spacing w:line="276" w:lineRule="auto"/>
              <w:rPr>
                <w:rFonts w:cstheme="minorHAnsi"/>
                <w:sz w:val="19"/>
                <w:szCs w:val="19"/>
              </w:rPr>
            </w:pPr>
            <w:r w:rsidRPr="00771A47">
              <w:rPr>
                <w:rFonts w:cstheme="minorHAnsi"/>
                <w:sz w:val="19"/>
                <w:szCs w:val="19"/>
              </w:rPr>
              <w:t xml:space="preserve">NNCDC TongaHealth Statistics Department </w:t>
            </w:r>
          </w:p>
          <w:p w14:paraId="0F228E2E" w14:textId="77777777" w:rsidR="005F52CD" w:rsidRPr="00771A47" w:rsidRDefault="005F52CD" w:rsidP="00DF166F">
            <w:pPr>
              <w:spacing w:line="276" w:lineRule="auto"/>
              <w:rPr>
                <w:rFonts w:cstheme="minorHAnsi"/>
                <w:sz w:val="19"/>
                <w:szCs w:val="19"/>
              </w:rPr>
            </w:pPr>
            <w:r w:rsidRPr="00771A47">
              <w:rPr>
                <w:rFonts w:cstheme="minorHAnsi"/>
                <w:sz w:val="19"/>
                <w:szCs w:val="19"/>
              </w:rPr>
              <w:t>PMO</w:t>
            </w:r>
          </w:p>
        </w:tc>
        <w:tc>
          <w:tcPr>
            <w:tcW w:w="426" w:type="dxa"/>
          </w:tcPr>
          <w:p w14:paraId="3BB544E4"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3420B1ED"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6556956E"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45AF8FFA"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7B333CB0"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77AC2817" w14:textId="77777777" w:rsidR="005F52CD" w:rsidRPr="00771A47" w:rsidRDefault="005F52CD" w:rsidP="00DF166F">
            <w:pPr>
              <w:pStyle w:val="TableParagraph"/>
              <w:spacing w:line="276" w:lineRule="auto"/>
              <w:ind w:right="159"/>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5.2.2 Establish National M&amp;E Taskforce (8) &amp; develop </w:t>
            </w:r>
            <w:proofErr w:type="gramStart"/>
            <w:r w:rsidRPr="00771A47">
              <w:rPr>
                <w:rFonts w:asciiTheme="minorHAnsi" w:eastAsiaTheme="minorHAnsi" w:hAnsiTheme="minorHAnsi" w:cstheme="minorHAnsi"/>
                <w:kern w:val="2"/>
                <w:sz w:val="19"/>
                <w:szCs w:val="19"/>
                <w14:ligatures w14:val="standardContextual"/>
              </w:rPr>
              <w:t>TORs</w:t>
            </w:r>
            <w:proofErr w:type="gramEnd"/>
          </w:p>
          <w:p w14:paraId="228AF9D0" w14:textId="77777777" w:rsidR="005F52CD" w:rsidRPr="00771A47" w:rsidRDefault="005F52CD" w:rsidP="00DF166F">
            <w:pPr>
              <w:spacing w:line="276" w:lineRule="auto"/>
              <w:rPr>
                <w:rFonts w:cstheme="minorHAnsi"/>
                <w:sz w:val="19"/>
                <w:szCs w:val="19"/>
              </w:rPr>
            </w:pPr>
            <w:r w:rsidRPr="00771A47">
              <w:rPr>
                <w:rFonts w:cstheme="minorHAnsi"/>
                <w:sz w:val="19"/>
                <w:szCs w:val="19"/>
              </w:rPr>
              <w:t>for the taskforce (meet quarterly)</w:t>
            </w:r>
          </w:p>
        </w:tc>
        <w:tc>
          <w:tcPr>
            <w:tcW w:w="2898" w:type="dxa"/>
          </w:tcPr>
          <w:p w14:paraId="489E52FD" w14:textId="69F15FBC" w:rsidR="005F52CD" w:rsidRPr="00771A47" w:rsidRDefault="005F52CD" w:rsidP="00DF166F">
            <w:pPr>
              <w:spacing w:line="276" w:lineRule="auto"/>
              <w:rPr>
                <w:rFonts w:cstheme="minorHAnsi"/>
                <w:sz w:val="19"/>
                <w:szCs w:val="19"/>
              </w:rPr>
            </w:pPr>
            <w:r w:rsidRPr="00771A47">
              <w:rPr>
                <w:rFonts w:cstheme="minorHAnsi"/>
                <w:sz w:val="19"/>
                <w:szCs w:val="19"/>
              </w:rPr>
              <w:t xml:space="preserve">Taskforce convened in mid-2023, </w:t>
            </w:r>
            <w:r w:rsidR="006C58E3">
              <w:rPr>
                <w:rFonts w:cstheme="minorHAnsi"/>
                <w:sz w:val="19"/>
                <w:szCs w:val="19"/>
              </w:rPr>
              <w:t>two</w:t>
            </w:r>
            <w:r w:rsidRPr="00771A47">
              <w:rPr>
                <w:rFonts w:cstheme="minorHAnsi"/>
                <w:sz w:val="19"/>
                <w:szCs w:val="19"/>
              </w:rPr>
              <w:t xml:space="preserve"> meeting</w:t>
            </w:r>
            <w:r w:rsidR="006C58E3">
              <w:rPr>
                <w:rFonts w:cstheme="minorHAnsi"/>
                <w:sz w:val="19"/>
                <w:szCs w:val="19"/>
              </w:rPr>
              <w:t>s</w:t>
            </w:r>
            <w:r w:rsidRPr="00771A47">
              <w:rPr>
                <w:rFonts w:cstheme="minorHAnsi"/>
                <w:sz w:val="19"/>
                <w:szCs w:val="19"/>
              </w:rPr>
              <w:t xml:space="preserve"> to date</w:t>
            </w:r>
            <w:r w:rsidR="00AA47F3" w:rsidRPr="00771A47">
              <w:rPr>
                <w:rFonts w:cstheme="minorHAnsi"/>
                <w:sz w:val="19"/>
                <w:szCs w:val="19"/>
              </w:rPr>
              <w:t>, TORs finalised</w:t>
            </w:r>
            <w:r w:rsidRPr="00771A47">
              <w:rPr>
                <w:rFonts w:cstheme="minorHAnsi"/>
                <w:sz w:val="19"/>
                <w:szCs w:val="19"/>
              </w:rPr>
              <w:t xml:space="preserve">. </w:t>
            </w:r>
          </w:p>
        </w:tc>
      </w:tr>
      <w:tr w:rsidR="00566884" w:rsidRPr="00771A47" w14:paraId="0584B58A" w14:textId="77777777" w:rsidTr="00566884">
        <w:tc>
          <w:tcPr>
            <w:tcW w:w="1986" w:type="dxa"/>
          </w:tcPr>
          <w:p w14:paraId="1BCC2042" w14:textId="49B711E9" w:rsidR="00BB1B9F" w:rsidRPr="00771A47" w:rsidRDefault="00BB1B9F" w:rsidP="00BB1B9F">
            <w:pPr>
              <w:spacing w:line="276" w:lineRule="auto"/>
              <w:rPr>
                <w:rFonts w:cstheme="minorHAnsi"/>
                <w:sz w:val="19"/>
                <w:szCs w:val="19"/>
              </w:rPr>
            </w:pPr>
            <w:r w:rsidRPr="00771A47">
              <w:rPr>
                <w:rFonts w:cstheme="minorHAnsi"/>
                <w:sz w:val="19"/>
                <w:szCs w:val="19"/>
              </w:rPr>
              <w:lastRenderedPageBreak/>
              <w:t>5.1 National M&amp;E Taskforce established and operational</w:t>
            </w:r>
          </w:p>
        </w:tc>
        <w:tc>
          <w:tcPr>
            <w:tcW w:w="3118" w:type="dxa"/>
          </w:tcPr>
          <w:p w14:paraId="00FE4D09" w14:textId="77777777" w:rsidR="00BB1B9F" w:rsidRPr="00771A47" w:rsidRDefault="00BB1B9F" w:rsidP="00BB1B9F">
            <w:pPr>
              <w:spacing w:line="276" w:lineRule="auto"/>
              <w:rPr>
                <w:rFonts w:cstheme="minorHAnsi"/>
                <w:sz w:val="19"/>
                <w:szCs w:val="19"/>
              </w:rPr>
            </w:pPr>
            <w:r w:rsidRPr="00771A47">
              <w:rPr>
                <w:rFonts w:cstheme="minorHAnsi"/>
                <w:sz w:val="19"/>
                <w:szCs w:val="19"/>
              </w:rPr>
              <w:t>5.1.2 Communicate the M&amp;E framework to all stakeholders to facilitate and enhance a shared understanding of reporting requirements against agreed targets</w:t>
            </w:r>
          </w:p>
        </w:tc>
        <w:tc>
          <w:tcPr>
            <w:tcW w:w="2126" w:type="dxa"/>
          </w:tcPr>
          <w:p w14:paraId="36DE0991" w14:textId="77777777" w:rsidR="00BB1B9F" w:rsidRPr="00771A47" w:rsidRDefault="00BB1B9F" w:rsidP="00BB1B9F">
            <w:pPr>
              <w:spacing w:line="276" w:lineRule="auto"/>
              <w:rPr>
                <w:rFonts w:cstheme="minorHAnsi"/>
                <w:sz w:val="19"/>
                <w:szCs w:val="19"/>
              </w:rPr>
            </w:pPr>
            <w:r w:rsidRPr="00771A47">
              <w:rPr>
                <w:rFonts w:cstheme="minorHAnsi"/>
                <w:sz w:val="19"/>
                <w:szCs w:val="19"/>
              </w:rPr>
              <w:t>M&amp;E Taskforce TongaHealth National Statistics Office</w:t>
            </w:r>
          </w:p>
        </w:tc>
        <w:tc>
          <w:tcPr>
            <w:tcW w:w="426" w:type="dxa"/>
          </w:tcPr>
          <w:p w14:paraId="7F21DB76"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50ED36BA"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75956F6"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7969E99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6F3337F8"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1AF71783" w14:textId="74C34534"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144DBE28" w14:textId="0F4084C2" w:rsidR="00BB1B9F" w:rsidRPr="00771A47" w:rsidRDefault="00BB1B9F" w:rsidP="00BB1B9F">
            <w:pPr>
              <w:spacing w:line="276" w:lineRule="auto"/>
              <w:rPr>
                <w:rFonts w:cstheme="minorHAnsi"/>
                <w:sz w:val="19"/>
                <w:szCs w:val="19"/>
              </w:rPr>
            </w:pPr>
            <w:r w:rsidRPr="00771A47">
              <w:rPr>
                <w:rFonts w:cstheme="minorHAnsi"/>
                <w:sz w:val="19"/>
                <w:szCs w:val="19"/>
              </w:rPr>
              <w:t>M&amp;E Framework was socialised at first NCD Taskforce meeting in mid-2023</w:t>
            </w:r>
          </w:p>
        </w:tc>
      </w:tr>
      <w:tr w:rsidR="00566884" w:rsidRPr="00771A47" w14:paraId="5AB31FE0" w14:textId="77777777" w:rsidTr="00566884">
        <w:tc>
          <w:tcPr>
            <w:tcW w:w="1986" w:type="dxa"/>
          </w:tcPr>
          <w:p w14:paraId="4F351AAA" w14:textId="77777777" w:rsidR="005F52CD" w:rsidRPr="00771A47" w:rsidRDefault="005F52CD" w:rsidP="00DF166F">
            <w:pPr>
              <w:spacing w:line="276" w:lineRule="auto"/>
              <w:rPr>
                <w:rFonts w:cstheme="minorHAnsi"/>
                <w:sz w:val="19"/>
                <w:szCs w:val="19"/>
              </w:rPr>
            </w:pPr>
            <w:r w:rsidRPr="00771A47">
              <w:rPr>
                <w:rFonts w:cstheme="minorHAnsi"/>
                <w:sz w:val="19"/>
                <w:szCs w:val="19"/>
              </w:rPr>
              <w:t xml:space="preserve">5.2 Robust accountability mechanisms developed, </w:t>
            </w:r>
            <w:proofErr w:type="gramStart"/>
            <w:r w:rsidRPr="00771A47">
              <w:rPr>
                <w:rFonts w:cstheme="minorHAnsi"/>
                <w:sz w:val="19"/>
                <w:szCs w:val="19"/>
              </w:rPr>
              <w:t>maintained</w:t>
            </w:r>
            <w:proofErr w:type="gramEnd"/>
            <w:r w:rsidRPr="00771A47">
              <w:rPr>
                <w:rFonts w:cstheme="minorHAnsi"/>
                <w:sz w:val="19"/>
                <w:szCs w:val="19"/>
              </w:rPr>
              <w:t xml:space="preserve"> and reported on</w:t>
            </w:r>
          </w:p>
        </w:tc>
        <w:tc>
          <w:tcPr>
            <w:tcW w:w="3118" w:type="dxa"/>
          </w:tcPr>
          <w:p w14:paraId="434CDA0D" w14:textId="77777777" w:rsidR="005F52CD" w:rsidRPr="00771A47" w:rsidRDefault="005F52CD" w:rsidP="00DF166F">
            <w:pPr>
              <w:spacing w:line="276" w:lineRule="auto"/>
              <w:rPr>
                <w:rFonts w:cstheme="minorHAnsi"/>
                <w:sz w:val="19"/>
                <w:szCs w:val="19"/>
              </w:rPr>
            </w:pPr>
            <w:r w:rsidRPr="00771A47">
              <w:rPr>
                <w:rFonts w:cstheme="minorHAnsi"/>
                <w:sz w:val="19"/>
                <w:szCs w:val="19"/>
              </w:rPr>
              <w:t>5.2.1 Conduct annual national-level surveys to monitor the targets and indicators</w:t>
            </w:r>
          </w:p>
        </w:tc>
        <w:tc>
          <w:tcPr>
            <w:tcW w:w="2126" w:type="dxa"/>
          </w:tcPr>
          <w:p w14:paraId="7A467786" w14:textId="77777777" w:rsidR="00176DE4" w:rsidRPr="00771A47" w:rsidRDefault="005F52CD" w:rsidP="00DF166F">
            <w:pPr>
              <w:spacing w:line="276" w:lineRule="auto"/>
              <w:rPr>
                <w:rFonts w:cstheme="minorHAnsi"/>
                <w:sz w:val="19"/>
                <w:szCs w:val="19"/>
              </w:rPr>
            </w:pPr>
            <w:r w:rsidRPr="00771A47">
              <w:rPr>
                <w:rFonts w:cstheme="minorHAnsi"/>
                <w:sz w:val="19"/>
                <w:szCs w:val="19"/>
              </w:rPr>
              <w:t xml:space="preserve">M&amp;E Taskforce </w:t>
            </w:r>
          </w:p>
          <w:p w14:paraId="5A72DEA6" w14:textId="77777777" w:rsidR="00176DE4" w:rsidRPr="00771A47" w:rsidRDefault="005F52CD" w:rsidP="00DF166F">
            <w:pPr>
              <w:spacing w:line="276" w:lineRule="auto"/>
              <w:rPr>
                <w:rFonts w:cstheme="minorHAnsi"/>
                <w:sz w:val="19"/>
                <w:szCs w:val="19"/>
              </w:rPr>
            </w:pPr>
            <w:r w:rsidRPr="00771A47">
              <w:rPr>
                <w:rFonts w:cstheme="minorHAnsi"/>
                <w:sz w:val="19"/>
                <w:szCs w:val="19"/>
              </w:rPr>
              <w:t xml:space="preserve">SPC </w:t>
            </w:r>
          </w:p>
          <w:p w14:paraId="76560CF2" w14:textId="2219FFB1" w:rsidR="005F52CD" w:rsidRPr="00771A47" w:rsidRDefault="005F52CD" w:rsidP="00DF166F">
            <w:pPr>
              <w:spacing w:line="276" w:lineRule="auto"/>
              <w:rPr>
                <w:rFonts w:cstheme="minorHAnsi"/>
                <w:sz w:val="19"/>
                <w:szCs w:val="19"/>
              </w:rPr>
            </w:pPr>
            <w:r w:rsidRPr="00771A47">
              <w:rPr>
                <w:rFonts w:cstheme="minorHAnsi"/>
                <w:sz w:val="19"/>
                <w:szCs w:val="19"/>
              </w:rPr>
              <w:t>WHO</w:t>
            </w:r>
          </w:p>
        </w:tc>
        <w:tc>
          <w:tcPr>
            <w:tcW w:w="426" w:type="dxa"/>
          </w:tcPr>
          <w:p w14:paraId="5E3B9327"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2E892718"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5EAD9B15"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5" w:type="dxa"/>
          </w:tcPr>
          <w:p w14:paraId="45236CE4"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426" w:type="dxa"/>
          </w:tcPr>
          <w:p w14:paraId="7B152EC2" w14:textId="77777777" w:rsidR="005F52CD" w:rsidRPr="00771A47" w:rsidRDefault="005F52CD" w:rsidP="00DF166F">
            <w:pPr>
              <w:spacing w:line="276" w:lineRule="auto"/>
              <w:rPr>
                <w:rFonts w:cstheme="minorHAnsi"/>
                <w:sz w:val="19"/>
                <w:szCs w:val="19"/>
              </w:rPr>
            </w:pPr>
            <w:r w:rsidRPr="00771A47">
              <w:rPr>
                <w:rFonts w:cstheme="minorHAnsi"/>
                <w:sz w:val="19"/>
                <w:szCs w:val="19"/>
              </w:rPr>
              <w:t>x</w:t>
            </w:r>
          </w:p>
        </w:tc>
        <w:tc>
          <w:tcPr>
            <w:tcW w:w="2126" w:type="dxa"/>
          </w:tcPr>
          <w:p w14:paraId="76AFB0B3" w14:textId="77777777" w:rsidR="005F52CD" w:rsidRPr="00771A47" w:rsidRDefault="005F52CD" w:rsidP="00DF166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5.1.20 Support MOH to conduct STEPS </w:t>
            </w:r>
            <w:proofErr w:type="gramStart"/>
            <w:r w:rsidRPr="00771A47">
              <w:rPr>
                <w:rFonts w:asciiTheme="minorHAnsi" w:eastAsiaTheme="minorHAnsi" w:hAnsiTheme="minorHAnsi" w:cstheme="minorHAnsi"/>
                <w:kern w:val="2"/>
                <w:sz w:val="19"/>
                <w:szCs w:val="19"/>
                <w14:ligatures w14:val="standardContextual"/>
              </w:rPr>
              <w:t>survey</w:t>
            </w:r>
            <w:proofErr w:type="gramEnd"/>
            <w:r w:rsidRPr="00771A47">
              <w:rPr>
                <w:rFonts w:asciiTheme="minorHAnsi" w:eastAsiaTheme="minorHAnsi" w:hAnsiTheme="minorHAnsi" w:cstheme="minorHAnsi"/>
                <w:kern w:val="2"/>
                <w:sz w:val="19"/>
                <w:szCs w:val="19"/>
                <w14:ligatures w14:val="standardContextual"/>
              </w:rPr>
              <w:t xml:space="preserve"> </w:t>
            </w:r>
          </w:p>
          <w:p w14:paraId="4D1AB657" w14:textId="77777777" w:rsidR="005F52CD" w:rsidRPr="00771A47" w:rsidRDefault="005F52CD" w:rsidP="00DF166F">
            <w:pPr>
              <w:spacing w:line="276" w:lineRule="auto"/>
              <w:rPr>
                <w:rFonts w:cstheme="minorHAnsi"/>
                <w:sz w:val="19"/>
                <w:szCs w:val="19"/>
              </w:rPr>
            </w:pPr>
          </w:p>
        </w:tc>
        <w:tc>
          <w:tcPr>
            <w:tcW w:w="2898" w:type="dxa"/>
          </w:tcPr>
          <w:p w14:paraId="14D2166D" w14:textId="4F0AA749" w:rsidR="005F52CD" w:rsidRPr="00771A47" w:rsidRDefault="005F52CD" w:rsidP="00DF166F">
            <w:pPr>
              <w:spacing w:line="276" w:lineRule="auto"/>
              <w:rPr>
                <w:rFonts w:cstheme="minorHAnsi"/>
                <w:sz w:val="19"/>
                <w:szCs w:val="19"/>
              </w:rPr>
            </w:pPr>
            <w:r w:rsidRPr="00771A47">
              <w:rPr>
                <w:rFonts w:cstheme="minorHAnsi"/>
                <w:sz w:val="19"/>
                <w:szCs w:val="19"/>
              </w:rPr>
              <w:t>Planned for FY23/24, TongaHealth to provide financial support</w:t>
            </w:r>
          </w:p>
        </w:tc>
      </w:tr>
      <w:tr w:rsidR="00566884" w:rsidRPr="00771A47" w14:paraId="52ABA619" w14:textId="77777777" w:rsidTr="00566884">
        <w:tc>
          <w:tcPr>
            <w:tcW w:w="1986" w:type="dxa"/>
          </w:tcPr>
          <w:p w14:paraId="24DAAAC5" w14:textId="2B9A16A3" w:rsidR="00BB1B9F" w:rsidRPr="00771A47" w:rsidRDefault="00BB1B9F" w:rsidP="00BB1B9F">
            <w:pPr>
              <w:spacing w:line="276" w:lineRule="auto"/>
              <w:rPr>
                <w:rFonts w:cstheme="minorHAnsi"/>
                <w:sz w:val="19"/>
                <w:szCs w:val="19"/>
              </w:rPr>
            </w:pPr>
            <w:r w:rsidRPr="00702797">
              <w:rPr>
                <w:rFonts w:cstheme="minorHAnsi"/>
                <w:sz w:val="19"/>
                <w:szCs w:val="19"/>
              </w:rPr>
              <w:t xml:space="preserve">5.2 Robust accountability mechanisms developed, </w:t>
            </w:r>
            <w:proofErr w:type="gramStart"/>
            <w:r w:rsidRPr="00702797">
              <w:rPr>
                <w:rFonts w:cstheme="minorHAnsi"/>
                <w:sz w:val="19"/>
                <w:szCs w:val="19"/>
              </w:rPr>
              <w:t>maintained</w:t>
            </w:r>
            <w:proofErr w:type="gramEnd"/>
            <w:r w:rsidRPr="00702797">
              <w:rPr>
                <w:rFonts w:cstheme="minorHAnsi"/>
                <w:sz w:val="19"/>
                <w:szCs w:val="19"/>
              </w:rPr>
              <w:t xml:space="preserve"> and reported on</w:t>
            </w:r>
          </w:p>
        </w:tc>
        <w:tc>
          <w:tcPr>
            <w:tcW w:w="3118" w:type="dxa"/>
          </w:tcPr>
          <w:p w14:paraId="73D60B99" w14:textId="77777777" w:rsidR="00BB1B9F" w:rsidRPr="00771A47" w:rsidRDefault="00BB1B9F" w:rsidP="00BB1B9F">
            <w:pPr>
              <w:spacing w:line="276" w:lineRule="auto"/>
              <w:rPr>
                <w:rFonts w:cstheme="minorHAnsi"/>
                <w:sz w:val="19"/>
                <w:szCs w:val="19"/>
              </w:rPr>
            </w:pPr>
            <w:r w:rsidRPr="00771A47">
              <w:rPr>
                <w:rFonts w:cstheme="minorHAnsi"/>
                <w:sz w:val="19"/>
                <w:szCs w:val="19"/>
              </w:rPr>
              <w:t>5.2.2 Establish quality assurance structures and mechanisms for monitoring and evaluating NCD interventions</w:t>
            </w:r>
          </w:p>
        </w:tc>
        <w:tc>
          <w:tcPr>
            <w:tcW w:w="2126" w:type="dxa"/>
          </w:tcPr>
          <w:p w14:paraId="7587EA15" w14:textId="77777777" w:rsidR="00BB1B9F" w:rsidRPr="00771A47" w:rsidRDefault="00BB1B9F" w:rsidP="00BB1B9F">
            <w:pPr>
              <w:spacing w:line="276" w:lineRule="auto"/>
              <w:rPr>
                <w:rFonts w:cstheme="minorHAnsi"/>
                <w:sz w:val="19"/>
                <w:szCs w:val="19"/>
              </w:rPr>
            </w:pPr>
            <w:r w:rsidRPr="00771A47">
              <w:rPr>
                <w:rFonts w:cstheme="minorHAnsi"/>
                <w:sz w:val="19"/>
                <w:szCs w:val="19"/>
              </w:rPr>
              <w:t>M&amp;E Taskforce MOH</w:t>
            </w:r>
          </w:p>
        </w:tc>
        <w:tc>
          <w:tcPr>
            <w:tcW w:w="426" w:type="dxa"/>
          </w:tcPr>
          <w:p w14:paraId="7A2C316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0C70D79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00AE610"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1D28CE7A"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4185EFE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4A51DCCB" w14:textId="62F5119F"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41902A18" w14:textId="3A198EF8"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r w:rsidR="00566884" w:rsidRPr="00771A47" w14:paraId="46D70502" w14:textId="77777777" w:rsidTr="00566884">
        <w:tc>
          <w:tcPr>
            <w:tcW w:w="1986" w:type="dxa"/>
          </w:tcPr>
          <w:p w14:paraId="1E0FDC95" w14:textId="516322E3" w:rsidR="00BB1B9F" w:rsidRPr="00771A47" w:rsidRDefault="00BB1B9F" w:rsidP="00BB1B9F">
            <w:pPr>
              <w:spacing w:line="276" w:lineRule="auto"/>
              <w:rPr>
                <w:rFonts w:cstheme="minorHAnsi"/>
                <w:sz w:val="19"/>
                <w:szCs w:val="19"/>
              </w:rPr>
            </w:pPr>
            <w:r w:rsidRPr="00702797">
              <w:rPr>
                <w:rFonts w:cstheme="minorHAnsi"/>
                <w:sz w:val="19"/>
                <w:szCs w:val="19"/>
              </w:rPr>
              <w:t xml:space="preserve">5.2 Robust accountability mechanisms developed, </w:t>
            </w:r>
            <w:proofErr w:type="gramStart"/>
            <w:r w:rsidRPr="00702797">
              <w:rPr>
                <w:rFonts w:cstheme="minorHAnsi"/>
                <w:sz w:val="19"/>
                <w:szCs w:val="19"/>
              </w:rPr>
              <w:t>maintained</w:t>
            </w:r>
            <w:proofErr w:type="gramEnd"/>
            <w:r w:rsidRPr="00702797">
              <w:rPr>
                <w:rFonts w:cstheme="minorHAnsi"/>
                <w:sz w:val="19"/>
                <w:szCs w:val="19"/>
              </w:rPr>
              <w:t xml:space="preserve"> and reported on</w:t>
            </w:r>
          </w:p>
        </w:tc>
        <w:tc>
          <w:tcPr>
            <w:tcW w:w="3118" w:type="dxa"/>
          </w:tcPr>
          <w:p w14:paraId="618E0F40" w14:textId="77777777" w:rsidR="00BB1B9F" w:rsidRPr="00771A47" w:rsidRDefault="00BB1B9F" w:rsidP="00BB1B9F">
            <w:pPr>
              <w:spacing w:line="276" w:lineRule="auto"/>
              <w:rPr>
                <w:rFonts w:cstheme="minorHAnsi"/>
                <w:sz w:val="19"/>
                <w:szCs w:val="19"/>
              </w:rPr>
            </w:pPr>
            <w:r w:rsidRPr="00771A47">
              <w:rPr>
                <w:rFonts w:cstheme="minorHAnsi"/>
                <w:sz w:val="19"/>
                <w:szCs w:val="19"/>
              </w:rPr>
              <w:t>5.2.3 Conduct annual National NCD Health Facility Survey or integrate health system performance indicators into existing health facility surveys</w:t>
            </w:r>
          </w:p>
        </w:tc>
        <w:tc>
          <w:tcPr>
            <w:tcW w:w="2126" w:type="dxa"/>
          </w:tcPr>
          <w:p w14:paraId="21EC0343" w14:textId="77777777" w:rsidR="00BB1B9F" w:rsidRPr="00771A47" w:rsidRDefault="00BB1B9F" w:rsidP="00BB1B9F">
            <w:pPr>
              <w:spacing w:line="276" w:lineRule="auto"/>
              <w:rPr>
                <w:rFonts w:cstheme="minorHAnsi"/>
                <w:sz w:val="19"/>
                <w:szCs w:val="19"/>
              </w:rPr>
            </w:pPr>
            <w:r w:rsidRPr="00771A47">
              <w:rPr>
                <w:rFonts w:cstheme="minorHAnsi"/>
                <w:sz w:val="19"/>
                <w:szCs w:val="19"/>
              </w:rPr>
              <w:t>M&amp;E Taskforce MOH</w:t>
            </w:r>
          </w:p>
        </w:tc>
        <w:tc>
          <w:tcPr>
            <w:tcW w:w="426" w:type="dxa"/>
          </w:tcPr>
          <w:p w14:paraId="7645E23A"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7204B072"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8F1FC7A"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66F9FED"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73570523"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6C6CF8D6" w14:textId="0984BF82"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2B9323F4" w14:textId="57E743B7" w:rsidR="00BB1B9F" w:rsidRPr="00771A47" w:rsidRDefault="00BB1B9F" w:rsidP="00BB1B9F">
            <w:pPr>
              <w:spacing w:line="276" w:lineRule="auto"/>
              <w:rPr>
                <w:rFonts w:cstheme="minorHAnsi"/>
                <w:i/>
                <w:iCs/>
                <w:sz w:val="19"/>
                <w:szCs w:val="19"/>
              </w:rPr>
            </w:pPr>
            <w:r w:rsidRPr="00771A47">
              <w:rPr>
                <w:rFonts w:cstheme="minorHAnsi"/>
                <w:i/>
                <w:iCs/>
                <w:sz w:val="19"/>
                <w:szCs w:val="19"/>
              </w:rPr>
              <w:t>(Not in scope for TongaHealth)</w:t>
            </w:r>
          </w:p>
        </w:tc>
      </w:tr>
      <w:tr w:rsidR="00566884" w:rsidRPr="00771A47" w14:paraId="0A66E1D4" w14:textId="77777777" w:rsidTr="00566884">
        <w:tc>
          <w:tcPr>
            <w:tcW w:w="1986" w:type="dxa"/>
          </w:tcPr>
          <w:p w14:paraId="41E7EE80" w14:textId="633E36BB" w:rsidR="00BB1B9F" w:rsidRPr="00771A47" w:rsidRDefault="00BB1B9F" w:rsidP="00BB1B9F">
            <w:pPr>
              <w:spacing w:line="276" w:lineRule="auto"/>
              <w:rPr>
                <w:rFonts w:cstheme="minorHAnsi"/>
                <w:sz w:val="19"/>
                <w:szCs w:val="19"/>
              </w:rPr>
            </w:pPr>
            <w:r w:rsidRPr="00702797">
              <w:rPr>
                <w:rFonts w:cstheme="minorHAnsi"/>
                <w:sz w:val="19"/>
                <w:szCs w:val="19"/>
              </w:rPr>
              <w:t xml:space="preserve">5.2 Robust accountability mechanisms developed, </w:t>
            </w:r>
            <w:proofErr w:type="gramStart"/>
            <w:r w:rsidRPr="00702797">
              <w:rPr>
                <w:rFonts w:cstheme="minorHAnsi"/>
                <w:sz w:val="19"/>
                <w:szCs w:val="19"/>
              </w:rPr>
              <w:t>maintained</w:t>
            </w:r>
            <w:proofErr w:type="gramEnd"/>
            <w:r w:rsidRPr="00702797">
              <w:rPr>
                <w:rFonts w:cstheme="minorHAnsi"/>
                <w:sz w:val="19"/>
                <w:szCs w:val="19"/>
              </w:rPr>
              <w:t xml:space="preserve"> and reported on</w:t>
            </w:r>
          </w:p>
        </w:tc>
        <w:tc>
          <w:tcPr>
            <w:tcW w:w="3118" w:type="dxa"/>
          </w:tcPr>
          <w:p w14:paraId="79B576FE" w14:textId="77777777" w:rsidR="00BB1B9F" w:rsidRPr="00771A47" w:rsidRDefault="00BB1B9F" w:rsidP="00BB1B9F">
            <w:pPr>
              <w:spacing w:line="276" w:lineRule="auto"/>
              <w:rPr>
                <w:rFonts w:cstheme="minorHAnsi"/>
                <w:sz w:val="19"/>
                <w:szCs w:val="19"/>
              </w:rPr>
            </w:pPr>
            <w:r w:rsidRPr="00771A47">
              <w:rPr>
                <w:rFonts w:cstheme="minorHAnsi"/>
                <w:sz w:val="19"/>
                <w:szCs w:val="19"/>
              </w:rPr>
              <w:t>5.2.4 Conduct periodic school-based health surveys</w:t>
            </w:r>
          </w:p>
        </w:tc>
        <w:tc>
          <w:tcPr>
            <w:tcW w:w="2126" w:type="dxa"/>
          </w:tcPr>
          <w:p w14:paraId="50A5F052" w14:textId="77777777" w:rsidR="00BB1B9F" w:rsidRPr="00771A47" w:rsidRDefault="00BB1B9F" w:rsidP="00BB1B9F">
            <w:pPr>
              <w:spacing w:line="276" w:lineRule="auto"/>
              <w:rPr>
                <w:rFonts w:cstheme="minorHAnsi"/>
                <w:sz w:val="19"/>
                <w:szCs w:val="19"/>
              </w:rPr>
            </w:pPr>
            <w:r w:rsidRPr="00771A47">
              <w:rPr>
                <w:rFonts w:cstheme="minorHAnsi"/>
                <w:sz w:val="19"/>
                <w:szCs w:val="19"/>
              </w:rPr>
              <w:t xml:space="preserve">M&amp;E Taskforce MOH </w:t>
            </w:r>
          </w:p>
          <w:p w14:paraId="41A2EDF4" w14:textId="5A17730F" w:rsidR="00BB1B9F" w:rsidRPr="00771A47" w:rsidRDefault="00BB1B9F" w:rsidP="00BB1B9F">
            <w:pPr>
              <w:spacing w:line="276" w:lineRule="auto"/>
              <w:rPr>
                <w:rFonts w:cstheme="minorHAnsi"/>
                <w:sz w:val="19"/>
                <w:szCs w:val="19"/>
              </w:rPr>
            </w:pPr>
            <w:r w:rsidRPr="00771A47">
              <w:rPr>
                <w:rFonts w:cstheme="minorHAnsi"/>
                <w:sz w:val="19"/>
                <w:szCs w:val="19"/>
              </w:rPr>
              <w:t>MOE</w:t>
            </w:r>
          </w:p>
        </w:tc>
        <w:tc>
          <w:tcPr>
            <w:tcW w:w="426" w:type="dxa"/>
          </w:tcPr>
          <w:p w14:paraId="228F70E6" w14:textId="6768FE47"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73EAF76D" w14:textId="236AF61B"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18230291" w14:textId="28E527E6"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122632C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5E775F79" w14:textId="0C2B4BD4" w:rsidR="00BB1B9F" w:rsidRPr="00771A47" w:rsidRDefault="00BB1B9F" w:rsidP="00BB1B9F">
            <w:pPr>
              <w:spacing w:line="276" w:lineRule="auto"/>
              <w:rPr>
                <w:rFonts w:cstheme="minorHAnsi"/>
                <w:sz w:val="19"/>
                <w:szCs w:val="19"/>
              </w:rPr>
            </w:pPr>
            <w:r>
              <w:rPr>
                <w:rFonts w:cstheme="minorHAnsi"/>
                <w:sz w:val="19"/>
                <w:szCs w:val="19"/>
              </w:rPr>
              <w:t>-</w:t>
            </w:r>
          </w:p>
        </w:tc>
        <w:tc>
          <w:tcPr>
            <w:tcW w:w="2126" w:type="dxa"/>
          </w:tcPr>
          <w:p w14:paraId="24969AF9" w14:textId="77777777" w:rsidR="00BB1B9F" w:rsidRPr="00771A47" w:rsidRDefault="00BB1B9F" w:rsidP="00BB1B9F">
            <w:pPr>
              <w:pStyle w:val="TableParagraph"/>
              <w:spacing w:line="276" w:lineRule="auto"/>
              <w:rPr>
                <w:rFonts w:asciiTheme="minorHAnsi" w:eastAsiaTheme="minorHAnsi" w:hAnsiTheme="minorHAnsi" w:cstheme="minorHAnsi"/>
                <w:kern w:val="2"/>
                <w:sz w:val="19"/>
                <w:szCs w:val="19"/>
                <w14:ligatures w14:val="standardContextual"/>
              </w:rPr>
            </w:pPr>
            <w:r w:rsidRPr="00771A47">
              <w:rPr>
                <w:rFonts w:asciiTheme="minorHAnsi" w:eastAsiaTheme="minorHAnsi" w:hAnsiTheme="minorHAnsi" w:cstheme="minorHAnsi"/>
                <w:kern w:val="2"/>
                <w:sz w:val="19"/>
                <w:szCs w:val="19"/>
                <w14:ligatures w14:val="standardContextual"/>
              </w:rPr>
              <w:t xml:space="preserve">5.1.21 Support MOH to conduct </w:t>
            </w:r>
            <w:proofErr w:type="gramStart"/>
            <w:r w:rsidRPr="00771A47">
              <w:rPr>
                <w:rFonts w:asciiTheme="minorHAnsi" w:eastAsiaTheme="minorHAnsi" w:hAnsiTheme="minorHAnsi" w:cstheme="minorHAnsi"/>
                <w:kern w:val="2"/>
                <w:sz w:val="19"/>
                <w:szCs w:val="19"/>
                <w14:ligatures w14:val="standardContextual"/>
              </w:rPr>
              <w:t>Tonga</w:t>
            </w:r>
            <w:proofErr w:type="gramEnd"/>
          </w:p>
          <w:p w14:paraId="40C3F928" w14:textId="77777777" w:rsidR="00BB1B9F" w:rsidRPr="00771A47" w:rsidRDefault="00BB1B9F" w:rsidP="00BB1B9F">
            <w:pPr>
              <w:spacing w:line="276" w:lineRule="auto"/>
              <w:rPr>
                <w:rFonts w:cstheme="minorHAnsi"/>
                <w:sz w:val="19"/>
                <w:szCs w:val="19"/>
              </w:rPr>
            </w:pPr>
            <w:r w:rsidRPr="00771A47">
              <w:rPr>
                <w:rFonts w:cstheme="minorHAnsi"/>
                <w:sz w:val="19"/>
                <w:szCs w:val="19"/>
              </w:rPr>
              <w:t>Global School-based Student Health Survey (GSHS)</w:t>
            </w:r>
          </w:p>
        </w:tc>
        <w:tc>
          <w:tcPr>
            <w:tcW w:w="2898" w:type="dxa"/>
          </w:tcPr>
          <w:p w14:paraId="393A3DF0" w14:textId="0C9100AE" w:rsidR="00BB1B9F" w:rsidRPr="00771A47" w:rsidRDefault="00BB1B9F" w:rsidP="00BB1B9F">
            <w:pPr>
              <w:spacing w:line="276" w:lineRule="auto"/>
              <w:rPr>
                <w:rFonts w:cstheme="minorHAnsi"/>
                <w:sz w:val="19"/>
                <w:szCs w:val="19"/>
              </w:rPr>
            </w:pPr>
            <w:r w:rsidRPr="00771A47">
              <w:rPr>
                <w:rFonts w:cstheme="minorHAnsi"/>
                <w:sz w:val="19"/>
                <w:szCs w:val="19"/>
              </w:rPr>
              <w:t>Planned for FY23/24, TongaHealth to provide financial support</w:t>
            </w:r>
          </w:p>
        </w:tc>
      </w:tr>
      <w:tr w:rsidR="00566884" w:rsidRPr="00771A47" w14:paraId="39DC60A0" w14:textId="77777777" w:rsidTr="00566884">
        <w:tc>
          <w:tcPr>
            <w:tcW w:w="1986" w:type="dxa"/>
          </w:tcPr>
          <w:p w14:paraId="27F239FD" w14:textId="77777777" w:rsidR="00BB1B9F" w:rsidRPr="00771A47" w:rsidRDefault="00BB1B9F" w:rsidP="00BB1B9F">
            <w:pPr>
              <w:spacing w:line="276" w:lineRule="auto"/>
              <w:rPr>
                <w:rFonts w:cstheme="minorHAnsi"/>
                <w:sz w:val="19"/>
                <w:szCs w:val="19"/>
              </w:rPr>
            </w:pPr>
            <w:r w:rsidRPr="00771A47">
              <w:rPr>
                <w:rFonts w:cstheme="minorHAnsi"/>
                <w:sz w:val="19"/>
                <w:szCs w:val="19"/>
              </w:rPr>
              <w:lastRenderedPageBreak/>
              <w:t>5.3 Research capacity of local researchers developed</w:t>
            </w:r>
          </w:p>
        </w:tc>
        <w:tc>
          <w:tcPr>
            <w:tcW w:w="3118" w:type="dxa"/>
          </w:tcPr>
          <w:p w14:paraId="12A76CB0" w14:textId="77777777" w:rsidR="00BB1B9F" w:rsidRPr="00771A47" w:rsidRDefault="00BB1B9F" w:rsidP="00BB1B9F">
            <w:pPr>
              <w:spacing w:line="276" w:lineRule="auto"/>
              <w:rPr>
                <w:rFonts w:cstheme="minorHAnsi"/>
                <w:sz w:val="19"/>
                <w:szCs w:val="19"/>
              </w:rPr>
            </w:pPr>
            <w:r w:rsidRPr="00771A47">
              <w:rPr>
                <w:rFonts w:cstheme="minorHAnsi"/>
                <w:sz w:val="19"/>
                <w:szCs w:val="19"/>
              </w:rPr>
              <w:t>5.3.1 Advocate for funding support for locally led research initiatives</w:t>
            </w:r>
          </w:p>
        </w:tc>
        <w:tc>
          <w:tcPr>
            <w:tcW w:w="2126" w:type="dxa"/>
          </w:tcPr>
          <w:p w14:paraId="3C01643E" w14:textId="77777777" w:rsidR="00BB1B9F" w:rsidRPr="00771A47" w:rsidRDefault="00BB1B9F" w:rsidP="00BB1B9F">
            <w:pPr>
              <w:spacing w:line="276" w:lineRule="auto"/>
              <w:rPr>
                <w:rFonts w:cstheme="minorHAnsi"/>
                <w:sz w:val="19"/>
                <w:szCs w:val="19"/>
              </w:rPr>
            </w:pPr>
            <w:r w:rsidRPr="00771A47">
              <w:rPr>
                <w:rFonts w:cstheme="minorHAnsi"/>
                <w:sz w:val="19"/>
                <w:szCs w:val="19"/>
              </w:rPr>
              <w:t>M&amp;E Taskforce TongaHealth Ethics Committee Research institutions</w:t>
            </w:r>
          </w:p>
        </w:tc>
        <w:tc>
          <w:tcPr>
            <w:tcW w:w="426" w:type="dxa"/>
          </w:tcPr>
          <w:p w14:paraId="1C6F833B" w14:textId="27EB1C2E"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7D0A26B4" w14:textId="1D76B2A2"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097BB10B"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943AAF7"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6402B9DE"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57A16851" w14:textId="030E2CE4" w:rsidR="00BB1B9F" w:rsidRPr="00771A47" w:rsidRDefault="00BB1B9F" w:rsidP="00BB1B9F">
            <w:pPr>
              <w:spacing w:line="276" w:lineRule="auto"/>
              <w:rPr>
                <w:rFonts w:cstheme="minorHAnsi"/>
                <w:sz w:val="19"/>
                <w:szCs w:val="19"/>
              </w:rPr>
            </w:pPr>
            <w:r>
              <w:rPr>
                <w:rFonts w:cstheme="minorHAnsi"/>
                <w:sz w:val="19"/>
                <w:szCs w:val="19"/>
              </w:rPr>
              <w:t>N/A</w:t>
            </w:r>
          </w:p>
        </w:tc>
        <w:tc>
          <w:tcPr>
            <w:tcW w:w="2898" w:type="dxa"/>
          </w:tcPr>
          <w:p w14:paraId="417CC67E" w14:textId="0E99D537" w:rsidR="00BB1B9F" w:rsidRPr="00771A47" w:rsidRDefault="00BB1B9F" w:rsidP="00BB1B9F">
            <w:pPr>
              <w:spacing w:line="276" w:lineRule="auto"/>
              <w:rPr>
                <w:rFonts w:cstheme="minorHAnsi"/>
                <w:sz w:val="19"/>
                <w:szCs w:val="19"/>
              </w:rPr>
            </w:pPr>
            <w:r w:rsidRPr="00771A47">
              <w:rPr>
                <w:rFonts w:cstheme="minorHAnsi"/>
                <w:sz w:val="19"/>
                <w:szCs w:val="19"/>
              </w:rPr>
              <w:t>Commissioned the CSO Forum of Tonga to conduct an evaluation of the 2020 anti-tobacco mass media campaign, with the report finalised in December 2021.</w:t>
            </w:r>
          </w:p>
          <w:p w14:paraId="2AF7FA91" w14:textId="023EE250" w:rsidR="00BB1B9F" w:rsidRPr="00771A47" w:rsidRDefault="00BB1B9F" w:rsidP="00BB1B9F">
            <w:pPr>
              <w:spacing w:line="276" w:lineRule="auto"/>
              <w:rPr>
                <w:rFonts w:cstheme="minorHAnsi"/>
                <w:sz w:val="19"/>
                <w:szCs w:val="19"/>
              </w:rPr>
            </w:pPr>
            <w:r w:rsidRPr="00771A47">
              <w:rPr>
                <w:rFonts w:cstheme="minorHAnsi"/>
                <w:sz w:val="19"/>
                <w:szCs w:val="19"/>
              </w:rPr>
              <w:t xml:space="preserve">Partnering with the Ministry of Agriculture and the Australian Centre for International Agricultural Research (ACIAR) for a 4yr project - Our food futures – Pacific young people co-creating healthy, </w:t>
            </w:r>
            <w:proofErr w:type="gramStart"/>
            <w:r w:rsidRPr="00771A47">
              <w:rPr>
                <w:rFonts w:cstheme="minorHAnsi"/>
                <w:sz w:val="19"/>
                <w:szCs w:val="19"/>
              </w:rPr>
              <w:t>sustainable</w:t>
            </w:r>
            <w:proofErr w:type="gramEnd"/>
            <w:r w:rsidRPr="00771A47">
              <w:rPr>
                <w:rFonts w:cstheme="minorHAnsi"/>
                <w:sz w:val="19"/>
                <w:szCs w:val="19"/>
              </w:rPr>
              <w:t xml:space="preserve"> and fair food futures in Fiji and Tonga which aims to empower young people to be advocates for change - with a focus on local food environments.</w:t>
            </w:r>
          </w:p>
          <w:p w14:paraId="253DE1D3" w14:textId="3DD3EA3A" w:rsidR="00BB1B9F" w:rsidRPr="00771A47" w:rsidRDefault="00BB1B9F" w:rsidP="00BB1B9F">
            <w:pPr>
              <w:spacing w:line="276" w:lineRule="auto"/>
              <w:rPr>
                <w:rFonts w:cstheme="minorHAnsi"/>
                <w:sz w:val="19"/>
                <w:szCs w:val="19"/>
              </w:rPr>
            </w:pPr>
            <w:r w:rsidRPr="00771A47">
              <w:rPr>
                <w:rFonts w:cstheme="minorHAnsi"/>
                <w:sz w:val="19"/>
                <w:szCs w:val="19"/>
              </w:rPr>
              <w:t>Have discussed other potential research opportunities in meetings, but none formalised.</w:t>
            </w:r>
          </w:p>
          <w:p w14:paraId="662BD021" w14:textId="7B2987FC" w:rsidR="00BB1B9F" w:rsidRPr="00771A47" w:rsidRDefault="00BB1B9F" w:rsidP="00BB1B9F">
            <w:pPr>
              <w:spacing w:line="276" w:lineRule="auto"/>
              <w:rPr>
                <w:rFonts w:cstheme="minorHAnsi"/>
                <w:sz w:val="19"/>
                <w:szCs w:val="19"/>
              </w:rPr>
            </w:pPr>
          </w:p>
        </w:tc>
      </w:tr>
      <w:tr w:rsidR="00566884" w:rsidRPr="00771A47" w14:paraId="0B006F1D" w14:textId="77777777" w:rsidTr="00566884">
        <w:tc>
          <w:tcPr>
            <w:tcW w:w="1986" w:type="dxa"/>
          </w:tcPr>
          <w:p w14:paraId="56739D69" w14:textId="669E6FDA" w:rsidR="00BB1B9F" w:rsidRPr="00771A47" w:rsidRDefault="00BB1B9F" w:rsidP="00BB1B9F">
            <w:pPr>
              <w:spacing w:line="276" w:lineRule="auto"/>
              <w:rPr>
                <w:rFonts w:cstheme="minorHAnsi"/>
                <w:sz w:val="19"/>
                <w:szCs w:val="19"/>
              </w:rPr>
            </w:pPr>
            <w:r w:rsidRPr="00771A47">
              <w:rPr>
                <w:rFonts w:cstheme="minorHAnsi"/>
                <w:sz w:val="19"/>
                <w:szCs w:val="19"/>
              </w:rPr>
              <w:t>5.3 Research capacity of local researchers developed</w:t>
            </w:r>
          </w:p>
        </w:tc>
        <w:tc>
          <w:tcPr>
            <w:tcW w:w="3118" w:type="dxa"/>
          </w:tcPr>
          <w:p w14:paraId="2C6AA355" w14:textId="77777777" w:rsidR="00BB1B9F" w:rsidRPr="00771A47" w:rsidRDefault="00BB1B9F" w:rsidP="00BB1B9F">
            <w:pPr>
              <w:spacing w:line="276" w:lineRule="auto"/>
              <w:rPr>
                <w:rFonts w:cstheme="minorHAnsi"/>
                <w:sz w:val="19"/>
                <w:szCs w:val="19"/>
              </w:rPr>
            </w:pPr>
            <w:r w:rsidRPr="00771A47">
              <w:rPr>
                <w:rFonts w:cstheme="minorHAnsi"/>
                <w:sz w:val="19"/>
                <w:szCs w:val="19"/>
              </w:rPr>
              <w:t>5.3.2 Conduct and publish operational and policy research initiatives on NCD prevention and control</w:t>
            </w:r>
          </w:p>
        </w:tc>
        <w:tc>
          <w:tcPr>
            <w:tcW w:w="2126" w:type="dxa"/>
          </w:tcPr>
          <w:p w14:paraId="1208B3B9" w14:textId="3D2A59E7" w:rsidR="00BB1B9F" w:rsidRPr="00771A47" w:rsidRDefault="00BB1B9F" w:rsidP="00BB1B9F">
            <w:pPr>
              <w:spacing w:line="276" w:lineRule="auto"/>
              <w:rPr>
                <w:rFonts w:cstheme="minorHAnsi"/>
                <w:sz w:val="19"/>
                <w:szCs w:val="19"/>
              </w:rPr>
            </w:pPr>
            <w:r w:rsidRPr="00771A47">
              <w:rPr>
                <w:rFonts w:cstheme="minorHAnsi"/>
                <w:sz w:val="19"/>
                <w:szCs w:val="19"/>
              </w:rPr>
              <w:t>M&amp;E Taskforce MOH TongaHealth External research organisations</w:t>
            </w:r>
          </w:p>
        </w:tc>
        <w:tc>
          <w:tcPr>
            <w:tcW w:w="426" w:type="dxa"/>
          </w:tcPr>
          <w:p w14:paraId="72E36A64" w14:textId="35CD0509"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19756249" w14:textId="1868C95E"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474849FC"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3B4B1C9E"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4B95AB98"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47E4CA06" w14:textId="77777777" w:rsidR="00BB1B9F" w:rsidRPr="00771A47" w:rsidRDefault="00BB1B9F" w:rsidP="00BB1B9F">
            <w:pPr>
              <w:pStyle w:val="TableParagraph"/>
              <w:spacing w:line="276" w:lineRule="auto"/>
              <w:rPr>
                <w:rFonts w:asciiTheme="minorHAnsi" w:hAnsiTheme="minorHAnsi" w:cstheme="minorHAnsi"/>
                <w:sz w:val="19"/>
                <w:szCs w:val="19"/>
              </w:rPr>
            </w:pPr>
            <w:r w:rsidRPr="00771A47">
              <w:rPr>
                <w:rFonts w:asciiTheme="minorHAnsi" w:eastAsiaTheme="minorHAnsi" w:hAnsiTheme="minorHAnsi" w:cstheme="minorHAnsi"/>
                <w:kern w:val="2"/>
                <w:sz w:val="19"/>
                <w:szCs w:val="19"/>
                <w14:ligatures w14:val="standardContextual"/>
              </w:rPr>
              <w:t xml:space="preserve">5.1.22 Conduct and publish NCD </w:t>
            </w:r>
            <w:r w:rsidRPr="00771A47">
              <w:rPr>
                <w:rFonts w:asciiTheme="minorHAnsi" w:hAnsiTheme="minorHAnsi" w:cstheme="minorHAnsi"/>
                <w:sz w:val="19"/>
                <w:szCs w:val="19"/>
              </w:rPr>
              <w:t>research and develop business cases for NCD prevention</w:t>
            </w:r>
          </w:p>
        </w:tc>
        <w:tc>
          <w:tcPr>
            <w:tcW w:w="2898" w:type="dxa"/>
          </w:tcPr>
          <w:p w14:paraId="2F271FEC" w14:textId="4B423571"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r w:rsidR="00566884" w:rsidRPr="00771A47" w14:paraId="63C66A0E" w14:textId="77777777" w:rsidTr="00566884">
        <w:tc>
          <w:tcPr>
            <w:tcW w:w="1986" w:type="dxa"/>
          </w:tcPr>
          <w:p w14:paraId="2AB35EDD" w14:textId="237A2F30" w:rsidR="00BB1B9F" w:rsidRPr="00771A47" w:rsidRDefault="00BB1B9F" w:rsidP="00BB1B9F">
            <w:pPr>
              <w:spacing w:line="276" w:lineRule="auto"/>
              <w:rPr>
                <w:rFonts w:cstheme="minorHAnsi"/>
                <w:sz w:val="19"/>
                <w:szCs w:val="19"/>
              </w:rPr>
            </w:pPr>
            <w:r w:rsidRPr="00771A47">
              <w:rPr>
                <w:rFonts w:cstheme="minorHAnsi"/>
                <w:sz w:val="19"/>
                <w:szCs w:val="19"/>
              </w:rPr>
              <w:lastRenderedPageBreak/>
              <w:t>5.3 Research capacity of local researchers developed</w:t>
            </w:r>
          </w:p>
        </w:tc>
        <w:tc>
          <w:tcPr>
            <w:tcW w:w="3118" w:type="dxa"/>
          </w:tcPr>
          <w:p w14:paraId="3E4B0805" w14:textId="77777777" w:rsidR="00BB1B9F" w:rsidRPr="00771A47" w:rsidRDefault="00BB1B9F" w:rsidP="00BB1B9F">
            <w:pPr>
              <w:spacing w:line="276" w:lineRule="auto"/>
              <w:rPr>
                <w:rFonts w:cstheme="minorHAnsi"/>
                <w:sz w:val="19"/>
                <w:szCs w:val="19"/>
              </w:rPr>
            </w:pPr>
            <w:r w:rsidRPr="00771A47">
              <w:rPr>
                <w:rFonts w:cstheme="minorHAnsi"/>
                <w:sz w:val="19"/>
                <w:szCs w:val="19"/>
              </w:rPr>
              <w:t>5.3.3 Conduct training on research methodology, advanced data analysis skills, proposal writing and project management</w:t>
            </w:r>
          </w:p>
        </w:tc>
        <w:tc>
          <w:tcPr>
            <w:tcW w:w="2126" w:type="dxa"/>
          </w:tcPr>
          <w:p w14:paraId="5F7F8972" w14:textId="77777777" w:rsidR="00BB1B9F" w:rsidRPr="00771A47" w:rsidRDefault="00BB1B9F" w:rsidP="00BB1B9F">
            <w:pPr>
              <w:spacing w:line="276" w:lineRule="auto"/>
              <w:rPr>
                <w:rFonts w:cstheme="minorHAnsi"/>
                <w:sz w:val="19"/>
                <w:szCs w:val="19"/>
              </w:rPr>
            </w:pPr>
            <w:r w:rsidRPr="00771A47">
              <w:rPr>
                <w:rFonts w:cstheme="minorHAnsi"/>
                <w:sz w:val="19"/>
                <w:szCs w:val="19"/>
              </w:rPr>
              <w:t>M&amp;E Taskforce SPC</w:t>
            </w:r>
          </w:p>
        </w:tc>
        <w:tc>
          <w:tcPr>
            <w:tcW w:w="426" w:type="dxa"/>
          </w:tcPr>
          <w:p w14:paraId="3AC8CE41" w14:textId="67EBEBB1" w:rsidR="00BB1B9F" w:rsidRPr="00771A47" w:rsidRDefault="00BB1B9F" w:rsidP="00BB1B9F">
            <w:pPr>
              <w:spacing w:line="276" w:lineRule="auto"/>
              <w:rPr>
                <w:rFonts w:cstheme="minorHAnsi"/>
                <w:sz w:val="19"/>
                <w:szCs w:val="19"/>
              </w:rPr>
            </w:pPr>
            <w:r>
              <w:rPr>
                <w:rFonts w:cstheme="minorHAnsi"/>
                <w:sz w:val="19"/>
                <w:szCs w:val="19"/>
              </w:rPr>
              <w:t>-</w:t>
            </w:r>
          </w:p>
        </w:tc>
        <w:tc>
          <w:tcPr>
            <w:tcW w:w="425" w:type="dxa"/>
          </w:tcPr>
          <w:p w14:paraId="449D6669"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656E98F8"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5" w:type="dxa"/>
          </w:tcPr>
          <w:p w14:paraId="5EEF3F3A"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426" w:type="dxa"/>
          </w:tcPr>
          <w:p w14:paraId="1B598BCF" w14:textId="77777777" w:rsidR="00BB1B9F" w:rsidRPr="00771A47" w:rsidRDefault="00BB1B9F" w:rsidP="00BB1B9F">
            <w:pPr>
              <w:spacing w:line="276" w:lineRule="auto"/>
              <w:rPr>
                <w:rFonts w:cstheme="minorHAnsi"/>
                <w:sz w:val="19"/>
                <w:szCs w:val="19"/>
              </w:rPr>
            </w:pPr>
            <w:r w:rsidRPr="00771A47">
              <w:rPr>
                <w:rFonts w:cstheme="minorHAnsi"/>
                <w:sz w:val="19"/>
                <w:szCs w:val="19"/>
              </w:rPr>
              <w:t>x</w:t>
            </w:r>
          </w:p>
        </w:tc>
        <w:tc>
          <w:tcPr>
            <w:tcW w:w="2126" w:type="dxa"/>
          </w:tcPr>
          <w:p w14:paraId="555541B7" w14:textId="11719D86" w:rsidR="00BB1B9F" w:rsidRPr="00771A47" w:rsidRDefault="00BB1B9F" w:rsidP="00BB1B9F">
            <w:pPr>
              <w:spacing w:line="276" w:lineRule="auto"/>
              <w:rPr>
                <w:rFonts w:cstheme="minorHAnsi"/>
                <w:w w:val="80"/>
                <w:sz w:val="19"/>
                <w:szCs w:val="19"/>
              </w:rPr>
            </w:pPr>
            <w:r>
              <w:rPr>
                <w:rFonts w:cstheme="minorHAnsi"/>
                <w:sz w:val="19"/>
                <w:szCs w:val="19"/>
              </w:rPr>
              <w:t>N/A</w:t>
            </w:r>
          </w:p>
        </w:tc>
        <w:tc>
          <w:tcPr>
            <w:tcW w:w="2898" w:type="dxa"/>
          </w:tcPr>
          <w:p w14:paraId="42C6E831" w14:textId="5E2AFBAD" w:rsidR="00BB1B9F" w:rsidRPr="00771A47" w:rsidRDefault="00BB1B9F" w:rsidP="00BB1B9F">
            <w:pPr>
              <w:spacing w:line="276" w:lineRule="auto"/>
              <w:rPr>
                <w:rFonts w:cstheme="minorHAnsi"/>
                <w:sz w:val="19"/>
                <w:szCs w:val="19"/>
              </w:rPr>
            </w:pPr>
            <w:r w:rsidRPr="00771A47">
              <w:rPr>
                <w:rFonts w:cstheme="minorHAnsi"/>
                <w:sz w:val="19"/>
                <w:szCs w:val="19"/>
              </w:rPr>
              <w:t>No progress</w:t>
            </w:r>
          </w:p>
        </w:tc>
      </w:tr>
    </w:tbl>
    <w:p w14:paraId="0E62094A" w14:textId="5CA64CD8" w:rsidR="005F52CD" w:rsidRDefault="005F52CD" w:rsidP="00962FBE">
      <w:pPr>
        <w:pStyle w:val="BodyText"/>
      </w:pPr>
      <w:bookmarkStart w:id="73" w:name="_Hlk147394377"/>
      <w:r w:rsidRPr="005846D1">
        <w:t xml:space="preserve">TongaHealth have also </w:t>
      </w:r>
      <w:r>
        <w:t xml:space="preserve">planned </w:t>
      </w:r>
      <w:r w:rsidRPr="005846D1">
        <w:t xml:space="preserve">additional activities </w:t>
      </w:r>
      <w:r w:rsidR="009360A7">
        <w:t xml:space="preserve">as part of the THSSP3 </w:t>
      </w:r>
      <w:r w:rsidR="00E430AF">
        <w:t xml:space="preserve">3-year workplan, which are </w:t>
      </w:r>
      <w:r w:rsidRPr="005846D1">
        <w:t>not included in the NCD Strategy</w:t>
      </w:r>
      <w:r>
        <w:t xml:space="preserve"> </w:t>
      </w:r>
      <w:r w:rsidR="00E430AF">
        <w:t>but align with its intent.</w:t>
      </w:r>
      <w:r>
        <w:t xml:space="preserve"> These are: </w:t>
      </w:r>
    </w:p>
    <w:p w14:paraId="620B03AB" w14:textId="4C432CC5" w:rsidR="005F52CD" w:rsidRPr="00296A9E" w:rsidRDefault="005F52CD" w:rsidP="00C9374E">
      <w:pPr>
        <w:pStyle w:val="ListNumber"/>
        <w:numPr>
          <w:ilvl w:val="0"/>
          <w:numId w:val="23"/>
        </w:numPr>
      </w:pPr>
      <w:r w:rsidRPr="00296A9E">
        <w:t xml:space="preserve">Undertake a Multisectoral Action Study (a concise analysis of the GOT and civil society participation in multisectoral action as a baseline of engagement across the whole of government and civil society against the forthcoming NCD Strategy) (planned for FY23/24); and </w:t>
      </w:r>
    </w:p>
    <w:p w14:paraId="5B98A244" w14:textId="261122FB" w:rsidR="005F52CD" w:rsidRPr="00296A9E" w:rsidRDefault="005F52CD" w:rsidP="00C9374E">
      <w:pPr>
        <w:pStyle w:val="ListNumber"/>
        <w:numPr>
          <w:ilvl w:val="0"/>
          <w:numId w:val="23"/>
        </w:numPr>
      </w:pPr>
      <w:r w:rsidRPr="00296A9E">
        <w:t xml:space="preserve">Review relevant legislations for tobacco, alcohol, SSBs, Code on Marketing of Breastmilk substitute &amp; enforcement. The THSSP workplan includes budget for TongaHealth to establish a </w:t>
      </w:r>
      <w:r w:rsidR="00AA3C76">
        <w:t>multisectoral</w:t>
      </w:r>
      <w:r w:rsidRPr="00296A9E">
        <w:t xml:space="preserve"> working group to review NCD-related legislation and agree on recommended actions.</w:t>
      </w:r>
      <w:r w:rsidR="0082759B" w:rsidRPr="00296A9E">
        <w:t xml:space="preserve"> This aligns to NCD Strategy Output 3.2 Cost-effective measures adapted, </w:t>
      </w:r>
      <w:proofErr w:type="gramStart"/>
      <w:r w:rsidR="0082759B" w:rsidRPr="00296A9E">
        <w:t>implemented</w:t>
      </w:r>
      <w:proofErr w:type="gramEnd"/>
      <w:r w:rsidR="0082759B" w:rsidRPr="00296A9E">
        <w:t xml:space="preserve"> and reported on</w:t>
      </w:r>
      <w:r w:rsidR="00A87831" w:rsidRPr="00296A9E">
        <w:t>. While implementing reform is the responsibility of other stakeholders (e.g.</w:t>
      </w:r>
      <w:r w:rsidR="00FA596A" w:rsidRPr="00296A9E">
        <w:t xml:space="preserve"> Customs and Revenue), the NCD Strategy provides a clear mandate for TongaHealth to drive coordination </w:t>
      </w:r>
      <w:r w:rsidR="00EE6CB0" w:rsidRPr="00296A9E">
        <w:t>of policy and legislation reform.</w:t>
      </w:r>
      <w:r w:rsidRPr="00296A9E">
        <w:t xml:space="preserve"> </w:t>
      </w:r>
    </w:p>
    <w:p w14:paraId="0996012B" w14:textId="0767F4F7" w:rsidR="005F52CD" w:rsidRDefault="005F52CD" w:rsidP="00962FBE">
      <w:pPr>
        <w:pStyle w:val="BodyText"/>
      </w:pPr>
      <w:r>
        <w:t xml:space="preserve">The THSSP3 workplan also includes a range of organisational strengthening activities for TongaHealth, including funding for TongaHealth M&amp;E team to conduct M&amp;E workshops with grantees, funding the Finance and M&amp;E Manager positions, developing and implementing an </w:t>
      </w:r>
      <w:r w:rsidR="00EE6CB0">
        <w:t>Institutional</w:t>
      </w:r>
      <w:r>
        <w:t xml:space="preserve"> Strengthening Plan with TongaHealth and selected strategic partners, d</w:t>
      </w:r>
      <w:r w:rsidRPr="009E7E7C">
        <w:t xml:space="preserve">eveloping health promotion competencies for TH staff, </w:t>
      </w:r>
      <w:r>
        <w:t xml:space="preserve">repairs to the TongaHealth office floor, and funding a vehicle to support TongaHealth’s M&amp;E and community engagement work. </w:t>
      </w:r>
    </w:p>
    <w:p w14:paraId="5AB788C4" w14:textId="77777777" w:rsidR="005F52CD" w:rsidRPr="005846D1" w:rsidRDefault="005F52CD" w:rsidP="00DF166F">
      <w:pPr>
        <w:spacing w:line="276" w:lineRule="auto"/>
        <w:rPr>
          <w:rFonts w:ascii="Arial" w:hAnsi="Arial" w:cs="Arial"/>
        </w:rPr>
      </w:pPr>
    </w:p>
    <w:p w14:paraId="4E069F3E" w14:textId="77777777" w:rsidR="005F52CD" w:rsidRPr="005846D1" w:rsidRDefault="005F52CD" w:rsidP="00DF166F">
      <w:pPr>
        <w:spacing w:line="276" w:lineRule="auto"/>
        <w:rPr>
          <w:rFonts w:ascii="Arial" w:hAnsi="Arial" w:cs="Arial"/>
          <w:bCs/>
        </w:rPr>
      </w:pPr>
    </w:p>
    <w:bookmarkEnd w:id="73"/>
    <w:p w14:paraId="5AA341AE" w14:textId="77777777" w:rsidR="005F52CD" w:rsidRPr="005846D1" w:rsidRDefault="005F52CD" w:rsidP="00DF166F">
      <w:pPr>
        <w:spacing w:line="276" w:lineRule="auto"/>
        <w:rPr>
          <w:rFonts w:ascii="Arial" w:hAnsi="Arial" w:cs="Arial"/>
        </w:rPr>
      </w:pPr>
    </w:p>
    <w:p w14:paraId="1D02E9AA" w14:textId="77777777" w:rsidR="004874A0" w:rsidRDefault="004874A0" w:rsidP="00BB1B9F">
      <w:pPr>
        <w:pStyle w:val="ListBullet"/>
        <w:numPr>
          <w:ilvl w:val="0"/>
          <w:numId w:val="0"/>
        </w:numPr>
      </w:pPr>
    </w:p>
    <w:sectPr w:rsidR="004874A0" w:rsidSect="00406A81">
      <w:headerReference w:type="default" r:id="rId16"/>
      <w:type w:val="continuous"/>
      <w:pgSz w:w="16840" w:h="11907" w:orient="landscape" w:code="9"/>
      <w:pgMar w:top="1440" w:right="1440" w:bottom="1418"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C4996" w14:textId="77777777" w:rsidR="00DA1A7B" w:rsidRDefault="00DA1A7B" w:rsidP="00F55F03">
      <w:r>
        <w:separator/>
      </w:r>
    </w:p>
  </w:endnote>
  <w:endnote w:type="continuationSeparator" w:id="0">
    <w:p w14:paraId="4CA9255C" w14:textId="77777777" w:rsidR="00DA1A7B" w:rsidRDefault="00DA1A7B" w:rsidP="00F55F03">
      <w:r>
        <w:continuationSeparator/>
      </w:r>
    </w:p>
  </w:endnote>
  <w:endnote w:type="continuationNotice" w:id="1">
    <w:p w14:paraId="16E97F6D" w14:textId="77777777" w:rsidR="00DA1A7B" w:rsidRDefault="00DA1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Std-Book">
    <w:altName w:val="Gill Sans MT"/>
    <w:panose1 w:val="00000000000000000000"/>
    <w:charset w:val="4D"/>
    <w:family w:val="auto"/>
    <w:notTrueType/>
    <w:pitch w:val="default"/>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2D54" w14:textId="6178ECE5" w:rsidR="00F46929" w:rsidRPr="00CC53AB" w:rsidRDefault="00E46FD0" w:rsidP="00CC53AB">
    <w:pPr>
      <w:pStyle w:val="Footer"/>
      <w:rPr>
        <w:rFonts w:cs="Arial"/>
        <w:color w:val="696464" w:themeColor="text2"/>
        <w:sz w:val="18"/>
        <w:szCs w:val="16"/>
      </w:rPr>
    </w:pPr>
    <w:r>
      <w:rPr>
        <w:rFonts w:cs="Arial"/>
        <w:color w:val="696464" w:themeColor="text2"/>
        <w:sz w:val="18"/>
        <w:szCs w:val="16"/>
      </w:rPr>
      <w:t>TASP</w:t>
    </w:r>
    <w:r w:rsidR="00CC53AB" w:rsidRPr="00CC53AB">
      <w:rPr>
        <w:rFonts w:cs="Arial"/>
        <w:color w:val="696464" w:themeColor="text2"/>
        <w:sz w:val="18"/>
        <w:szCs w:val="16"/>
      </w:rPr>
      <w:t xml:space="preserve"> | </w:t>
    </w:r>
    <w:r w:rsidR="00CC53AB" w:rsidRPr="00CC53AB">
      <w:rPr>
        <w:rFonts w:cs="Arial"/>
        <w:color w:val="696464" w:themeColor="text2"/>
        <w:sz w:val="18"/>
        <w:szCs w:val="16"/>
      </w:rPr>
      <w:fldChar w:fldCharType="begin"/>
    </w:r>
    <w:r w:rsidR="00CC53AB" w:rsidRPr="00CC53AB">
      <w:rPr>
        <w:rFonts w:cs="Arial"/>
        <w:color w:val="696464" w:themeColor="text2"/>
        <w:sz w:val="18"/>
        <w:szCs w:val="16"/>
      </w:rPr>
      <w:instrText xml:space="preserve"> STYLEREF  Title  \* MERGEFORMAT </w:instrText>
    </w:r>
    <w:r w:rsidR="00CC53AB" w:rsidRPr="00CC53AB">
      <w:rPr>
        <w:rFonts w:cs="Arial"/>
        <w:color w:val="696464" w:themeColor="text2"/>
        <w:sz w:val="18"/>
        <w:szCs w:val="16"/>
      </w:rPr>
      <w:fldChar w:fldCharType="separate"/>
    </w:r>
    <w:r w:rsidR="00A13D02" w:rsidRPr="00A13D02">
      <w:rPr>
        <w:rFonts w:cs="Arial"/>
        <w:b/>
        <w:bCs/>
        <w:noProof/>
        <w:color w:val="696464" w:themeColor="text2"/>
        <w:sz w:val="18"/>
        <w:szCs w:val="16"/>
      </w:rPr>
      <w:t>Independent Review</w:t>
    </w:r>
    <w:r w:rsidR="00A13D02">
      <w:rPr>
        <w:rFonts w:cs="Arial"/>
        <w:noProof/>
        <w:color w:val="696464" w:themeColor="text2"/>
        <w:sz w:val="18"/>
        <w:szCs w:val="16"/>
      </w:rPr>
      <w:t>: Tonga Health Promotion Foundation’s Implementation of responsibilities under the National NCD Strategy.</w:t>
    </w:r>
    <w:r w:rsidR="00CC53AB" w:rsidRPr="00CC53AB">
      <w:rPr>
        <w:rFonts w:cs="Arial"/>
        <w:color w:val="696464" w:themeColor="text2"/>
        <w:sz w:val="18"/>
        <w:szCs w:val="16"/>
      </w:rPr>
      <w:fldChar w:fldCharType="end"/>
    </w:r>
    <w:r w:rsidR="00E574A3">
      <w:rPr>
        <w:rFonts w:cs="Arial"/>
        <w:color w:val="696464" w:themeColor="text2"/>
        <w:sz w:val="18"/>
        <w:szCs w:val="16"/>
      </w:rPr>
      <w:tab/>
    </w:r>
    <w:r w:rsidR="00EE00C4">
      <w:rPr>
        <w:rFonts w:cs="Arial"/>
        <w:color w:val="696464" w:themeColor="text2"/>
        <w:sz w:val="18"/>
        <w:szCs w:val="16"/>
      </w:rPr>
      <w:tab/>
    </w:r>
    <w:r w:rsidR="00EE00C4">
      <w:rPr>
        <w:rFonts w:cs="Arial"/>
        <w:color w:val="696464" w:themeColor="text2"/>
        <w:sz w:val="18"/>
        <w:szCs w:val="16"/>
      </w:rPr>
      <w:tab/>
    </w:r>
    <w:r w:rsidR="00E574A3">
      <w:rPr>
        <w:rFonts w:cs="Arial"/>
        <w:color w:val="696464" w:themeColor="text2"/>
        <w:sz w:val="18"/>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359B" w14:textId="369A2122" w:rsidR="00312FD2" w:rsidRPr="00CC53AB" w:rsidRDefault="00312FD2" w:rsidP="00CC53AB">
    <w:pPr>
      <w:pStyle w:val="Footer"/>
      <w:rPr>
        <w:rFonts w:cs="Arial"/>
        <w:color w:val="696464" w:themeColor="text2"/>
        <w:sz w:val="18"/>
        <w:szCs w:val="16"/>
      </w:rPr>
    </w:pPr>
    <w:r>
      <w:rPr>
        <w:rFonts w:cs="Arial"/>
        <w:color w:val="696464" w:themeColor="text2"/>
        <w:sz w:val="18"/>
        <w:szCs w:val="16"/>
      </w:rPr>
      <w:t>TASP</w:t>
    </w:r>
    <w:r w:rsidRPr="00CC53AB">
      <w:rPr>
        <w:rFonts w:cs="Arial"/>
        <w:color w:val="696464" w:themeColor="text2"/>
        <w:sz w:val="18"/>
        <w:szCs w:val="16"/>
      </w:rPr>
      <w:t xml:space="preserve"> | </w:t>
    </w:r>
    <w:r w:rsidRPr="00CC53AB">
      <w:rPr>
        <w:rFonts w:cs="Arial"/>
        <w:color w:val="696464" w:themeColor="text2"/>
        <w:sz w:val="18"/>
        <w:szCs w:val="16"/>
      </w:rPr>
      <w:fldChar w:fldCharType="begin"/>
    </w:r>
    <w:r w:rsidRPr="00CC53AB">
      <w:rPr>
        <w:rFonts w:cs="Arial"/>
        <w:color w:val="696464" w:themeColor="text2"/>
        <w:sz w:val="18"/>
        <w:szCs w:val="16"/>
      </w:rPr>
      <w:instrText xml:space="preserve"> STYLEREF  Title  \* MERGEFORMAT </w:instrText>
    </w:r>
    <w:r w:rsidRPr="00CC53AB">
      <w:rPr>
        <w:rFonts w:cs="Arial"/>
        <w:color w:val="696464" w:themeColor="text2"/>
        <w:sz w:val="18"/>
        <w:szCs w:val="16"/>
      </w:rPr>
      <w:fldChar w:fldCharType="separate"/>
    </w:r>
    <w:r w:rsidR="00A13D02" w:rsidRPr="00A13D02">
      <w:rPr>
        <w:rFonts w:cs="Arial"/>
        <w:b/>
        <w:bCs/>
        <w:noProof/>
        <w:color w:val="696464" w:themeColor="text2"/>
        <w:sz w:val="18"/>
        <w:szCs w:val="16"/>
      </w:rPr>
      <w:t>Independent Review</w:t>
    </w:r>
    <w:r w:rsidR="00A13D02">
      <w:rPr>
        <w:rFonts w:cs="Arial"/>
        <w:noProof/>
        <w:color w:val="696464" w:themeColor="text2"/>
        <w:sz w:val="18"/>
        <w:szCs w:val="16"/>
      </w:rPr>
      <w:t>: Tonga Health Promotion Foundation’s Implementation of responsibilities under the National NCD Strategy.</w:t>
    </w:r>
    <w:r w:rsidRPr="00CC53AB">
      <w:rPr>
        <w:rFonts w:cs="Arial"/>
        <w:color w:val="696464" w:themeColor="text2"/>
        <w:sz w:val="18"/>
        <w:szCs w:val="16"/>
      </w:rPr>
      <w:fldChar w:fldCharType="end"/>
    </w:r>
    <w:r>
      <w:rPr>
        <w:rFonts w:cs="Arial"/>
        <w:color w:val="696464" w:themeColor="text2"/>
        <w:sz w:val="18"/>
        <w:szCs w:val="16"/>
      </w:rPr>
      <w:tab/>
    </w:r>
    <w:r w:rsidR="008C6664">
      <w:rPr>
        <w:rFonts w:cs="Arial"/>
        <w:color w:val="696464" w:themeColor="text2"/>
        <w:sz w:val="18"/>
        <w:szCs w:val="16"/>
      </w:rPr>
      <w:tab/>
    </w:r>
    <w:r>
      <w:rPr>
        <w:rFonts w:cs="Arial"/>
        <w:color w:val="696464" w:themeColor="text2"/>
        <w:sz w:val="18"/>
        <w:szCs w:val="16"/>
      </w:rPr>
      <w:t xml:space="preserve">Page </w:t>
    </w:r>
    <w:r w:rsidRPr="00312FD2">
      <w:rPr>
        <w:rFonts w:cs="Arial"/>
        <w:color w:val="696464" w:themeColor="text2"/>
        <w:sz w:val="18"/>
        <w:szCs w:val="16"/>
      </w:rPr>
      <w:fldChar w:fldCharType="begin"/>
    </w:r>
    <w:r w:rsidRPr="00312FD2">
      <w:rPr>
        <w:rFonts w:cs="Arial"/>
        <w:color w:val="696464" w:themeColor="text2"/>
        <w:sz w:val="18"/>
        <w:szCs w:val="16"/>
      </w:rPr>
      <w:instrText xml:space="preserve"> PAGE   \* MERGEFORMAT </w:instrText>
    </w:r>
    <w:r w:rsidRPr="00312FD2">
      <w:rPr>
        <w:rFonts w:cs="Arial"/>
        <w:color w:val="696464" w:themeColor="text2"/>
        <w:sz w:val="18"/>
        <w:szCs w:val="16"/>
      </w:rPr>
      <w:fldChar w:fldCharType="separate"/>
    </w:r>
    <w:r w:rsidRPr="00312FD2">
      <w:rPr>
        <w:rFonts w:cs="Arial"/>
        <w:noProof/>
        <w:color w:val="696464" w:themeColor="text2"/>
        <w:sz w:val="18"/>
        <w:szCs w:val="16"/>
      </w:rPr>
      <w:t>1</w:t>
    </w:r>
    <w:r w:rsidRPr="00312FD2">
      <w:rPr>
        <w:rFonts w:cs="Arial"/>
        <w:noProof/>
        <w:color w:val="696464" w:themeColor="text2"/>
        <w:sz w:val="18"/>
        <w:szCs w:val="16"/>
      </w:rPr>
      <w:fldChar w:fldCharType="end"/>
    </w:r>
    <w:r>
      <w:rPr>
        <w:rFonts w:cs="Arial"/>
        <w:color w:val="696464" w:themeColor="text2"/>
        <w:sz w:val="18"/>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BC8A" w14:textId="77777777" w:rsidR="00DA1A7B" w:rsidRDefault="00DA1A7B" w:rsidP="00F55F03">
      <w:r>
        <w:separator/>
      </w:r>
    </w:p>
  </w:footnote>
  <w:footnote w:type="continuationSeparator" w:id="0">
    <w:p w14:paraId="1DF87411" w14:textId="77777777" w:rsidR="00DA1A7B" w:rsidRDefault="00DA1A7B" w:rsidP="00F55F03">
      <w:r>
        <w:continuationSeparator/>
      </w:r>
    </w:p>
  </w:footnote>
  <w:footnote w:type="continuationNotice" w:id="1">
    <w:p w14:paraId="3880E425" w14:textId="77777777" w:rsidR="00DA1A7B" w:rsidRDefault="00DA1A7B">
      <w:pPr>
        <w:spacing w:after="0" w:line="240" w:lineRule="auto"/>
      </w:pPr>
    </w:p>
  </w:footnote>
  <w:footnote w:id="2">
    <w:p w14:paraId="3A44E3B2" w14:textId="4D8445ED" w:rsidR="00F44170" w:rsidRPr="00CA33B4" w:rsidRDefault="00F44170">
      <w:pPr>
        <w:pStyle w:val="FootnoteText"/>
        <w:rPr>
          <w:sz w:val="18"/>
          <w:szCs w:val="18"/>
          <w:lang w:val="en-AU"/>
        </w:rPr>
      </w:pPr>
      <w:r w:rsidRPr="00CA33B4">
        <w:rPr>
          <w:rStyle w:val="FootnoteReference"/>
          <w:sz w:val="18"/>
          <w:szCs w:val="18"/>
        </w:rPr>
        <w:footnoteRef/>
      </w:r>
      <w:r w:rsidRPr="00CA33B4">
        <w:rPr>
          <w:sz w:val="18"/>
          <w:szCs w:val="18"/>
        </w:rPr>
        <w:t xml:space="preserve"> </w:t>
      </w:r>
      <w:r w:rsidR="00CA33B4" w:rsidRPr="00CA33B4">
        <w:rPr>
          <w:sz w:val="18"/>
          <w:szCs w:val="18"/>
          <w:lang w:val="en-AU"/>
        </w:rPr>
        <w:t xml:space="preserve">These </w:t>
      </w:r>
      <w:r w:rsidR="00CA33B4">
        <w:rPr>
          <w:sz w:val="18"/>
          <w:szCs w:val="18"/>
          <w:lang w:val="en-AU"/>
        </w:rPr>
        <w:t>ratings were made</w:t>
      </w:r>
      <w:r w:rsidR="00CA33B4" w:rsidRPr="00CA33B4">
        <w:rPr>
          <w:sz w:val="18"/>
          <w:szCs w:val="18"/>
          <w:lang w:val="en-AU"/>
        </w:rPr>
        <w:t xml:space="preserve"> using the following rubric</w:t>
      </w:r>
      <w:r w:rsidR="00CA33B4">
        <w:rPr>
          <w:sz w:val="18"/>
          <w:szCs w:val="18"/>
          <w:lang w:val="en-AU"/>
        </w:rPr>
        <w:t>:</w:t>
      </w:r>
      <w:r w:rsidR="00CA33B4" w:rsidRPr="00CA33B4">
        <w:rPr>
          <w:sz w:val="18"/>
          <w:szCs w:val="18"/>
          <w:lang w:val="en-AU"/>
        </w:rPr>
        <w:t xml:space="preserve"> </w:t>
      </w:r>
      <w:r w:rsidR="00CA33B4" w:rsidRPr="00CA33B4">
        <w:rPr>
          <w:i/>
          <w:iCs/>
          <w:sz w:val="18"/>
          <w:szCs w:val="18"/>
          <w:lang w:val="en-AU"/>
        </w:rPr>
        <w:t>Not on track:</w:t>
      </w:r>
      <w:r w:rsidR="00CA33B4" w:rsidRPr="00CA33B4">
        <w:rPr>
          <w:sz w:val="18"/>
          <w:szCs w:val="18"/>
          <w:lang w:val="en-AU"/>
        </w:rPr>
        <w:t xml:space="preserve"> Major</w:t>
      </w:r>
      <w:r w:rsidR="00BA2533">
        <w:rPr>
          <w:sz w:val="18"/>
          <w:szCs w:val="18"/>
          <w:lang w:val="en-AU"/>
        </w:rPr>
        <w:t>/foundational</w:t>
      </w:r>
      <w:r w:rsidR="002C059F">
        <w:rPr>
          <w:sz w:val="18"/>
          <w:szCs w:val="18"/>
          <w:lang w:val="en-AU"/>
        </w:rPr>
        <w:t xml:space="preserve"> </w:t>
      </w:r>
      <w:r w:rsidR="00CA33B4" w:rsidRPr="00CA33B4">
        <w:rPr>
          <w:sz w:val="18"/>
          <w:szCs w:val="18"/>
          <w:lang w:val="en-AU"/>
        </w:rPr>
        <w:t xml:space="preserve">activities </w:t>
      </w:r>
      <w:r w:rsidR="007D6D4E">
        <w:rPr>
          <w:sz w:val="18"/>
          <w:szCs w:val="18"/>
          <w:lang w:val="en-AU"/>
        </w:rPr>
        <w:t xml:space="preserve">unlikely to be delivered within the NCD Strategy period. </w:t>
      </w:r>
      <w:r w:rsidR="00CA33B4" w:rsidRPr="00CA33B4">
        <w:rPr>
          <w:i/>
          <w:iCs/>
          <w:sz w:val="18"/>
          <w:szCs w:val="18"/>
          <w:lang w:val="en-AU"/>
        </w:rPr>
        <w:t>Slow progress:</w:t>
      </w:r>
      <w:r w:rsidR="00CA33B4" w:rsidRPr="00CA33B4">
        <w:rPr>
          <w:sz w:val="18"/>
          <w:szCs w:val="18"/>
          <w:lang w:val="en-AU"/>
        </w:rPr>
        <w:t xml:space="preserve"> </w:t>
      </w:r>
      <w:r w:rsidR="008F53A5">
        <w:rPr>
          <w:sz w:val="18"/>
          <w:szCs w:val="18"/>
          <w:lang w:val="en-AU"/>
        </w:rPr>
        <w:t>Some m</w:t>
      </w:r>
      <w:r w:rsidR="003A4013">
        <w:rPr>
          <w:sz w:val="18"/>
          <w:szCs w:val="18"/>
          <w:lang w:val="en-AU"/>
        </w:rPr>
        <w:t>ajor</w:t>
      </w:r>
      <w:r w:rsidR="00BA2533">
        <w:rPr>
          <w:sz w:val="18"/>
          <w:szCs w:val="18"/>
          <w:lang w:val="en-AU"/>
        </w:rPr>
        <w:t>/foundational</w:t>
      </w:r>
      <w:r w:rsidR="003A4013">
        <w:rPr>
          <w:sz w:val="18"/>
          <w:szCs w:val="18"/>
          <w:lang w:val="en-AU"/>
        </w:rPr>
        <w:t xml:space="preserve"> activities ha</w:t>
      </w:r>
      <w:r w:rsidR="00B77E43">
        <w:rPr>
          <w:sz w:val="18"/>
          <w:szCs w:val="18"/>
          <w:lang w:val="en-AU"/>
        </w:rPr>
        <w:t>ve</w:t>
      </w:r>
      <w:r w:rsidR="003A4013">
        <w:rPr>
          <w:sz w:val="18"/>
          <w:szCs w:val="18"/>
          <w:lang w:val="en-AU"/>
        </w:rPr>
        <w:t xml:space="preserve"> commenced, but behind the schedule proposed in the NCD Strategy</w:t>
      </w:r>
      <w:r w:rsidR="00374FE1">
        <w:rPr>
          <w:sz w:val="18"/>
          <w:szCs w:val="18"/>
          <w:lang w:val="en-AU"/>
        </w:rPr>
        <w:t>.</w:t>
      </w:r>
      <w:r w:rsidR="00BA2533">
        <w:rPr>
          <w:sz w:val="18"/>
          <w:szCs w:val="18"/>
          <w:lang w:val="en-AU"/>
        </w:rPr>
        <w:t xml:space="preserve"> </w:t>
      </w:r>
      <w:r w:rsidR="00792475" w:rsidRPr="00792475">
        <w:rPr>
          <w:i/>
          <w:iCs/>
          <w:sz w:val="18"/>
          <w:szCs w:val="18"/>
          <w:lang w:val="en-AU"/>
        </w:rPr>
        <w:t>Good progress:</w:t>
      </w:r>
      <w:r w:rsidR="00792475">
        <w:rPr>
          <w:sz w:val="18"/>
          <w:szCs w:val="18"/>
          <w:lang w:val="en-AU"/>
        </w:rPr>
        <w:t xml:space="preserve"> </w:t>
      </w:r>
      <w:r w:rsidR="003B72E6">
        <w:rPr>
          <w:sz w:val="18"/>
          <w:szCs w:val="18"/>
          <w:lang w:val="en-AU"/>
        </w:rPr>
        <w:t>M</w:t>
      </w:r>
      <w:r w:rsidR="00BA2533">
        <w:rPr>
          <w:sz w:val="18"/>
          <w:szCs w:val="18"/>
          <w:lang w:val="en-AU"/>
        </w:rPr>
        <w:t>ajor</w:t>
      </w:r>
      <w:r w:rsidR="0009726D">
        <w:rPr>
          <w:sz w:val="18"/>
          <w:szCs w:val="18"/>
          <w:lang w:val="en-AU"/>
        </w:rPr>
        <w:t>/foundational</w:t>
      </w:r>
      <w:r w:rsidR="00BA2533">
        <w:rPr>
          <w:sz w:val="18"/>
          <w:szCs w:val="18"/>
          <w:lang w:val="en-AU"/>
        </w:rPr>
        <w:t xml:space="preserve"> activities </w:t>
      </w:r>
      <w:proofErr w:type="gramStart"/>
      <w:r w:rsidR="00BA2533">
        <w:rPr>
          <w:sz w:val="18"/>
          <w:szCs w:val="18"/>
          <w:lang w:val="en-AU"/>
        </w:rPr>
        <w:t xml:space="preserve">have </w:t>
      </w:r>
      <w:r w:rsidR="003A4D98">
        <w:rPr>
          <w:sz w:val="18"/>
          <w:szCs w:val="18"/>
          <w:lang w:val="en-AU"/>
        </w:rPr>
        <w:t xml:space="preserve"> </w:t>
      </w:r>
      <w:r w:rsidR="00BA2533">
        <w:rPr>
          <w:sz w:val="18"/>
          <w:szCs w:val="18"/>
          <w:lang w:val="en-AU"/>
        </w:rPr>
        <w:t>been</w:t>
      </w:r>
      <w:proofErr w:type="gramEnd"/>
      <w:r w:rsidR="00BA2533">
        <w:rPr>
          <w:sz w:val="18"/>
          <w:szCs w:val="18"/>
          <w:lang w:val="en-AU"/>
        </w:rPr>
        <w:t xml:space="preserve"> delivered</w:t>
      </w:r>
      <w:r w:rsidR="00CD519E">
        <w:rPr>
          <w:sz w:val="18"/>
          <w:szCs w:val="18"/>
          <w:lang w:val="en-AU"/>
        </w:rPr>
        <w:t>, broadly aligned to the schedule proposed in the NCD Strategy</w:t>
      </w:r>
      <w:r w:rsidR="00BA2533">
        <w:rPr>
          <w:sz w:val="18"/>
          <w:szCs w:val="18"/>
          <w:lang w:val="en-AU"/>
        </w:rPr>
        <w:t>.</w:t>
      </w:r>
      <w:r w:rsidR="00CA33B4">
        <w:rPr>
          <w:sz w:val="18"/>
          <w:szCs w:val="18"/>
          <w:lang w:val="en-AU"/>
        </w:rPr>
        <w:t xml:space="preserve"> </w:t>
      </w:r>
    </w:p>
  </w:footnote>
  <w:footnote w:id="3">
    <w:p w14:paraId="49B885E0" w14:textId="7031BCB7" w:rsidR="00453F95" w:rsidRPr="00502419" w:rsidRDefault="00453F95" w:rsidP="00453F95">
      <w:pPr>
        <w:pStyle w:val="FootnoteText"/>
        <w:rPr>
          <w:sz w:val="18"/>
          <w:szCs w:val="18"/>
          <w:lang w:val="en-AU"/>
        </w:rPr>
      </w:pPr>
      <w:r w:rsidRPr="00502419">
        <w:rPr>
          <w:rStyle w:val="FootnoteReference"/>
          <w:sz w:val="18"/>
          <w:szCs w:val="18"/>
        </w:rPr>
        <w:footnoteRef/>
      </w:r>
      <w:r w:rsidRPr="00502419">
        <w:rPr>
          <w:sz w:val="18"/>
          <w:szCs w:val="18"/>
        </w:rPr>
        <w:t xml:space="preserve"> </w:t>
      </w:r>
      <w:r w:rsidRPr="00502419">
        <w:rPr>
          <w:sz w:val="18"/>
          <w:szCs w:val="18"/>
          <w:lang w:val="en-AU"/>
        </w:rPr>
        <w:t xml:space="preserve">In this report, the term ‘grants’ is used to cover both grants and sponsorship, unless otherwise specified.  </w:t>
      </w:r>
    </w:p>
  </w:footnote>
  <w:footnote w:id="4">
    <w:p w14:paraId="6FB3EE36" w14:textId="05BD32C1" w:rsidR="002A1368" w:rsidRPr="00912AC0" w:rsidRDefault="00C1381D">
      <w:pPr>
        <w:pStyle w:val="FootnoteText"/>
        <w:rPr>
          <w:sz w:val="18"/>
          <w:szCs w:val="18"/>
          <w:lang w:val="en-AU"/>
        </w:rPr>
      </w:pPr>
      <w:r w:rsidRPr="003D1B82">
        <w:rPr>
          <w:rStyle w:val="FootnoteReference"/>
          <w:sz w:val="18"/>
          <w:szCs w:val="18"/>
        </w:rPr>
        <w:footnoteRef/>
      </w:r>
      <w:r w:rsidRPr="003D1B82">
        <w:rPr>
          <w:sz w:val="18"/>
          <w:szCs w:val="18"/>
        </w:rPr>
        <w:t xml:space="preserve"> </w:t>
      </w:r>
      <w:r w:rsidRPr="003D1B82">
        <w:rPr>
          <w:sz w:val="18"/>
          <w:szCs w:val="18"/>
          <w:lang w:val="en-AU"/>
        </w:rPr>
        <w:t xml:space="preserve">This figure is based on the budget </w:t>
      </w:r>
      <w:r w:rsidR="00332537" w:rsidRPr="003D1B82">
        <w:rPr>
          <w:sz w:val="18"/>
          <w:szCs w:val="18"/>
          <w:lang w:val="en-AU"/>
        </w:rPr>
        <w:t xml:space="preserve">approved </w:t>
      </w:r>
      <w:r w:rsidRPr="003D1B82">
        <w:rPr>
          <w:sz w:val="18"/>
          <w:szCs w:val="18"/>
          <w:lang w:val="en-AU"/>
        </w:rPr>
        <w:t>for each grant,</w:t>
      </w:r>
      <w:r w:rsidR="00C17720" w:rsidRPr="003D1B82">
        <w:rPr>
          <w:sz w:val="18"/>
          <w:szCs w:val="18"/>
          <w:lang w:val="en-AU"/>
        </w:rPr>
        <w:t xml:space="preserve"> drawn from the TongaHealth Grants Database. A</w:t>
      </w:r>
      <w:r w:rsidR="00332537" w:rsidRPr="003D1B82">
        <w:rPr>
          <w:sz w:val="18"/>
          <w:szCs w:val="18"/>
          <w:lang w:val="en-AU"/>
        </w:rPr>
        <w:t>ctual expenditure m</w:t>
      </w:r>
      <w:r w:rsidR="009B42AF" w:rsidRPr="003D1B82">
        <w:rPr>
          <w:sz w:val="18"/>
          <w:szCs w:val="18"/>
          <w:lang w:val="en-AU"/>
        </w:rPr>
        <w:t>ay differ</w:t>
      </w:r>
      <w:r w:rsidR="00332537" w:rsidRPr="003D1B82">
        <w:rPr>
          <w:sz w:val="18"/>
          <w:szCs w:val="18"/>
          <w:lang w:val="en-AU"/>
        </w:rPr>
        <w:t xml:space="preserve"> (e.g. if grantees returned unspent funds). </w:t>
      </w:r>
      <w:r w:rsidR="002A1368" w:rsidRPr="003D1B82">
        <w:rPr>
          <w:sz w:val="18"/>
          <w:szCs w:val="18"/>
          <w:lang w:val="en-AU"/>
        </w:rPr>
        <w:t xml:space="preserve">Donors </w:t>
      </w:r>
      <w:r w:rsidR="005B6155" w:rsidRPr="003D1B82">
        <w:rPr>
          <w:sz w:val="18"/>
          <w:szCs w:val="18"/>
          <w:lang w:val="en-AU"/>
        </w:rPr>
        <w:t>are DFAT (TOP 530,328)</w:t>
      </w:r>
      <w:r w:rsidR="00DD7595" w:rsidRPr="003D1B82">
        <w:rPr>
          <w:sz w:val="18"/>
          <w:szCs w:val="18"/>
          <w:lang w:val="en-AU"/>
        </w:rPr>
        <w:t xml:space="preserve">, </w:t>
      </w:r>
      <w:proofErr w:type="spellStart"/>
      <w:r w:rsidR="00DD7595" w:rsidRPr="003D1B82">
        <w:rPr>
          <w:sz w:val="18"/>
          <w:szCs w:val="18"/>
          <w:lang w:val="en-AU"/>
        </w:rPr>
        <w:t>GoT</w:t>
      </w:r>
      <w:proofErr w:type="spellEnd"/>
      <w:r w:rsidR="005B6155" w:rsidRPr="003D1B82">
        <w:rPr>
          <w:sz w:val="18"/>
          <w:szCs w:val="18"/>
          <w:lang w:val="en-AU"/>
        </w:rPr>
        <w:t xml:space="preserve"> (TOP 107,834) and a</w:t>
      </w:r>
      <w:r w:rsidR="002F0488" w:rsidRPr="003D1B82">
        <w:rPr>
          <w:sz w:val="18"/>
          <w:szCs w:val="18"/>
          <w:lang w:val="en-AU"/>
        </w:rPr>
        <w:t xml:space="preserve"> one-off grant from Pacific </w:t>
      </w:r>
      <w:r w:rsidR="002F0488" w:rsidRPr="00912AC0">
        <w:rPr>
          <w:sz w:val="18"/>
          <w:szCs w:val="18"/>
          <w:lang w:val="en-AU"/>
        </w:rPr>
        <w:t>Trade Invest</w:t>
      </w:r>
      <w:r w:rsidR="005B6155" w:rsidRPr="00912AC0">
        <w:rPr>
          <w:sz w:val="18"/>
          <w:szCs w:val="18"/>
          <w:lang w:val="en-AU"/>
        </w:rPr>
        <w:t xml:space="preserve"> for a chicken coop project (</w:t>
      </w:r>
      <w:r w:rsidR="00D35CE1" w:rsidRPr="00912AC0">
        <w:rPr>
          <w:sz w:val="18"/>
          <w:szCs w:val="18"/>
          <w:lang w:val="en-AU"/>
        </w:rPr>
        <w:t>TOP 7,338).</w:t>
      </w:r>
    </w:p>
  </w:footnote>
  <w:footnote w:id="5">
    <w:p w14:paraId="7362F126" w14:textId="48763541" w:rsidR="00C41B3C" w:rsidRPr="00962FBE" w:rsidRDefault="00C41B3C" w:rsidP="00400CBC">
      <w:pPr>
        <w:pStyle w:val="FootnoteText"/>
        <w:rPr>
          <w:lang w:val="en-AU"/>
        </w:rPr>
      </w:pPr>
      <w:r w:rsidRPr="00962FBE">
        <w:rPr>
          <w:rStyle w:val="FootnoteReference"/>
          <w:sz w:val="18"/>
          <w:szCs w:val="18"/>
        </w:rPr>
        <w:footnoteRef/>
      </w:r>
      <w:r w:rsidRPr="00912AC0">
        <w:t xml:space="preserve"> </w:t>
      </w:r>
      <w:r w:rsidR="002A2914" w:rsidRPr="00912AC0">
        <w:rPr>
          <w:sz w:val="18"/>
          <w:szCs w:val="18"/>
          <w:lang w:val="en-AU"/>
        </w:rPr>
        <w:t>While e</w:t>
      </w:r>
      <w:r w:rsidR="00CA3A6A" w:rsidRPr="00912AC0">
        <w:rPr>
          <w:sz w:val="18"/>
          <w:szCs w:val="18"/>
          <w:lang w:val="en-AU"/>
        </w:rPr>
        <w:t xml:space="preserve">stablishment of </w:t>
      </w:r>
      <w:r w:rsidR="00AC6252" w:rsidRPr="00962FBE">
        <w:rPr>
          <w:sz w:val="18"/>
          <w:szCs w:val="18"/>
          <w:lang w:val="en-AU"/>
        </w:rPr>
        <w:t xml:space="preserve">TongaHealth’s Outer Islands Offices </w:t>
      </w:r>
      <w:r w:rsidR="009E5FBC" w:rsidRPr="00912AC0">
        <w:rPr>
          <w:sz w:val="18"/>
          <w:szCs w:val="18"/>
          <w:lang w:val="en-AU"/>
        </w:rPr>
        <w:t>coul</w:t>
      </w:r>
      <w:r w:rsidR="0006084A" w:rsidRPr="00962FBE">
        <w:rPr>
          <w:sz w:val="18"/>
          <w:szCs w:val="18"/>
          <w:lang w:val="en-AU"/>
        </w:rPr>
        <w:t>d</w:t>
      </w:r>
      <w:r w:rsidR="004943E4" w:rsidRPr="00962FBE">
        <w:rPr>
          <w:sz w:val="18"/>
          <w:szCs w:val="18"/>
          <w:lang w:val="en-AU"/>
        </w:rPr>
        <w:t xml:space="preserve"> </w:t>
      </w:r>
      <w:r w:rsidR="009E5FBC" w:rsidRPr="00912AC0">
        <w:rPr>
          <w:sz w:val="18"/>
          <w:szCs w:val="18"/>
          <w:lang w:val="en-AU"/>
        </w:rPr>
        <w:t>be considered a</w:t>
      </w:r>
      <w:r w:rsidR="002A2914" w:rsidRPr="00912AC0">
        <w:rPr>
          <w:sz w:val="18"/>
          <w:szCs w:val="18"/>
          <w:lang w:val="en-AU"/>
        </w:rPr>
        <w:t>n</w:t>
      </w:r>
      <w:r w:rsidR="009E5FBC" w:rsidRPr="00912AC0">
        <w:rPr>
          <w:sz w:val="18"/>
          <w:szCs w:val="18"/>
          <w:lang w:val="en-AU"/>
        </w:rPr>
        <w:t xml:space="preserve"> </w:t>
      </w:r>
      <w:r w:rsidR="00DC4567" w:rsidRPr="00962FBE">
        <w:rPr>
          <w:sz w:val="18"/>
          <w:szCs w:val="18"/>
          <w:lang w:val="en-AU"/>
        </w:rPr>
        <w:t xml:space="preserve">internal </w:t>
      </w:r>
      <w:r w:rsidR="009E5FBC" w:rsidRPr="00912AC0">
        <w:rPr>
          <w:sz w:val="18"/>
          <w:szCs w:val="18"/>
          <w:lang w:val="en-AU"/>
        </w:rPr>
        <w:t>operat</w:t>
      </w:r>
      <w:r w:rsidR="001C6A30" w:rsidRPr="00962FBE">
        <w:rPr>
          <w:sz w:val="18"/>
          <w:szCs w:val="18"/>
          <w:lang w:val="en-AU"/>
        </w:rPr>
        <w:t>ions</w:t>
      </w:r>
      <w:r w:rsidR="009E5FBC" w:rsidRPr="00912AC0">
        <w:rPr>
          <w:sz w:val="18"/>
          <w:szCs w:val="18"/>
          <w:lang w:val="en-AU"/>
        </w:rPr>
        <w:t xml:space="preserve"> expense</w:t>
      </w:r>
      <w:r w:rsidR="002A2914" w:rsidRPr="00912AC0">
        <w:rPr>
          <w:sz w:val="18"/>
          <w:szCs w:val="18"/>
          <w:lang w:val="en-AU"/>
        </w:rPr>
        <w:t>, for</w:t>
      </w:r>
      <w:r w:rsidR="000917DB" w:rsidRPr="00912AC0">
        <w:rPr>
          <w:sz w:val="18"/>
          <w:szCs w:val="18"/>
          <w:lang w:val="en-AU"/>
        </w:rPr>
        <w:t xml:space="preserve"> </w:t>
      </w:r>
      <w:proofErr w:type="spellStart"/>
      <w:r w:rsidR="00D013BC">
        <w:rPr>
          <w:sz w:val="18"/>
          <w:szCs w:val="18"/>
          <w:lang w:val="en-AU"/>
        </w:rPr>
        <w:t>workplanning</w:t>
      </w:r>
      <w:proofErr w:type="spellEnd"/>
      <w:r w:rsidR="00D013BC">
        <w:rPr>
          <w:sz w:val="18"/>
          <w:szCs w:val="18"/>
          <w:lang w:val="en-AU"/>
        </w:rPr>
        <w:t xml:space="preserve">, </w:t>
      </w:r>
      <w:r w:rsidR="000917DB" w:rsidRPr="00912AC0">
        <w:rPr>
          <w:sz w:val="18"/>
          <w:szCs w:val="18"/>
          <w:lang w:val="en-AU"/>
        </w:rPr>
        <w:t xml:space="preserve">financial </w:t>
      </w:r>
      <w:r w:rsidR="002A2914" w:rsidRPr="00912AC0">
        <w:rPr>
          <w:sz w:val="18"/>
          <w:szCs w:val="18"/>
          <w:lang w:val="en-AU"/>
        </w:rPr>
        <w:t>and reporting purposes TongaHealth</w:t>
      </w:r>
      <w:r w:rsidR="008852F0" w:rsidRPr="00962FBE">
        <w:rPr>
          <w:sz w:val="18"/>
          <w:szCs w:val="18"/>
          <w:lang w:val="en-AU"/>
        </w:rPr>
        <w:t xml:space="preserve"> </w:t>
      </w:r>
      <w:r w:rsidR="00DC4567" w:rsidRPr="00962FBE">
        <w:rPr>
          <w:sz w:val="18"/>
          <w:szCs w:val="18"/>
          <w:lang w:val="en-AU"/>
        </w:rPr>
        <w:t>c</w:t>
      </w:r>
      <w:r w:rsidR="00475702" w:rsidRPr="00962FBE">
        <w:rPr>
          <w:sz w:val="18"/>
          <w:szCs w:val="18"/>
          <w:lang w:val="en-AU"/>
        </w:rPr>
        <w:t>lassifies this as a</w:t>
      </w:r>
      <w:r w:rsidR="001043D3">
        <w:rPr>
          <w:sz w:val="18"/>
          <w:szCs w:val="18"/>
          <w:lang w:val="en-AU"/>
        </w:rPr>
        <w:t>n</w:t>
      </w:r>
      <w:r w:rsidR="00DC4567" w:rsidRPr="00962FBE">
        <w:rPr>
          <w:sz w:val="18"/>
          <w:szCs w:val="18"/>
          <w:lang w:val="en-AU"/>
        </w:rPr>
        <w:t xml:space="preserve"> “activity”</w:t>
      </w:r>
      <w:r w:rsidR="00A25A7A">
        <w:rPr>
          <w:sz w:val="18"/>
          <w:szCs w:val="18"/>
          <w:lang w:val="en-AU"/>
        </w:rPr>
        <w:t xml:space="preserve"> rather than an operations expense. </w:t>
      </w:r>
      <w:r w:rsidR="007859BD" w:rsidRPr="00912AC0">
        <w:rPr>
          <w:sz w:val="18"/>
          <w:szCs w:val="18"/>
          <w:lang w:val="en-AU"/>
        </w:rPr>
        <w:t xml:space="preserve">For example, </w:t>
      </w:r>
      <w:r w:rsidR="0037089C" w:rsidRPr="00912AC0">
        <w:rPr>
          <w:sz w:val="18"/>
          <w:szCs w:val="18"/>
          <w:lang w:val="en-AU"/>
        </w:rPr>
        <w:t xml:space="preserve">the establishment of Outer Islands </w:t>
      </w:r>
      <w:r w:rsidR="001C6A30" w:rsidRPr="00962FBE">
        <w:rPr>
          <w:sz w:val="18"/>
          <w:szCs w:val="18"/>
          <w:lang w:val="en-AU"/>
        </w:rPr>
        <w:t xml:space="preserve">Officers </w:t>
      </w:r>
      <w:r w:rsidR="00A03DA2" w:rsidRPr="00912AC0">
        <w:rPr>
          <w:sz w:val="18"/>
          <w:szCs w:val="18"/>
          <w:lang w:val="en-AU"/>
        </w:rPr>
        <w:t xml:space="preserve">was covered by its own </w:t>
      </w:r>
      <w:r w:rsidR="00400CBC" w:rsidRPr="00962FBE">
        <w:rPr>
          <w:sz w:val="18"/>
          <w:szCs w:val="18"/>
          <w:lang w:val="en-AU"/>
        </w:rPr>
        <w:t xml:space="preserve">grant agreement, was funded through </w:t>
      </w:r>
      <w:r w:rsidR="0025290C" w:rsidRPr="00912AC0">
        <w:rPr>
          <w:sz w:val="18"/>
          <w:szCs w:val="18"/>
          <w:lang w:val="en-AU"/>
        </w:rPr>
        <w:t>TongaHealth’s</w:t>
      </w:r>
      <w:r w:rsidR="00400CBC" w:rsidRPr="00962FBE">
        <w:rPr>
          <w:sz w:val="18"/>
          <w:szCs w:val="18"/>
          <w:lang w:val="en-AU"/>
        </w:rPr>
        <w:t xml:space="preserve"> activity budget (rather than operations budget</w:t>
      </w:r>
      <w:proofErr w:type="gramStart"/>
      <w:r w:rsidR="00400CBC" w:rsidRPr="00962FBE">
        <w:rPr>
          <w:sz w:val="18"/>
          <w:szCs w:val="18"/>
          <w:lang w:val="en-AU"/>
        </w:rPr>
        <w:t>), and</w:t>
      </w:r>
      <w:proofErr w:type="gramEnd"/>
      <w:r w:rsidR="00400CBC" w:rsidRPr="00962FBE">
        <w:rPr>
          <w:sz w:val="18"/>
          <w:szCs w:val="18"/>
          <w:lang w:val="en-AU"/>
        </w:rPr>
        <w:t xml:space="preserve"> is reported by TongaHealth alongside other grant-funded activities.</w:t>
      </w:r>
      <w:r w:rsidR="000917DB" w:rsidRPr="00912AC0">
        <w:rPr>
          <w:sz w:val="18"/>
          <w:szCs w:val="18"/>
          <w:lang w:val="en-AU"/>
        </w:rPr>
        <w:t xml:space="preserve"> </w:t>
      </w:r>
      <w:r w:rsidR="00025FF5" w:rsidRPr="00912AC0">
        <w:rPr>
          <w:sz w:val="18"/>
          <w:szCs w:val="18"/>
          <w:lang w:val="en-AU"/>
        </w:rPr>
        <w:t xml:space="preserve">Under the Interim Cash Grant, </w:t>
      </w:r>
      <w:r w:rsidR="005F28FC" w:rsidRPr="00912AC0">
        <w:rPr>
          <w:sz w:val="18"/>
          <w:szCs w:val="18"/>
          <w:lang w:val="en-AU"/>
        </w:rPr>
        <w:t>DFAT funding</w:t>
      </w:r>
      <w:r w:rsidR="00A40094" w:rsidRPr="00962FBE">
        <w:rPr>
          <w:sz w:val="18"/>
          <w:szCs w:val="18"/>
          <w:lang w:val="en-AU"/>
        </w:rPr>
        <w:t xml:space="preserve"> (TOP</w:t>
      </w:r>
      <w:r w:rsidR="0006084A" w:rsidRPr="00962FBE">
        <w:rPr>
          <w:sz w:val="18"/>
          <w:szCs w:val="18"/>
          <w:lang w:val="en-AU"/>
        </w:rPr>
        <w:t xml:space="preserve"> </w:t>
      </w:r>
      <w:r w:rsidR="007A2DAB" w:rsidRPr="00962FBE">
        <w:rPr>
          <w:sz w:val="18"/>
          <w:szCs w:val="18"/>
          <w:lang w:val="en-AU"/>
        </w:rPr>
        <w:t>63</w:t>
      </w:r>
      <w:r w:rsidR="0006084A" w:rsidRPr="00962FBE">
        <w:rPr>
          <w:sz w:val="18"/>
          <w:szCs w:val="18"/>
          <w:lang w:val="en-AU"/>
        </w:rPr>
        <w:t xml:space="preserve">, </w:t>
      </w:r>
      <w:r w:rsidR="007A2DAB" w:rsidRPr="00962FBE">
        <w:rPr>
          <w:sz w:val="18"/>
          <w:szCs w:val="18"/>
          <w:lang w:val="en-AU"/>
        </w:rPr>
        <w:t>290)</w:t>
      </w:r>
      <w:r w:rsidR="005F28FC" w:rsidRPr="00912AC0">
        <w:rPr>
          <w:sz w:val="18"/>
          <w:szCs w:val="18"/>
          <w:lang w:val="en-AU"/>
        </w:rPr>
        <w:t xml:space="preserve"> was u</w:t>
      </w:r>
      <w:r w:rsidR="00025FF5" w:rsidRPr="00912AC0">
        <w:rPr>
          <w:sz w:val="18"/>
          <w:szCs w:val="18"/>
          <w:lang w:val="en-AU"/>
        </w:rPr>
        <w:t xml:space="preserve">sed to fund the </w:t>
      </w:r>
      <w:r w:rsidR="005F28FC" w:rsidRPr="00912AC0">
        <w:rPr>
          <w:sz w:val="18"/>
          <w:szCs w:val="18"/>
          <w:lang w:val="en-AU"/>
        </w:rPr>
        <w:t xml:space="preserve">recruitment of Outer Islands Officers and </w:t>
      </w:r>
      <w:r w:rsidR="00025FF5" w:rsidRPr="00912AC0">
        <w:rPr>
          <w:sz w:val="18"/>
          <w:szCs w:val="18"/>
          <w:lang w:val="en-AU"/>
        </w:rPr>
        <w:t>office set-up</w:t>
      </w:r>
      <w:r w:rsidR="00203E6C" w:rsidRPr="00912AC0">
        <w:rPr>
          <w:sz w:val="18"/>
          <w:szCs w:val="18"/>
          <w:lang w:val="en-AU"/>
        </w:rPr>
        <w:t xml:space="preserve"> (e.g. purchase of laptops and office furniture for the five Outer Islands offices).</w:t>
      </w:r>
      <w:r w:rsidR="00F629A2" w:rsidRPr="00962FBE">
        <w:rPr>
          <w:sz w:val="18"/>
          <w:szCs w:val="18"/>
          <w:lang w:val="en-AU"/>
        </w:rPr>
        <w:t xml:space="preserve"> The</w:t>
      </w:r>
      <w:r w:rsidR="00203E6C" w:rsidRPr="00912AC0">
        <w:rPr>
          <w:sz w:val="18"/>
          <w:szCs w:val="18"/>
          <w:lang w:val="en-AU"/>
        </w:rPr>
        <w:t xml:space="preserve"> </w:t>
      </w:r>
      <w:r w:rsidR="007E7666" w:rsidRPr="00962FBE">
        <w:rPr>
          <w:sz w:val="18"/>
          <w:szCs w:val="18"/>
          <w:lang w:val="en-AU"/>
        </w:rPr>
        <w:t>THSSP3</w:t>
      </w:r>
      <w:r w:rsidR="00F629A2" w:rsidRPr="00962FBE">
        <w:rPr>
          <w:sz w:val="18"/>
          <w:szCs w:val="18"/>
          <w:lang w:val="en-AU"/>
        </w:rPr>
        <w:t xml:space="preserve"> workplan also allocates budget to support </w:t>
      </w:r>
      <w:r w:rsidR="00497BDA" w:rsidRPr="00962FBE">
        <w:rPr>
          <w:sz w:val="18"/>
          <w:szCs w:val="18"/>
          <w:lang w:val="en-AU"/>
        </w:rPr>
        <w:t xml:space="preserve">Outer Islands Offices </w:t>
      </w:r>
      <w:r w:rsidR="005E7C7C" w:rsidRPr="00962FBE">
        <w:rPr>
          <w:sz w:val="18"/>
          <w:szCs w:val="18"/>
          <w:lang w:val="en-AU"/>
        </w:rPr>
        <w:t>(</w:t>
      </w:r>
      <w:r w:rsidR="002C2F0F" w:rsidRPr="00962FBE">
        <w:rPr>
          <w:sz w:val="18"/>
          <w:szCs w:val="18"/>
          <w:lang w:val="en-AU"/>
        </w:rPr>
        <w:t xml:space="preserve">Year 1 </w:t>
      </w:r>
      <w:r w:rsidR="005E7C7C" w:rsidRPr="00962FBE">
        <w:rPr>
          <w:sz w:val="18"/>
          <w:szCs w:val="18"/>
          <w:lang w:val="en-AU"/>
        </w:rPr>
        <w:t xml:space="preserve">TOP </w:t>
      </w:r>
      <w:r w:rsidR="00C65B02" w:rsidRPr="00962FBE">
        <w:rPr>
          <w:sz w:val="18"/>
          <w:szCs w:val="18"/>
          <w:lang w:val="en-AU"/>
        </w:rPr>
        <w:t>160,270</w:t>
      </w:r>
      <w:r w:rsidR="002C2F0F" w:rsidRPr="00962FBE">
        <w:rPr>
          <w:sz w:val="18"/>
          <w:szCs w:val="18"/>
          <w:lang w:val="en-AU"/>
        </w:rPr>
        <w:t xml:space="preserve">, Year 2 </w:t>
      </w:r>
      <w:r w:rsidR="005E7C7C" w:rsidRPr="00962FBE">
        <w:rPr>
          <w:sz w:val="18"/>
          <w:szCs w:val="18"/>
          <w:lang w:val="en-AU"/>
        </w:rPr>
        <w:t xml:space="preserve">TOP </w:t>
      </w:r>
      <w:r w:rsidR="00C65B02" w:rsidRPr="00962FBE">
        <w:rPr>
          <w:sz w:val="18"/>
          <w:szCs w:val="18"/>
          <w:lang w:val="en-AU"/>
        </w:rPr>
        <w:t>200,000</w:t>
      </w:r>
      <w:r w:rsidR="001F6F34" w:rsidRPr="00962FBE">
        <w:rPr>
          <w:sz w:val="18"/>
          <w:szCs w:val="18"/>
          <w:lang w:val="en-AU"/>
        </w:rPr>
        <w:t>, Year 3</w:t>
      </w:r>
      <w:r w:rsidR="005E7C7C" w:rsidRPr="00962FBE">
        <w:rPr>
          <w:sz w:val="18"/>
          <w:szCs w:val="18"/>
          <w:lang w:val="en-AU"/>
        </w:rPr>
        <w:t xml:space="preserve"> TOP </w:t>
      </w:r>
      <w:r w:rsidR="00C65B02" w:rsidRPr="00962FBE">
        <w:rPr>
          <w:sz w:val="18"/>
          <w:szCs w:val="18"/>
          <w:lang w:val="en-AU"/>
        </w:rPr>
        <w:t>200,000</w:t>
      </w:r>
      <w:r w:rsidR="005E7C7C" w:rsidRPr="00962FBE">
        <w:rPr>
          <w:sz w:val="18"/>
          <w:szCs w:val="18"/>
          <w:lang w:val="en-AU"/>
        </w:rPr>
        <w:t>)</w:t>
      </w:r>
      <w:r w:rsidR="00E7437A" w:rsidRPr="00962FBE">
        <w:rPr>
          <w:sz w:val="18"/>
          <w:szCs w:val="18"/>
          <w:lang w:val="en-AU"/>
        </w:rPr>
        <w:t xml:space="preserve">. This budget is intended to cover </w:t>
      </w:r>
      <w:r w:rsidR="002C2F0F" w:rsidRPr="00962FBE">
        <w:rPr>
          <w:sz w:val="18"/>
          <w:szCs w:val="18"/>
          <w:lang w:val="en-AU"/>
        </w:rPr>
        <w:t>office set-up and staff salaries in Year 1</w:t>
      </w:r>
      <w:r w:rsidR="001F6F34" w:rsidRPr="00962FBE">
        <w:rPr>
          <w:sz w:val="18"/>
          <w:szCs w:val="18"/>
          <w:lang w:val="en-AU"/>
        </w:rPr>
        <w:t>,</w:t>
      </w:r>
      <w:r w:rsidR="008B210F" w:rsidRPr="00962FBE">
        <w:rPr>
          <w:sz w:val="18"/>
          <w:szCs w:val="18"/>
          <w:lang w:val="en-AU"/>
        </w:rPr>
        <w:t xml:space="preserve"> and community grants and initiatives in Years 2 and 3, with staff salaries</w:t>
      </w:r>
      <w:r w:rsidR="00912AC0" w:rsidRPr="00962FBE">
        <w:rPr>
          <w:sz w:val="18"/>
          <w:szCs w:val="18"/>
          <w:lang w:val="en-AU"/>
        </w:rPr>
        <w:t xml:space="preserve"> proposed</w:t>
      </w:r>
      <w:r w:rsidR="008B210F" w:rsidRPr="00962FBE">
        <w:rPr>
          <w:sz w:val="18"/>
          <w:szCs w:val="18"/>
          <w:lang w:val="en-AU"/>
        </w:rPr>
        <w:t xml:space="preserve"> </w:t>
      </w:r>
      <w:r w:rsidR="00305B9C" w:rsidRPr="00962FBE">
        <w:rPr>
          <w:sz w:val="18"/>
          <w:szCs w:val="18"/>
          <w:lang w:val="en-AU"/>
        </w:rPr>
        <w:t xml:space="preserve">to be covered by </w:t>
      </w:r>
      <w:proofErr w:type="spellStart"/>
      <w:r w:rsidR="00305B9C" w:rsidRPr="00962FBE">
        <w:rPr>
          <w:sz w:val="18"/>
          <w:szCs w:val="18"/>
          <w:lang w:val="en-AU"/>
        </w:rPr>
        <w:t>GoT</w:t>
      </w:r>
      <w:proofErr w:type="spellEnd"/>
      <w:r w:rsidR="00305B9C" w:rsidRPr="00962FBE">
        <w:rPr>
          <w:sz w:val="18"/>
          <w:szCs w:val="18"/>
          <w:lang w:val="en-AU"/>
        </w:rPr>
        <w:t xml:space="preserve"> in Years 2 and 3. </w:t>
      </w:r>
    </w:p>
  </w:footnote>
  <w:footnote w:id="6">
    <w:p w14:paraId="559D2B90" w14:textId="427B89B2" w:rsidR="003D1B82" w:rsidRPr="003D1B82" w:rsidRDefault="003D1B82">
      <w:pPr>
        <w:pStyle w:val="FootnoteText"/>
        <w:rPr>
          <w:lang w:val="en-AU"/>
        </w:rPr>
      </w:pPr>
      <w:r w:rsidRPr="003D1B82">
        <w:rPr>
          <w:rStyle w:val="FootnoteReference"/>
          <w:sz w:val="18"/>
          <w:szCs w:val="18"/>
        </w:rPr>
        <w:footnoteRef/>
      </w:r>
      <w:r w:rsidRPr="003D1B82">
        <w:rPr>
          <w:sz w:val="18"/>
          <w:szCs w:val="18"/>
        </w:rPr>
        <w:t xml:space="preserve"> There are a few exceptions to this, for example reports from </w:t>
      </w:r>
      <w:proofErr w:type="spellStart"/>
      <w:r w:rsidRPr="003D1B82">
        <w:rPr>
          <w:sz w:val="18"/>
          <w:szCs w:val="18"/>
        </w:rPr>
        <w:t>Kolomotu’a</w:t>
      </w:r>
      <w:proofErr w:type="spellEnd"/>
      <w:r w:rsidRPr="003D1B82">
        <w:rPr>
          <w:sz w:val="18"/>
          <w:szCs w:val="18"/>
        </w:rPr>
        <w:t xml:space="preserve"> Sports Committee (Zumba grantee) provide evidence of individual participants’ weight loss, and </w:t>
      </w:r>
      <w:proofErr w:type="spellStart"/>
      <w:r w:rsidRPr="003D1B82">
        <w:rPr>
          <w:sz w:val="18"/>
          <w:szCs w:val="18"/>
        </w:rPr>
        <w:t>Fiefia</w:t>
      </w:r>
      <w:proofErr w:type="spellEnd"/>
      <w:r w:rsidRPr="003D1B82">
        <w:rPr>
          <w:sz w:val="18"/>
          <w:szCs w:val="18"/>
        </w:rPr>
        <w:t xml:space="preserve"> Sports annual surveys show an increase in the proportion of workers participating in physical activity at least 5 days per week has increased from 16% in 2019 to 22% in 2021.</w:t>
      </w:r>
    </w:p>
  </w:footnote>
  <w:footnote w:id="7">
    <w:p w14:paraId="4571A08A" w14:textId="77777777" w:rsidR="001E5FD7" w:rsidRPr="00550D91" w:rsidRDefault="001E5FD7" w:rsidP="001E5FD7">
      <w:pPr>
        <w:pStyle w:val="FootnoteText"/>
        <w:rPr>
          <w:lang w:val="en-AU"/>
        </w:rPr>
      </w:pPr>
      <w:r w:rsidRPr="00F50A31">
        <w:rPr>
          <w:rStyle w:val="FootnoteReference"/>
          <w:sz w:val="18"/>
          <w:szCs w:val="18"/>
        </w:rPr>
        <w:footnoteRef/>
      </w:r>
      <w:r w:rsidRPr="00F50A31">
        <w:rPr>
          <w:sz w:val="18"/>
          <w:szCs w:val="18"/>
        </w:rPr>
        <w:t xml:space="preserve"> </w:t>
      </w:r>
      <w:r w:rsidRPr="00F50A31">
        <w:rPr>
          <w:sz w:val="18"/>
          <w:szCs w:val="18"/>
          <w:lang w:val="en-AU"/>
        </w:rPr>
        <w:t xml:space="preserve">While this is prior to the period of the NCD Strategy (which is the period of focus for this Review), Mai e Nima is included as it is an example of a high-profile program, and the only TongaHealth-funded program to the </w:t>
      </w:r>
      <w:r>
        <w:rPr>
          <w:sz w:val="18"/>
          <w:szCs w:val="18"/>
          <w:lang w:val="en-AU"/>
        </w:rPr>
        <w:t>R</w:t>
      </w:r>
      <w:r w:rsidRPr="00F50A31">
        <w:rPr>
          <w:sz w:val="18"/>
          <w:szCs w:val="18"/>
          <w:lang w:val="en-AU"/>
        </w:rPr>
        <w:t xml:space="preserve">eviewer’s knowledge </w:t>
      </w:r>
      <w:r>
        <w:rPr>
          <w:sz w:val="18"/>
          <w:szCs w:val="18"/>
          <w:lang w:val="en-AU"/>
        </w:rPr>
        <w:t>to have robust pre-post assessments that have demonstrated quantitative changes in participants’ health-related knowledge and behaviour</w:t>
      </w:r>
      <w:r w:rsidRPr="00F50A31">
        <w:rPr>
          <w:sz w:val="18"/>
          <w:szCs w:val="18"/>
          <w:lang w:val="en-AU"/>
        </w:rPr>
        <w:t xml:space="preserve">. </w:t>
      </w:r>
      <w:r>
        <w:rPr>
          <w:sz w:val="18"/>
          <w:szCs w:val="18"/>
          <w:lang w:val="en-AU"/>
        </w:rPr>
        <w:t xml:space="preserve">TongaHealth’s last grant to Mai e Nima was in FY21/22. </w:t>
      </w:r>
    </w:p>
  </w:footnote>
  <w:footnote w:id="8">
    <w:p w14:paraId="16F258BD" w14:textId="0AAB631C" w:rsidR="00577793" w:rsidRDefault="00577793" w:rsidP="00577793">
      <w:r w:rsidRPr="00577793">
        <w:rPr>
          <w:rStyle w:val="FootnoteReference"/>
          <w:sz w:val="18"/>
          <w:szCs w:val="18"/>
        </w:rPr>
        <w:footnoteRef/>
      </w:r>
      <w:r w:rsidRPr="00577793">
        <w:rPr>
          <w:sz w:val="18"/>
          <w:szCs w:val="18"/>
        </w:rPr>
        <w:t xml:space="preserve"> The NCD Strategy does not </w:t>
      </w:r>
      <w:r w:rsidR="003C333B">
        <w:rPr>
          <w:sz w:val="18"/>
          <w:szCs w:val="18"/>
        </w:rPr>
        <w:t>include definitions or specific examples under these functions, nor does it articulate specific activities under each of these functions</w:t>
      </w:r>
      <w:r w:rsidR="00D20546">
        <w:rPr>
          <w:sz w:val="18"/>
          <w:szCs w:val="18"/>
        </w:rPr>
        <w:t xml:space="preserve">. </w:t>
      </w:r>
      <w:proofErr w:type="gramStart"/>
      <w:r w:rsidR="00D20546">
        <w:rPr>
          <w:sz w:val="18"/>
          <w:szCs w:val="18"/>
        </w:rPr>
        <w:t>For the purpose of</w:t>
      </w:r>
      <w:proofErr w:type="gramEnd"/>
      <w:r w:rsidR="00D20546">
        <w:rPr>
          <w:sz w:val="18"/>
          <w:szCs w:val="18"/>
        </w:rPr>
        <w:t xml:space="preserve"> this report, </w:t>
      </w:r>
      <w:r w:rsidR="00A02D61">
        <w:rPr>
          <w:sz w:val="18"/>
          <w:szCs w:val="18"/>
        </w:rPr>
        <w:t xml:space="preserve">a description of each function is </w:t>
      </w:r>
      <w:r w:rsidRPr="00577793">
        <w:rPr>
          <w:sz w:val="18"/>
          <w:szCs w:val="18"/>
        </w:rPr>
        <w:t>inferred based on the activities allocated to TongaHealth elsewhere in the NCD Strate</w:t>
      </w:r>
      <w:r w:rsidR="002D116C">
        <w:rPr>
          <w:sz w:val="18"/>
          <w:szCs w:val="18"/>
        </w:rPr>
        <w:t xml:space="preserve">gy. As several of these functions overlap with the KRAs of the NCD Strategy, </w:t>
      </w:r>
      <w:r w:rsidR="00CB77E9">
        <w:rPr>
          <w:sz w:val="18"/>
          <w:szCs w:val="18"/>
        </w:rPr>
        <w:t xml:space="preserve">or with other </w:t>
      </w:r>
      <w:r w:rsidR="00A94020">
        <w:rPr>
          <w:sz w:val="18"/>
          <w:szCs w:val="18"/>
        </w:rPr>
        <w:t xml:space="preserve">KRQs or sub-questions for this review, </w:t>
      </w:r>
      <w:r w:rsidR="002D116C">
        <w:rPr>
          <w:sz w:val="18"/>
          <w:szCs w:val="18"/>
        </w:rPr>
        <w:t xml:space="preserve">this section of the report has been kept brief to avoid repetition. </w:t>
      </w:r>
      <w:r w:rsidR="002D116C">
        <w:t xml:space="preserve"> </w:t>
      </w:r>
      <w:r>
        <w:t xml:space="preserve">    </w:t>
      </w:r>
    </w:p>
    <w:p w14:paraId="1316B156" w14:textId="6A430327" w:rsidR="00577793" w:rsidRPr="00577793" w:rsidRDefault="00577793">
      <w:pPr>
        <w:pStyle w:val="FootnoteText"/>
        <w:rPr>
          <w:lang w:val="en-AU"/>
        </w:rPr>
      </w:pPr>
    </w:p>
  </w:footnote>
  <w:footnote w:id="9">
    <w:p w14:paraId="27A65B03" w14:textId="77777777" w:rsidR="001677C8" w:rsidRPr="005166EA" w:rsidRDefault="001677C8" w:rsidP="001677C8">
      <w:pPr>
        <w:pStyle w:val="FootnoteText"/>
        <w:rPr>
          <w:sz w:val="18"/>
          <w:szCs w:val="18"/>
          <w:lang w:val="en-AU"/>
        </w:rPr>
      </w:pPr>
      <w:r w:rsidRPr="005166EA">
        <w:rPr>
          <w:rStyle w:val="FootnoteReference"/>
          <w:sz w:val="18"/>
          <w:szCs w:val="18"/>
        </w:rPr>
        <w:footnoteRef/>
      </w:r>
      <w:r w:rsidRPr="005166EA">
        <w:rPr>
          <w:sz w:val="18"/>
          <w:szCs w:val="18"/>
        </w:rPr>
        <w:t xml:space="preserve"> World Health Organization (2022). Updated Appendix 3 of the WHO Global NCD Action Plan 2013-2030 https://cdn.who.int/media/docs/default-source/ncds/mnd/2022-app3-technical-annex-v26jan2023.pdf?sfvrsn=62581aa3_5</w:t>
      </w:r>
    </w:p>
  </w:footnote>
  <w:footnote w:id="10">
    <w:p w14:paraId="3FBD62B1" w14:textId="67804251" w:rsidR="00C66FC7" w:rsidRPr="00C66FC7" w:rsidRDefault="00C66FC7">
      <w:pPr>
        <w:pStyle w:val="FootnoteText"/>
        <w:rPr>
          <w:lang w:val="en-AU"/>
        </w:rPr>
      </w:pPr>
      <w:r w:rsidRPr="005166EA">
        <w:rPr>
          <w:rStyle w:val="FootnoteReference"/>
          <w:sz w:val="18"/>
          <w:szCs w:val="18"/>
        </w:rPr>
        <w:footnoteRef/>
      </w:r>
      <w:r w:rsidRPr="005166EA">
        <w:rPr>
          <w:sz w:val="18"/>
          <w:szCs w:val="18"/>
        </w:rPr>
        <w:t xml:space="preserve"> </w:t>
      </w:r>
      <w:r w:rsidR="005166EA" w:rsidRPr="005166EA">
        <w:rPr>
          <w:sz w:val="18"/>
          <w:szCs w:val="18"/>
          <w:lang w:val="en-AU"/>
        </w:rPr>
        <w:t>Given TongaHealth’s limited progress on activities other than grants, this section focuses on measures to improve the evidence base for grants.</w:t>
      </w:r>
    </w:p>
  </w:footnote>
  <w:footnote w:id="11">
    <w:p w14:paraId="211586F0" w14:textId="0F8E4F00" w:rsidR="004F12BB" w:rsidRPr="00785519" w:rsidRDefault="004F12BB">
      <w:pPr>
        <w:pStyle w:val="FootnoteText"/>
        <w:rPr>
          <w:sz w:val="16"/>
          <w:szCs w:val="16"/>
          <w:lang w:val="en-AU"/>
        </w:rPr>
      </w:pPr>
      <w:r w:rsidRPr="00EA16D3">
        <w:rPr>
          <w:rStyle w:val="FootnoteReference"/>
          <w:sz w:val="18"/>
          <w:szCs w:val="18"/>
        </w:rPr>
        <w:footnoteRef/>
      </w:r>
      <w:r w:rsidRPr="00EA16D3">
        <w:rPr>
          <w:sz w:val="18"/>
          <w:szCs w:val="18"/>
        </w:rPr>
        <w:t xml:space="preserve"> </w:t>
      </w:r>
      <w:r w:rsidR="003726AD" w:rsidRPr="00EA16D3">
        <w:rPr>
          <w:sz w:val="18"/>
          <w:szCs w:val="18"/>
        </w:rPr>
        <w:t>In the Terms of Reference for this Review, KRQ4 included an additional sub</w:t>
      </w:r>
      <w:r w:rsidR="009A020D" w:rsidRPr="00EA16D3">
        <w:rPr>
          <w:sz w:val="18"/>
          <w:szCs w:val="18"/>
        </w:rPr>
        <w:t>-</w:t>
      </w:r>
      <w:r w:rsidR="003726AD" w:rsidRPr="00EA16D3">
        <w:rPr>
          <w:sz w:val="18"/>
          <w:szCs w:val="18"/>
        </w:rPr>
        <w:t xml:space="preserve">question </w:t>
      </w:r>
      <w:proofErr w:type="gramStart"/>
      <w:r w:rsidRPr="00EA16D3">
        <w:rPr>
          <w:i/>
          <w:iCs/>
          <w:sz w:val="18"/>
          <w:szCs w:val="18"/>
        </w:rPr>
        <w:t>To</w:t>
      </w:r>
      <w:proofErr w:type="gramEnd"/>
      <w:r w:rsidRPr="00EA16D3">
        <w:rPr>
          <w:i/>
          <w:iCs/>
          <w:sz w:val="18"/>
          <w:szCs w:val="18"/>
        </w:rPr>
        <w:t xml:space="preserve"> what extent are </w:t>
      </w:r>
      <w:proofErr w:type="spellStart"/>
      <w:r w:rsidRPr="00EA16D3">
        <w:rPr>
          <w:i/>
          <w:iCs/>
          <w:sz w:val="18"/>
          <w:szCs w:val="18"/>
        </w:rPr>
        <w:t>Behavioural</w:t>
      </w:r>
      <w:proofErr w:type="spellEnd"/>
      <w:r w:rsidRPr="00EA16D3">
        <w:rPr>
          <w:i/>
          <w:iCs/>
          <w:sz w:val="18"/>
          <w:szCs w:val="18"/>
        </w:rPr>
        <w:t xml:space="preserve"> Change Communications (BCC) / Information, Education and Communication (IEC) strategies, plans, messages, tools, materials and activities targeted and adapted for different segments of the population?</w:t>
      </w:r>
      <w:r w:rsidR="00DD16F0">
        <w:rPr>
          <w:i/>
          <w:iCs/>
          <w:sz w:val="18"/>
          <w:szCs w:val="18"/>
        </w:rPr>
        <w:t xml:space="preserve"> </w:t>
      </w:r>
      <w:r w:rsidR="003726AD" w:rsidRPr="00EA16D3">
        <w:rPr>
          <w:i/>
          <w:iCs/>
          <w:sz w:val="18"/>
          <w:szCs w:val="18"/>
        </w:rPr>
        <w:t xml:space="preserve"> </w:t>
      </w:r>
      <w:r w:rsidR="003726AD" w:rsidRPr="00EA16D3">
        <w:rPr>
          <w:sz w:val="18"/>
          <w:szCs w:val="18"/>
        </w:rPr>
        <w:t>This sub-</w:t>
      </w:r>
      <w:r w:rsidR="009A020D" w:rsidRPr="00EA16D3">
        <w:rPr>
          <w:sz w:val="18"/>
          <w:szCs w:val="18"/>
        </w:rPr>
        <w:t xml:space="preserve">question has been excluded from the report because, as noted in Section </w:t>
      </w:r>
      <w:r w:rsidR="00F52AAA" w:rsidRPr="00EA16D3">
        <w:rPr>
          <w:sz w:val="18"/>
          <w:szCs w:val="18"/>
        </w:rPr>
        <w:fldChar w:fldCharType="begin"/>
      </w:r>
      <w:r w:rsidR="00F52AAA" w:rsidRPr="00EA16D3">
        <w:rPr>
          <w:sz w:val="18"/>
          <w:szCs w:val="18"/>
        </w:rPr>
        <w:instrText xml:space="preserve"> REF _Ref151585809 \r \h </w:instrText>
      </w:r>
      <w:r w:rsidR="00EA16D3">
        <w:rPr>
          <w:sz w:val="18"/>
          <w:szCs w:val="18"/>
        </w:rPr>
        <w:instrText xml:space="preserve"> \* MERGEFORMAT </w:instrText>
      </w:r>
      <w:r w:rsidR="00F52AAA" w:rsidRPr="00EA16D3">
        <w:rPr>
          <w:sz w:val="18"/>
          <w:szCs w:val="18"/>
        </w:rPr>
      </w:r>
      <w:r w:rsidR="00F52AAA" w:rsidRPr="00EA16D3">
        <w:rPr>
          <w:sz w:val="18"/>
          <w:szCs w:val="18"/>
        </w:rPr>
        <w:fldChar w:fldCharType="separate"/>
      </w:r>
      <w:r w:rsidR="00F52AAA" w:rsidRPr="00EA16D3">
        <w:rPr>
          <w:sz w:val="18"/>
          <w:szCs w:val="18"/>
        </w:rPr>
        <w:t>3.1.4</w:t>
      </w:r>
      <w:r w:rsidR="00F52AAA" w:rsidRPr="00EA16D3">
        <w:rPr>
          <w:sz w:val="18"/>
          <w:szCs w:val="18"/>
        </w:rPr>
        <w:fldChar w:fldCharType="end"/>
      </w:r>
      <w:r w:rsidR="00F52AAA" w:rsidRPr="00EA16D3">
        <w:rPr>
          <w:sz w:val="18"/>
          <w:szCs w:val="18"/>
        </w:rPr>
        <w:t>, TongaHealth does not directly im</w:t>
      </w:r>
      <w:r w:rsidR="00785519" w:rsidRPr="00EA16D3">
        <w:rPr>
          <w:sz w:val="18"/>
          <w:szCs w:val="18"/>
        </w:rPr>
        <w:t xml:space="preserve">plement BCC/IEC </w:t>
      </w:r>
      <w:proofErr w:type="gramStart"/>
      <w:r w:rsidR="00785519" w:rsidRPr="00EA16D3">
        <w:rPr>
          <w:sz w:val="18"/>
          <w:szCs w:val="18"/>
        </w:rPr>
        <w:t>activities</w:t>
      </w:r>
      <w:proofErr w:type="gramEnd"/>
    </w:p>
  </w:footnote>
  <w:footnote w:id="12">
    <w:p w14:paraId="4C62B131" w14:textId="3EE1707B" w:rsidR="001D6F36" w:rsidRPr="001D6F36" w:rsidRDefault="001D6F36">
      <w:pPr>
        <w:pStyle w:val="FootnoteText"/>
        <w:rPr>
          <w:lang w:val="en-AU"/>
        </w:rPr>
      </w:pPr>
      <w:r>
        <w:rPr>
          <w:rStyle w:val="FootnoteReference"/>
        </w:rPr>
        <w:footnoteRef/>
      </w:r>
      <w:r w:rsidR="00FA3BA1" w:rsidRPr="00A97721">
        <w:rPr>
          <w:sz w:val="18"/>
          <w:szCs w:val="18"/>
        </w:rPr>
        <w:t xml:space="preserve"> </w:t>
      </w:r>
      <w:r w:rsidR="009918C3">
        <w:rPr>
          <w:sz w:val="18"/>
          <w:szCs w:val="18"/>
          <w:lang w:val="en-AU"/>
        </w:rPr>
        <w:t xml:space="preserve">For conciseness, this sub-question has been merged with the sub-question above in this report. </w:t>
      </w:r>
    </w:p>
  </w:footnote>
  <w:footnote w:id="13">
    <w:p w14:paraId="5DBC864D" w14:textId="27E1E41D" w:rsidR="005F52CD" w:rsidRPr="00801095" w:rsidRDefault="005F52CD">
      <w:pPr>
        <w:pStyle w:val="FootnoteText"/>
        <w:rPr>
          <w:rFonts w:cstheme="minorHAnsi"/>
          <w:lang w:val="en-AU"/>
        </w:rPr>
      </w:pPr>
      <w:r w:rsidRPr="00801095">
        <w:rPr>
          <w:rStyle w:val="FootnoteReference"/>
          <w:rFonts w:cstheme="minorHAnsi"/>
        </w:rPr>
        <w:footnoteRef/>
      </w:r>
      <w:r w:rsidRPr="00801095">
        <w:rPr>
          <w:rFonts w:cstheme="minorHAnsi"/>
        </w:rPr>
        <w:t xml:space="preserve"> </w:t>
      </w:r>
      <w:r w:rsidR="00D062E0">
        <w:rPr>
          <w:rFonts w:cstheme="minorHAnsi"/>
        </w:rPr>
        <w:t xml:space="preserve"> This column describes TongaHealth’s progress only – not the progress of other stakeholders.</w:t>
      </w:r>
      <w:r w:rsidRPr="00801095">
        <w:rPr>
          <w:rFonts w:cstheme="minorHAnsi"/>
        </w:rPr>
        <w:t xml:space="preserve"> Drawn from Tonga Health Promotion Interim Assistance Grant Agreement 77023 Quarterly Reports to DFAT for Jul-Dec 22, Jan-Apr 23</w:t>
      </w:r>
      <w:r w:rsidR="00795FC0">
        <w:rPr>
          <w:rFonts w:cstheme="minorHAnsi"/>
        </w:rPr>
        <w:t xml:space="preserve">, </w:t>
      </w:r>
      <w:r w:rsidRPr="00801095">
        <w:rPr>
          <w:rFonts w:cstheme="minorHAnsi"/>
        </w:rPr>
        <w:t xml:space="preserve">Apr-Jun </w:t>
      </w:r>
      <w:proofErr w:type="gramStart"/>
      <w:r w:rsidRPr="00801095">
        <w:rPr>
          <w:rFonts w:cstheme="minorHAnsi"/>
        </w:rPr>
        <w:t>23</w:t>
      </w:r>
      <w:proofErr w:type="gramEnd"/>
      <w:r w:rsidR="00795FC0">
        <w:rPr>
          <w:rFonts w:cstheme="minorHAnsi"/>
        </w:rPr>
        <w:t xml:space="preserve"> and </w:t>
      </w:r>
      <w:r w:rsidR="009B1D0A">
        <w:rPr>
          <w:rFonts w:cstheme="minorHAnsi"/>
        </w:rPr>
        <w:t xml:space="preserve">draft Final Report covering the </w:t>
      </w:r>
      <w:r w:rsidR="00795FC0">
        <w:rPr>
          <w:rFonts w:cstheme="minorHAnsi"/>
        </w:rPr>
        <w:t>whole grant period</w:t>
      </w:r>
      <w:r w:rsidR="009B1D0A">
        <w:rPr>
          <w:rFonts w:cstheme="minorHAnsi"/>
        </w:rPr>
        <w:t xml:space="preserve">, </w:t>
      </w:r>
      <w:r w:rsidRPr="00801095">
        <w:rPr>
          <w:rFonts w:cstheme="minorHAnsi"/>
        </w:rPr>
        <w:t>with additional inputs from TongaHealth</w:t>
      </w:r>
      <w:r w:rsidR="00D062E0">
        <w:rPr>
          <w:rFonts w:cstheme="minorHAnsi"/>
        </w:rPr>
        <w:t xml:space="preserve">. </w:t>
      </w:r>
    </w:p>
  </w:footnote>
  <w:footnote w:id="14">
    <w:p w14:paraId="238C6402" w14:textId="777DECA5" w:rsidR="00CC44A7" w:rsidRPr="00CC44A7" w:rsidRDefault="00CC44A7">
      <w:pPr>
        <w:pStyle w:val="FootnoteText"/>
        <w:rPr>
          <w:lang w:val="en-AU"/>
        </w:rPr>
      </w:pPr>
      <w:r>
        <w:rPr>
          <w:rStyle w:val="FootnoteReference"/>
        </w:rPr>
        <w:footnoteRef/>
      </w:r>
      <w:r>
        <w:t xml:space="preserve"> </w:t>
      </w:r>
      <w:r>
        <w:rPr>
          <w:lang w:val="en-AU"/>
        </w:rPr>
        <w:t xml:space="preserve">Excludes </w:t>
      </w:r>
      <w:r w:rsidR="00D57C97">
        <w:rPr>
          <w:lang w:val="en-AU"/>
        </w:rPr>
        <w:t>sponsorships (i.e. below TOP2000)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6E9C" w14:textId="2F526EF3" w:rsidR="00976841" w:rsidRDefault="00883579">
    <w:pPr>
      <w:pStyle w:val="Header"/>
    </w:pPr>
    <w:r>
      <w:rPr>
        <w:noProof/>
      </w:rPr>
      <w:drawing>
        <wp:anchor distT="0" distB="0" distL="114300" distR="114300" simplePos="0" relativeHeight="251658240" behindDoc="1" locked="0" layoutInCell="1" allowOverlap="1" wp14:anchorId="08771F25" wp14:editId="07BE23E4">
          <wp:simplePos x="721519" y="357188"/>
          <wp:positionH relativeFrom="page">
            <wp:align>center</wp:align>
          </wp:positionH>
          <wp:positionV relativeFrom="page">
            <wp:align>top</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AEB1" w14:textId="1E2A4C51" w:rsidR="00F46929" w:rsidRPr="00EE3281" w:rsidRDefault="00F46929" w:rsidP="00EE3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8BCC8A0"/>
    <w:lvl w:ilvl="0">
      <w:start w:val="1"/>
      <w:numFmt w:val="bullet"/>
      <w:pStyle w:val="ListBullet5"/>
      <w:lvlText w:val=""/>
      <w:lvlJc w:val="left"/>
      <w:pPr>
        <w:tabs>
          <w:tab w:val="num" w:pos="1983"/>
        </w:tabs>
        <w:ind w:left="1983" w:hanging="360"/>
      </w:pPr>
      <w:rPr>
        <w:rFonts w:ascii="Symbol" w:hAnsi="Symbol" w:hint="default"/>
      </w:rPr>
    </w:lvl>
  </w:abstractNum>
  <w:abstractNum w:abstractNumId="1" w15:restartNumberingAfterBreak="0">
    <w:nsid w:val="FFFFFF88"/>
    <w:multiLevelType w:val="multilevel"/>
    <w:tmpl w:val="CBB6863C"/>
    <w:lvl w:ilvl="0">
      <w:start w:val="1"/>
      <w:numFmt w:val="decimal"/>
      <w:pStyle w:val="ListNumber"/>
      <w:lvlText w:val="%1."/>
      <w:lvlJc w:val="left"/>
      <w:pPr>
        <w:tabs>
          <w:tab w:val="num" w:pos="360"/>
        </w:tabs>
        <w:ind w:left="36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16A7C16"/>
    <w:multiLevelType w:val="hybridMultilevel"/>
    <w:tmpl w:val="708C1CD2"/>
    <w:lvl w:ilvl="0" w:tplc="6FEADC7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2D1896"/>
    <w:multiLevelType w:val="hybridMultilevel"/>
    <w:tmpl w:val="D5305226"/>
    <w:lvl w:ilvl="0" w:tplc="6FEADC7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772B67"/>
    <w:multiLevelType w:val="hybridMultilevel"/>
    <w:tmpl w:val="6D06E726"/>
    <w:lvl w:ilvl="0" w:tplc="7618F5BE">
      <w:start w:val="1"/>
      <w:numFmt w:val="decimal"/>
      <w:pStyle w:val="ANNEXHEADING"/>
      <w:lvlText w:val="Anne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FF7F99"/>
    <w:multiLevelType w:val="hybridMultilevel"/>
    <w:tmpl w:val="C1B0EF30"/>
    <w:lvl w:ilvl="0" w:tplc="6FEADC7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237753"/>
    <w:multiLevelType w:val="hybridMultilevel"/>
    <w:tmpl w:val="C530710E"/>
    <w:lvl w:ilvl="0" w:tplc="95A436C0">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56723C"/>
    <w:multiLevelType w:val="hybridMultilevel"/>
    <w:tmpl w:val="CCF42322"/>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E447D03"/>
    <w:multiLevelType w:val="hybridMultilevel"/>
    <w:tmpl w:val="9BEADEAE"/>
    <w:lvl w:ilvl="0" w:tplc="59AA3A8E">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666A2A"/>
    <w:multiLevelType w:val="hybridMultilevel"/>
    <w:tmpl w:val="28D4C572"/>
    <w:lvl w:ilvl="0" w:tplc="6FEADC7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300B84"/>
    <w:multiLevelType w:val="hybridMultilevel"/>
    <w:tmpl w:val="DC789768"/>
    <w:lvl w:ilvl="0" w:tplc="FFFFFFFF">
      <w:start w:val="1"/>
      <w:numFmt w:val="bullet"/>
      <w:lvlText w:val="-"/>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82080B"/>
    <w:multiLevelType w:val="hybridMultilevel"/>
    <w:tmpl w:val="22AA32E8"/>
    <w:lvl w:ilvl="0" w:tplc="6FEADC7A">
      <w:start w:val="1"/>
      <w:numFmt w:val="bullet"/>
      <w:lvlText w:val=""/>
      <w:lvlJc w:val="left"/>
      <w:pPr>
        <w:ind w:left="417" w:hanging="360"/>
      </w:pPr>
      <w:rPr>
        <w:rFonts w:ascii="Wingdings" w:hAnsi="Wingdings" w:hint="default"/>
        <w:color w:val="A64B63" w:themeColor="accent1"/>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2" w15:restartNumberingAfterBreak="0">
    <w:nsid w:val="1E531D41"/>
    <w:multiLevelType w:val="hybridMultilevel"/>
    <w:tmpl w:val="A2D8AE24"/>
    <w:lvl w:ilvl="0" w:tplc="6FEADC7A">
      <w:start w:val="1"/>
      <w:numFmt w:val="bullet"/>
      <w:lvlText w:val=""/>
      <w:lvlJc w:val="left"/>
      <w:pPr>
        <w:ind w:left="417" w:hanging="360"/>
      </w:pPr>
      <w:rPr>
        <w:rFonts w:ascii="Wingdings" w:hAnsi="Wingdings" w:hint="default"/>
        <w:color w:val="A64B63" w:themeColor="accent1"/>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3" w15:restartNumberingAfterBreak="0">
    <w:nsid w:val="1FCA39FB"/>
    <w:multiLevelType w:val="hybridMultilevel"/>
    <w:tmpl w:val="2B62D8E8"/>
    <w:lvl w:ilvl="0" w:tplc="FFFFFFFF">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0913F4"/>
    <w:multiLevelType w:val="hybridMultilevel"/>
    <w:tmpl w:val="EDDA86A6"/>
    <w:lvl w:ilvl="0" w:tplc="68D633B6">
      <w:start w:val="1"/>
      <w:numFmt w:val="bullet"/>
      <w:pStyle w:val="Instruction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C93187"/>
    <w:multiLevelType w:val="hybridMultilevel"/>
    <w:tmpl w:val="6E7ABECA"/>
    <w:lvl w:ilvl="0" w:tplc="CB785646">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970731"/>
    <w:multiLevelType w:val="hybridMultilevel"/>
    <w:tmpl w:val="3F46BCD2"/>
    <w:lvl w:ilvl="0" w:tplc="6FEADC7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602970"/>
    <w:multiLevelType w:val="hybridMultilevel"/>
    <w:tmpl w:val="B9B61EB4"/>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9C81F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1C7F2C"/>
    <w:multiLevelType w:val="hybridMultilevel"/>
    <w:tmpl w:val="0410293E"/>
    <w:lvl w:ilvl="0" w:tplc="FFFFFFFF">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CFA2ED5"/>
    <w:multiLevelType w:val="hybridMultilevel"/>
    <w:tmpl w:val="4E40630E"/>
    <w:lvl w:ilvl="0" w:tplc="755489F4">
      <w:start w:val="1"/>
      <w:numFmt w:val="bullet"/>
      <w:pStyle w:val="List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830C6F"/>
    <w:multiLevelType w:val="hybridMultilevel"/>
    <w:tmpl w:val="FD0C5482"/>
    <w:lvl w:ilvl="0" w:tplc="98BA7F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F0C7E"/>
    <w:multiLevelType w:val="hybridMultilevel"/>
    <w:tmpl w:val="06A67874"/>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8AA23A7"/>
    <w:multiLevelType w:val="hybridMultilevel"/>
    <w:tmpl w:val="49D86402"/>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9A81F00"/>
    <w:multiLevelType w:val="hybridMultilevel"/>
    <w:tmpl w:val="E0220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CA6B97"/>
    <w:multiLevelType w:val="hybridMultilevel"/>
    <w:tmpl w:val="FEAEFB04"/>
    <w:lvl w:ilvl="0" w:tplc="5274A79E">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F380715"/>
    <w:multiLevelType w:val="hybridMultilevel"/>
    <w:tmpl w:val="E6ACECD2"/>
    <w:lvl w:ilvl="0" w:tplc="FFFFFFFF">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6741AF"/>
    <w:multiLevelType w:val="hybridMultilevel"/>
    <w:tmpl w:val="B824AEDE"/>
    <w:lvl w:ilvl="0" w:tplc="F3302C46">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87687C"/>
    <w:multiLevelType w:val="hybridMultilevel"/>
    <w:tmpl w:val="C7F0D8AC"/>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2252914"/>
    <w:multiLevelType w:val="hybridMultilevel"/>
    <w:tmpl w:val="41B87CB4"/>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2AB2A63"/>
    <w:multiLevelType w:val="hybridMultilevel"/>
    <w:tmpl w:val="00FC021A"/>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2EF55C4"/>
    <w:multiLevelType w:val="hybridMultilevel"/>
    <w:tmpl w:val="51C6699A"/>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8726875"/>
    <w:multiLevelType w:val="hybridMultilevel"/>
    <w:tmpl w:val="B1F48106"/>
    <w:lvl w:ilvl="0" w:tplc="6FEADC7A">
      <w:start w:val="1"/>
      <w:numFmt w:val="bullet"/>
      <w:lvlText w:val=""/>
      <w:lvlJc w:val="left"/>
      <w:pPr>
        <w:ind w:left="417" w:hanging="360"/>
      </w:pPr>
      <w:rPr>
        <w:rFonts w:ascii="Wingdings" w:hAnsi="Wingdings" w:hint="default"/>
        <w:color w:val="A64B63" w:themeColor="accent1"/>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33" w15:restartNumberingAfterBreak="0">
    <w:nsid w:val="59251A0D"/>
    <w:multiLevelType w:val="hybridMultilevel"/>
    <w:tmpl w:val="1DBC3DE0"/>
    <w:lvl w:ilvl="0" w:tplc="0F36EDE4">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9334EF6"/>
    <w:multiLevelType w:val="multilevel"/>
    <w:tmpl w:val="9D7AC3D2"/>
    <w:lvl w:ilvl="0">
      <w:start w:val="1"/>
      <w:numFmt w:val="bullet"/>
      <w:lvlText w:val=""/>
      <w:lvlJc w:val="left"/>
      <w:pPr>
        <w:tabs>
          <w:tab w:val="num" w:pos="360"/>
        </w:tabs>
        <w:ind w:left="360" w:hanging="360"/>
      </w:pPr>
      <w:rPr>
        <w:rFonts w:ascii="Wingdings" w:hAnsi="Wingdings" w:hint="default"/>
        <w:b/>
        <w:bCs/>
        <w:color w:val="A64B63"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5A577B78"/>
    <w:multiLevelType w:val="hybridMultilevel"/>
    <w:tmpl w:val="AF82884A"/>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AA7150F"/>
    <w:multiLevelType w:val="hybridMultilevel"/>
    <w:tmpl w:val="1982096A"/>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F8D7EA5"/>
    <w:multiLevelType w:val="hybridMultilevel"/>
    <w:tmpl w:val="845C2598"/>
    <w:lvl w:ilvl="0" w:tplc="6FEADC7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AE59BF"/>
    <w:multiLevelType w:val="hybridMultilevel"/>
    <w:tmpl w:val="6EA66102"/>
    <w:lvl w:ilvl="0" w:tplc="FFFFFFFF">
      <w:start w:val="1"/>
      <w:numFmt w:val="bullet"/>
      <w:lvlText w:val="-"/>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28F5EDB"/>
    <w:multiLevelType w:val="hybridMultilevel"/>
    <w:tmpl w:val="31923712"/>
    <w:lvl w:ilvl="0" w:tplc="3424CA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5A24BF"/>
    <w:multiLevelType w:val="multilevel"/>
    <w:tmpl w:val="A41C4DB2"/>
    <w:styleLink w:val="Headings"/>
    <w:lvl w:ilvl="0">
      <w:start w:val="1"/>
      <w:numFmt w:val="decimal"/>
      <w:lvlText w:val="%1"/>
      <w:lvlJc w:val="left"/>
      <w:pPr>
        <w:ind w:left="720" w:hanging="720"/>
      </w:pPr>
      <w:rPr>
        <w:rFonts w:asciiTheme="majorHAnsi" w:hAnsiTheme="majorHAnsi" w:hint="default"/>
      </w:rPr>
    </w:lvl>
    <w:lvl w:ilvl="1">
      <w:start w:val="1"/>
      <w:numFmt w:val="decimal"/>
      <w:lvlText w:val="%1.%2"/>
      <w:lvlJc w:val="left"/>
      <w:pPr>
        <w:ind w:left="720" w:hanging="720"/>
      </w:pPr>
      <w:rPr>
        <w:rFonts w:asciiTheme="majorHAnsi" w:hAnsiTheme="majorHAnsi"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6DC5733B"/>
    <w:multiLevelType w:val="hybridMultilevel"/>
    <w:tmpl w:val="C8D66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5E6E9B"/>
    <w:multiLevelType w:val="hybridMultilevel"/>
    <w:tmpl w:val="E9F4C9F0"/>
    <w:lvl w:ilvl="0" w:tplc="70B2E02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46F2605"/>
    <w:multiLevelType w:val="hybridMultilevel"/>
    <w:tmpl w:val="26DC1830"/>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A527D28"/>
    <w:multiLevelType w:val="hybridMultilevel"/>
    <w:tmpl w:val="896C89F0"/>
    <w:lvl w:ilvl="0" w:tplc="6FEADC7A">
      <w:start w:val="1"/>
      <w:numFmt w:val="bullet"/>
      <w:lvlText w:val=""/>
      <w:lvlJc w:val="left"/>
      <w:pPr>
        <w:ind w:left="360" w:hanging="360"/>
      </w:pPr>
      <w:rPr>
        <w:rFonts w:ascii="Wingdings" w:hAnsi="Wingdings" w:hint="default"/>
        <w:color w:val="A64B63"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CD955AC"/>
    <w:multiLevelType w:val="hybridMultilevel"/>
    <w:tmpl w:val="31A6FADC"/>
    <w:lvl w:ilvl="0" w:tplc="6FEADC7A">
      <w:start w:val="1"/>
      <w:numFmt w:val="bullet"/>
      <w:lvlText w:val=""/>
      <w:lvlJc w:val="left"/>
      <w:pPr>
        <w:ind w:left="360" w:hanging="360"/>
      </w:pPr>
      <w:rPr>
        <w:rFonts w:ascii="Wingdings" w:hAnsi="Wingdings" w:hint="default"/>
        <w:color w:val="A64B63"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DA86A08"/>
    <w:multiLevelType w:val="multilevel"/>
    <w:tmpl w:val="2B6AEBCC"/>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asciiTheme="majorHAnsi" w:hAnsiTheme="majorHAnsi" w:cstheme="majorHAnsi" w:hint="default"/>
        <w:b/>
        <w:bCs/>
        <w:color w:val="7C384A" w:themeColor="accent1" w:themeShade="BF"/>
      </w:rPr>
    </w:lvl>
    <w:lvl w:ilvl="2">
      <w:start w:val="1"/>
      <w:numFmt w:val="decimal"/>
      <w:pStyle w:val="Heading3"/>
      <w:lvlText w:val="%1.%2.%3"/>
      <w:lvlJc w:val="left"/>
      <w:pPr>
        <w:ind w:left="851" w:hanging="851"/>
      </w:pPr>
      <w:rPr>
        <w:rFonts w:hint="default"/>
        <w:color w:val="7C384A" w:themeColor="accent1" w:themeShade="BF"/>
      </w:rPr>
    </w:lvl>
    <w:lvl w:ilvl="3">
      <w:start w:val="1"/>
      <w:numFmt w:val="decimal"/>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hint="default"/>
      </w:rPr>
    </w:lvl>
    <w:lvl w:ilvl="6">
      <w:start w:val="1"/>
      <w:numFmt w:val="decimal"/>
      <w:pStyle w:val="Heading7"/>
      <w:lvlText w:val="%1.%2.%3.%4.%5.%6.%7"/>
      <w:lvlJc w:val="left"/>
      <w:pPr>
        <w:ind w:left="851" w:hanging="851"/>
      </w:pPr>
      <w:rPr>
        <w:rFonts w:hint="default"/>
      </w:rPr>
    </w:lvl>
    <w:lvl w:ilvl="7">
      <w:start w:val="1"/>
      <w:numFmt w:val="decimal"/>
      <w:pStyle w:val="Heading8"/>
      <w:lvlText w:val="%1.%2.%3.%4.%5.%6.%7.%8"/>
      <w:lvlJc w:val="left"/>
      <w:pPr>
        <w:ind w:left="851" w:hanging="851"/>
      </w:pPr>
      <w:rPr>
        <w:rFonts w:hint="default"/>
      </w:rPr>
    </w:lvl>
    <w:lvl w:ilvl="8">
      <w:start w:val="1"/>
      <w:numFmt w:val="decimal"/>
      <w:pStyle w:val="Heading9"/>
      <w:lvlText w:val="%1.%2.%3.%4.%5.%6.%7.%8.%9"/>
      <w:lvlJc w:val="left"/>
      <w:pPr>
        <w:ind w:left="851" w:hanging="851"/>
      </w:pPr>
      <w:rPr>
        <w:rFonts w:hint="default"/>
      </w:rPr>
    </w:lvl>
  </w:abstractNum>
  <w:num w:numId="1" w16cid:durableId="481696922">
    <w:abstractNumId w:val="1"/>
  </w:num>
  <w:num w:numId="2" w16cid:durableId="1506743464">
    <w:abstractNumId w:val="0"/>
  </w:num>
  <w:num w:numId="3" w16cid:durableId="1475101624">
    <w:abstractNumId w:val="4"/>
  </w:num>
  <w:num w:numId="4" w16cid:durableId="1592932433">
    <w:abstractNumId w:val="46"/>
  </w:num>
  <w:num w:numId="5" w16cid:durableId="417606466">
    <w:abstractNumId w:val="40"/>
  </w:num>
  <w:num w:numId="6" w16cid:durableId="448010032">
    <w:abstractNumId w:val="14"/>
  </w:num>
  <w:num w:numId="7" w16cid:durableId="2146702341">
    <w:abstractNumId w:val="18"/>
  </w:num>
  <w:num w:numId="8" w16cid:durableId="513881840">
    <w:abstractNumId w:val="38"/>
  </w:num>
  <w:num w:numId="9" w16cid:durableId="761343344">
    <w:abstractNumId w:val="13"/>
  </w:num>
  <w:num w:numId="10" w16cid:durableId="1672022250">
    <w:abstractNumId w:val="19"/>
  </w:num>
  <w:num w:numId="11" w16cid:durableId="538662314">
    <w:abstractNumId w:val="10"/>
  </w:num>
  <w:num w:numId="12" w16cid:durableId="1079131831">
    <w:abstractNumId w:val="26"/>
  </w:num>
  <w:num w:numId="13" w16cid:durableId="727724867">
    <w:abstractNumId w:val="27"/>
  </w:num>
  <w:num w:numId="14" w16cid:durableId="1587231938">
    <w:abstractNumId w:val="15"/>
  </w:num>
  <w:num w:numId="15" w16cid:durableId="1425691826">
    <w:abstractNumId w:val="44"/>
  </w:num>
  <w:num w:numId="16" w16cid:durableId="771826086">
    <w:abstractNumId w:val="9"/>
  </w:num>
  <w:num w:numId="17" w16cid:durableId="861284858">
    <w:abstractNumId w:val="16"/>
  </w:num>
  <w:num w:numId="18" w16cid:durableId="367027862">
    <w:abstractNumId w:val="37"/>
  </w:num>
  <w:num w:numId="19" w16cid:durableId="701395905">
    <w:abstractNumId w:val="42"/>
  </w:num>
  <w:num w:numId="20" w16cid:durableId="1012955952">
    <w:abstractNumId w:val="20"/>
  </w:num>
  <w:num w:numId="21" w16cid:durableId="1527863548">
    <w:abstractNumId w:val="3"/>
  </w:num>
  <w:num w:numId="22" w16cid:durableId="276916497">
    <w:abstractNumId w:val="6"/>
  </w:num>
  <w:num w:numId="23" w16cid:durableId="2034574303">
    <w:abstractNumId w:val="34"/>
  </w:num>
  <w:num w:numId="24" w16cid:durableId="689379014">
    <w:abstractNumId w:val="7"/>
  </w:num>
  <w:num w:numId="25" w16cid:durableId="2035812172">
    <w:abstractNumId w:val="31"/>
  </w:num>
  <w:num w:numId="26" w16cid:durableId="1983340098">
    <w:abstractNumId w:val="35"/>
  </w:num>
  <w:num w:numId="27" w16cid:durableId="1505777479">
    <w:abstractNumId w:val="43"/>
  </w:num>
  <w:num w:numId="28" w16cid:durableId="326128128">
    <w:abstractNumId w:val="29"/>
  </w:num>
  <w:num w:numId="29" w16cid:durableId="52318079">
    <w:abstractNumId w:val="36"/>
  </w:num>
  <w:num w:numId="30" w16cid:durableId="1829055884">
    <w:abstractNumId w:val="45"/>
  </w:num>
  <w:num w:numId="31" w16cid:durableId="1859149445">
    <w:abstractNumId w:val="17"/>
  </w:num>
  <w:num w:numId="32" w16cid:durableId="2023586567">
    <w:abstractNumId w:val="22"/>
  </w:num>
  <w:num w:numId="33" w16cid:durableId="2118014923">
    <w:abstractNumId w:val="12"/>
  </w:num>
  <w:num w:numId="34" w16cid:durableId="686952700">
    <w:abstractNumId w:val="32"/>
  </w:num>
  <w:num w:numId="35" w16cid:durableId="906693685">
    <w:abstractNumId w:val="11"/>
  </w:num>
  <w:num w:numId="36" w16cid:durableId="1252621126">
    <w:abstractNumId w:val="30"/>
  </w:num>
  <w:num w:numId="37" w16cid:durableId="1953710324">
    <w:abstractNumId w:val="23"/>
  </w:num>
  <w:num w:numId="38" w16cid:durableId="753014213">
    <w:abstractNumId w:val="28"/>
  </w:num>
  <w:num w:numId="39" w16cid:durableId="257444351">
    <w:abstractNumId w:val="8"/>
  </w:num>
  <w:num w:numId="40" w16cid:durableId="795753318">
    <w:abstractNumId w:val="2"/>
  </w:num>
  <w:num w:numId="41" w16cid:durableId="2105879507">
    <w:abstractNumId w:val="5"/>
  </w:num>
  <w:num w:numId="42" w16cid:durableId="182865028">
    <w:abstractNumId w:val="21"/>
  </w:num>
  <w:num w:numId="43" w16cid:durableId="15011174">
    <w:abstractNumId w:val="25"/>
  </w:num>
  <w:num w:numId="44" w16cid:durableId="115413387">
    <w:abstractNumId w:val="24"/>
  </w:num>
  <w:num w:numId="45" w16cid:durableId="498615422">
    <w:abstractNumId w:val="39"/>
  </w:num>
  <w:num w:numId="46" w16cid:durableId="594898815">
    <w:abstractNumId w:val="33"/>
  </w:num>
  <w:num w:numId="47" w16cid:durableId="996227995">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002"/>
    <w:rsid w:val="0000000B"/>
    <w:rsid w:val="000006D5"/>
    <w:rsid w:val="00001076"/>
    <w:rsid w:val="000016AC"/>
    <w:rsid w:val="0000178D"/>
    <w:rsid w:val="00001BBC"/>
    <w:rsid w:val="00001CEE"/>
    <w:rsid w:val="0000291F"/>
    <w:rsid w:val="000031BB"/>
    <w:rsid w:val="00003732"/>
    <w:rsid w:val="00003C6C"/>
    <w:rsid w:val="00003C71"/>
    <w:rsid w:val="0000402E"/>
    <w:rsid w:val="000043F1"/>
    <w:rsid w:val="0000457C"/>
    <w:rsid w:val="00004589"/>
    <w:rsid w:val="00004D97"/>
    <w:rsid w:val="00005466"/>
    <w:rsid w:val="00005540"/>
    <w:rsid w:val="00005775"/>
    <w:rsid w:val="000057BC"/>
    <w:rsid w:val="0000595F"/>
    <w:rsid w:val="00006462"/>
    <w:rsid w:val="00006696"/>
    <w:rsid w:val="000069E3"/>
    <w:rsid w:val="0000702C"/>
    <w:rsid w:val="000077F5"/>
    <w:rsid w:val="00007A34"/>
    <w:rsid w:val="00007BAF"/>
    <w:rsid w:val="00007D55"/>
    <w:rsid w:val="00007F23"/>
    <w:rsid w:val="0001056D"/>
    <w:rsid w:val="0001106B"/>
    <w:rsid w:val="0001227B"/>
    <w:rsid w:val="0001267F"/>
    <w:rsid w:val="00012789"/>
    <w:rsid w:val="00013A02"/>
    <w:rsid w:val="00014242"/>
    <w:rsid w:val="00014383"/>
    <w:rsid w:val="000144A1"/>
    <w:rsid w:val="000145B6"/>
    <w:rsid w:val="00014635"/>
    <w:rsid w:val="00014989"/>
    <w:rsid w:val="00014E9D"/>
    <w:rsid w:val="000151DE"/>
    <w:rsid w:val="00015416"/>
    <w:rsid w:val="00015AFE"/>
    <w:rsid w:val="00015CB6"/>
    <w:rsid w:val="000161ED"/>
    <w:rsid w:val="000163DC"/>
    <w:rsid w:val="000164D0"/>
    <w:rsid w:val="00016CAB"/>
    <w:rsid w:val="00016FB9"/>
    <w:rsid w:val="000170B5"/>
    <w:rsid w:val="00017BDA"/>
    <w:rsid w:val="000205E0"/>
    <w:rsid w:val="000209FA"/>
    <w:rsid w:val="00020DBD"/>
    <w:rsid w:val="000213CD"/>
    <w:rsid w:val="0002170C"/>
    <w:rsid w:val="0002182E"/>
    <w:rsid w:val="000223E2"/>
    <w:rsid w:val="000225FA"/>
    <w:rsid w:val="00022715"/>
    <w:rsid w:val="00022E27"/>
    <w:rsid w:val="00022ED5"/>
    <w:rsid w:val="00023182"/>
    <w:rsid w:val="000232C7"/>
    <w:rsid w:val="0002355C"/>
    <w:rsid w:val="00023681"/>
    <w:rsid w:val="0002466C"/>
    <w:rsid w:val="0002477C"/>
    <w:rsid w:val="000247FB"/>
    <w:rsid w:val="00025283"/>
    <w:rsid w:val="00025CB6"/>
    <w:rsid w:val="00025CBD"/>
    <w:rsid w:val="00025E18"/>
    <w:rsid w:val="00025FF5"/>
    <w:rsid w:val="0002615B"/>
    <w:rsid w:val="00026F11"/>
    <w:rsid w:val="00027305"/>
    <w:rsid w:val="00027314"/>
    <w:rsid w:val="00027C5B"/>
    <w:rsid w:val="00027E49"/>
    <w:rsid w:val="00030571"/>
    <w:rsid w:val="00030A57"/>
    <w:rsid w:val="00030C06"/>
    <w:rsid w:val="0003127F"/>
    <w:rsid w:val="00031633"/>
    <w:rsid w:val="00031B89"/>
    <w:rsid w:val="00031F9D"/>
    <w:rsid w:val="000321BF"/>
    <w:rsid w:val="0003244F"/>
    <w:rsid w:val="00032BE5"/>
    <w:rsid w:val="00032D6A"/>
    <w:rsid w:val="00033151"/>
    <w:rsid w:val="000331E4"/>
    <w:rsid w:val="0003327F"/>
    <w:rsid w:val="000335EA"/>
    <w:rsid w:val="00033DA8"/>
    <w:rsid w:val="000340EF"/>
    <w:rsid w:val="00034542"/>
    <w:rsid w:val="00034775"/>
    <w:rsid w:val="000347FB"/>
    <w:rsid w:val="00034E2B"/>
    <w:rsid w:val="000350FF"/>
    <w:rsid w:val="00035507"/>
    <w:rsid w:val="00035678"/>
    <w:rsid w:val="00035A39"/>
    <w:rsid w:val="00035CCD"/>
    <w:rsid w:val="000364DD"/>
    <w:rsid w:val="00036BE3"/>
    <w:rsid w:val="0003785D"/>
    <w:rsid w:val="000400D0"/>
    <w:rsid w:val="0004017B"/>
    <w:rsid w:val="000405B3"/>
    <w:rsid w:val="0004098A"/>
    <w:rsid w:val="00040C1B"/>
    <w:rsid w:val="00040F91"/>
    <w:rsid w:val="0004108C"/>
    <w:rsid w:val="00041202"/>
    <w:rsid w:val="00041313"/>
    <w:rsid w:val="00041606"/>
    <w:rsid w:val="000416BE"/>
    <w:rsid w:val="00041F42"/>
    <w:rsid w:val="000429DC"/>
    <w:rsid w:val="00045246"/>
    <w:rsid w:val="0004535F"/>
    <w:rsid w:val="0004540D"/>
    <w:rsid w:val="0004590E"/>
    <w:rsid w:val="00045BA5"/>
    <w:rsid w:val="0004606D"/>
    <w:rsid w:val="0004617E"/>
    <w:rsid w:val="000462E4"/>
    <w:rsid w:val="00046849"/>
    <w:rsid w:val="00046BB5"/>
    <w:rsid w:val="00046CA4"/>
    <w:rsid w:val="00046CF9"/>
    <w:rsid w:val="00046D9C"/>
    <w:rsid w:val="00047068"/>
    <w:rsid w:val="00047579"/>
    <w:rsid w:val="00047C4C"/>
    <w:rsid w:val="0005028A"/>
    <w:rsid w:val="000507F9"/>
    <w:rsid w:val="00050BB0"/>
    <w:rsid w:val="00050F52"/>
    <w:rsid w:val="00051CBC"/>
    <w:rsid w:val="000522AF"/>
    <w:rsid w:val="00052330"/>
    <w:rsid w:val="00052529"/>
    <w:rsid w:val="0005294E"/>
    <w:rsid w:val="000529F1"/>
    <w:rsid w:val="00052F54"/>
    <w:rsid w:val="000530C3"/>
    <w:rsid w:val="000532EF"/>
    <w:rsid w:val="00053E36"/>
    <w:rsid w:val="0005416D"/>
    <w:rsid w:val="00054558"/>
    <w:rsid w:val="00054AD9"/>
    <w:rsid w:val="00054EC3"/>
    <w:rsid w:val="00054F12"/>
    <w:rsid w:val="00055253"/>
    <w:rsid w:val="000552F4"/>
    <w:rsid w:val="0005569C"/>
    <w:rsid w:val="000567AB"/>
    <w:rsid w:val="0005683D"/>
    <w:rsid w:val="00057779"/>
    <w:rsid w:val="00057A4F"/>
    <w:rsid w:val="00057CEC"/>
    <w:rsid w:val="000601D5"/>
    <w:rsid w:val="00060719"/>
    <w:rsid w:val="0006084A"/>
    <w:rsid w:val="00060A50"/>
    <w:rsid w:val="000612B6"/>
    <w:rsid w:val="00061CA0"/>
    <w:rsid w:val="00061CF4"/>
    <w:rsid w:val="00062AF7"/>
    <w:rsid w:val="0006362B"/>
    <w:rsid w:val="0006415D"/>
    <w:rsid w:val="00064394"/>
    <w:rsid w:val="00064B44"/>
    <w:rsid w:val="00066280"/>
    <w:rsid w:val="000662FB"/>
    <w:rsid w:val="00066503"/>
    <w:rsid w:val="00066BCA"/>
    <w:rsid w:val="00066E75"/>
    <w:rsid w:val="0006731E"/>
    <w:rsid w:val="000676C2"/>
    <w:rsid w:val="00067994"/>
    <w:rsid w:val="00070077"/>
    <w:rsid w:val="00070E3D"/>
    <w:rsid w:val="00071365"/>
    <w:rsid w:val="000718C7"/>
    <w:rsid w:val="00071A99"/>
    <w:rsid w:val="00072164"/>
    <w:rsid w:val="000722AA"/>
    <w:rsid w:val="000726C2"/>
    <w:rsid w:val="00072C98"/>
    <w:rsid w:val="00073334"/>
    <w:rsid w:val="0007354C"/>
    <w:rsid w:val="000735D2"/>
    <w:rsid w:val="000738D4"/>
    <w:rsid w:val="00073B7B"/>
    <w:rsid w:val="00073E64"/>
    <w:rsid w:val="00073FBC"/>
    <w:rsid w:val="00074432"/>
    <w:rsid w:val="0007449C"/>
    <w:rsid w:val="000746E4"/>
    <w:rsid w:val="0007493F"/>
    <w:rsid w:val="0007567F"/>
    <w:rsid w:val="00075724"/>
    <w:rsid w:val="00075CBE"/>
    <w:rsid w:val="000766F6"/>
    <w:rsid w:val="0007674F"/>
    <w:rsid w:val="00076A11"/>
    <w:rsid w:val="000772C2"/>
    <w:rsid w:val="00077906"/>
    <w:rsid w:val="00077D23"/>
    <w:rsid w:val="00081188"/>
    <w:rsid w:val="0008122D"/>
    <w:rsid w:val="00081B92"/>
    <w:rsid w:val="00082606"/>
    <w:rsid w:val="0008286A"/>
    <w:rsid w:val="00082E59"/>
    <w:rsid w:val="000832C6"/>
    <w:rsid w:val="000839B0"/>
    <w:rsid w:val="00083D9E"/>
    <w:rsid w:val="000843F9"/>
    <w:rsid w:val="0008467D"/>
    <w:rsid w:val="00084747"/>
    <w:rsid w:val="00084E00"/>
    <w:rsid w:val="00084F16"/>
    <w:rsid w:val="00085C42"/>
    <w:rsid w:val="00085CDF"/>
    <w:rsid w:val="00085EB4"/>
    <w:rsid w:val="0008636A"/>
    <w:rsid w:val="00086753"/>
    <w:rsid w:val="00086993"/>
    <w:rsid w:val="000869EC"/>
    <w:rsid w:val="00086FC6"/>
    <w:rsid w:val="00087735"/>
    <w:rsid w:val="000902B5"/>
    <w:rsid w:val="0009061E"/>
    <w:rsid w:val="0009075F"/>
    <w:rsid w:val="00090FA7"/>
    <w:rsid w:val="0009150A"/>
    <w:rsid w:val="000917DB"/>
    <w:rsid w:val="00091BE1"/>
    <w:rsid w:val="00091EF6"/>
    <w:rsid w:val="0009223C"/>
    <w:rsid w:val="00092357"/>
    <w:rsid w:val="00093485"/>
    <w:rsid w:val="000936FF"/>
    <w:rsid w:val="00093E7F"/>
    <w:rsid w:val="0009440F"/>
    <w:rsid w:val="00094968"/>
    <w:rsid w:val="00094BAD"/>
    <w:rsid w:val="00094D96"/>
    <w:rsid w:val="00094DA5"/>
    <w:rsid w:val="00094E6F"/>
    <w:rsid w:val="00095337"/>
    <w:rsid w:val="00095427"/>
    <w:rsid w:val="00095936"/>
    <w:rsid w:val="00095AC0"/>
    <w:rsid w:val="00095C3D"/>
    <w:rsid w:val="00095CAD"/>
    <w:rsid w:val="0009610B"/>
    <w:rsid w:val="00096B47"/>
    <w:rsid w:val="0009726D"/>
    <w:rsid w:val="000972B1"/>
    <w:rsid w:val="0009760A"/>
    <w:rsid w:val="000979B1"/>
    <w:rsid w:val="00097B6F"/>
    <w:rsid w:val="000A072A"/>
    <w:rsid w:val="000A0745"/>
    <w:rsid w:val="000A0C7A"/>
    <w:rsid w:val="000A0DFA"/>
    <w:rsid w:val="000A0E3F"/>
    <w:rsid w:val="000A0FE4"/>
    <w:rsid w:val="000A1402"/>
    <w:rsid w:val="000A19B7"/>
    <w:rsid w:val="000A1EA9"/>
    <w:rsid w:val="000A2AD4"/>
    <w:rsid w:val="000A321C"/>
    <w:rsid w:val="000A338E"/>
    <w:rsid w:val="000A3A37"/>
    <w:rsid w:val="000A4029"/>
    <w:rsid w:val="000A45C4"/>
    <w:rsid w:val="000A4E1E"/>
    <w:rsid w:val="000A50D2"/>
    <w:rsid w:val="000A5949"/>
    <w:rsid w:val="000A5CD4"/>
    <w:rsid w:val="000A5E44"/>
    <w:rsid w:val="000A5F98"/>
    <w:rsid w:val="000A6169"/>
    <w:rsid w:val="000A6375"/>
    <w:rsid w:val="000A67B8"/>
    <w:rsid w:val="000A6A66"/>
    <w:rsid w:val="000A6C79"/>
    <w:rsid w:val="000A6FEB"/>
    <w:rsid w:val="000A76E2"/>
    <w:rsid w:val="000B0385"/>
    <w:rsid w:val="000B074A"/>
    <w:rsid w:val="000B0BA8"/>
    <w:rsid w:val="000B0FED"/>
    <w:rsid w:val="000B1349"/>
    <w:rsid w:val="000B1935"/>
    <w:rsid w:val="000B1C28"/>
    <w:rsid w:val="000B1DAF"/>
    <w:rsid w:val="000B1E0E"/>
    <w:rsid w:val="000B1E47"/>
    <w:rsid w:val="000B2257"/>
    <w:rsid w:val="000B28DD"/>
    <w:rsid w:val="000B3B06"/>
    <w:rsid w:val="000B3DDE"/>
    <w:rsid w:val="000B51D8"/>
    <w:rsid w:val="000B58A0"/>
    <w:rsid w:val="000B5AD7"/>
    <w:rsid w:val="000B5BD9"/>
    <w:rsid w:val="000B6CC2"/>
    <w:rsid w:val="000B6CF5"/>
    <w:rsid w:val="000B6F80"/>
    <w:rsid w:val="000B7582"/>
    <w:rsid w:val="000B7634"/>
    <w:rsid w:val="000B7D56"/>
    <w:rsid w:val="000B7EF6"/>
    <w:rsid w:val="000B7FEF"/>
    <w:rsid w:val="000C07C1"/>
    <w:rsid w:val="000C07CE"/>
    <w:rsid w:val="000C0A50"/>
    <w:rsid w:val="000C0C88"/>
    <w:rsid w:val="000C1BFD"/>
    <w:rsid w:val="000C1E1E"/>
    <w:rsid w:val="000C2597"/>
    <w:rsid w:val="000C264C"/>
    <w:rsid w:val="000C2A7A"/>
    <w:rsid w:val="000C2E62"/>
    <w:rsid w:val="000C3E6E"/>
    <w:rsid w:val="000C47BA"/>
    <w:rsid w:val="000C4B23"/>
    <w:rsid w:val="000C4EFE"/>
    <w:rsid w:val="000C5073"/>
    <w:rsid w:val="000C5A13"/>
    <w:rsid w:val="000C676B"/>
    <w:rsid w:val="000C6EB2"/>
    <w:rsid w:val="000C6EFC"/>
    <w:rsid w:val="000C701D"/>
    <w:rsid w:val="000C7736"/>
    <w:rsid w:val="000C79AB"/>
    <w:rsid w:val="000C7E5C"/>
    <w:rsid w:val="000D0DA3"/>
    <w:rsid w:val="000D0F90"/>
    <w:rsid w:val="000D1214"/>
    <w:rsid w:val="000D1542"/>
    <w:rsid w:val="000D2C4C"/>
    <w:rsid w:val="000D3ABF"/>
    <w:rsid w:val="000D3B02"/>
    <w:rsid w:val="000D3E3B"/>
    <w:rsid w:val="000D565A"/>
    <w:rsid w:val="000D568D"/>
    <w:rsid w:val="000D5695"/>
    <w:rsid w:val="000D617A"/>
    <w:rsid w:val="000D6232"/>
    <w:rsid w:val="000D66DC"/>
    <w:rsid w:val="000D7A68"/>
    <w:rsid w:val="000E065E"/>
    <w:rsid w:val="000E0930"/>
    <w:rsid w:val="000E0BAE"/>
    <w:rsid w:val="000E0BC5"/>
    <w:rsid w:val="000E0E96"/>
    <w:rsid w:val="000E1556"/>
    <w:rsid w:val="000E1906"/>
    <w:rsid w:val="000E1D50"/>
    <w:rsid w:val="000E2581"/>
    <w:rsid w:val="000E26CB"/>
    <w:rsid w:val="000E2814"/>
    <w:rsid w:val="000E3120"/>
    <w:rsid w:val="000E31C8"/>
    <w:rsid w:val="000E38EE"/>
    <w:rsid w:val="000E3D2D"/>
    <w:rsid w:val="000E3F80"/>
    <w:rsid w:val="000E41C3"/>
    <w:rsid w:val="000E45B1"/>
    <w:rsid w:val="000E586F"/>
    <w:rsid w:val="000E634C"/>
    <w:rsid w:val="000E6FDD"/>
    <w:rsid w:val="000E71F7"/>
    <w:rsid w:val="000E75ED"/>
    <w:rsid w:val="000E7906"/>
    <w:rsid w:val="000F033C"/>
    <w:rsid w:val="000F04B5"/>
    <w:rsid w:val="000F0BFB"/>
    <w:rsid w:val="000F120C"/>
    <w:rsid w:val="000F1230"/>
    <w:rsid w:val="000F16EA"/>
    <w:rsid w:val="000F1952"/>
    <w:rsid w:val="000F1F5B"/>
    <w:rsid w:val="000F2648"/>
    <w:rsid w:val="000F2A45"/>
    <w:rsid w:val="000F2C39"/>
    <w:rsid w:val="000F34D5"/>
    <w:rsid w:val="000F402A"/>
    <w:rsid w:val="000F4319"/>
    <w:rsid w:val="000F431D"/>
    <w:rsid w:val="000F5B3B"/>
    <w:rsid w:val="000F5CE6"/>
    <w:rsid w:val="000F5F28"/>
    <w:rsid w:val="000F614C"/>
    <w:rsid w:val="000F67C2"/>
    <w:rsid w:val="000F69B4"/>
    <w:rsid w:val="000F6A25"/>
    <w:rsid w:val="000F6B95"/>
    <w:rsid w:val="000F6C14"/>
    <w:rsid w:val="000F6F02"/>
    <w:rsid w:val="001004C6"/>
    <w:rsid w:val="001005C8"/>
    <w:rsid w:val="00101351"/>
    <w:rsid w:val="001013F9"/>
    <w:rsid w:val="00101E70"/>
    <w:rsid w:val="00102E72"/>
    <w:rsid w:val="00103588"/>
    <w:rsid w:val="001043D3"/>
    <w:rsid w:val="00104906"/>
    <w:rsid w:val="0010499B"/>
    <w:rsid w:val="00104EE6"/>
    <w:rsid w:val="00105084"/>
    <w:rsid w:val="00105232"/>
    <w:rsid w:val="00105673"/>
    <w:rsid w:val="00105FF5"/>
    <w:rsid w:val="001060AC"/>
    <w:rsid w:val="0010680D"/>
    <w:rsid w:val="00106CDB"/>
    <w:rsid w:val="00107120"/>
    <w:rsid w:val="0010786D"/>
    <w:rsid w:val="00107A95"/>
    <w:rsid w:val="00107D7E"/>
    <w:rsid w:val="00107F1B"/>
    <w:rsid w:val="001102C7"/>
    <w:rsid w:val="00110936"/>
    <w:rsid w:val="00110AB7"/>
    <w:rsid w:val="00110C00"/>
    <w:rsid w:val="00111531"/>
    <w:rsid w:val="0011166C"/>
    <w:rsid w:val="00111FAE"/>
    <w:rsid w:val="0011220C"/>
    <w:rsid w:val="00112856"/>
    <w:rsid w:val="00113A63"/>
    <w:rsid w:val="0011478C"/>
    <w:rsid w:val="001152A5"/>
    <w:rsid w:val="001154F7"/>
    <w:rsid w:val="00115511"/>
    <w:rsid w:val="00115984"/>
    <w:rsid w:val="00115A35"/>
    <w:rsid w:val="0011651E"/>
    <w:rsid w:val="0011689F"/>
    <w:rsid w:val="00116BCD"/>
    <w:rsid w:val="00116D1C"/>
    <w:rsid w:val="00116E2C"/>
    <w:rsid w:val="001172CE"/>
    <w:rsid w:val="00117494"/>
    <w:rsid w:val="00117C2E"/>
    <w:rsid w:val="00117C51"/>
    <w:rsid w:val="001206F2"/>
    <w:rsid w:val="0012087B"/>
    <w:rsid w:val="00120A0E"/>
    <w:rsid w:val="00120A10"/>
    <w:rsid w:val="00120D97"/>
    <w:rsid w:val="00120FEF"/>
    <w:rsid w:val="0012196F"/>
    <w:rsid w:val="00121BDD"/>
    <w:rsid w:val="00122B2D"/>
    <w:rsid w:val="00122BDA"/>
    <w:rsid w:val="0012374E"/>
    <w:rsid w:val="0012410A"/>
    <w:rsid w:val="0012425A"/>
    <w:rsid w:val="00124909"/>
    <w:rsid w:val="00124F35"/>
    <w:rsid w:val="00124F68"/>
    <w:rsid w:val="001255CC"/>
    <w:rsid w:val="001258FE"/>
    <w:rsid w:val="001259BB"/>
    <w:rsid w:val="00125C37"/>
    <w:rsid w:val="00125C74"/>
    <w:rsid w:val="00125FB5"/>
    <w:rsid w:val="00126103"/>
    <w:rsid w:val="001267D5"/>
    <w:rsid w:val="00126B83"/>
    <w:rsid w:val="001278CE"/>
    <w:rsid w:val="001278F9"/>
    <w:rsid w:val="00127DA6"/>
    <w:rsid w:val="001304D1"/>
    <w:rsid w:val="001306C6"/>
    <w:rsid w:val="00130C7A"/>
    <w:rsid w:val="00131547"/>
    <w:rsid w:val="00131949"/>
    <w:rsid w:val="00131AB2"/>
    <w:rsid w:val="00131B27"/>
    <w:rsid w:val="00131EA1"/>
    <w:rsid w:val="00132584"/>
    <w:rsid w:val="001327DC"/>
    <w:rsid w:val="00132D68"/>
    <w:rsid w:val="00132ED5"/>
    <w:rsid w:val="001336CC"/>
    <w:rsid w:val="00134FA0"/>
    <w:rsid w:val="001350AC"/>
    <w:rsid w:val="001353AA"/>
    <w:rsid w:val="00135628"/>
    <w:rsid w:val="00135CCA"/>
    <w:rsid w:val="00135D0C"/>
    <w:rsid w:val="00135D68"/>
    <w:rsid w:val="00136291"/>
    <w:rsid w:val="00136295"/>
    <w:rsid w:val="00136629"/>
    <w:rsid w:val="001367CC"/>
    <w:rsid w:val="00136BDD"/>
    <w:rsid w:val="001371E6"/>
    <w:rsid w:val="00137BBB"/>
    <w:rsid w:val="00137BC1"/>
    <w:rsid w:val="00140418"/>
    <w:rsid w:val="00140450"/>
    <w:rsid w:val="00141001"/>
    <w:rsid w:val="00141487"/>
    <w:rsid w:val="00141676"/>
    <w:rsid w:val="001419FD"/>
    <w:rsid w:val="00141B24"/>
    <w:rsid w:val="00141F14"/>
    <w:rsid w:val="00142078"/>
    <w:rsid w:val="00142923"/>
    <w:rsid w:val="001430F7"/>
    <w:rsid w:val="00144BB1"/>
    <w:rsid w:val="00145D0A"/>
    <w:rsid w:val="00145FF7"/>
    <w:rsid w:val="00146F52"/>
    <w:rsid w:val="00146FC3"/>
    <w:rsid w:val="001476CC"/>
    <w:rsid w:val="0015028E"/>
    <w:rsid w:val="0015069E"/>
    <w:rsid w:val="001507C1"/>
    <w:rsid w:val="0015084F"/>
    <w:rsid w:val="00150873"/>
    <w:rsid w:val="00150B47"/>
    <w:rsid w:val="00151415"/>
    <w:rsid w:val="001514C8"/>
    <w:rsid w:val="00151F6A"/>
    <w:rsid w:val="0015222D"/>
    <w:rsid w:val="001526A3"/>
    <w:rsid w:val="0015293B"/>
    <w:rsid w:val="001531E7"/>
    <w:rsid w:val="001536F9"/>
    <w:rsid w:val="00153C29"/>
    <w:rsid w:val="00153C86"/>
    <w:rsid w:val="001546A1"/>
    <w:rsid w:val="00154841"/>
    <w:rsid w:val="00154A26"/>
    <w:rsid w:val="00154F87"/>
    <w:rsid w:val="001554B6"/>
    <w:rsid w:val="0015603F"/>
    <w:rsid w:val="00156089"/>
    <w:rsid w:val="0015637E"/>
    <w:rsid w:val="00156E00"/>
    <w:rsid w:val="0015740B"/>
    <w:rsid w:val="00157445"/>
    <w:rsid w:val="00157A57"/>
    <w:rsid w:val="00157B63"/>
    <w:rsid w:val="00157CCB"/>
    <w:rsid w:val="00160C6B"/>
    <w:rsid w:val="0016187E"/>
    <w:rsid w:val="00161BBA"/>
    <w:rsid w:val="00162BDF"/>
    <w:rsid w:val="00162D5B"/>
    <w:rsid w:val="00163076"/>
    <w:rsid w:val="001635E4"/>
    <w:rsid w:val="001637BC"/>
    <w:rsid w:val="0016394E"/>
    <w:rsid w:val="00163960"/>
    <w:rsid w:val="00163BF7"/>
    <w:rsid w:val="00163C19"/>
    <w:rsid w:val="00164E72"/>
    <w:rsid w:val="001658E5"/>
    <w:rsid w:val="001663C2"/>
    <w:rsid w:val="001677C8"/>
    <w:rsid w:val="001703F8"/>
    <w:rsid w:val="0017069B"/>
    <w:rsid w:val="001708E7"/>
    <w:rsid w:val="00170BAF"/>
    <w:rsid w:val="00170F8E"/>
    <w:rsid w:val="00171005"/>
    <w:rsid w:val="001711A2"/>
    <w:rsid w:val="00171511"/>
    <w:rsid w:val="00171B1E"/>
    <w:rsid w:val="00171CC6"/>
    <w:rsid w:val="00171FE9"/>
    <w:rsid w:val="00172649"/>
    <w:rsid w:val="00172BB4"/>
    <w:rsid w:val="00172C92"/>
    <w:rsid w:val="001735E5"/>
    <w:rsid w:val="001744D0"/>
    <w:rsid w:val="00174B38"/>
    <w:rsid w:val="00174B3F"/>
    <w:rsid w:val="00174F5E"/>
    <w:rsid w:val="00174F86"/>
    <w:rsid w:val="0017549D"/>
    <w:rsid w:val="001756D2"/>
    <w:rsid w:val="00176BEA"/>
    <w:rsid w:val="00176DE4"/>
    <w:rsid w:val="00177021"/>
    <w:rsid w:val="00177F29"/>
    <w:rsid w:val="00180BA7"/>
    <w:rsid w:val="0018170F"/>
    <w:rsid w:val="00181E6E"/>
    <w:rsid w:val="00182125"/>
    <w:rsid w:val="00182416"/>
    <w:rsid w:val="00182E3C"/>
    <w:rsid w:val="0018319F"/>
    <w:rsid w:val="001831A6"/>
    <w:rsid w:val="001832C4"/>
    <w:rsid w:val="0018339C"/>
    <w:rsid w:val="00183AB9"/>
    <w:rsid w:val="0018406A"/>
    <w:rsid w:val="001852D2"/>
    <w:rsid w:val="00186059"/>
    <w:rsid w:val="001867FC"/>
    <w:rsid w:val="00186A96"/>
    <w:rsid w:val="00186D2B"/>
    <w:rsid w:val="00187258"/>
    <w:rsid w:val="0019070A"/>
    <w:rsid w:val="00192E07"/>
    <w:rsid w:val="00193112"/>
    <w:rsid w:val="0019377F"/>
    <w:rsid w:val="00193AEB"/>
    <w:rsid w:val="001941E3"/>
    <w:rsid w:val="0019424B"/>
    <w:rsid w:val="00194508"/>
    <w:rsid w:val="001949EE"/>
    <w:rsid w:val="00194A23"/>
    <w:rsid w:val="00194AE3"/>
    <w:rsid w:val="00195D7A"/>
    <w:rsid w:val="00195F19"/>
    <w:rsid w:val="00195F9A"/>
    <w:rsid w:val="001960FE"/>
    <w:rsid w:val="0019639A"/>
    <w:rsid w:val="00196C35"/>
    <w:rsid w:val="00196EE9"/>
    <w:rsid w:val="00196EFD"/>
    <w:rsid w:val="00196F31"/>
    <w:rsid w:val="00197020"/>
    <w:rsid w:val="0019775A"/>
    <w:rsid w:val="001A0AFE"/>
    <w:rsid w:val="001A1F08"/>
    <w:rsid w:val="001A1F68"/>
    <w:rsid w:val="001A203E"/>
    <w:rsid w:val="001A2070"/>
    <w:rsid w:val="001A23A0"/>
    <w:rsid w:val="001A29F1"/>
    <w:rsid w:val="001A2B97"/>
    <w:rsid w:val="001A3661"/>
    <w:rsid w:val="001A4397"/>
    <w:rsid w:val="001A4627"/>
    <w:rsid w:val="001A4876"/>
    <w:rsid w:val="001A4B56"/>
    <w:rsid w:val="001A4C94"/>
    <w:rsid w:val="001A4D6D"/>
    <w:rsid w:val="001A61C6"/>
    <w:rsid w:val="001A6ACB"/>
    <w:rsid w:val="001A6E83"/>
    <w:rsid w:val="001A736F"/>
    <w:rsid w:val="001A786A"/>
    <w:rsid w:val="001A7A8F"/>
    <w:rsid w:val="001A7E7B"/>
    <w:rsid w:val="001B01FF"/>
    <w:rsid w:val="001B0718"/>
    <w:rsid w:val="001B13A5"/>
    <w:rsid w:val="001B146E"/>
    <w:rsid w:val="001B149F"/>
    <w:rsid w:val="001B190C"/>
    <w:rsid w:val="001B1A8C"/>
    <w:rsid w:val="001B1E5E"/>
    <w:rsid w:val="001B28D2"/>
    <w:rsid w:val="001B2F69"/>
    <w:rsid w:val="001B2F6C"/>
    <w:rsid w:val="001B37B8"/>
    <w:rsid w:val="001B4161"/>
    <w:rsid w:val="001B4396"/>
    <w:rsid w:val="001B43C3"/>
    <w:rsid w:val="001B4541"/>
    <w:rsid w:val="001B479C"/>
    <w:rsid w:val="001B4F8B"/>
    <w:rsid w:val="001B5492"/>
    <w:rsid w:val="001B56B6"/>
    <w:rsid w:val="001B581E"/>
    <w:rsid w:val="001B5B9D"/>
    <w:rsid w:val="001B66B5"/>
    <w:rsid w:val="001B6F56"/>
    <w:rsid w:val="001B7248"/>
    <w:rsid w:val="001B72C4"/>
    <w:rsid w:val="001B7742"/>
    <w:rsid w:val="001B79A5"/>
    <w:rsid w:val="001B7B4C"/>
    <w:rsid w:val="001B7CF4"/>
    <w:rsid w:val="001C036F"/>
    <w:rsid w:val="001C1044"/>
    <w:rsid w:val="001C108B"/>
    <w:rsid w:val="001C1365"/>
    <w:rsid w:val="001C1534"/>
    <w:rsid w:val="001C1B2D"/>
    <w:rsid w:val="001C2172"/>
    <w:rsid w:val="001C2269"/>
    <w:rsid w:val="001C2318"/>
    <w:rsid w:val="001C2C24"/>
    <w:rsid w:val="001C3A13"/>
    <w:rsid w:val="001C4054"/>
    <w:rsid w:val="001C5C74"/>
    <w:rsid w:val="001C5D02"/>
    <w:rsid w:val="001C61C2"/>
    <w:rsid w:val="001C67C6"/>
    <w:rsid w:val="001C6A30"/>
    <w:rsid w:val="001C6EF9"/>
    <w:rsid w:val="001C70D0"/>
    <w:rsid w:val="001C77FB"/>
    <w:rsid w:val="001C7CB3"/>
    <w:rsid w:val="001D004B"/>
    <w:rsid w:val="001D046F"/>
    <w:rsid w:val="001D08DF"/>
    <w:rsid w:val="001D0DF2"/>
    <w:rsid w:val="001D1806"/>
    <w:rsid w:val="001D1C79"/>
    <w:rsid w:val="001D2091"/>
    <w:rsid w:val="001D239F"/>
    <w:rsid w:val="001D23DD"/>
    <w:rsid w:val="001D2791"/>
    <w:rsid w:val="001D2CEA"/>
    <w:rsid w:val="001D2E27"/>
    <w:rsid w:val="001D2ECA"/>
    <w:rsid w:val="001D32A4"/>
    <w:rsid w:val="001D3AEA"/>
    <w:rsid w:val="001D3FD5"/>
    <w:rsid w:val="001D4724"/>
    <w:rsid w:val="001D473A"/>
    <w:rsid w:val="001D565A"/>
    <w:rsid w:val="001D5F6B"/>
    <w:rsid w:val="001D6F36"/>
    <w:rsid w:val="001D6FAC"/>
    <w:rsid w:val="001D7268"/>
    <w:rsid w:val="001D749D"/>
    <w:rsid w:val="001D76D7"/>
    <w:rsid w:val="001E01ED"/>
    <w:rsid w:val="001E071E"/>
    <w:rsid w:val="001E0C3B"/>
    <w:rsid w:val="001E0ED9"/>
    <w:rsid w:val="001E1013"/>
    <w:rsid w:val="001E135B"/>
    <w:rsid w:val="001E14CA"/>
    <w:rsid w:val="001E16EF"/>
    <w:rsid w:val="001E16FB"/>
    <w:rsid w:val="001E17DB"/>
    <w:rsid w:val="001E1B57"/>
    <w:rsid w:val="001E235C"/>
    <w:rsid w:val="001E255D"/>
    <w:rsid w:val="001E25C7"/>
    <w:rsid w:val="001E27EE"/>
    <w:rsid w:val="001E281D"/>
    <w:rsid w:val="001E2892"/>
    <w:rsid w:val="001E2F76"/>
    <w:rsid w:val="001E31FD"/>
    <w:rsid w:val="001E3564"/>
    <w:rsid w:val="001E3656"/>
    <w:rsid w:val="001E3683"/>
    <w:rsid w:val="001E3DAF"/>
    <w:rsid w:val="001E3F14"/>
    <w:rsid w:val="001E4CAD"/>
    <w:rsid w:val="001E4DC1"/>
    <w:rsid w:val="001E4FC5"/>
    <w:rsid w:val="001E4FF9"/>
    <w:rsid w:val="001E53CC"/>
    <w:rsid w:val="001E5D86"/>
    <w:rsid w:val="001E5FD7"/>
    <w:rsid w:val="001E6050"/>
    <w:rsid w:val="001E62C8"/>
    <w:rsid w:val="001E6631"/>
    <w:rsid w:val="001E6A59"/>
    <w:rsid w:val="001E6A92"/>
    <w:rsid w:val="001E7578"/>
    <w:rsid w:val="001E77DD"/>
    <w:rsid w:val="001E7EDB"/>
    <w:rsid w:val="001E7F12"/>
    <w:rsid w:val="001F06AC"/>
    <w:rsid w:val="001F0743"/>
    <w:rsid w:val="001F1717"/>
    <w:rsid w:val="001F1785"/>
    <w:rsid w:val="001F1D1D"/>
    <w:rsid w:val="001F225E"/>
    <w:rsid w:val="001F29CC"/>
    <w:rsid w:val="001F2A80"/>
    <w:rsid w:val="001F2EBD"/>
    <w:rsid w:val="001F383F"/>
    <w:rsid w:val="001F38EB"/>
    <w:rsid w:val="001F41AF"/>
    <w:rsid w:val="001F4595"/>
    <w:rsid w:val="001F4B31"/>
    <w:rsid w:val="001F4BA4"/>
    <w:rsid w:val="001F56B4"/>
    <w:rsid w:val="001F5898"/>
    <w:rsid w:val="001F5925"/>
    <w:rsid w:val="001F5CE1"/>
    <w:rsid w:val="001F5D12"/>
    <w:rsid w:val="001F64AA"/>
    <w:rsid w:val="001F6C5A"/>
    <w:rsid w:val="001F6EC6"/>
    <w:rsid w:val="001F6F34"/>
    <w:rsid w:val="001F790A"/>
    <w:rsid w:val="001F7C33"/>
    <w:rsid w:val="0020129C"/>
    <w:rsid w:val="0020174B"/>
    <w:rsid w:val="00201AC2"/>
    <w:rsid w:val="00201AC3"/>
    <w:rsid w:val="00202001"/>
    <w:rsid w:val="00202653"/>
    <w:rsid w:val="002026B3"/>
    <w:rsid w:val="0020285D"/>
    <w:rsid w:val="00203814"/>
    <w:rsid w:val="00203D12"/>
    <w:rsid w:val="00203E6C"/>
    <w:rsid w:val="0020422C"/>
    <w:rsid w:val="0020437B"/>
    <w:rsid w:val="00204649"/>
    <w:rsid w:val="002052CB"/>
    <w:rsid w:val="0020530C"/>
    <w:rsid w:val="002062D5"/>
    <w:rsid w:val="002067B8"/>
    <w:rsid w:val="00206920"/>
    <w:rsid w:val="00206991"/>
    <w:rsid w:val="00206DA5"/>
    <w:rsid w:val="00207973"/>
    <w:rsid w:val="002079B3"/>
    <w:rsid w:val="00210122"/>
    <w:rsid w:val="0021030C"/>
    <w:rsid w:val="0021044A"/>
    <w:rsid w:val="00210729"/>
    <w:rsid w:val="00210C71"/>
    <w:rsid w:val="00210F17"/>
    <w:rsid w:val="002112D7"/>
    <w:rsid w:val="0021146D"/>
    <w:rsid w:val="00211920"/>
    <w:rsid w:val="00212B6C"/>
    <w:rsid w:val="00212DAE"/>
    <w:rsid w:val="00213215"/>
    <w:rsid w:val="00213860"/>
    <w:rsid w:val="002138D8"/>
    <w:rsid w:val="00213C81"/>
    <w:rsid w:val="00213E93"/>
    <w:rsid w:val="0021444B"/>
    <w:rsid w:val="00214DC1"/>
    <w:rsid w:val="00215129"/>
    <w:rsid w:val="00215505"/>
    <w:rsid w:val="00216203"/>
    <w:rsid w:val="002167AB"/>
    <w:rsid w:val="002167DF"/>
    <w:rsid w:val="00216DC8"/>
    <w:rsid w:val="002176BE"/>
    <w:rsid w:val="00217C0B"/>
    <w:rsid w:val="0022038B"/>
    <w:rsid w:val="0022065A"/>
    <w:rsid w:val="00220B4F"/>
    <w:rsid w:val="00222024"/>
    <w:rsid w:val="002229BB"/>
    <w:rsid w:val="00222BA9"/>
    <w:rsid w:val="00222D77"/>
    <w:rsid w:val="00223701"/>
    <w:rsid w:val="002239F2"/>
    <w:rsid w:val="00223DDC"/>
    <w:rsid w:val="00223DE5"/>
    <w:rsid w:val="00224204"/>
    <w:rsid w:val="00224404"/>
    <w:rsid w:val="00224718"/>
    <w:rsid w:val="002247EE"/>
    <w:rsid w:val="002248C4"/>
    <w:rsid w:val="002248FB"/>
    <w:rsid w:val="00224990"/>
    <w:rsid w:val="00224CD5"/>
    <w:rsid w:val="00224E4D"/>
    <w:rsid w:val="00224FF5"/>
    <w:rsid w:val="00226179"/>
    <w:rsid w:val="0022627B"/>
    <w:rsid w:val="00227294"/>
    <w:rsid w:val="002307FB"/>
    <w:rsid w:val="00230A09"/>
    <w:rsid w:val="00230F3A"/>
    <w:rsid w:val="00231C99"/>
    <w:rsid w:val="0023213C"/>
    <w:rsid w:val="00232289"/>
    <w:rsid w:val="00232AE8"/>
    <w:rsid w:val="00232E80"/>
    <w:rsid w:val="00234053"/>
    <w:rsid w:val="0023448F"/>
    <w:rsid w:val="0023485C"/>
    <w:rsid w:val="00235202"/>
    <w:rsid w:val="00235A69"/>
    <w:rsid w:val="00235B11"/>
    <w:rsid w:val="00235B7F"/>
    <w:rsid w:val="00235F17"/>
    <w:rsid w:val="00236A41"/>
    <w:rsid w:val="00236F0C"/>
    <w:rsid w:val="0023713A"/>
    <w:rsid w:val="00237380"/>
    <w:rsid w:val="00237BB2"/>
    <w:rsid w:val="00237D22"/>
    <w:rsid w:val="00237D23"/>
    <w:rsid w:val="00240205"/>
    <w:rsid w:val="002408FB"/>
    <w:rsid w:val="002416D0"/>
    <w:rsid w:val="002417F9"/>
    <w:rsid w:val="00241FF0"/>
    <w:rsid w:val="0024244F"/>
    <w:rsid w:val="00242921"/>
    <w:rsid w:val="00242FBC"/>
    <w:rsid w:val="00243F99"/>
    <w:rsid w:val="00244419"/>
    <w:rsid w:val="00244B82"/>
    <w:rsid w:val="00244F45"/>
    <w:rsid w:val="00245548"/>
    <w:rsid w:val="00245809"/>
    <w:rsid w:val="00245857"/>
    <w:rsid w:val="0024634E"/>
    <w:rsid w:val="00246399"/>
    <w:rsid w:val="00246425"/>
    <w:rsid w:val="00246A00"/>
    <w:rsid w:val="00247257"/>
    <w:rsid w:val="00247302"/>
    <w:rsid w:val="0024784C"/>
    <w:rsid w:val="00247942"/>
    <w:rsid w:val="002479D8"/>
    <w:rsid w:val="002507C1"/>
    <w:rsid w:val="00250F00"/>
    <w:rsid w:val="00250F85"/>
    <w:rsid w:val="00251452"/>
    <w:rsid w:val="00252753"/>
    <w:rsid w:val="002528C1"/>
    <w:rsid w:val="0025290C"/>
    <w:rsid w:val="002529C4"/>
    <w:rsid w:val="00252C0D"/>
    <w:rsid w:val="002531BE"/>
    <w:rsid w:val="00253DB4"/>
    <w:rsid w:val="00253DC5"/>
    <w:rsid w:val="00254552"/>
    <w:rsid w:val="00254807"/>
    <w:rsid w:val="00254D58"/>
    <w:rsid w:val="00255316"/>
    <w:rsid w:val="00255ADC"/>
    <w:rsid w:val="00255F2F"/>
    <w:rsid w:val="0025680E"/>
    <w:rsid w:val="00256930"/>
    <w:rsid w:val="00256E4A"/>
    <w:rsid w:val="002575FA"/>
    <w:rsid w:val="00260223"/>
    <w:rsid w:val="002602FC"/>
    <w:rsid w:val="002612D0"/>
    <w:rsid w:val="002614ED"/>
    <w:rsid w:val="002619CA"/>
    <w:rsid w:val="00261AC5"/>
    <w:rsid w:val="00261C2C"/>
    <w:rsid w:val="00261DAB"/>
    <w:rsid w:val="00261DDD"/>
    <w:rsid w:val="00261E4E"/>
    <w:rsid w:val="00262158"/>
    <w:rsid w:val="00262590"/>
    <w:rsid w:val="002625E5"/>
    <w:rsid w:val="002625E9"/>
    <w:rsid w:val="00262686"/>
    <w:rsid w:val="00262D83"/>
    <w:rsid w:val="00263C9C"/>
    <w:rsid w:val="00263D57"/>
    <w:rsid w:val="0026440C"/>
    <w:rsid w:val="0026469C"/>
    <w:rsid w:val="00266258"/>
    <w:rsid w:val="00266320"/>
    <w:rsid w:val="00266A5B"/>
    <w:rsid w:val="0026713C"/>
    <w:rsid w:val="0026794C"/>
    <w:rsid w:val="00267C81"/>
    <w:rsid w:val="002707BE"/>
    <w:rsid w:val="00270ECD"/>
    <w:rsid w:val="00270EF2"/>
    <w:rsid w:val="00271029"/>
    <w:rsid w:val="0027119B"/>
    <w:rsid w:val="00271253"/>
    <w:rsid w:val="00271387"/>
    <w:rsid w:val="00271392"/>
    <w:rsid w:val="0027144B"/>
    <w:rsid w:val="002718E8"/>
    <w:rsid w:val="00271CAA"/>
    <w:rsid w:val="002723D2"/>
    <w:rsid w:val="002729E2"/>
    <w:rsid w:val="00272D3D"/>
    <w:rsid w:val="00272FEB"/>
    <w:rsid w:val="002732CB"/>
    <w:rsid w:val="0027356E"/>
    <w:rsid w:val="002735DC"/>
    <w:rsid w:val="002746B5"/>
    <w:rsid w:val="00274A47"/>
    <w:rsid w:val="00274D7B"/>
    <w:rsid w:val="00274E27"/>
    <w:rsid w:val="00274E87"/>
    <w:rsid w:val="002750CC"/>
    <w:rsid w:val="0027516E"/>
    <w:rsid w:val="00275308"/>
    <w:rsid w:val="002760F5"/>
    <w:rsid w:val="00276437"/>
    <w:rsid w:val="002774EA"/>
    <w:rsid w:val="00277D30"/>
    <w:rsid w:val="00277EDC"/>
    <w:rsid w:val="00277EE1"/>
    <w:rsid w:val="002804FB"/>
    <w:rsid w:val="0028054E"/>
    <w:rsid w:val="00280AA0"/>
    <w:rsid w:val="00281474"/>
    <w:rsid w:val="00282904"/>
    <w:rsid w:val="002833BC"/>
    <w:rsid w:val="002834F9"/>
    <w:rsid w:val="00283F75"/>
    <w:rsid w:val="002840AE"/>
    <w:rsid w:val="00284267"/>
    <w:rsid w:val="002843C4"/>
    <w:rsid w:val="00284D84"/>
    <w:rsid w:val="00285148"/>
    <w:rsid w:val="00285794"/>
    <w:rsid w:val="00285F56"/>
    <w:rsid w:val="0028663D"/>
    <w:rsid w:val="00286B43"/>
    <w:rsid w:val="00287AC5"/>
    <w:rsid w:val="00290127"/>
    <w:rsid w:val="002909A5"/>
    <w:rsid w:val="002909D5"/>
    <w:rsid w:val="002914A7"/>
    <w:rsid w:val="00291A15"/>
    <w:rsid w:val="00291A7B"/>
    <w:rsid w:val="00292760"/>
    <w:rsid w:val="002928B4"/>
    <w:rsid w:val="00292968"/>
    <w:rsid w:val="00292A75"/>
    <w:rsid w:val="00292F0D"/>
    <w:rsid w:val="002934D2"/>
    <w:rsid w:val="0029380B"/>
    <w:rsid w:val="00293DC1"/>
    <w:rsid w:val="0029403A"/>
    <w:rsid w:val="00294E6D"/>
    <w:rsid w:val="0029506F"/>
    <w:rsid w:val="002955C1"/>
    <w:rsid w:val="002955CA"/>
    <w:rsid w:val="00295A8B"/>
    <w:rsid w:val="00295EA7"/>
    <w:rsid w:val="00296A9E"/>
    <w:rsid w:val="00296D92"/>
    <w:rsid w:val="00297A96"/>
    <w:rsid w:val="002A02D1"/>
    <w:rsid w:val="002A0879"/>
    <w:rsid w:val="002A08E9"/>
    <w:rsid w:val="002A10EF"/>
    <w:rsid w:val="002A1359"/>
    <w:rsid w:val="002A1368"/>
    <w:rsid w:val="002A15B3"/>
    <w:rsid w:val="002A17E4"/>
    <w:rsid w:val="002A1905"/>
    <w:rsid w:val="002A1B77"/>
    <w:rsid w:val="002A1D14"/>
    <w:rsid w:val="002A1E84"/>
    <w:rsid w:val="002A2518"/>
    <w:rsid w:val="002A2814"/>
    <w:rsid w:val="002A28DD"/>
    <w:rsid w:val="002A2914"/>
    <w:rsid w:val="002A3CE2"/>
    <w:rsid w:val="002A43BF"/>
    <w:rsid w:val="002A6314"/>
    <w:rsid w:val="002A6587"/>
    <w:rsid w:val="002A65A9"/>
    <w:rsid w:val="002A6B4E"/>
    <w:rsid w:val="002A72D0"/>
    <w:rsid w:val="002A76BF"/>
    <w:rsid w:val="002A7E1D"/>
    <w:rsid w:val="002B01EA"/>
    <w:rsid w:val="002B03FB"/>
    <w:rsid w:val="002B060E"/>
    <w:rsid w:val="002B10FF"/>
    <w:rsid w:val="002B1143"/>
    <w:rsid w:val="002B12EB"/>
    <w:rsid w:val="002B174F"/>
    <w:rsid w:val="002B1782"/>
    <w:rsid w:val="002B1D44"/>
    <w:rsid w:val="002B1DE3"/>
    <w:rsid w:val="002B1E45"/>
    <w:rsid w:val="002B2310"/>
    <w:rsid w:val="002B3440"/>
    <w:rsid w:val="002B39FD"/>
    <w:rsid w:val="002B3BFC"/>
    <w:rsid w:val="002B3F87"/>
    <w:rsid w:val="002B4232"/>
    <w:rsid w:val="002B4463"/>
    <w:rsid w:val="002B4645"/>
    <w:rsid w:val="002B488E"/>
    <w:rsid w:val="002B4B0D"/>
    <w:rsid w:val="002B548A"/>
    <w:rsid w:val="002B5E6E"/>
    <w:rsid w:val="002B617D"/>
    <w:rsid w:val="002B660C"/>
    <w:rsid w:val="002B7E8E"/>
    <w:rsid w:val="002C059F"/>
    <w:rsid w:val="002C0748"/>
    <w:rsid w:val="002C0EF8"/>
    <w:rsid w:val="002C0F87"/>
    <w:rsid w:val="002C1257"/>
    <w:rsid w:val="002C1616"/>
    <w:rsid w:val="002C260B"/>
    <w:rsid w:val="002C2F0F"/>
    <w:rsid w:val="002C30C9"/>
    <w:rsid w:val="002C3348"/>
    <w:rsid w:val="002C3658"/>
    <w:rsid w:val="002C36F9"/>
    <w:rsid w:val="002C45C2"/>
    <w:rsid w:val="002C4624"/>
    <w:rsid w:val="002C5196"/>
    <w:rsid w:val="002C5C15"/>
    <w:rsid w:val="002C5D60"/>
    <w:rsid w:val="002C6305"/>
    <w:rsid w:val="002C6937"/>
    <w:rsid w:val="002C6991"/>
    <w:rsid w:val="002C6D5E"/>
    <w:rsid w:val="002C6DAA"/>
    <w:rsid w:val="002C7634"/>
    <w:rsid w:val="002C7679"/>
    <w:rsid w:val="002C7D9D"/>
    <w:rsid w:val="002C7DFC"/>
    <w:rsid w:val="002D03AA"/>
    <w:rsid w:val="002D044F"/>
    <w:rsid w:val="002D0FCB"/>
    <w:rsid w:val="002D116C"/>
    <w:rsid w:val="002D1285"/>
    <w:rsid w:val="002D132E"/>
    <w:rsid w:val="002D1DF8"/>
    <w:rsid w:val="002D2219"/>
    <w:rsid w:val="002D23D5"/>
    <w:rsid w:val="002D3DC5"/>
    <w:rsid w:val="002D41D3"/>
    <w:rsid w:val="002D4792"/>
    <w:rsid w:val="002D53B2"/>
    <w:rsid w:val="002D59FB"/>
    <w:rsid w:val="002D5D94"/>
    <w:rsid w:val="002D5E21"/>
    <w:rsid w:val="002D5F91"/>
    <w:rsid w:val="002D6190"/>
    <w:rsid w:val="002D6984"/>
    <w:rsid w:val="002D77DE"/>
    <w:rsid w:val="002E0040"/>
    <w:rsid w:val="002E18A8"/>
    <w:rsid w:val="002E1F65"/>
    <w:rsid w:val="002E2065"/>
    <w:rsid w:val="002E27F1"/>
    <w:rsid w:val="002E2B02"/>
    <w:rsid w:val="002E2BC2"/>
    <w:rsid w:val="002E304E"/>
    <w:rsid w:val="002E3160"/>
    <w:rsid w:val="002E48E6"/>
    <w:rsid w:val="002E497B"/>
    <w:rsid w:val="002E4AEF"/>
    <w:rsid w:val="002E507D"/>
    <w:rsid w:val="002E512A"/>
    <w:rsid w:val="002E55BF"/>
    <w:rsid w:val="002E578B"/>
    <w:rsid w:val="002E589F"/>
    <w:rsid w:val="002E6C2F"/>
    <w:rsid w:val="002E6D8E"/>
    <w:rsid w:val="002E7706"/>
    <w:rsid w:val="002F0339"/>
    <w:rsid w:val="002F0488"/>
    <w:rsid w:val="002F08C1"/>
    <w:rsid w:val="002F0913"/>
    <w:rsid w:val="002F0A02"/>
    <w:rsid w:val="002F0E9A"/>
    <w:rsid w:val="002F0EBD"/>
    <w:rsid w:val="002F108D"/>
    <w:rsid w:val="002F1D92"/>
    <w:rsid w:val="002F2317"/>
    <w:rsid w:val="002F3191"/>
    <w:rsid w:val="002F31DD"/>
    <w:rsid w:val="002F339A"/>
    <w:rsid w:val="002F3609"/>
    <w:rsid w:val="002F403D"/>
    <w:rsid w:val="002F41C9"/>
    <w:rsid w:val="002F46BE"/>
    <w:rsid w:val="002F4837"/>
    <w:rsid w:val="002F4B54"/>
    <w:rsid w:val="002F4C7C"/>
    <w:rsid w:val="002F4D4B"/>
    <w:rsid w:val="002F5340"/>
    <w:rsid w:val="002F567D"/>
    <w:rsid w:val="002F5846"/>
    <w:rsid w:val="002F5E91"/>
    <w:rsid w:val="002F5F21"/>
    <w:rsid w:val="002F6E87"/>
    <w:rsid w:val="002F78F1"/>
    <w:rsid w:val="002F790F"/>
    <w:rsid w:val="002F7BFD"/>
    <w:rsid w:val="002F7C55"/>
    <w:rsid w:val="00300069"/>
    <w:rsid w:val="0030018F"/>
    <w:rsid w:val="003001D0"/>
    <w:rsid w:val="00300219"/>
    <w:rsid w:val="00300C47"/>
    <w:rsid w:val="00300EF2"/>
    <w:rsid w:val="00301AA1"/>
    <w:rsid w:val="00301AF0"/>
    <w:rsid w:val="00301B57"/>
    <w:rsid w:val="0030201E"/>
    <w:rsid w:val="0030265E"/>
    <w:rsid w:val="00302839"/>
    <w:rsid w:val="00302BCB"/>
    <w:rsid w:val="00302F2E"/>
    <w:rsid w:val="00303276"/>
    <w:rsid w:val="003034B2"/>
    <w:rsid w:val="00304736"/>
    <w:rsid w:val="00304B98"/>
    <w:rsid w:val="00304BB9"/>
    <w:rsid w:val="00304D99"/>
    <w:rsid w:val="00304E57"/>
    <w:rsid w:val="00305075"/>
    <w:rsid w:val="003059C4"/>
    <w:rsid w:val="003059C5"/>
    <w:rsid w:val="00305B9C"/>
    <w:rsid w:val="003060E6"/>
    <w:rsid w:val="003064D4"/>
    <w:rsid w:val="00306709"/>
    <w:rsid w:val="00307231"/>
    <w:rsid w:val="00310C27"/>
    <w:rsid w:val="00311017"/>
    <w:rsid w:val="00311626"/>
    <w:rsid w:val="00311852"/>
    <w:rsid w:val="00312380"/>
    <w:rsid w:val="003125EB"/>
    <w:rsid w:val="00312F67"/>
    <w:rsid w:val="00312FD2"/>
    <w:rsid w:val="00313BD5"/>
    <w:rsid w:val="00313D85"/>
    <w:rsid w:val="00313EAE"/>
    <w:rsid w:val="003140FF"/>
    <w:rsid w:val="00314705"/>
    <w:rsid w:val="003148AE"/>
    <w:rsid w:val="003148B1"/>
    <w:rsid w:val="00314C3F"/>
    <w:rsid w:val="0031517A"/>
    <w:rsid w:val="00315185"/>
    <w:rsid w:val="00315877"/>
    <w:rsid w:val="00315F92"/>
    <w:rsid w:val="00315FC7"/>
    <w:rsid w:val="00316120"/>
    <w:rsid w:val="003164AA"/>
    <w:rsid w:val="003165F6"/>
    <w:rsid w:val="0031677C"/>
    <w:rsid w:val="00316FF9"/>
    <w:rsid w:val="003171FE"/>
    <w:rsid w:val="003173C2"/>
    <w:rsid w:val="0031799E"/>
    <w:rsid w:val="00320186"/>
    <w:rsid w:val="00320426"/>
    <w:rsid w:val="003204E3"/>
    <w:rsid w:val="0032069F"/>
    <w:rsid w:val="00320A8D"/>
    <w:rsid w:val="00320EF4"/>
    <w:rsid w:val="0032115D"/>
    <w:rsid w:val="00321252"/>
    <w:rsid w:val="0032227A"/>
    <w:rsid w:val="00323D5D"/>
    <w:rsid w:val="00323F99"/>
    <w:rsid w:val="003242E8"/>
    <w:rsid w:val="00324500"/>
    <w:rsid w:val="0032465C"/>
    <w:rsid w:val="00324689"/>
    <w:rsid w:val="003250C9"/>
    <w:rsid w:val="0032527F"/>
    <w:rsid w:val="0032530D"/>
    <w:rsid w:val="00325785"/>
    <w:rsid w:val="00325B34"/>
    <w:rsid w:val="00325F67"/>
    <w:rsid w:val="00326234"/>
    <w:rsid w:val="00326F7D"/>
    <w:rsid w:val="00326FA6"/>
    <w:rsid w:val="00327113"/>
    <w:rsid w:val="00330A64"/>
    <w:rsid w:val="003312D8"/>
    <w:rsid w:val="00331508"/>
    <w:rsid w:val="00331797"/>
    <w:rsid w:val="003318E3"/>
    <w:rsid w:val="00331D93"/>
    <w:rsid w:val="00331E72"/>
    <w:rsid w:val="00332537"/>
    <w:rsid w:val="003338C7"/>
    <w:rsid w:val="00333A20"/>
    <w:rsid w:val="00333EDB"/>
    <w:rsid w:val="00334CF0"/>
    <w:rsid w:val="00334F94"/>
    <w:rsid w:val="0033501C"/>
    <w:rsid w:val="003353C9"/>
    <w:rsid w:val="003356F8"/>
    <w:rsid w:val="00335A74"/>
    <w:rsid w:val="00335C39"/>
    <w:rsid w:val="00336305"/>
    <w:rsid w:val="003365B6"/>
    <w:rsid w:val="00336742"/>
    <w:rsid w:val="00336920"/>
    <w:rsid w:val="00336BE3"/>
    <w:rsid w:val="00336D55"/>
    <w:rsid w:val="0033706A"/>
    <w:rsid w:val="003371BA"/>
    <w:rsid w:val="003371E3"/>
    <w:rsid w:val="003371FE"/>
    <w:rsid w:val="00337DF4"/>
    <w:rsid w:val="00340339"/>
    <w:rsid w:val="00340869"/>
    <w:rsid w:val="00340B4B"/>
    <w:rsid w:val="00340FC9"/>
    <w:rsid w:val="0034238D"/>
    <w:rsid w:val="003426EA"/>
    <w:rsid w:val="00342998"/>
    <w:rsid w:val="00342A39"/>
    <w:rsid w:val="00342BFD"/>
    <w:rsid w:val="00342EC5"/>
    <w:rsid w:val="00343101"/>
    <w:rsid w:val="00343495"/>
    <w:rsid w:val="003436B9"/>
    <w:rsid w:val="003437DC"/>
    <w:rsid w:val="003448F1"/>
    <w:rsid w:val="00344AD9"/>
    <w:rsid w:val="00344C0C"/>
    <w:rsid w:val="00345082"/>
    <w:rsid w:val="0034538D"/>
    <w:rsid w:val="00345412"/>
    <w:rsid w:val="00345569"/>
    <w:rsid w:val="0034594F"/>
    <w:rsid w:val="00345E05"/>
    <w:rsid w:val="00346163"/>
    <w:rsid w:val="0034618D"/>
    <w:rsid w:val="003462D5"/>
    <w:rsid w:val="003466A8"/>
    <w:rsid w:val="00347430"/>
    <w:rsid w:val="003474DE"/>
    <w:rsid w:val="003474FB"/>
    <w:rsid w:val="003506FD"/>
    <w:rsid w:val="00350AF0"/>
    <w:rsid w:val="00350B03"/>
    <w:rsid w:val="00350C94"/>
    <w:rsid w:val="003511CD"/>
    <w:rsid w:val="00351CC1"/>
    <w:rsid w:val="00352011"/>
    <w:rsid w:val="003521C4"/>
    <w:rsid w:val="00352411"/>
    <w:rsid w:val="0035246F"/>
    <w:rsid w:val="003525DA"/>
    <w:rsid w:val="003525FE"/>
    <w:rsid w:val="00352A6E"/>
    <w:rsid w:val="00352AA3"/>
    <w:rsid w:val="00352C2A"/>
    <w:rsid w:val="00352C6C"/>
    <w:rsid w:val="00353105"/>
    <w:rsid w:val="003539F8"/>
    <w:rsid w:val="00353A7D"/>
    <w:rsid w:val="00353C47"/>
    <w:rsid w:val="00353FC1"/>
    <w:rsid w:val="00354C15"/>
    <w:rsid w:val="00354E70"/>
    <w:rsid w:val="003550D6"/>
    <w:rsid w:val="0035537B"/>
    <w:rsid w:val="0035571B"/>
    <w:rsid w:val="0035576F"/>
    <w:rsid w:val="00355DE5"/>
    <w:rsid w:val="0035616B"/>
    <w:rsid w:val="00357183"/>
    <w:rsid w:val="0035729E"/>
    <w:rsid w:val="003573E8"/>
    <w:rsid w:val="00357D19"/>
    <w:rsid w:val="0036008F"/>
    <w:rsid w:val="0036032F"/>
    <w:rsid w:val="00360352"/>
    <w:rsid w:val="00360EE8"/>
    <w:rsid w:val="00360F47"/>
    <w:rsid w:val="00360F8F"/>
    <w:rsid w:val="003619C6"/>
    <w:rsid w:val="00362D29"/>
    <w:rsid w:val="003630BC"/>
    <w:rsid w:val="00363230"/>
    <w:rsid w:val="00363444"/>
    <w:rsid w:val="00363AD7"/>
    <w:rsid w:val="00363E7E"/>
    <w:rsid w:val="00363FC8"/>
    <w:rsid w:val="00364600"/>
    <w:rsid w:val="00365027"/>
    <w:rsid w:val="003655A7"/>
    <w:rsid w:val="0036612D"/>
    <w:rsid w:val="003661DA"/>
    <w:rsid w:val="00366514"/>
    <w:rsid w:val="00366678"/>
    <w:rsid w:val="00366BB5"/>
    <w:rsid w:val="00367096"/>
    <w:rsid w:val="0036723A"/>
    <w:rsid w:val="00367E48"/>
    <w:rsid w:val="003704C0"/>
    <w:rsid w:val="0037089C"/>
    <w:rsid w:val="00371393"/>
    <w:rsid w:val="00371656"/>
    <w:rsid w:val="0037196E"/>
    <w:rsid w:val="00371D9D"/>
    <w:rsid w:val="00372197"/>
    <w:rsid w:val="00372326"/>
    <w:rsid w:val="003723CA"/>
    <w:rsid w:val="003726AD"/>
    <w:rsid w:val="003728F2"/>
    <w:rsid w:val="00372D1D"/>
    <w:rsid w:val="00372F8E"/>
    <w:rsid w:val="003732D4"/>
    <w:rsid w:val="00373BFB"/>
    <w:rsid w:val="00373FE9"/>
    <w:rsid w:val="003741AD"/>
    <w:rsid w:val="00374D22"/>
    <w:rsid w:val="00374FE1"/>
    <w:rsid w:val="0037560C"/>
    <w:rsid w:val="00375D26"/>
    <w:rsid w:val="00375D28"/>
    <w:rsid w:val="003765D7"/>
    <w:rsid w:val="003767B7"/>
    <w:rsid w:val="00376E0C"/>
    <w:rsid w:val="003772F7"/>
    <w:rsid w:val="00377833"/>
    <w:rsid w:val="00377887"/>
    <w:rsid w:val="00377896"/>
    <w:rsid w:val="0037794E"/>
    <w:rsid w:val="00377E65"/>
    <w:rsid w:val="00380198"/>
    <w:rsid w:val="00380443"/>
    <w:rsid w:val="00380B27"/>
    <w:rsid w:val="00381698"/>
    <w:rsid w:val="00381A1C"/>
    <w:rsid w:val="003823DB"/>
    <w:rsid w:val="0038282A"/>
    <w:rsid w:val="003828EA"/>
    <w:rsid w:val="00382ED3"/>
    <w:rsid w:val="0038320D"/>
    <w:rsid w:val="003835F3"/>
    <w:rsid w:val="0038366E"/>
    <w:rsid w:val="00383874"/>
    <w:rsid w:val="00383B82"/>
    <w:rsid w:val="00383DCB"/>
    <w:rsid w:val="00384210"/>
    <w:rsid w:val="00384365"/>
    <w:rsid w:val="0038436D"/>
    <w:rsid w:val="003844A6"/>
    <w:rsid w:val="00384CFC"/>
    <w:rsid w:val="00384FA0"/>
    <w:rsid w:val="00385307"/>
    <w:rsid w:val="00385379"/>
    <w:rsid w:val="00385803"/>
    <w:rsid w:val="003860D0"/>
    <w:rsid w:val="0038653B"/>
    <w:rsid w:val="00386CF9"/>
    <w:rsid w:val="00387383"/>
    <w:rsid w:val="00387472"/>
    <w:rsid w:val="00387682"/>
    <w:rsid w:val="00387F13"/>
    <w:rsid w:val="00390040"/>
    <w:rsid w:val="00390331"/>
    <w:rsid w:val="003908D5"/>
    <w:rsid w:val="0039107E"/>
    <w:rsid w:val="00391083"/>
    <w:rsid w:val="0039108B"/>
    <w:rsid w:val="00391244"/>
    <w:rsid w:val="00391307"/>
    <w:rsid w:val="003919E6"/>
    <w:rsid w:val="0039216E"/>
    <w:rsid w:val="00392353"/>
    <w:rsid w:val="0039254C"/>
    <w:rsid w:val="0039265D"/>
    <w:rsid w:val="00392953"/>
    <w:rsid w:val="00392E62"/>
    <w:rsid w:val="00393395"/>
    <w:rsid w:val="003934F6"/>
    <w:rsid w:val="003935A1"/>
    <w:rsid w:val="00393645"/>
    <w:rsid w:val="003938D0"/>
    <w:rsid w:val="00393904"/>
    <w:rsid w:val="00393DDE"/>
    <w:rsid w:val="003944BC"/>
    <w:rsid w:val="003949ED"/>
    <w:rsid w:val="00394B48"/>
    <w:rsid w:val="00394C1B"/>
    <w:rsid w:val="00395DCF"/>
    <w:rsid w:val="00395E75"/>
    <w:rsid w:val="003963A1"/>
    <w:rsid w:val="00396E35"/>
    <w:rsid w:val="00396EF9"/>
    <w:rsid w:val="00397054"/>
    <w:rsid w:val="00397E7D"/>
    <w:rsid w:val="003A039B"/>
    <w:rsid w:val="003A061D"/>
    <w:rsid w:val="003A07D3"/>
    <w:rsid w:val="003A081E"/>
    <w:rsid w:val="003A0AC5"/>
    <w:rsid w:val="003A0ED5"/>
    <w:rsid w:val="003A1011"/>
    <w:rsid w:val="003A19E6"/>
    <w:rsid w:val="003A303C"/>
    <w:rsid w:val="003A319F"/>
    <w:rsid w:val="003A3D57"/>
    <w:rsid w:val="003A4013"/>
    <w:rsid w:val="003A45DE"/>
    <w:rsid w:val="003A4A4F"/>
    <w:rsid w:val="003A4D98"/>
    <w:rsid w:val="003A597A"/>
    <w:rsid w:val="003A5E23"/>
    <w:rsid w:val="003A5FE2"/>
    <w:rsid w:val="003A631D"/>
    <w:rsid w:val="003A6469"/>
    <w:rsid w:val="003A67B5"/>
    <w:rsid w:val="003A6BD8"/>
    <w:rsid w:val="003A6C2C"/>
    <w:rsid w:val="003A6E44"/>
    <w:rsid w:val="003A74E7"/>
    <w:rsid w:val="003A7C54"/>
    <w:rsid w:val="003B0CBC"/>
    <w:rsid w:val="003B13F0"/>
    <w:rsid w:val="003B1A8D"/>
    <w:rsid w:val="003B1FCF"/>
    <w:rsid w:val="003B2061"/>
    <w:rsid w:val="003B233B"/>
    <w:rsid w:val="003B412F"/>
    <w:rsid w:val="003B4AA0"/>
    <w:rsid w:val="003B4CBC"/>
    <w:rsid w:val="003B56BB"/>
    <w:rsid w:val="003B58E8"/>
    <w:rsid w:val="003B6EF9"/>
    <w:rsid w:val="003B72E6"/>
    <w:rsid w:val="003B73A4"/>
    <w:rsid w:val="003B75FB"/>
    <w:rsid w:val="003B75FC"/>
    <w:rsid w:val="003B7963"/>
    <w:rsid w:val="003C03F7"/>
    <w:rsid w:val="003C090F"/>
    <w:rsid w:val="003C0DD7"/>
    <w:rsid w:val="003C0FC4"/>
    <w:rsid w:val="003C1259"/>
    <w:rsid w:val="003C1A91"/>
    <w:rsid w:val="003C1CB2"/>
    <w:rsid w:val="003C213A"/>
    <w:rsid w:val="003C2176"/>
    <w:rsid w:val="003C2E2F"/>
    <w:rsid w:val="003C3228"/>
    <w:rsid w:val="003C333B"/>
    <w:rsid w:val="003C3739"/>
    <w:rsid w:val="003C3E23"/>
    <w:rsid w:val="003C4622"/>
    <w:rsid w:val="003C5179"/>
    <w:rsid w:val="003C5675"/>
    <w:rsid w:val="003C57FA"/>
    <w:rsid w:val="003C6236"/>
    <w:rsid w:val="003C6CAF"/>
    <w:rsid w:val="003C6D1E"/>
    <w:rsid w:val="003C70B8"/>
    <w:rsid w:val="003C7197"/>
    <w:rsid w:val="003C71E8"/>
    <w:rsid w:val="003C79A0"/>
    <w:rsid w:val="003D0056"/>
    <w:rsid w:val="003D05A4"/>
    <w:rsid w:val="003D0786"/>
    <w:rsid w:val="003D1171"/>
    <w:rsid w:val="003D1255"/>
    <w:rsid w:val="003D1720"/>
    <w:rsid w:val="003D1A2C"/>
    <w:rsid w:val="003D1B82"/>
    <w:rsid w:val="003D1EB1"/>
    <w:rsid w:val="003D1FEB"/>
    <w:rsid w:val="003D3290"/>
    <w:rsid w:val="003D3C2B"/>
    <w:rsid w:val="003D3D6F"/>
    <w:rsid w:val="003D489B"/>
    <w:rsid w:val="003D4C72"/>
    <w:rsid w:val="003D5530"/>
    <w:rsid w:val="003D5986"/>
    <w:rsid w:val="003D6076"/>
    <w:rsid w:val="003D7631"/>
    <w:rsid w:val="003D7ECA"/>
    <w:rsid w:val="003E040D"/>
    <w:rsid w:val="003E0954"/>
    <w:rsid w:val="003E162E"/>
    <w:rsid w:val="003E1739"/>
    <w:rsid w:val="003E232C"/>
    <w:rsid w:val="003E25E8"/>
    <w:rsid w:val="003E3020"/>
    <w:rsid w:val="003E3021"/>
    <w:rsid w:val="003E3A92"/>
    <w:rsid w:val="003E3D86"/>
    <w:rsid w:val="003E3F7D"/>
    <w:rsid w:val="003E42E5"/>
    <w:rsid w:val="003E4647"/>
    <w:rsid w:val="003E4E79"/>
    <w:rsid w:val="003E4F85"/>
    <w:rsid w:val="003E5B52"/>
    <w:rsid w:val="003E60C6"/>
    <w:rsid w:val="003E6535"/>
    <w:rsid w:val="003E6AB2"/>
    <w:rsid w:val="003E6BBE"/>
    <w:rsid w:val="003E7363"/>
    <w:rsid w:val="003E7459"/>
    <w:rsid w:val="003E789A"/>
    <w:rsid w:val="003E78BC"/>
    <w:rsid w:val="003E7D4C"/>
    <w:rsid w:val="003F0BDF"/>
    <w:rsid w:val="003F13F2"/>
    <w:rsid w:val="003F1B26"/>
    <w:rsid w:val="003F1BD7"/>
    <w:rsid w:val="003F1C39"/>
    <w:rsid w:val="003F2A72"/>
    <w:rsid w:val="003F3390"/>
    <w:rsid w:val="003F41C0"/>
    <w:rsid w:val="003F4680"/>
    <w:rsid w:val="003F498C"/>
    <w:rsid w:val="003F4BE2"/>
    <w:rsid w:val="003F4D8F"/>
    <w:rsid w:val="003F4F69"/>
    <w:rsid w:val="003F55CC"/>
    <w:rsid w:val="003F55EB"/>
    <w:rsid w:val="003F5E96"/>
    <w:rsid w:val="003F63D5"/>
    <w:rsid w:val="003F7A63"/>
    <w:rsid w:val="003F7E2C"/>
    <w:rsid w:val="00400079"/>
    <w:rsid w:val="00400CBC"/>
    <w:rsid w:val="00401072"/>
    <w:rsid w:val="004011CC"/>
    <w:rsid w:val="00401EE0"/>
    <w:rsid w:val="00402EA3"/>
    <w:rsid w:val="00402F14"/>
    <w:rsid w:val="00403017"/>
    <w:rsid w:val="004030DD"/>
    <w:rsid w:val="004040AB"/>
    <w:rsid w:val="00404749"/>
    <w:rsid w:val="004069A0"/>
    <w:rsid w:val="00406A81"/>
    <w:rsid w:val="0040708D"/>
    <w:rsid w:val="0040759C"/>
    <w:rsid w:val="004078F4"/>
    <w:rsid w:val="00407B23"/>
    <w:rsid w:val="00407C25"/>
    <w:rsid w:val="00410C86"/>
    <w:rsid w:val="00410F38"/>
    <w:rsid w:val="00410F85"/>
    <w:rsid w:val="004111F4"/>
    <w:rsid w:val="00411238"/>
    <w:rsid w:val="00411313"/>
    <w:rsid w:val="00411F29"/>
    <w:rsid w:val="00411F2A"/>
    <w:rsid w:val="004126A0"/>
    <w:rsid w:val="00412DD8"/>
    <w:rsid w:val="00412F2D"/>
    <w:rsid w:val="00412F3A"/>
    <w:rsid w:val="00413346"/>
    <w:rsid w:val="00413422"/>
    <w:rsid w:val="004138DC"/>
    <w:rsid w:val="00413F19"/>
    <w:rsid w:val="00414C86"/>
    <w:rsid w:val="004157A3"/>
    <w:rsid w:val="00415E48"/>
    <w:rsid w:val="00415F4A"/>
    <w:rsid w:val="00416CEF"/>
    <w:rsid w:val="00417066"/>
    <w:rsid w:val="00417301"/>
    <w:rsid w:val="004179C7"/>
    <w:rsid w:val="00417BFC"/>
    <w:rsid w:val="0042009E"/>
    <w:rsid w:val="00420A15"/>
    <w:rsid w:val="00420F45"/>
    <w:rsid w:val="00421699"/>
    <w:rsid w:val="004222C1"/>
    <w:rsid w:val="00422434"/>
    <w:rsid w:val="004229D8"/>
    <w:rsid w:val="004229F8"/>
    <w:rsid w:val="00423B5C"/>
    <w:rsid w:val="00423C75"/>
    <w:rsid w:val="00423FB9"/>
    <w:rsid w:val="00423FC6"/>
    <w:rsid w:val="004248DE"/>
    <w:rsid w:val="004252E7"/>
    <w:rsid w:val="00425310"/>
    <w:rsid w:val="0042540A"/>
    <w:rsid w:val="00425BD5"/>
    <w:rsid w:val="0042631C"/>
    <w:rsid w:val="00426368"/>
    <w:rsid w:val="004266A3"/>
    <w:rsid w:val="004267AF"/>
    <w:rsid w:val="0042705D"/>
    <w:rsid w:val="00427584"/>
    <w:rsid w:val="004276CC"/>
    <w:rsid w:val="0042799F"/>
    <w:rsid w:val="00427EF1"/>
    <w:rsid w:val="0043021A"/>
    <w:rsid w:val="004304F6"/>
    <w:rsid w:val="0043084F"/>
    <w:rsid w:val="00430E5A"/>
    <w:rsid w:val="00430F52"/>
    <w:rsid w:val="0043119D"/>
    <w:rsid w:val="00431267"/>
    <w:rsid w:val="0043194D"/>
    <w:rsid w:val="00431FC2"/>
    <w:rsid w:val="00432459"/>
    <w:rsid w:val="004326B2"/>
    <w:rsid w:val="004327D2"/>
    <w:rsid w:val="0043310B"/>
    <w:rsid w:val="00433163"/>
    <w:rsid w:val="004331F0"/>
    <w:rsid w:val="00433863"/>
    <w:rsid w:val="00434039"/>
    <w:rsid w:val="004343C3"/>
    <w:rsid w:val="00434487"/>
    <w:rsid w:val="00435D49"/>
    <w:rsid w:val="004360D2"/>
    <w:rsid w:val="00436708"/>
    <w:rsid w:val="004367EB"/>
    <w:rsid w:val="00436E89"/>
    <w:rsid w:val="00437161"/>
    <w:rsid w:val="00437424"/>
    <w:rsid w:val="00440526"/>
    <w:rsid w:val="00440679"/>
    <w:rsid w:val="00441135"/>
    <w:rsid w:val="004411BF"/>
    <w:rsid w:val="00441AF1"/>
    <w:rsid w:val="004421A3"/>
    <w:rsid w:val="004424A9"/>
    <w:rsid w:val="00442606"/>
    <w:rsid w:val="0044265A"/>
    <w:rsid w:val="00442AE9"/>
    <w:rsid w:val="00442DF8"/>
    <w:rsid w:val="00443151"/>
    <w:rsid w:val="0044343E"/>
    <w:rsid w:val="00443A7B"/>
    <w:rsid w:val="00443BC4"/>
    <w:rsid w:val="00444524"/>
    <w:rsid w:val="00444591"/>
    <w:rsid w:val="00444F73"/>
    <w:rsid w:val="004453F4"/>
    <w:rsid w:val="00445CF8"/>
    <w:rsid w:val="00446186"/>
    <w:rsid w:val="004462F7"/>
    <w:rsid w:val="004464D2"/>
    <w:rsid w:val="00446B7C"/>
    <w:rsid w:val="00446CFA"/>
    <w:rsid w:val="00447775"/>
    <w:rsid w:val="00447A5E"/>
    <w:rsid w:val="00447ABF"/>
    <w:rsid w:val="00447BB9"/>
    <w:rsid w:val="00447D60"/>
    <w:rsid w:val="00447E11"/>
    <w:rsid w:val="0045009F"/>
    <w:rsid w:val="00450760"/>
    <w:rsid w:val="00450863"/>
    <w:rsid w:val="00450DC3"/>
    <w:rsid w:val="00451488"/>
    <w:rsid w:val="004517F6"/>
    <w:rsid w:val="0045190F"/>
    <w:rsid w:val="00451C2B"/>
    <w:rsid w:val="00451C9F"/>
    <w:rsid w:val="0045206B"/>
    <w:rsid w:val="004525F8"/>
    <w:rsid w:val="004528A8"/>
    <w:rsid w:val="00452A7C"/>
    <w:rsid w:val="00453D0A"/>
    <w:rsid w:val="00453F95"/>
    <w:rsid w:val="0045418A"/>
    <w:rsid w:val="00454455"/>
    <w:rsid w:val="00454835"/>
    <w:rsid w:val="00454972"/>
    <w:rsid w:val="00454BFB"/>
    <w:rsid w:val="00455197"/>
    <w:rsid w:val="00455615"/>
    <w:rsid w:val="00455666"/>
    <w:rsid w:val="00455B6C"/>
    <w:rsid w:val="004567D4"/>
    <w:rsid w:val="004567E3"/>
    <w:rsid w:val="004570DD"/>
    <w:rsid w:val="00457102"/>
    <w:rsid w:val="00460E8E"/>
    <w:rsid w:val="00461258"/>
    <w:rsid w:val="00461474"/>
    <w:rsid w:val="004618D0"/>
    <w:rsid w:val="004619EB"/>
    <w:rsid w:val="00461CA9"/>
    <w:rsid w:val="00461CAC"/>
    <w:rsid w:val="004623F8"/>
    <w:rsid w:val="00462744"/>
    <w:rsid w:val="00462A1B"/>
    <w:rsid w:val="00462B77"/>
    <w:rsid w:val="00462D03"/>
    <w:rsid w:val="004630CB"/>
    <w:rsid w:val="004638A6"/>
    <w:rsid w:val="00463DA0"/>
    <w:rsid w:val="00464032"/>
    <w:rsid w:val="004640B4"/>
    <w:rsid w:val="00464431"/>
    <w:rsid w:val="00464BD9"/>
    <w:rsid w:val="00464DA2"/>
    <w:rsid w:val="00464F58"/>
    <w:rsid w:val="00464FC3"/>
    <w:rsid w:val="0046660D"/>
    <w:rsid w:val="00466D28"/>
    <w:rsid w:val="00466F5C"/>
    <w:rsid w:val="00467087"/>
    <w:rsid w:val="004678E8"/>
    <w:rsid w:val="004701B7"/>
    <w:rsid w:val="004701D2"/>
    <w:rsid w:val="00470C3A"/>
    <w:rsid w:val="00471CF8"/>
    <w:rsid w:val="00471DFE"/>
    <w:rsid w:val="00471F5A"/>
    <w:rsid w:val="00472210"/>
    <w:rsid w:val="004731CF"/>
    <w:rsid w:val="0047342F"/>
    <w:rsid w:val="00473C58"/>
    <w:rsid w:val="00474106"/>
    <w:rsid w:val="0047479B"/>
    <w:rsid w:val="00474C97"/>
    <w:rsid w:val="00475702"/>
    <w:rsid w:val="0047577A"/>
    <w:rsid w:val="0047601F"/>
    <w:rsid w:val="00476085"/>
    <w:rsid w:val="00476320"/>
    <w:rsid w:val="00476FEB"/>
    <w:rsid w:val="0047702E"/>
    <w:rsid w:val="00477782"/>
    <w:rsid w:val="004779AF"/>
    <w:rsid w:val="004802A3"/>
    <w:rsid w:val="00480A59"/>
    <w:rsid w:val="004810E0"/>
    <w:rsid w:val="004814AF"/>
    <w:rsid w:val="004814FC"/>
    <w:rsid w:val="00481720"/>
    <w:rsid w:val="00481870"/>
    <w:rsid w:val="00481BED"/>
    <w:rsid w:val="00481C2E"/>
    <w:rsid w:val="0048243C"/>
    <w:rsid w:val="00482A64"/>
    <w:rsid w:val="00482B12"/>
    <w:rsid w:val="00482B21"/>
    <w:rsid w:val="00482C1E"/>
    <w:rsid w:val="00483338"/>
    <w:rsid w:val="00483358"/>
    <w:rsid w:val="004841B0"/>
    <w:rsid w:val="0048431E"/>
    <w:rsid w:val="00484518"/>
    <w:rsid w:val="00484D79"/>
    <w:rsid w:val="004854CF"/>
    <w:rsid w:val="004861B8"/>
    <w:rsid w:val="00486D98"/>
    <w:rsid w:val="00486DDD"/>
    <w:rsid w:val="0048704D"/>
    <w:rsid w:val="004870E1"/>
    <w:rsid w:val="004870F0"/>
    <w:rsid w:val="004874A0"/>
    <w:rsid w:val="0048762F"/>
    <w:rsid w:val="0048774E"/>
    <w:rsid w:val="00487CB6"/>
    <w:rsid w:val="004901BA"/>
    <w:rsid w:val="00490351"/>
    <w:rsid w:val="00491452"/>
    <w:rsid w:val="00491A06"/>
    <w:rsid w:val="0049240D"/>
    <w:rsid w:val="004931FE"/>
    <w:rsid w:val="00493720"/>
    <w:rsid w:val="0049386F"/>
    <w:rsid w:val="00493919"/>
    <w:rsid w:val="00493C8E"/>
    <w:rsid w:val="00493E70"/>
    <w:rsid w:val="004942F7"/>
    <w:rsid w:val="004943E4"/>
    <w:rsid w:val="00494AA8"/>
    <w:rsid w:val="00494C0C"/>
    <w:rsid w:val="00495136"/>
    <w:rsid w:val="004951E1"/>
    <w:rsid w:val="00495EF9"/>
    <w:rsid w:val="00496060"/>
    <w:rsid w:val="00497384"/>
    <w:rsid w:val="00497BDA"/>
    <w:rsid w:val="00497C79"/>
    <w:rsid w:val="004A0165"/>
    <w:rsid w:val="004A031F"/>
    <w:rsid w:val="004A08FD"/>
    <w:rsid w:val="004A0DC1"/>
    <w:rsid w:val="004A1073"/>
    <w:rsid w:val="004A1765"/>
    <w:rsid w:val="004A1A4A"/>
    <w:rsid w:val="004A1EC5"/>
    <w:rsid w:val="004A264E"/>
    <w:rsid w:val="004A2BE1"/>
    <w:rsid w:val="004A2EEE"/>
    <w:rsid w:val="004A3907"/>
    <w:rsid w:val="004A405F"/>
    <w:rsid w:val="004A4193"/>
    <w:rsid w:val="004A4622"/>
    <w:rsid w:val="004A4822"/>
    <w:rsid w:val="004A50FE"/>
    <w:rsid w:val="004A51AB"/>
    <w:rsid w:val="004A53A4"/>
    <w:rsid w:val="004A545B"/>
    <w:rsid w:val="004A5822"/>
    <w:rsid w:val="004A59F2"/>
    <w:rsid w:val="004A61F9"/>
    <w:rsid w:val="004A6701"/>
    <w:rsid w:val="004A6791"/>
    <w:rsid w:val="004A7116"/>
    <w:rsid w:val="004A730C"/>
    <w:rsid w:val="004A76E3"/>
    <w:rsid w:val="004A7BF3"/>
    <w:rsid w:val="004A7D62"/>
    <w:rsid w:val="004A7FB2"/>
    <w:rsid w:val="004B0AB0"/>
    <w:rsid w:val="004B0F34"/>
    <w:rsid w:val="004B10CA"/>
    <w:rsid w:val="004B1119"/>
    <w:rsid w:val="004B1D51"/>
    <w:rsid w:val="004B2299"/>
    <w:rsid w:val="004B24A2"/>
    <w:rsid w:val="004B2511"/>
    <w:rsid w:val="004B2C5C"/>
    <w:rsid w:val="004B2CE8"/>
    <w:rsid w:val="004B39F4"/>
    <w:rsid w:val="004B4A0C"/>
    <w:rsid w:val="004B5810"/>
    <w:rsid w:val="004B58FB"/>
    <w:rsid w:val="004B5E4D"/>
    <w:rsid w:val="004B5F23"/>
    <w:rsid w:val="004B6054"/>
    <w:rsid w:val="004B60E7"/>
    <w:rsid w:val="004B63A1"/>
    <w:rsid w:val="004B63E1"/>
    <w:rsid w:val="004B687A"/>
    <w:rsid w:val="004B7400"/>
    <w:rsid w:val="004B75A1"/>
    <w:rsid w:val="004B7800"/>
    <w:rsid w:val="004B7DE6"/>
    <w:rsid w:val="004C00E6"/>
    <w:rsid w:val="004C0275"/>
    <w:rsid w:val="004C0815"/>
    <w:rsid w:val="004C0C84"/>
    <w:rsid w:val="004C292D"/>
    <w:rsid w:val="004C2B65"/>
    <w:rsid w:val="004C3386"/>
    <w:rsid w:val="004C37DE"/>
    <w:rsid w:val="004C3B8E"/>
    <w:rsid w:val="004C3C53"/>
    <w:rsid w:val="004C3D51"/>
    <w:rsid w:val="004C4DBA"/>
    <w:rsid w:val="004C4EA5"/>
    <w:rsid w:val="004C5BE0"/>
    <w:rsid w:val="004C5C33"/>
    <w:rsid w:val="004C6825"/>
    <w:rsid w:val="004C6AB0"/>
    <w:rsid w:val="004C6DA3"/>
    <w:rsid w:val="004C6FC5"/>
    <w:rsid w:val="004C7B89"/>
    <w:rsid w:val="004D08A2"/>
    <w:rsid w:val="004D0B24"/>
    <w:rsid w:val="004D129A"/>
    <w:rsid w:val="004D14F5"/>
    <w:rsid w:val="004D18C3"/>
    <w:rsid w:val="004D1A1E"/>
    <w:rsid w:val="004D1B7C"/>
    <w:rsid w:val="004D1EB1"/>
    <w:rsid w:val="004D26A7"/>
    <w:rsid w:val="004D274C"/>
    <w:rsid w:val="004D2D53"/>
    <w:rsid w:val="004D33A3"/>
    <w:rsid w:val="004D347D"/>
    <w:rsid w:val="004D3A2F"/>
    <w:rsid w:val="004D4073"/>
    <w:rsid w:val="004D40AF"/>
    <w:rsid w:val="004D434F"/>
    <w:rsid w:val="004D4C0A"/>
    <w:rsid w:val="004D4E51"/>
    <w:rsid w:val="004D50CB"/>
    <w:rsid w:val="004D56AA"/>
    <w:rsid w:val="004D609B"/>
    <w:rsid w:val="004D637B"/>
    <w:rsid w:val="004D6F91"/>
    <w:rsid w:val="004D72E8"/>
    <w:rsid w:val="004D7610"/>
    <w:rsid w:val="004D77F4"/>
    <w:rsid w:val="004D7F08"/>
    <w:rsid w:val="004E0338"/>
    <w:rsid w:val="004E0774"/>
    <w:rsid w:val="004E0777"/>
    <w:rsid w:val="004E0DA5"/>
    <w:rsid w:val="004E14BD"/>
    <w:rsid w:val="004E1F47"/>
    <w:rsid w:val="004E203B"/>
    <w:rsid w:val="004E2369"/>
    <w:rsid w:val="004E2E83"/>
    <w:rsid w:val="004E3757"/>
    <w:rsid w:val="004E46F4"/>
    <w:rsid w:val="004E4B3F"/>
    <w:rsid w:val="004E4D12"/>
    <w:rsid w:val="004E4D94"/>
    <w:rsid w:val="004E4F1C"/>
    <w:rsid w:val="004E5098"/>
    <w:rsid w:val="004E59D4"/>
    <w:rsid w:val="004E5AE5"/>
    <w:rsid w:val="004E5B3C"/>
    <w:rsid w:val="004E603E"/>
    <w:rsid w:val="004E69AB"/>
    <w:rsid w:val="004E6FC3"/>
    <w:rsid w:val="004E755B"/>
    <w:rsid w:val="004E78AF"/>
    <w:rsid w:val="004E7FCF"/>
    <w:rsid w:val="004F0115"/>
    <w:rsid w:val="004F0873"/>
    <w:rsid w:val="004F0ED6"/>
    <w:rsid w:val="004F12BB"/>
    <w:rsid w:val="004F1706"/>
    <w:rsid w:val="004F18D9"/>
    <w:rsid w:val="004F1B0A"/>
    <w:rsid w:val="004F1D43"/>
    <w:rsid w:val="004F2785"/>
    <w:rsid w:val="004F351B"/>
    <w:rsid w:val="004F3B03"/>
    <w:rsid w:val="004F4023"/>
    <w:rsid w:val="004F46CE"/>
    <w:rsid w:val="004F4A55"/>
    <w:rsid w:val="004F5027"/>
    <w:rsid w:val="004F5DA7"/>
    <w:rsid w:val="004F638F"/>
    <w:rsid w:val="004F6555"/>
    <w:rsid w:val="004F66C9"/>
    <w:rsid w:val="004F6929"/>
    <w:rsid w:val="004F7016"/>
    <w:rsid w:val="004F70C1"/>
    <w:rsid w:val="004F77B9"/>
    <w:rsid w:val="004F78B7"/>
    <w:rsid w:val="004F7D03"/>
    <w:rsid w:val="005007AA"/>
    <w:rsid w:val="00500C5A"/>
    <w:rsid w:val="00500C5B"/>
    <w:rsid w:val="00500C77"/>
    <w:rsid w:val="005010E9"/>
    <w:rsid w:val="005011E1"/>
    <w:rsid w:val="0050135C"/>
    <w:rsid w:val="005013BC"/>
    <w:rsid w:val="00501576"/>
    <w:rsid w:val="00501890"/>
    <w:rsid w:val="00501F28"/>
    <w:rsid w:val="00502371"/>
    <w:rsid w:val="00502419"/>
    <w:rsid w:val="005028C8"/>
    <w:rsid w:val="00502BC2"/>
    <w:rsid w:val="00503141"/>
    <w:rsid w:val="00503950"/>
    <w:rsid w:val="0050399A"/>
    <w:rsid w:val="00503F90"/>
    <w:rsid w:val="00504359"/>
    <w:rsid w:val="00504AB9"/>
    <w:rsid w:val="00504ED4"/>
    <w:rsid w:val="00505032"/>
    <w:rsid w:val="00505546"/>
    <w:rsid w:val="00505860"/>
    <w:rsid w:val="00505C1A"/>
    <w:rsid w:val="005062F2"/>
    <w:rsid w:val="0050645A"/>
    <w:rsid w:val="00506B54"/>
    <w:rsid w:val="00506E09"/>
    <w:rsid w:val="00510CEA"/>
    <w:rsid w:val="005112FF"/>
    <w:rsid w:val="0051141D"/>
    <w:rsid w:val="00511B55"/>
    <w:rsid w:val="00511D48"/>
    <w:rsid w:val="0051205C"/>
    <w:rsid w:val="00512246"/>
    <w:rsid w:val="0051275B"/>
    <w:rsid w:val="0051353A"/>
    <w:rsid w:val="0051431A"/>
    <w:rsid w:val="00515287"/>
    <w:rsid w:val="0051533A"/>
    <w:rsid w:val="00515A77"/>
    <w:rsid w:val="00515E8D"/>
    <w:rsid w:val="00516200"/>
    <w:rsid w:val="005166EA"/>
    <w:rsid w:val="00517627"/>
    <w:rsid w:val="005178CA"/>
    <w:rsid w:val="005179C7"/>
    <w:rsid w:val="00517A24"/>
    <w:rsid w:val="00517B6D"/>
    <w:rsid w:val="0052044B"/>
    <w:rsid w:val="005208EA"/>
    <w:rsid w:val="0052119F"/>
    <w:rsid w:val="00521591"/>
    <w:rsid w:val="00521A43"/>
    <w:rsid w:val="00521C4E"/>
    <w:rsid w:val="00521FE1"/>
    <w:rsid w:val="00522267"/>
    <w:rsid w:val="005222DD"/>
    <w:rsid w:val="00522A1D"/>
    <w:rsid w:val="00522AD6"/>
    <w:rsid w:val="00522BEA"/>
    <w:rsid w:val="00522DEE"/>
    <w:rsid w:val="00523335"/>
    <w:rsid w:val="005236BD"/>
    <w:rsid w:val="00523DF7"/>
    <w:rsid w:val="00524DD5"/>
    <w:rsid w:val="00525071"/>
    <w:rsid w:val="0052524B"/>
    <w:rsid w:val="00525400"/>
    <w:rsid w:val="005254D7"/>
    <w:rsid w:val="005256E3"/>
    <w:rsid w:val="0052583A"/>
    <w:rsid w:val="00525A31"/>
    <w:rsid w:val="00525F2B"/>
    <w:rsid w:val="00526110"/>
    <w:rsid w:val="0052634B"/>
    <w:rsid w:val="00527195"/>
    <w:rsid w:val="0052783E"/>
    <w:rsid w:val="00527E70"/>
    <w:rsid w:val="00527F6A"/>
    <w:rsid w:val="00530452"/>
    <w:rsid w:val="00530722"/>
    <w:rsid w:val="005308BC"/>
    <w:rsid w:val="005308CB"/>
    <w:rsid w:val="00530AB5"/>
    <w:rsid w:val="00530B27"/>
    <w:rsid w:val="00530DC4"/>
    <w:rsid w:val="00530E02"/>
    <w:rsid w:val="005315E9"/>
    <w:rsid w:val="00531972"/>
    <w:rsid w:val="00531DD2"/>
    <w:rsid w:val="005328F4"/>
    <w:rsid w:val="0053356A"/>
    <w:rsid w:val="005336D5"/>
    <w:rsid w:val="00533B04"/>
    <w:rsid w:val="00533D08"/>
    <w:rsid w:val="00534001"/>
    <w:rsid w:val="005346DA"/>
    <w:rsid w:val="00534976"/>
    <w:rsid w:val="005354D5"/>
    <w:rsid w:val="00535519"/>
    <w:rsid w:val="005358E7"/>
    <w:rsid w:val="005359EA"/>
    <w:rsid w:val="00535C97"/>
    <w:rsid w:val="00535CE3"/>
    <w:rsid w:val="00535DE1"/>
    <w:rsid w:val="00535F42"/>
    <w:rsid w:val="00535FB0"/>
    <w:rsid w:val="00535FF7"/>
    <w:rsid w:val="00536318"/>
    <w:rsid w:val="00536344"/>
    <w:rsid w:val="00536AA8"/>
    <w:rsid w:val="00536BFF"/>
    <w:rsid w:val="00536FE5"/>
    <w:rsid w:val="005374B3"/>
    <w:rsid w:val="00537665"/>
    <w:rsid w:val="00537856"/>
    <w:rsid w:val="00537BED"/>
    <w:rsid w:val="00537FE3"/>
    <w:rsid w:val="00540090"/>
    <w:rsid w:val="0054067D"/>
    <w:rsid w:val="00540868"/>
    <w:rsid w:val="00540D50"/>
    <w:rsid w:val="00540DB7"/>
    <w:rsid w:val="0054162C"/>
    <w:rsid w:val="005419F4"/>
    <w:rsid w:val="00541D7C"/>
    <w:rsid w:val="0054233B"/>
    <w:rsid w:val="005428B7"/>
    <w:rsid w:val="00542BBD"/>
    <w:rsid w:val="005431CF"/>
    <w:rsid w:val="0054367A"/>
    <w:rsid w:val="005437A9"/>
    <w:rsid w:val="005437FC"/>
    <w:rsid w:val="005438C9"/>
    <w:rsid w:val="00543E34"/>
    <w:rsid w:val="005441A9"/>
    <w:rsid w:val="005444A9"/>
    <w:rsid w:val="00544FD0"/>
    <w:rsid w:val="00545156"/>
    <w:rsid w:val="005451A5"/>
    <w:rsid w:val="00545209"/>
    <w:rsid w:val="00545D41"/>
    <w:rsid w:val="005463E1"/>
    <w:rsid w:val="00546706"/>
    <w:rsid w:val="00546975"/>
    <w:rsid w:val="00546CC5"/>
    <w:rsid w:val="00546F1A"/>
    <w:rsid w:val="00546F8B"/>
    <w:rsid w:val="00547571"/>
    <w:rsid w:val="00547EBB"/>
    <w:rsid w:val="0055054A"/>
    <w:rsid w:val="00550D91"/>
    <w:rsid w:val="00550E18"/>
    <w:rsid w:val="00551289"/>
    <w:rsid w:val="00552C8F"/>
    <w:rsid w:val="00552FF2"/>
    <w:rsid w:val="00552FF4"/>
    <w:rsid w:val="005535AF"/>
    <w:rsid w:val="00554327"/>
    <w:rsid w:val="00554851"/>
    <w:rsid w:val="005549FA"/>
    <w:rsid w:val="00554A0A"/>
    <w:rsid w:val="0055506B"/>
    <w:rsid w:val="00555507"/>
    <w:rsid w:val="0055591B"/>
    <w:rsid w:val="0055671B"/>
    <w:rsid w:val="00556940"/>
    <w:rsid w:val="00556CCC"/>
    <w:rsid w:val="00556D92"/>
    <w:rsid w:val="00557014"/>
    <w:rsid w:val="00560416"/>
    <w:rsid w:val="00560DBB"/>
    <w:rsid w:val="00560DDF"/>
    <w:rsid w:val="00560FF7"/>
    <w:rsid w:val="005610F6"/>
    <w:rsid w:val="00561733"/>
    <w:rsid w:val="00561C3D"/>
    <w:rsid w:val="00562079"/>
    <w:rsid w:val="0056254D"/>
    <w:rsid w:val="0056261F"/>
    <w:rsid w:val="005627E7"/>
    <w:rsid w:val="005629D7"/>
    <w:rsid w:val="00563EDC"/>
    <w:rsid w:val="00564236"/>
    <w:rsid w:val="0056453F"/>
    <w:rsid w:val="0056467B"/>
    <w:rsid w:val="00564E0A"/>
    <w:rsid w:val="00565000"/>
    <w:rsid w:val="0056547C"/>
    <w:rsid w:val="00565887"/>
    <w:rsid w:val="005658B2"/>
    <w:rsid w:val="0056616A"/>
    <w:rsid w:val="00566501"/>
    <w:rsid w:val="00566884"/>
    <w:rsid w:val="0056695F"/>
    <w:rsid w:val="00566AC3"/>
    <w:rsid w:val="005674AF"/>
    <w:rsid w:val="005675E3"/>
    <w:rsid w:val="0056766B"/>
    <w:rsid w:val="005677D6"/>
    <w:rsid w:val="005679E8"/>
    <w:rsid w:val="00567F63"/>
    <w:rsid w:val="00570DD9"/>
    <w:rsid w:val="0057115C"/>
    <w:rsid w:val="00571267"/>
    <w:rsid w:val="0057143A"/>
    <w:rsid w:val="00572336"/>
    <w:rsid w:val="0057251C"/>
    <w:rsid w:val="005727A1"/>
    <w:rsid w:val="005729A7"/>
    <w:rsid w:val="00572C92"/>
    <w:rsid w:val="005734EB"/>
    <w:rsid w:val="005735BA"/>
    <w:rsid w:val="00573659"/>
    <w:rsid w:val="0057395A"/>
    <w:rsid w:val="00573DC9"/>
    <w:rsid w:val="005743B1"/>
    <w:rsid w:val="005744C7"/>
    <w:rsid w:val="00574AF7"/>
    <w:rsid w:val="00574DFB"/>
    <w:rsid w:val="00575673"/>
    <w:rsid w:val="00575845"/>
    <w:rsid w:val="00575B93"/>
    <w:rsid w:val="00575BE0"/>
    <w:rsid w:val="00576522"/>
    <w:rsid w:val="005765BA"/>
    <w:rsid w:val="0057679E"/>
    <w:rsid w:val="00576A3B"/>
    <w:rsid w:val="00576AA1"/>
    <w:rsid w:val="005774BA"/>
    <w:rsid w:val="005776AF"/>
    <w:rsid w:val="00577793"/>
    <w:rsid w:val="00577CB9"/>
    <w:rsid w:val="00577DBF"/>
    <w:rsid w:val="00580045"/>
    <w:rsid w:val="00580137"/>
    <w:rsid w:val="00580358"/>
    <w:rsid w:val="005807C6"/>
    <w:rsid w:val="00580857"/>
    <w:rsid w:val="00581958"/>
    <w:rsid w:val="00582430"/>
    <w:rsid w:val="0058247F"/>
    <w:rsid w:val="0058277B"/>
    <w:rsid w:val="00582CB2"/>
    <w:rsid w:val="005831E0"/>
    <w:rsid w:val="00583213"/>
    <w:rsid w:val="00583456"/>
    <w:rsid w:val="00583778"/>
    <w:rsid w:val="00583EC7"/>
    <w:rsid w:val="00584173"/>
    <w:rsid w:val="0058423D"/>
    <w:rsid w:val="0058434E"/>
    <w:rsid w:val="00584CFE"/>
    <w:rsid w:val="005852C6"/>
    <w:rsid w:val="00585392"/>
    <w:rsid w:val="00585748"/>
    <w:rsid w:val="00585893"/>
    <w:rsid w:val="00585986"/>
    <w:rsid w:val="00586947"/>
    <w:rsid w:val="00586CB4"/>
    <w:rsid w:val="00586DF5"/>
    <w:rsid w:val="00586F10"/>
    <w:rsid w:val="005872F9"/>
    <w:rsid w:val="00587920"/>
    <w:rsid w:val="005900EC"/>
    <w:rsid w:val="005905AC"/>
    <w:rsid w:val="005915AD"/>
    <w:rsid w:val="005917A1"/>
    <w:rsid w:val="00591B2D"/>
    <w:rsid w:val="00591C49"/>
    <w:rsid w:val="00591E61"/>
    <w:rsid w:val="00592B58"/>
    <w:rsid w:val="0059350C"/>
    <w:rsid w:val="0059351B"/>
    <w:rsid w:val="0059363D"/>
    <w:rsid w:val="005942C8"/>
    <w:rsid w:val="00594CCE"/>
    <w:rsid w:val="00594E27"/>
    <w:rsid w:val="005953B4"/>
    <w:rsid w:val="00595409"/>
    <w:rsid w:val="0059635F"/>
    <w:rsid w:val="00596C66"/>
    <w:rsid w:val="005971FA"/>
    <w:rsid w:val="00597D49"/>
    <w:rsid w:val="00597E53"/>
    <w:rsid w:val="005A0083"/>
    <w:rsid w:val="005A02B0"/>
    <w:rsid w:val="005A12CB"/>
    <w:rsid w:val="005A13B9"/>
    <w:rsid w:val="005A17F8"/>
    <w:rsid w:val="005A18AF"/>
    <w:rsid w:val="005A1980"/>
    <w:rsid w:val="005A1D99"/>
    <w:rsid w:val="005A2408"/>
    <w:rsid w:val="005A2BE0"/>
    <w:rsid w:val="005A3109"/>
    <w:rsid w:val="005A321B"/>
    <w:rsid w:val="005A3858"/>
    <w:rsid w:val="005A3F1B"/>
    <w:rsid w:val="005A4D7B"/>
    <w:rsid w:val="005A51CD"/>
    <w:rsid w:val="005A52BB"/>
    <w:rsid w:val="005A53E7"/>
    <w:rsid w:val="005A5652"/>
    <w:rsid w:val="005A57E5"/>
    <w:rsid w:val="005A5BFA"/>
    <w:rsid w:val="005A7DF2"/>
    <w:rsid w:val="005B02B4"/>
    <w:rsid w:val="005B0730"/>
    <w:rsid w:val="005B095C"/>
    <w:rsid w:val="005B0B8B"/>
    <w:rsid w:val="005B0BD0"/>
    <w:rsid w:val="005B18A7"/>
    <w:rsid w:val="005B2D49"/>
    <w:rsid w:val="005B3384"/>
    <w:rsid w:val="005B367E"/>
    <w:rsid w:val="005B40A8"/>
    <w:rsid w:val="005B4186"/>
    <w:rsid w:val="005B44A8"/>
    <w:rsid w:val="005B5475"/>
    <w:rsid w:val="005B5542"/>
    <w:rsid w:val="005B58A2"/>
    <w:rsid w:val="005B5A78"/>
    <w:rsid w:val="005B5D8A"/>
    <w:rsid w:val="005B6155"/>
    <w:rsid w:val="005B6BEC"/>
    <w:rsid w:val="005B6DBA"/>
    <w:rsid w:val="005B6DBD"/>
    <w:rsid w:val="005B707E"/>
    <w:rsid w:val="005B7232"/>
    <w:rsid w:val="005B733C"/>
    <w:rsid w:val="005B7A4F"/>
    <w:rsid w:val="005C0D2D"/>
    <w:rsid w:val="005C183B"/>
    <w:rsid w:val="005C1BF3"/>
    <w:rsid w:val="005C257D"/>
    <w:rsid w:val="005C2640"/>
    <w:rsid w:val="005C37FF"/>
    <w:rsid w:val="005C3D1E"/>
    <w:rsid w:val="005C3D4B"/>
    <w:rsid w:val="005C3EDE"/>
    <w:rsid w:val="005C460C"/>
    <w:rsid w:val="005C4892"/>
    <w:rsid w:val="005C48E3"/>
    <w:rsid w:val="005C528D"/>
    <w:rsid w:val="005C5914"/>
    <w:rsid w:val="005C6005"/>
    <w:rsid w:val="005C6E66"/>
    <w:rsid w:val="005C73DD"/>
    <w:rsid w:val="005C7B16"/>
    <w:rsid w:val="005C7FD7"/>
    <w:rsid w:val="005D0191"/>
    <w:rsid w:val="005D0988"/>
    <w:rsid w:val="005D0C03"/>
    <w:rsid w:val="005D1076"/>
    <w:rsid w:val="005D13DD"/>
    <w:rsid w:val="005D1542"/>
    <w:rsid w:val="005D16B9"/>
    <w:rsid w:val="005D22E9"/>
    <w:rsid w:val="005D2706"/>
    <w:rsid w:val="005D2B89"/>
    <w:rsid w:val="005D31AD"/>
    <w:rsid w:val="005D33B0"/>
    <w:rsid w:val="005D380B"/>
    <w:rsid w:val="005D3EC4"/>
    <w:rsid w:val="005D4119"/>
    <w:rsid w:val="005D4F36"/>
    <w:rsid w:val="005D50DD"/>
    <w:rsid w:val="005D58F9"/>
    <w:rsid w:val="005D5B89"/>
    <w:rsid w:val="005D5BD1"/>
    <w:rsid w:val="005D61B7"/>
    <w:rsid w:val="005D623B"/>
    <w:rsid w:val="005D6B42"/>
    <w:rsid w:val="005D6CAD"/>
    <w:rsid w:val="005D6D9A"/>
    <w:rsid w:val="005D70F8"/>
    <w:rsid w:val="005D72AB"/>
    <w:rsid w:val="005D755A"/>
    <w:rsid w:val="005D781C"/>
    <w:rsid w:val="005E0308"/>
    <w:rsid w:val="005E0F34"/>
    <w:rsid w:val="005E1383"/>
    <w:rsid w:val="005E21E0"/>
    <w:rsid w:val="005E2656"/>
    <w:rsid w:val="005E369A"/>
    <w:rsid w:val="005E3742"/>
    <w:rsid w:val="005E3A73"/>
    <w:rsid w:val="005E4070"/>
    <w:rsid w:val="005E40EE"/>
    <w:rsid w:val="005E45FB"/>
    <w:rsid w:val="005E4C58"/>
    <w:rsid w:val="005E4CFB"/>
    <w:rsid w:val="005E4D44"/>
    <w:rsid w:val="005E5125"/>
    <w:rsid w:val="005E5616"/>
    <w:rsid w:val="005E5BB4"/>
    <w:rsid w:val="005E5E58"/>
    <w:rsid w:val="005E6102"/>
    <w:rsid w:val="005E67A0"/>
    <w:rsid w:val="005E6905"/>
    <w:rsid w:val="005E6F94"/>
    <w:rsid w:val="005E7A70"/>
    <w:rsid w:val="005E7C7C"/>
    <w:rsid w:val="005E7EB0"/>
    <w:rsid w:val="005F0178"/>
    <w:rsid w:val="005F08D7"/>
    <w:rsid w:val="005F0A8C"/>
    <w:rsid w:val="005F0B38"/>
    <w:rsid w:val="005F0E5C"/>
    <w:rsid w:val="005F1088"/>
    <w:rsid w:val="005F1156"/>
    <w:rsid w:val="005F1709"/>
    <w:rsid w:val="005F17FB"/>
    <w:rsid w:val="005F191A"/>
    <w:rsid w:val="005F1BD5"/>
    <w:rsid w:val="005F224A"/>
    <w:rsid w:val="005F2274"/>
    <w:rsid w:val="005F22A2"/>
    <w:rsid w:val="005F263A"/>
    <w:rsid w:val="005F28FC"/>
    <w:rsid w:val="005F293A"/>
    <w:rsid w:val="005F2B4E"/>
    <w:rsid w:val="005F3C9D"/>
    <w:rsid w:val="005F3D8A"/>
    <w:rsid w:val="005F415E"/>
    <w:rsid w:val="005F45C8"/>
    <w:rsid w:val="005F495D"/>
    <w:rsid w:val="005F4C55"/>
    <w:rsid w:val="005F52CD"/>
    <w:rsid w:val="005F56D3"/>
    <w:rsid w:val="005F5AAA"/>
    <w:rsid w:val="005F5E6C"/>
    <w:rsid w:val="005F6282"/>
    <w:rsid w:val="005F65CE"/>
    <w:rsid w:val="005F7691"/>
    <w:rsid w:val="005F7C43"/>
    <w:rsid w:val="00600512"/>
    <w:rsid w:val="00600986"/>
    <w:rsid w:val="00601090"/>
    <w:rsid w:val="006010A1"/>
    <w:rsid w:val="006013B6"/>
    <w:rsid w:val="006022C3"/>
    <w:rsid w:val="0060256F"/>
    <w:rsid w:val="00602C8A"/>
    <w:rsid w:val="006031BB"/>
    <w:rsid w:val="0060322B"/>
    <w:rsid w:val="00603387"/>
    <w:rsid w:val="006034B3"/>
    <w:rsid w:val="006035F8"/>
    <w:rsid w:val="00603FDD"/>
    <w:rsid w:val="0060417B"/>
    <w:rsid w:val="00604E8D"/>
    <w:rsid w:val="0060539C"/>
    <w:rsid w:val="006053D6"/>
    <w:rsid w:val="0060565F"/>
    <w:rsid w:val="006059BF"/>
    <w:rsid w:val="006076B0"/>
    <w:rsid w:val="00607C13"/>
    <w:rsid w:val="00607E0F"/>
    <w:rsid w:val="006108ED"/>
    <w:rsid w:val="00611504"/>
    <w:rsid w:val="0061255D"/>
    <w:rsid w:val="00612B95"/>
    <w:rsid w:val="00612E3B"/>
    <w:rsid w:val="006130B9"/>
    <w:rsid w:val="00613193"/>
    <w:rsid w:val="006131B4"/>
    <w:rsid w:val="006132B3"/>
    <w:rsid w:val="00613DB6"/>
    <w:rsid w:val="00613E3A"/>
    <w:rsid w:val="00613EAB"/>
    <w:rsid w:val="0061417B"/>
    <w:rsid w:val="0061425D"/>
    <w:rsid w:val="0061441A"/>
    <w:rsid w:val="00614D2E"/>
    <w:rsid w:val="00615294"/>
    <w:rsid w:val="00615378"/>
    <w:rsid w:val="00615BD4"/>
    <w:rsid w:val="00615E1C"/>
    <w:rsid w:val="00615F74"/>
    <w:rsid w:val="006160A6"/>
    <w:rsid w:val="0061617E"/>
    <w:rsid w:val="006162C2"/>
    <w:rsid w:val="00616414"/>
    <w:rsid w:val="00616491"/>
    <w:rsid w:val="00616A2F"/>
    <w:rsid w:val="0061735E"/>
    <w:rsid w:val="006175F7"/>
    <w:rsid w:val="00620950"/>
    <w:rsid w:val="006211B8"/>
    <w:rsid w:val="00622324"/>
    <w:rsid w:val="006224C8"/>
    <w:rsid w:val="00622AF8"/>
    <w:rsid w:val="00622E6F"/>
    <w:rsid w:val="006236BD"/>
    <w:rsid w:val="00623BA6"/>
    <w:rsid w:val="00623F83"/>
    <w:rsid w:val="0062442E"/>
    <w:rsid w:val="00624B33"/>
    <w:rsid w:val="0062516E"/>
    <w:rsid w:val="0062599F"/>
    <w:rsid w:val="00625AE8"/>
    <w:rsid w:val="00625DA3"/>
    <w:rsid w:val="006268D7"/>
    <w:rsid w:val="00626E52"/>
    <w:rsid w:val="00627147"/>
    <w:rsid w:val="00627261"/>
    <w:rsid w:val="00627568"/>
    <w:rsid w:val="00627873"/>
    <w:rsid w:val="006279A9"/>
    <w:rsid w:val="00627AA6"/>
    <w:rsid w:val="00627F00"/>
    <w:rsid w:val="00630359"/>
    <w:rsid w:val="00630689"/>
    <w:rsid w:val="00630EB0"/>
    <w:rsid w:val="00631069"/>
    <w:rsid w:val="00631A63"/>
    <w:rsid w:val="00633D0A"/>
    <w:rsid w:val="00633FCC"/>
    <w:rsid w:val="00634220"/>
    <w:rsid w:val="00634FBB"/>
    <w:rsid w:val="006356BE"/>
    <w:rsid w:val="006357C6"/>
    <w:rsid w:val="00635ABD"/>
    <w:rsid w:val="00635B53"/>
    <w:rsid w:val="00636315"/>
    <w:rsid w:val="006363BA"/>
    <w:rsid w:val="00636A2A"/>
    <w:rsid w:val="00637E8C"/>
    <w:rsid w:val="00640C9A"/>
    <w:rsid w:val="00641413"/>
    <w:rsid w:val="00641A6A"/>
    <w:rsid w:val="0064314B"/>
    <w:rsid w:val="006431CE"/>
    <w:rsid w:val="00643817"/>
    <w:rsid w:val="006443F3"/>
    <w:rsid w:val="00644910"/>
    <w:rsid w:val="0064496A"/>
    <w:rsid w:val="00644CED"/>
    <w:rsid w:val="00644FF1"/>
    <w:rsid w:val="006454EA"/>
    <w:rsid w:val="00645EC7"/>
    <w:rsid w:val="006464DA"/>
    <w:rsid w:val="00646AFA"/>
    <w:rsid w:val="00647418"/>
    <w:rsid w:val="006478CE"/>
    <w:rsid w:val="00647C7C"/>
    <w:rsid w:val="00647D3C"/>
    <w:rsid w:val="00650ED5"/>
    <w:rsid w:val="0065177A"/>
    <w:rsid w:val="006517E6"/>
    <w:rsid w:val="00651FD5"/>
    <w:rsid w:val="00652823"/>
    <w:rsid w:val="00652887"/>
    <w:rsid w:val="00652FC9"/>
    <w:rsid w:val="00653771"/>
    <w:rsid w:val="00653CD2"/>
    <w:rsid w:val="006545C1"/>
    <w:rsid w:val="00654C6A"/>
    <w:rsid w:val="00654E26"/>
    <w:rsid w:val="00654FF6"/>
    <w:rsid w:val="00655356"/>
    <w:rsid w:val="00655B0D"/>
    <w:rsid w:val="00656070"/>
    <w:rsid w:val="00656166"/>
    <w:rsid w:val="006563D5"/>
    <w:rsid w:val="00656448"/>
    <w:rsid w:val="00656E4F"/>
    <w:rsid w:val="00657121"/>
    <w:rsid w:val="00657597"/>
    <w:rsid w:val="00657A31"/>
    <w:rsid w:val="00657A5F"/>
    <w:rsid w:val="00657C14"/>
    <w:rsid w:val="00657DCE"/>
    <w:rsid w:val="00660888"/>
    <w:rsid w:val="00660A02"/>
    <w:rsid w:val="00660BAA"/>
    <w:rsid w:val="00660C0C"/>
    <w:rsid w:val="00660C3F"/>
    <w:rsid w:val="00661104"/>
    <w:rsid w:val="00661520"/>
    <w:rsid w:val="00661C52"/>
    <w:rsid w:val="00661D05"/>
    <w:rsid w:val="00661FB9"/>
    <w:rsid w:val="00662B49"/>
    <w:rsid w:val="006630F5"/>
    <w:rsid w:val="006633E3"/>
    <w:rsid w:val="00663489"/>
    <w:rsid w:val="00663EE1"/>
    <w:rsid w:val="0066420D"/>
    <w:rsid w:val="006644D0"/>
    <w:rsid w:val="006645E7"/>
    <w:rsid w:val="00664B83"/>
    <w:rsid w:val="00664C58"/>
    <w:rsid w:val="0066509A"/>
    <w:rsid w:val="006653AE"/>
    <w:rsid w:val="0066548F"/>
    <w:rsid w:val="006660E6"/>
    <w:rsid w:val="006662A4"/>
    <w:rsid w:val="00666752"/>
    <w:rsid w:val="00666919"/>
    <w:rsid w:val="00666A79"/>
    <w:rsid w:val="00666DBE"/>
    <w:rsid w:val="006676E3"/>
    <w:rsid w:val="006702CE"/>
    <w:rsid w:val="006704C3"/>
    <w:rsid w:val="006704FF"/>
    <w:rsid w:val="0067058A"/>
    <w:rsid w:val="006705B4"/>
    <w:rsid w:val="006707BF"/>
    <w:rsid w:val="00670AD4"/>
    <w:rsid w:val="00670D08"/>
    <w:rsid w:val="006710EC"/>
    <w:rsid w:val="00671769"/>
    <w:rsid w:val="00671FC2"/>
    <w:rsid w:val="00672F36"/>
    <w:rsid w:val="00672F59"/>
    <w:rsid w:val="0067345C"/>
    <w:rsid w:val="0067367B"/>
    <w:rsid w:val="00673772"/>
    <w:rsid w:val="00673A91"/>
    <w:rsid w:val="006740E4"/>
    <w:rsid w:val="006741E5"/>
    <w:rsid w:val="0067436D"/>
    <w:rsid w:val="00674403"/>
    <w:rsid w:val="006744B5"/>
    <w:rsid w:val="0067488C"/>
    <w:rsid w:val="00675756"/>
    <w:rsid w:val="00676157"/>
    <w:rsid w:val="00676B35"/>
    <w:rsid w:val="00676C2A"/>
    <w:rsid w:val="00676C5D"/>
    <w:rsid w:val="00676E79"/>
    <w:rsid w:val="006773D3"/>
    <w:rsid w:val="00677614"/>
    <w:rsid w:val="006777C5"/>
    <w:rsid w:val="0067789D"/>
    <w:rsid w:val="00677CB5"/>
    <w:rsid w:val="006803AD"/>
    <w:rsid w:val="0068163D"/>
    <w:rsid w:val="006817A2"/>
    <w:rsid w:val="00682107"/>
    <w:rsid w:val="006823E7"/>
    <w:rsid w:val="006826F4"/>
    <w:rsid w:val="006827E5"/>
    <w:rsid w:val="00683F15"/>
    <w:rsid w:val="0068422B"/>
    <w:rsid w:val="006844E8"/>
    <w:rsid w:val="00684590"/>
    <w:rsid w:val="0068510C"/>
    <w:rsid w:val="0068536B"/>
    <w:rsid w:val="006854AA"/>
    <w:rsid w:val="00685653"/>
    <w:rsid w:val="006858CC"/>
    <w:rsid w:val="00686450"/>
    <w:rsid w:val="006864AE"/>
    <w:rsid w:val="00686770"/>
    <w:rsid w:val="006867C2"/>
    <w:rsid w:val="00687712"/>
    <w:rsid w:val="006878B3"/>
    <w:rsid w:val="006879F0"/>
    <w:rsid w:val="00690436"/>
    <w:rsid w:val="0069096A"/>
    <w:rsid w:val="00690B32"/>
    <w:rsid w:val="00690D73"/>
    <w:rsid w:val="0069187E"/>
    <w:rsid w:val="00691A4E"/>
    <w:rsid w:val="00691C30"/>
    <w:rsid w:val="00691D41"/>
    <w:rsid w:val="00691F6E"/>
    <w:rsid w:val="0069212A"/>
    <w:rsid w:val="00692311"/>
    <w:rsid w:val="00692E5E"/>
    <w:rsid w:val="00692F18"/>
    <w:rsid w:val="00693C2B"/>
    <w:rsid w:val="00693D5F"/>
    <w:rsid w:val="00694242"/>
    <w:rsid w:val="006944A7"/>
    <w:rsid w:val="00694554"/>
    <w:rsid w:val="00694754"/>
    <w:rsid w:val="00694B9A"/>
    <w:rsid w:val="00695571"/>
    <w:rsid w:val="006957E0"/>
    <w:rsid w:val="00695E3F"/>
    <w:rsid w:val="0069634A"/>
    <w:rsid w:val="006966CF"/>
    <w:rsid w:val="00696994"/>
    <w:rsid w:val="00696DE5"/>
    <w:rsid w:val="00697069"/>
    <w:rsid w:val="00697199"/>
    <w:rsid w:val="006978FF"/>
    <w:rsid w:val="006979A5"/>
    <w:rsid w:val="00697A6E"/>
    <w:rsid w:val="006A09CA"/>
    <w:rsid w:val="006A0A57"/>
    <w:rsid w:val="006A0EE9"/>
    <w:rsid w:val="006A0FC7"/>
    <w:rsid w:val="006A0FC8"/>
    <w:rsid w:val="006A1DEC"/>
    <w:rsid w:val="006A219A"/>
    <w:rsid w:val="006A22E5"/>
    <w:rsid w:val="006A2807"/>
    <w:rsid w:val="006A29A3"/>
    <w:rsid w:val="006A36D0"/>
    <w:rsid w:val="006A3F7E"/>
    <w:rsid w:val="006A42D2"/>
    <w:rsid w:val="006A4480"/>
    <w:rsid w:val="006A45BC"/>
    <w:rsid w:val="006A467D"/>
    <w:rsid w:val="006A49F3"/>
    <w:rsid w:val="006A4B9F"/>
    <w:rsid w:val="006A56E6"/>
    <w:rsid w:val="006A5C39"/>
    <w:rsid w:val="006A5E7E"/>
    <w:rsid w:val="006A5F09"/>
    <w:rsid w:val="006A6759"/>
    <w:rsid w:val="006A682F"/>
    <w:rsid w:val="006A6842"/>
    <w:rsid w:val="006A6AA8"/>
    <w:rsid w:val="006A6C35"/>
    <w:rsid w:val="006A7295"/>
    <w:rsid w:val="006A72FE"/>
    <w:rsid w:val="006A757E"/>
    <w:rsid w:val="006A7D92"/>
    <w:rsid w:val="006B08CA"/>
    <w:rsid w:val="006B0BE4"/>
    <w:rsid w:val="006B1B44"/>
    <w:rsid w:val="006B1E19"/>
    <w:rsid w:val="006B1F1C"/>
    <w:rsid w:val="006B20C8"/>
    <w:rsid w:val="006B229B"/>
    <w:rsid w:val="006B2D7C"/>
    <w:rsid w:val="006B2F21"/>
    <w:rsid w:val="006B2F7F"/>
    <w:rsid w:val="006B3244"/>
    <w:rsid w:val="006B3301"/>
    <w:rsid w:val="006B3453"/>
    <w:rsid w:val="006B351F"/>
    <w:rsid w:val="006B3624"/>
    <w:rsid w:val="006B43CC"/>
    <w:rsid w:val="006B4776"/>
    <w:rsid w:val="006B500D"/>
    <w:rsid w:val="006B56FE"/>
    <w:rsid w:val="006B5E50"/>
    <w:rsid w:val="006B5F1E"/>
    <w:rsid w:val="006B63DB"/>
    <w:rsid w:val="006B65B7"/>
    <w:rsid w:val="006B66C9"/>
    <w:rsid w:val="006B68FB"/>
    <w:rsid w:val="006B6CD2"/>
    <w:rsid w:val="006B7068"/>
    <w:rsid w:val="006B7218"/>
    <w:rsid w:val="006B7F20"/>
    <w:rsid w:val="006C01D1"/>
    <w:rsid w:val="006C03F4"/>
    <w:rsid w:val="006C0468"/>
    <w:rsid w:val="006C06DB"/>
    <w:rsid w:val="006C0A2F"/>
    <w:rsid w:val="006C1386"/>
    <w:rsid w:val="006C15C7"/>
    <w:rsid w:val="006C161E"/>
    <w:rsid w:val="006C1D32"/>
    <w:rsid w:val="006C20D1"/>
    <w:rsid w:val="006C38D8"/>
    <w:rsid w:val="006C38E2"/>
    <w:rsid w:val="006C45F7"/>
    <w:rsid w:val="006C46B3"/>
    <w:rsid w:val="006C498B"/>
    <w:rsid w:val="006C4DC2"/>
    <w:rsid w:val="006C4EB7"/>
    <w:rsid w:val="006C5261"/>
    <w:rsid w:val="006C5655"/>
    <w:rsid w:val="006C57B2"/>
    <w:rsid w:val="006C58E3"/>
    <w:rsid w:val="006C5DD5"/>
    <w:rsid w:val="006C60D9"/>
    <w:rsid w:val="006C7205"/>
    <w:rsid w:val="006C724E"/>
    <w:rsid w:val="006C7AB9"/>
    <w:rsid w:val="006C7AED"/>
    <w:rsid w:val="006D02BA"/>
    <w:rsid w:val="006D040A"/>
    <w:rsid w:val="006D0A16"/>
    <w:rsid w:val="006D1536"/>
    <w:rsid w:val="006D18FD"/>
    <w:rsid w:val="006D1E1F"/>
    <w:rsid w:val="006D23A7"/>
    <w:rsid w:val="006D2D86"/>
    <w:rsid w:val="006D32B8"/>
    <w:rsid w:val="006D3658"/>
    <w:rsid w:val="006D376A"/>
    <w:rsid w:val="006D3780"/>
    <w:rsid w:val="006D3BBF"/>
    <w:rsid w:val="006D3E09"/>
    <w:rsid w:val="006D412E"/>
    <w:rsid w:val="006D4B3E"/>
    <w:rsid w:val="006D4BA2"/>
    <w:rsid w:val="006D52BF"/>
    <w:rsid w:val="006D6EAD"/>
    <w:rsid w:val="006D7541"/>
    <w:rsid w:val="006D792E"/>
    <w:rsid w:val="006E0069"/>
    <w:rsid w:val="006E0154"/>
    <w:rsid w:val="006E01EE"/>
    <w:rsid w:val="006E033F"/>
    <w:rsid w:val="006E0589"/>
    <w:rsid w:val="006E0594"/>
    <w:rsid w:val="006E166B"/>
    <w:rsid w:val="006E2643"/>
    <w:rsid w:val="006E2B89"/>
    <w:rsid w:val="006E3DBE"/>
    <w:rsid w:val="006E3E09"/>
    <w:rsid w:val="006E41E7"/>
    <w:rsid w:val="006E4336"/>
    <w:rsid w:val="006E498E"/>
    <w:rsid w:val="006E49A3"/>
    <w:rsid w:val="006E4A9C"/>
    <w:rsid w:val="006E4F83"/>
    <w:rsid w:val="006E5B58"/>
    <w:rsid w:val="006E6305"/>
    <w:rsid w:val="006E6352"/>
    <w:rsid w:val="006E67D4"/>
    <w:rsid w:val="006E6CED"/>
    <w:rsid w:val="006E74D0"/>
    <w:rsid w:val="006E74FF"/>
    <w:rsid w:val="006E7F52"/>
    <w:rsid w:val="006F0066"/>
    <w:rsid w:val="006F0073"/>
    <w:rsid w:val="006F01D0"/>
    <w:rsid w:val="006F066B"/>
    <w:rsid w:val="006F0E25"/>
    <w:rsid w:val="006F1110"/>
    <w:rsid w:val="006F124D"/>
    <w:rsid w:val="006F197C"/>
    <w:rsid w:val="006F2302"/>
    <w:rsid w:val="006F2EA7"/>
    <w:rsid w:val="006F3691"/>
    <w:rsid w:val="006F3694"/>
    <w:rsid w:val="006F3714"/>
    <w:rsid w:val="006F494D"/>
    <w:rsid w:val="006F53AD"/>
    <w:rsid w:val="006F56CA"/>
    <w:rsid w:val="006F57B9"/>
    <w:rsid w:val="006F5913"/>
    <w:rsid w:val="006F5AB1"/>
    <w:rsid w:val="006F5B77"/>
    <w:rsid w:val="006F5C39"/>
    <w:rsid w:val="006F5F9A"/>
    <w:rsid w:val="006F62DD"/>
    <w:rsid w:val="006F63F7"/>
    <w:rsid w:val="006F76FC"/>
    <w:rsid w:val="00701098"/>
    <w:rsid w:val="0070118C"/>
    <w:rsid w:val="0070151C"/>
    <w:rsid w:val="007016E0"/>
    <w:rsid w:val="00702A4B"/>
    <w:rsid w:val="00702E74"/>
    <w:rsid w:val="00703D6A"/>
    <w:rsid w:val="00704FA9"/>
    <w:rsid w:val="007050E1"/>
    <w:rsid w:val="0070526A"/>
    <w:rsid w:val="00705492"/>
    <w:rsid w:val="00706343"/>
    <w:rsid w:val="0070660B"/>
    <w:rsid w:val="00706774"/>
    <w:rsid w:val="00706C0C"/>
    <w:rsid w:val="00706D9A"/>
    <w:rsid w:val="00706E46"/>
    <w:rsid w:val="0070739B"/>
    <w:rsid w:val="007079A1"/>
    <w:rsid w:val="007079F7"/>
    <w:rsid w:val="00707E48"/>
    <w:rsid w:val="00710379"/>
    <w:rsid w:val="0071044A"/>
    <w:rsid w:val="00710516"/>
    <w:rsid w:val="00710551"/>
    <w:rsid w:val="007110B5"/>
    <w:rsid w:val="00711135"/>
    <w:rsid w:val="007111D0"/>
    <w:rsid w:val="007116F2"/>
    <w:rsid w:val="00711995"/>
    <w:rsid w:val="007119F5"/>
    <w:rsid w:val="00712211"/>
    <w:rsid w:val="0071229D"/>
    <w:rsid w:val="007125FC"/>
    <w:rsid w:val="007126E1"/>
    <w:rsid w:val="00712A88"/>
    <w:rsid w:val="00712D50"/>
    <w:rsid w:val="007133AB"/>
    <w:rsid w:val="00713A9F"/>
    <w:rsid w:val="00713E27"/>
    <w:rsid w:val="00713EF0"/>
    <w:rsid w:val="007145C8"/>
    <w:rsid w:val="0071476A"/>
    <w:rsid w:val="0071499F"/>
    <w:rsid w:val="00714BF3"/>
    <w:rsid w:val="007153AC"/>
    <w:rsid w:val="00715954"/>
    <w:rsid w:val="00715CB6"/>
    <w:rsid w:val="00716106"/>
    <w:rsid w:val="007162FD"/>
    <w:rsid w:val="007165D1"/>
    <w:rsid w:val="00716839"/>
    <w:rsid w:val="007168DB"/>
    <w:rsid w:val="00716D72"/>
    <w:rsid w:val="00716D73"/>
    <w:rsid w:val="0071708A"/>
    <w:rsid w:val="007170AD"/>
    <w:rsid w:val="00717EB4"/>
    <w:rsid w:val="007200C5"/>
    <w:rsid w:val="007209B3"/>
    <w:rsid w:val="00720BB3"/>
    <w:rsid w:val="00720FF1"/>
    <w:rsid w:val="00721081"/>
    <w:rsid w:val="007212B6"/>
    <w:rsid w:val="00721AB8"/>
    <w:rsid w:val="00721F2D"/>
    <w:rsid w:val="00721FA2"/>
    <w:rsid w:val="007222FC"/>
    <w:rsid w:val="00722739"/>
    <w:rsid w:val="007234BC"/>
    <w:rsid w:val="00723DCD"/>
    <w:rsid w:val="00723E20"/>
    <w:rsid w:val="00723F7E"/>
    <w:rsid w:val="0072487B"/>
    <w:rsid w:val="00724C1A"/>
    <w:rsid w:val="00724FA0"/>
    <w:rsid w:val="00725174"/>
    <w:rsid w:val="007252D8"/>
    <w:rsid w:val="0072572F"/>
    <w:rsid w:val="00725768"/>
    <w:rsid w:val="00725BD7"/>
    <w:rsid w:val="007260BD"/>
    <w:rsid w:val="007261D7"/>
    <w:rsid w:val="00726293"/>
    <w:rsid w:val="0072634E"/>
    <w:rsid w:val="0072651F"/>
    <w:rsid w:val="007267F6"/>
    <w:rsid w:val="00727420"/>
    <w:rsid w:val="0072783A"/>
    <w:rsid w:val="00727EAF"/>
    <w:rsid w:val="00727FD1"/>
    <w:rsid w:val="00730690"/>
    <w:rsid w:val="00730C30"/>
    <w:rsid w:val="00731836"/>
    <w:rsid w:val="00731AB0"/>
    <w:rsid w:val="00732390"/>
    <w:rsid w:val="00732BCE"/>
    <w:rsid w:val="00732DA8"/>
    <w:rsid w:val="007333B0"/>
    <w:rsid w:val="00733468"/>
    <w:rsid w:val="00733686"/>
    <w:rsid w:val="00733E21"/>
    <w:rsid w:val="00734188"/>
    <w:rsid w:val="007343F7"/>
    <w:rsid w:val="00734492"/>
    <w:rsid w:val="0073490B"/>
    <w:rsid w:val="00734DF7"/>
    <w:rsid w:val="00735167"/>
    <w:rsid w:val="007351C3"/>
    <w:rsid w:val="00735377"/>
    <w:rsid w:val="00735A0C"/>
    <w:rsid w:val="00735B4A"/>
    <w:rsid w:val="0073640B"/>
    <w:rsid w:val="00736899"/>
    <w:rsid w:val="00737CBF"/>
    <w:rsid w:val="007400D7"/>
    <w:rsid w:val="007411F6"/>
    <w:rsid w:val="0074120B"/>
    <w:rsid w:val="007413F1"/>
    <w:rsid w:val="0074160A"/>
    <w:rsid w:val="0074193C"/>
    <w:rsid w:val="00741D57"/>
    <w:rsid w:val="00742142"/>
    <w:rsid w:val="007421F1"/>
    <w:rsid w:val="007426F7"/>
    <w:rsid w:val="00743782"/>
    <w:rsid w:val="0074381A"/>
    <w:rsid w:val="00744C05"/>
    <w:rsid w:val="00744FB8"/>
    <w:rsid w:val="007460FD"/>
    <w:rsid w:val="00746518"/>
    <w:rsid w:val="0074698B"/>
    <w:rsid w:val="00746F9B"/>
    <w:rsid w:val="00747486"/>
    <w:rsid w:val="0074756B"/>
    <w:rsid w:val="0074771E"/>
    <w:rsid w:val="007478D7"/>
    <w:rsid w:val="00747CEF"/>
    <w:rsid w:val="00747DEF"/>
    <w:rsid w:val="00750005"/>
    <w:rsid w:val="00750447"/>
    <w:rsid w:val="00750771"/>
    <w:rsid w:val="0075098E"/>
    <w:rsid w:val="00750E69"/>
    <w:rsid w:val="0075108B"/>
    <w:rsid w:val="007510EC"/>
    <w:rsid w:val="00751C83"/>
    <w:rsid w:val="00751DAC"/>
    <w:rsid w:val="00751ED0"/>
    <w:rsid w:val="00751FB9"/>
    <w:rsid w:val="007520C5"/>
    <w:rsid w:val="007523A5"/>
    <w:rsid w:val="007527BC"/>
    <w:rsid w:val="00753132"/>
    <w:rsid w:val="0075329D"/>
    <w:rsid w:val="007532F2"/>
    <w:rsid w:val="00753D52"/>
    <w:rsid w:val="00754098"/>
    <w:rsid w:val="007547BD"/>
    <w:rsid w:val="007548B9"/>
    <w:rsid w:val="00754E73"/>
    <w:rsid w:val="0075534C"/>
    <w:rsid w:val="00755656"/>
    <w:rsid w:val="0075572E"/>
    <w:rsid w:val="00755A53"/>
    <w:rsid w:val="0075664A"/>
    <w:rsid w:val="00756848"/>
    <w:rsid w:val="00756D5B"/>
    <w:rsid w:val="00756E18"/>
    <w:rsid w:val="00756FBE"/>
    <w:rsid w:val="00757C41"/>
    <w:rsid w:val="00757EE0"/>
    <w:rsid w:val="00760153"/>
    <w:rsid w:val="007603F8"/>
    <w:rsid w:val="00760B24"/>
    <w:rsid w:val="00760D69"/>
    <w:rsid w:val="0076102C"/>
    <w:rsid w:val="007610FB"/>
    <w:rsid w:val="007614D6"/>
    <w:rsid w:val="00761BA2"/>
    <w:rsid w:val="00761CAB"/>
    <w:rsid w:val="00761E1C"/>
    <w:rsid w:val="00761EF1"/>
    <w:rsid w:val="0076226A"/>
    <w:rsid w:val="007623D2"/>
    <w:rsid w:val="007625C8"/>
    <w:rsid w:val="00762617"/>
    <w:rsid w:val="00762EB8"/>
    <w:rsid w:val="007631A9"/>
    <w:rsid w:val="00763361"/>
    <w:rsid w:val="007636B1"/>
    <w:rsid w:val="00763A21"/>
    <w:rsid w:val="00763AAD"/>
    <w:rsid w:val="00763C6A"/>
    <w:rsid w:val="00763F59"/>
    <w:rsid w:val="007644B4"/>
    <w:rsid w:val="007650A5"/>
    <w:rsid w:val="0076566D"/>
    <w:rsid w:val="00765892"/>
    <w:rsid w:val="00765ACC"/>
    <w:rsid w:val="00765BB1"/>
    <w:rsid w:val="007663DA"/>
    <w:rsid w:val="007665B5"/>
    <w:rsid w:val="00766680"/>
    <w:rsid w:val="0076670F"/>
    <w:rsid w:val="0076726A"/>
    <w:rsid w:val="00767740"/>
    <w:rsid w:val="00770144"/>
    <w:rsid w:val="00770449"/>
    <w:rsid w:val="00770BDF"/>
    <w:rsid w:val="00770ECA"/>
    <w:rsid w:val="00770F43"/>
    <w:rsid w:val="007719D7"/>
    <w:rsid w:val="00771A47"/>
    <w:rsid w:val="00771A8A"/>
    <w:rsid w:val="00772152"/>
    <w:rsid w:val="00772170"/>
    <w:rsid w:val="0077250B"/>
    <w:rsid w:val="00773447"/>
    <w:rsid w:val="00773915"/>
    <w:rsid w:val="00773994"/>
    <w:rsid w:val="00773CF9"/>
    <w:rsid w:val="00773DA3"/>
    <w:rsid w:val="0077410A"/>
    <w:rsid w:val="00775298"/>
    <w:rsid w:val="00775813"/>
    <w:rsid w:val="00775CE7"/>
    <w:rsid w:val="007769E6"/>
    <w:rsid w:val="00776A1E"/>
    <w:rsid w:val="007775BE"/>
    <w:rsid w:val="00777726"/>
    <w:rsid w:val="00777B79"/>
    <w:rsid w:val="00777C27"/>
    <w:rsid w:val="00777CAD"/>
    <w:rsid w:val="00777D20"/>
    <w:rsid w:val="00780943"/>
    <w:rsid w:val="00780BD0"/>
    <w:rsid w:val="00780E2A"/>
    <w:rsid w:val="0078125D"/>
    <w:rsid w:val="0078155B"/>
    <w:rsid w:val="00781B22"/>
    <w:rsid w:val="00781F5F"/>
    <w:rsid w:val="00782281"/>
    <w:rsid w:val="00782F73"/>
    <w:rsid w:val="00783090"/>
    <w:rsid w:val="007830E5"/>
    <w:rsid w:val="00783D1E"/>
    <w:rsid w:val="00783DF7"/>
    <w:rsid w:val="007841A8"/>
    <w:rsid w:val="007850DC"/>
    <w:rsid w:val="0078512A"/>
    <w:rsid w:val="007853DA"/>
    <w:rsid w:val="0078547B"/>
    <w:rsid w:val="00785509"/>
    <w:rsid w:val="00785519"/>
    <w:rsid w:val="007859BD"/>
    <w:rsid w:val="00785EE6"/>
    <w:rsid w:val="007860F8"/>
    <w:rsid w:val="00786152"/>
    <w:rsid w:val="0078690D"/>
    <w:rsid w:val="00786A7D"/>
    <w:rsid w:val="00786E3F"/>
    <w:rsid w:val="0078707B"/>
    <w:rsid w:val="00787209"/>
    <w:rsid w:val="007874A5"/>
    <w:rsid w:val="007876BD"/>
    <w:rsid w:val="00787814"/>
    <w:rsid w:val="007902AC"/>
    <w:rsid w:val="00790792"/>
    <w:rsid w:val="00790A51"/>
    <w:rsid w:val="0079115D"/>
    <w:rsid w:val="0079161B"/>
    <w:rsid w:val="00791624"/>
    <w:rsid w:val="007917A2"/>
    <w:rsid w:val="00792333"/>
    <w:rsid w:val="00792475"/>
    <w:rsid w:val="00792CCD"/>
    <w:rsid w:val="0079340C"/>
    <w:rsid w:val="00793437"/>
    <w:rsid w:val="00793715"/>
    <w:rsid w:val="00793A59"/>
    <w:rsid w:val="00793F60"/>
    <w:rsid w:val="00794A1F"/>
    <w:rsid w:val="007950BE"/>
    <w:rsid w:val="007956C5"/>
    <w:rsid w:val="00795D9A"/>
    <w:rsid w:val="00795FC0"/>
    <w:rsid w:val="007961FC"/>
    <w:rsid w:val="007962AC"/>
    <w:rsid w:val="0079668E"/>
    <w:rsid w:val="007969C6"/>
    <w:rsid w:val="00797CE4"/>
    <w:rsid w:val="007A0275"/>
    <w:rsid w:val="007A0402"/>
    <w:rsid w:val="007A040B"/>
    <w:rsid w:val="007A0B68"/>
    <w:rsid w:val="007A0F27"/>
    <w:rsid w:val="007A1500"/>
    <w:rsid w:val="007A15C0"/>
    <w:rsid w:val="007A1EA8"/>
    <w:rsid w:val="007A20E3"/>
    <w:rsid w:val="007A2DAB"/>
    <w:rsid w:val="007A3380"/>
    <w:rsid w:val="007A3709"/>
    <w:rsid w:val="007A38BD"/>
    <w:rsid w:val="007A3FF8"/>
    <w:rsid w:val="007A4A0F"/>
    <w:rsid w:val="007A4C59"/>
    <w:rsid w:val="007A5515"/>
    <w:rsid w:val="007A5623"/>
    <w:rsid w:val="007A5CC7"/>
    <w:rsid w:val="007A5E18"/>
    <w:rsid w:val="007A5E6F"/>
    <w:rsid w:val="007A5E70"/>
    <w:rsid w:val="007A5EA2"/>
    <w:rsid w:val="007A5FCC"/>
    <w:rsid w:val="007A6292"/>
    <w:rsid w:val="007A6ABB"/>
    <w:rsid w:val="007A6D67"/>
    <w:rsid w:val="007A7327"/>
    <w:rsid w:val="007B00B5"/>
    <w:rsid w:val="007B0130"/>
    <w:rsid w:val="007B01A5"/>
    <w:rsid w:val="007B0967"/>
    <w:rsid w:val="007B1117"/>
    <w:rsid w:val="007B1456"/>
    <w:rsid w:val="007B14FB"/>
    <w:rsid w:val="007B1801"/>
    <w:rsid w:val="007B1F18"/>
    <w:rsid w:val="007B2322"/>
    <w:rsid w:val="007B28E0"/>
    <w:rsid w:val="007B2E15"/>
    <w:rsid w:val="007B2FF4"/>
    <w:rsid w:val="007B33F9"/>
    <w:rsid w:val="007B40A7"/>
    <w:rsid w:val="007B4A51"/>
    <w:rsid w:val="007B5BB7"/>
    <w:rsid w:val="007B6198"/>
    <w:rsid w:val="007B633C"/>
    <w:rsid w:val="007B6E2F"/>
    <w:rsid w:val="007B70EC"/>
    <w:rsid w:val="007B7202"/>
    <w:rsid w:val="007B79CD"/>
    <w:rsid w:val="007C014C"/>
    <w:rsid w:val="007C065B"/>
    <w:rsid w:val="007C0AD7"/>
    <w:rsid w:val="007C0C28"/>
    <w:rsid w:val="007C11A4"/>
    <w:rsid w:val="007C15AD"/>
    <w:rsid w:val="007C17BC"/>
    <w:rsid w:val="007C19B0"/>
    <w:rsid w:val="007C1D33"/>
    <w:rsid w:val="007C205E"/>
    <w:rsid w:val="007C4201"/>
    <w:rsid w:val="007C4AEF"/>
    <w:rsid w:val="007C4B57"/>
    <w:rsid w:val="007C5A00"/>
    <w:rsid w:val="007C5B2B"/>
    <w:rsid w:val="007C5B32"/>
    <w:rsid w:val="007C6054"/>
    <w:rsid w:val="007C6418"/>
    <w:rsid w:val="007C6525"/>
    <w:rsid w:val="007C6C28"/>
    <w:rsid w:val="007C77AD"/>
    <w:rsid w:val="007D0453"/>
    <w:rsid w:val="007D1290"/>
    <w:rsid w:val="007D1CB9"/>
    <w:rsid w:val="007D1E8C"/>
    <w:rsid w:val="007D2189"/>
    <w:rsid w:val="007D2655"/>
    <w:rsid w:val="007D3008"/>
    <w:rsid w:val="007D30A4"/>
    <w:rsid w:val="007D39B7"/>
    <w:rsid w:val="007D3CAE"/>
    <w:rsid w:val="007D4053"/>
    <w:rsid w:val="007D432C"/>
    <w:rsid w:val="007D4549"/>
    <w:rsid w:val="007D54EB"/>
    <w:rsid w:val="007D5F2C"/>
    <w:rsid w:val="007D60AC"/>
    <w:rsid w:val="007D63D1"/>
    <w:rsid w:val="007D680A"/>
    <w:rsid w:val="007D6AAC"/>
    <w:rsid w:val="007D6D4E"/>
    <w:rsid w:val="007D6D88"/>
    <w:rsid w:val="007D7273"/>
    <w:rsid w:val="007D74FE"/>
    <w:rsid w:val="007D7C45"/>
    <w:rsid w:val="007E02D3"/>
    <w:rsid w:val="007E03C7"/>
    <w:rsid w:val="007E0601"/>
    <w:rsid w:val="007E0631"/>
    <w:rsid w:val="007E0CB7"/>
    <w:rsid w:val="007E0E0C"/>
    <w:rsid w:val="007E1057"/>
    <w:rsid w:val="007E1574"/>
    <w:rsid w:val="007E1A6B"/>
    <w:rsid w:val="007E1BCB"/>
    <w:rsid w:val="007E26F8"/>
    <w:rsid w:val="007E2E48"/>
    <w:rsid w:val="007E3199"/>
    <w:rsid w:val="007E37C3"/>
    <w:rsid w:val="007E3A07"/>
    <w:rsid w:val="007E5516"/>
    <w:rsid w:val="007E5746"/>
    <w:rsid w:val="007E5D5A"/>
    <w:rsid w:val="007E5F73"/>
    <w:rsid w:val="007E6272"/>
    <w:rsid w:val="007E6468"/>
    <w:rsid w:val="007E6C84"/>
    <w:rsid w:val="007E6CF1"/>
    <w:rsid w:val="007E6E13"/>
    <w:rsid w:val="007E7345"/>
    <w:rsid w:val="007E7666"/>
    <w:rsid w:val="007E7896"/>
    <w:rsid w:val="007E7949"/>
    <w:rsid w:val="007E7B2C"/>
    <w:rsid w:val="007F0A4B"/>
    <w:rsid w:val="007F1393"/>
    <w:rsid w:val="007F1780"/>
    <w:rsid w:val="007F17C3"/>
    <w:rsid w:val="007F1870"/>
    <w:rsid w:val="007F1EE6"/>
    <w:rsid w:val="007F2395"/>
    <w:rsid w:val="007F24BE"/>
    <w:rsid w:val="007F28DB"/>
    <w:rsid w:val="007F2D59"/>
    <w:rsid w:val="007F2E1B"/>
    <w:rsid w:val="007F3825"/>
    <w:rsid w:val="007F39B3"/>
    <w:rsid w:val="007F3C1D"/>
    <w:rsid w:val="007F3DFE"/>
    <w:rsid w:val="007F4092"/>
    <w:rsid w:val="007F4256"/>
    <w:rsid w:val="007F44C8"/>
    <w:rsid w:val="007F4669"/>
    <w:rsid w:val="007F493E"/>
    <w:rsid w:val="007F4C81"/>
    <w:rsid w:val="007F5996"/>
    <w:rsid w:val="007F5AAA"/>
    <w:rsid w:val="007F60BC"/>
    <w:rsid w:val="007F67EC"/>
    <w:rsid w:val="007F7B67"/>
    <w:rsid w:val="007F7C7D"/>
    <w:rsid w:val="007F7FF7"/>
    <w:rsid w:val="008000B1"/>
    <w:rsid w:val="0080013D"/>
    <w:rsid w:val="00800250"/>
    <w:rsid w:val="00800674"/>
    <w:rsid w:val="00800B33"/>
    <w:rsid w:val="00800BE6"/>
    <w:rsid w:val="00800F9C"/>
    <w:rsid w:val="00801095"/>
    <w:rsid w:val="00801628"/>
    <w:rsid w:val="00801DD3"/>
    <w:rsid w:val="008021D8"/>
    <w:rsid w:val="008023DF"/>
    <w:rsid w:val="00802619"/>
    <w:rsid w:val="00802D2F"/>
    <w:rsid w:val="00802F7C"/>
    <w:rsid w:val="0080406F"/>
    <w:rsid w:val="0080449A"/>
    <w:rsid w:val="00804906"/>
    <w:rsid w:val="00804965"/>
    <w:rsid w:val="00804E03"/>
    <w:rsid w:val="00806B2C"/>
    <w:rsid w:val="00806BBA"/>
    <w:rsid w:val="00806D51"/>
    <w:rsid w:val="00807725"/>
    <w:rsid w:val="008077A4"/>
    <w:rsid w:val="00807FB5"/>
    <w:rsid w:val="00810A3B"/>
    <w:rsid w:val="00810D23"/>
    <w:rsid w:val="00810E14"/>
    <w:rsid w:val="008111C6"/>
    <w:rsid w:val="008117E7"/>
    <w:rsid w:val="00811CC9"/>
    <w:rsid w:val="0081208B"/>
    <w:rsid w:val="008121C2"/>
    <w:rsid w:val="008129FB"/>
    <w:rsid w:val="00812AF8"/>
    <w:rsid w:val="00813886"/>
    <w:rsid w:val="00813F60"/>
    <w:rsid w:val="008141E0"/>
    <w:rsid w:val="00814299"/>
    <w:rsid w:val="0081434D"/>
    <w:rsid w:val="00814D47"/>
    <w:rsid w:val="008150D1"/>
    <w:rsid w:val="00815255"/>
    <w:rsid w:val="00815437"/>
    <w:rsid w:val="008159DF"/>
    <w:rsid w:val="00815C0B"/>
    <w:rsid w:val="00815ECA"/>
    <w:rsid w:val="00815EF5"/>
    <w:rsid w:val="0081628D"/>
    <w:rsid w:val="0081723D"/>
    <w:rsid w:val="008172F1"/>
    <w:rsid w:val="00817649"/>
    <w:rsid w:val="008177CF"/>
    <w:rsid w:val="00817E7E"/>
    <w:rsid w:val="00817EFC"/>
    <w:rsid w:val="00817FE4"/>
    <w:rsid w:val="00820B0B"/>
    <w:rsid w:val="00820D2E"/>
    <w:rsid w:val="008210D4"/>
    <w:rsid w:val="008212E9"/>
    <w:rsid w:val="00821437"/>
    <w:rsid w:val="00821C83"/>
    <w:rsid w:val="008220F8"/>
    <w:rsid w:val="00822860"/>
    <w:rsid w:val="00822E7C"/>
    <w:rsid w:val="0082345A"/>
    <w:rsid w:val="00824161"/>
    <w:rsid w:val="00824798"/>
    <w:rsid w:val="00824A47"/>
    <w:rsid w:val="00824B55"/>
    <w:rsid w:val="0082506F"/>
    <w:rsid w:val="00825DF8"/>
    <w:rsid w:val="00825EF8"/>
    <w:rsid w:val="0082608A"/>
    <w:rsid w:val="008261BB"/>
    <w:rsid w:val="0082695A"/>
    <w:rsid w:val="008272AA"/>
    <w:rsid w:val="0082759B"/>
    <w:rsid w:val="0082765F"/>
    <w:rsid w:val="00827AE1"/>
    <w:rsid w:val="00827C86"/>
    <w:rsid w:val="00827E3C"/>
    <w:rsid w:val="008304AC"/>
    <w:rsid w:val="008305C3"/>
    <w:rsid w:val="0083069E"/>
    <w:rsid w:val="008307D8"/>
    <w:rsid w:val="008308DD"/>
    <w:rsid w:val="00830B80"/>
    <w:rsid w:val="00831028"/>
    <w:rsid w:val="008310B7"/>
    <w:rsid w:val="00831156"/>
    <w:rsid w:val="0083133E"/>
    <w:rsid w:val="0083146D"/>
    <w:rsid w:val="00831526"/>
    <w:rsid w:val="008316B5"/>
    <w:rsid w:val="008319EF"/>
    <w:rsid w:val="00831CF6"/>
    <w:rsid w:val="008329A2"/>
    <w:rsid w:val="00833ABB"/>
    <w:rsid w:val="00833AF5"/>
    <w:rsid w:val="008350FA"/>
    <w:rsid w:val="00835157"/>
    <w:rsid w:val="0083521D"/>
    <w:rsid w:val="00835776"/>
    <w:rsid w:val="0083588F"/>
    <w:rsid w:val="00835920"/>
    <w:rsid w:val="00835962"/>
    <w:rsid w:val="0083612C"/>
    <w:rsid w:val="008361F4"/>
    <w:rsid w:val="008371D9"/>
    <w:rsid w:val="008372FA"/>
    <w:rsid w:val="00837A62"/>
    <w:rsid w:val="00837F70"/>
    <w:rsid w:val="0084016B"/>
    <w:rsid w:val="008407B1"/>
    <w:rsid w:val="00840A99"/>
    <w:rsid w:val="00840BF1"/>
    <w:rsid w:val="00840ECD"/>
    <w:rsid w:val="00841229"/>
    <w:rsid w:val="00841CBF"/>
    <w:rsid w:val="00841EAF"/>
    <w:rsid w:val="008421B5"/>
    <w:rsid w:val="00842B73"/>
    <w:rsid w:val="0084391B"/>
    <w:rsid w:val="008439D6"/>
    <w:rsid w:val="00843AD1"/>
    <w:rsid w:val="00843C16"/>
    <w:rsid w:val="0084439D"/>
    <w:rsid w:val="00844753"/>
    <w:rsid w:val="00844C66"/>
    <w:rsid w:val="00844FAA"/>
    <w:rsid w:val="00845122"/>
    <w:rsid w:val="00845E17"/>
    <w:rsid w:val="0084619E"/>
    <w:rsid w:val="008465A4"/>
    <w:rsid w:val="008467C7"/>
    <w:rsid w:val="0084681B"/>
    <w:rsid w:val="00846AB1"/>
    <w:rsid w:val="00846D20"/>
    <w:rsid w:val="00846D25"/>
    <w:rsid w:val="008474A3"/>
    <w:rsid w:val="008476C0"/>
    <w:rsid w:val="00847845"/>
    <w:rsid w:val="00851730"/>
    <w:rsid w:val="00851A50"/>
    <w:rsid w:val="00851B26"/>
    <w:rsid w:val="008520E0"/>
    <w:rsid w:val="0085210F"/>
    <w:rsid w:val="008522FD"/>
    <w:rsid w:val="00852884"/>
    <w:rsid w:val="00852F62"/>
    <w:rsid w:val="00853E20"/>
    <w:rsid w:val="00854451"/>
    <w:rsid w:val="00854C14"/>
    <w:rsid w:val="0085594B"/>
    <w:rsid w:val="00855A38"/>
    <w:rsid w:val="00856289"/>
    <w:rsid w:val="00856944"/>
    <w:rsid w:val="0085751C"/>
    <w:rsid w:val="00857571"/>
    <w:rsid w:val="00857C29"/>
    <w:rsid w:val="00857DB9"/>
    <w:rsid w:val="00857DC7"/>
    <w:rsid w:val="00860C45"/>
    <w:rsid w:val="008610B9"/>
    <w:rsid w:val="0086119D"/>
    <w:rsid w:val="00862024"/>
    <w:rsid w:val="0086217C"/>
    <w:rsid w:val="0086233D"/>
    <w:rsid w:val="00862770"/>
    <w:rsid w:val="008627D1"/>
    <w:rsid w:val="00862D0E"/>
    <w:rsid w:val="00863549"/>
    <w:rsid w:val="00863554"/>
    <w:rsid w:val="0086360A"/>
    <w:rsid w:val="0086397A"/>
    <w:rsid w:val="00863BE9"/>
    <w:rsid w:val="00864110"/>
    <w:rsid w:val="0086432C"/>
    <w:rsid w:val="0086463D"/>
    <w:rsid w:val="00864DCC"/>
    <w:rsid w:val="00864E5F"/>
    <w:rsid w:val="0086569E"/>
    <w:rsid w:val="00866282"/>
    <w:rsid w:val="00866415"/>
    <w:rsid w:val="00866607"/>
    <w:rsid w:val="00866B6B"/>
    <w:rsid w:val="00867053"/>
    <w:rsid w:val="008674D2"/>
    <w:rsid w:val="0086794A"/>
    <w:rsid w:val="00867A85"/>
    <w:rsid w:val="00867E75"/>
    <w:rsid w:val="0087032C"/>
    <w:rsid w:val="0087036C"/>
    <w:rsid w:val="00870450"/>
    <w:rsid w:val="00870CDA"/>
    <w:rsid w:val="00870F21"/>
    <w:rsid w:val="008714A7"/>
    <w:rsid w:val="008717FC"/>
    <w:rsid w:val="00871DFE"/>
    <w:rsid w:val="00872263"/>
    <w:rsid w:val="00872738"/>
    <w:rsid w:val="008729EF"/>
    <w:rsid w:val="008739CB"/>
    <w:rsid w:val="00874941"/>
    <w:rsid w:val="008756AB"/>
    <w:rsid w:val="00875B06"/>
    <w:rsid w:val="00875C15"/>
    <w:rsid w:val="00875D92"/>
    <w:rsid w:val="008761A4"/>
    <w:rsid w:val="00876276"/>
    <w:rsid w:val="008763CF"/>
    <w:rsid w:val="00876F1B"/>
    <w:rsid w:val="008771D2"/>
    <w:rsid w:val="008772E4"/>
    <w:rsid w:val="008776C4"/>
    <w:rsid w:val="00877797"/>
    <w:rsid w:val="0087781C"/>
    <w:rsid w:val="00877A0E"/>
    <w:rsid w:val="00877C14"/>
    <w:rsid w:val="00877F4E"/>
    <w:rsid w:val="00881315"/>
    <w:rsid w:val="008815DD"/>
    <w:rsid w:val="00881882"/>
    <w:rsid w:val="008819CE"/>
    <w:rsid w:val="00881CF2"/>
    <w:rsid w:val="0088237F"/>
    <w:rsid w:val="00882583"/>
    <w:rsid w:val="00882608"/>
    <w:rsid w:val="008828AE"/>
    <w:rsid w:val="00882B06"/>
    <w:rsid w:val="00882C29"/>
    <w:rsid w:val="00882CCA"/>
    <w:rsid w:val="00882F86"/>
    <w:rsid w:val="008831F3"/>
    <w:rsid w:val="00883326"/>
    <w:rsid w:val="00883579"/>
    <w:rsid w:val="008839C2"/>
    <w:rsid w:val="00883D65"/>
    <w:rsid w:val="0088406E"/>
    <w:rsid w:val="008841FB"/>
    <w:rsid w:val="00884535"/>
    <w:rsid w:val="008849AF"/>
    <w:rsid w:val="00884B59"/>
    <w:rsid w:val="00884E88"/>
    <w:rsid w:val="00884EE4"/>
    <w:rsid w:val="00885102"/>
    <w:rsid w:val="0088514E"/>
    <w:rsid w:val="008852F0"/>
    <w:rsid w:val="008853C3"/>
    <w:rsid w:val="00885D2C"/>
    <w:rsid w:val="0088631E"/>
    <w:rsid w:val="008863D4"/>
    <w:rsid w:val="008866DE"/>
    <w:rsid w:val="0088688A"/>
    <w:rsid w:val="00886F44"/>
    <w:rsid w:val="00887255"/>
    <w:rsid w:val="00887725"/>
    <w:rsid w:val="00887BC2"/>
    <w:rsid w:val="00887C26"/>
    <w:rsid w:val="00890843"/>
    <w:rsid w:val="0089155E"/>
    <w:rsid w:val="008917E6"/>
    <w:rsid w:val="00891BD4"/>
    <w:rsid w:val="00891CDC"/>
    <w:rsid w:val="008925EB"/>
    <w:rsid w:val="008929AE"/>
    <w:rsid w:val="00893102"/>
    <w:rsid w:val="008935B6"/>
    <w:rsid w:val="008938A0"/>
    <w:rsid w:val="00893903"/>
    <w:rsid w:val="008939A4"/>
    <w:rsid w:val="00893CE9"/>
    <w:rsid w:val="008941D5"/>
    <w:rsid w:val="0089428F"/>
    <w:rsid w:val="00895299"/>
    <w:rsid w:val="0089587B"/>
    <w:rsid w:val="00896149"/>
    <w:rsid w:val="00896921"/>
    <w:rsid w:val="00897684"/>
    <w:rsid w:val="00897B16"/>
    <w:rsid w:val="00897D46"/>
    <w:rsid w:val="00897E5C"/>
    <w:rsid w:val="00897EBA"/>
    <w:rsid w:val="008A0CDB"/>
    <w:rsid w:val="008A1892"/>
    <w:rsid w:val="008A1B01"/>
    <w:rsid w:val="008A1E13"/>
    <w:rsid w:val="008A205B"/>
    <w:rsid w:val="008A2141"/>
    <w:rsid w:val="008A2412"/>
    <w:rsid w:val="008A2BD3"/>
    <w:rsid w:val="008A336C"/>
    <w:rsid w:val="008A37A9"/>
    <w:rsid w:val="008A39D0"/>
    <w:rsid w:val="008A4073"/>
    <w:rsid w:val="008A40D5"/>
    <w:rsid w:val="008A41BF"/>
    <w:rsid w:val="008A4258"/>
    <w:rsid w:val="008A42CE"/>
    <w:rsid w:val="008A440A"/>
    <w:rsid w:val="008A44A9"/>
    <w:rsid w:val="008A482F"/>
    <w:rsid w:val="008A4B6E"/>
    <w:rsid w:val="008A52A1"/>
    <w:rsid w:val="008A586E"/>
    <w:rsid w:val="008A58C6"/>
    <w:rsid w:val="008A5CA6"/>
    <w:rsid w:val="008A7103"/>
    <w:rsid w:val="008A7330"/>
    <w:rsid w:val="008A7910"/>
    <w:rsid w:val="008A7C0E"/>
    <w:rsid w:val="008A7E3D"/>
    <w:rsid w:val="008B0163"/>
    <w:rsid w:val="008B06DF"/>
    <w:rsid w:val="008B0A17"/>
    <w:rsid w:val="008B1134"/>
    <w:rsid w:val="008B14DA"/>
    <w:rsid w:val="008B1733"/>
    <w:rsid w:val="008B1FFF"/>
    <w:rsid w:val="008B2095"/>
    <w:rsid w:val="008B210A"/>
    <w:rsid w:val="008B210F"/>
    <w:rsid w:val="008B2248"/>
    <w:rsid w:val="008B2569"/>
    <w:rsid w:val="008B25F2"/>
    <w:rsid w:val="008B26BC"/>
    <w:rsid w:val="008B2844"/>
    <w:rsid w:val="008B3580"/>
    <w:rsid w:val="008B465A"/>
    <w:rsid w:val="008B486C"/>
    <w:rsid w:val="008B4DC1"/>
    <w:rsid w:val="008B506C"/>
    <w:rsid w:val="008B5203"/>
    <w:rsid w:val="008B5862"/>
    <w:rsid w:val="008B5C41"/>
    <w:rsid w:val="008B5DE1"/>
    <w:rsid w:val="008B613C"/>
    <w:rsid w:val="008B6498"/>
    <w:rsid w:val="008B6752"/>
    <w:rsid w:val="008B6762"/>
    <w:rsid w:val="008B6AC3"/>
    <w:rsid w:val="008B6F7E"/>
    <w:rsid w:val="008B758B"/>
    <w:rsid w:val="008B78BF"/>
    <w:rsid w:val="008B7A2B"/>
    <w:rsid w:val="008C00DD"/>
    <w:rsid w:val="008C0798"/>
    <w:rsid w:val="008C07AC"/>
    <w:rsid w:val="008C080B"/>
    <w:rsid w:val="008C08A9"/>
    <w:rsid w:val="008C0BAF"/>
    <w:rsid w:val="008C189B"/>
    <w:rsid w:val="008C19C5"/>
    <w:rsid w:val="008C1C56"/>
    <w:rsid w:val="008C1D51"/>
    <w:rsid w:val="008C20EE"/>
    <w:rsid w:val="008C28A8"/>
    <w:rsid w:val="008C3399"/>
    <w:rsid w:val="008C35BE"/>
    <w:rsid w:val="008C45F1"/>
    <w:rsid w:val="008C47E3"/>
    <w:rsid w:val="008C4F4A"/>
    <w:rsid w:val="008C518E"/>
    <w:rsid w:val="008C5D69"/>
    <w:rsid w:val="008C5F6F"/>
    <w:rsid w:val="008C6083"/>
    <w:rsid w:val="008C663A"/>
    <w:rsid w:val="008C6664"/>
    <w:rsid w:val="008C6D58"/>
    <w:rsid w:val="008C78B5"/>
    <w:rsid w:val="008C7B38"/>
    <w:rsid w:val="008C7C32"/>
    <w:rsid w:val="008D03CB"/>
    <w:rsid w:val="008D091E"/>
    <w:rsid w:val="008D0B83"/>
    <w:rsid w:val="008D0CAD"/>
    <w:rsid w:val="008D10B0"/>
    <w:rsid w:val="008D10D3"/>
    <w:rsid w:val="008D1308"/>
    <w:rsid w:val="008D1941"/>
    <w:rsid w:val="008D2121"/>
    <w:rsid w:val="008D225C"/>
    <w:rsid w:val="008D22BD"/>
    <w:rsid w:val="008D24A3"/>
    <w:rsid w:val="008D2A49"/>
    <w:rsid w:val="008D2F3F"/>
    <w:rsid w:val="008D3ACC"/>
    <w:rsid w:val="008D3B13"/>
    <w:rsid w:val="008D3CCF"/>
    <w:rsid w:val="008D40FC"/>
    <w:rsid w:val="008D4209"/>
    <w:rsid w:val="008D46B2"/>
    <w:rsid w:val="008D4B9B"/>
    <w:rsid w:val="008D4C0C"/>
    <w:rsid w:val="008D4EC4"/>
    <w:rsid w:val="008D517F"/>
    <w:rsid w:val="008D5618"/>
    <w:rsid w:val="008D6135"/>
    <w:rsid w:val="008D62B4"/>
    <w:rsid w:val="008D64E6"/>
    <w:rsid w:val="008D6F03"/>
    <w:rsid w:val="008D733C"/>
    <w:rsid w:val="008D738E"/>
    <w:rsid w:val="008D7433"/>
    <w:rsid w:val="008D76AB"/>
    <w:rsid w:val="008D7731"/>
    <w:rsid w:val="008D7CB5"/>
    <w:rsid w:val="008E002A"/>
    <w:rsid w:val="008E024E"/>
    <w:rsid w:val="008E062E"/>
    <w:rsid w:val="008E0920"/>
    <w:rsid w:val="008E096D"/>
    <w:rsid w:val="008E0F5B"/>
    <w:rsid w:val="008E1FFD"/>
    <w:rsid w:val="008E2285"/>
    <w:rsid w:val="008E23B2"/>
    <w:rsid w:val="008E2662"/>
    <w:rsid w:val="008E30C1"/>
    <w:rsid w:val="008E3165"/>
    <w:rsid w:val="008E3753"/>
    <w:rsid w:val="008E38C7"/>
    <w:rsid w:val="008E3C3E"/>
    <w:rsid w:val="008E4720"/>
    <w:rsid w:val="008E4732"/>
    <w:rsid w:val="008E48A0"/>
    <w:rsid w:val="008E4ABC"/>
    <w:rsid w:val="008E4CE6"/>
    <w:rsid w:val="008E4E63"/>
    <w:rsid w:val="008E4F04"/>
    <w:rsid w:val="008E506C"/>
    <w:rsid w:val="008E573E"/>
    <w:rsid w:val="008E60B1"/>
    <w:rsid w:val="008E6104"/>
    <w:rsid w:val="008E69C5"/>
    <w:rsid w:val="008E7C0F"/>
    <w:rsid w:val="008F0251"/>
    <w:rsid w:val="008F084A"/>
    <w:rsid w:val="008F08E4"/>
    <w:rsid w:val="008F096B"/>
    <w:rsid w:val="008F0E67"/>
    <w:rsid w:val="008F1070"/>
    <w:rsid w:val="008F108F"/>
    <w:rsid w:val="008F12AB"/>
    <w:rsid w:val="008F1351"/>
    <w:rsid w:val="008F16AF"/>
    <w:rsid w:val="008F221A"/>
    <w:rsid w:val="008F23DA"/>
    <w:rsid w:val="008F29B4"/>
    <w:rsid w:val="008F2D6B"/>
    <w:rsid w:val="008F32EB"/>
    <w:rsid w:val="008F37A1"/>
    <w:rsid w:val="008F3ECA"/>
    <w:rsid w:val="008F442F"/>
    <w:rsid w:val="008F44E8"/>
    <w:rsid w:val="008F4562"/>
    <w:rsid w:val="008F4827"/>
    <w:rsid w:val="008F4A7A"/>
    <w:rsid w:val="008F53A5"/>
    <w:rsid w:val="008F5518"/>
    <w:rsid w:val="008F5848"/>
    <w:rsid w:val="008F59B8"/>
    <w:rsid w:val="008F634B"/>
    <w:rsid w:val="008F715F"/>
    <w:rsid w:val="008F73AE"/>
    <w:rsid w:val="008F75CE"/>
    <w:rsid w:val="008F7AC0"/>
    <w:rsid w:val="009003B3"/>
    <w:rsid w:val="00900EE8"/>
    <w:rsid w:val="00901ABF"/>
    <w:rsid w:val="009022FB"/>
    <w:rsid w:val="00902395"/>
    <w:rsid w:val="00902EA5"/>
    <w:rsid w:val="00903096"/>
    <w:rsid w:val="009032B9"/>
    <w:rsid w:val="00903878"/>
    <w:rsid w:val="0090390F"/>
    <w:rsid w:val="009040F0"/>
    <w:rsid w:val="0090440E"/>
    <w:rsid w:val="00904AB7"/>
    <w:rsid w:val="00904CAF"/>
    <w:rsid w:val="00905007"/>
    <w:rsid w:val="00905702"/>
    <w:rsid w:val="009059B5"/>
    <w:rsid w:val="00905A9C"/>
    <w:rsid w:val="0090615A"/>
    <w:rsid w:val="00906166"/>
    <w:rsid w:val="009061A1"/>
    <w:rsid w:val="00906321"/>
    <w:rsid w:val="0090663C"/>
    <w:rsid w:val="00906B00"/>
    <w:rsid w:val="00906CA7"/>
    <w:rsid w:val="0090738C"/>
    <w:rsid w:val="00907563"/>
    <w:rsid w:val="00907A19"/>
    <w:rsid w:val="00907BC9"/>
    <w:rsid w:val="00907BCD"/>
    <w:rsid w:val="00907DCE"/>
    <w:rsid w:val="00907FB8"/>
    <w:rsid w:val="0091003C"/>
    <w:rsid w:val="00910169"/>
    <w:rsid w:val="009106F9"/>
    <w:rsid w:val="0091081C"/>
    <w:rsid w:val="00910940"/>
    <w:rsid w:val="00910A59"/>
    <w:rsid w:val="009110D1"/>
    <w:rsid w:val="0091121A"/>
    <w:rsid w:val="009123E2"/>
    <w:rsid w:val="009127C5"/>
    <w:rsid w:val="0091294A"/>
    <w:rsid w:val="00912AC0"/>
    <w:rsid w:val="00912AD6"/>
    <w:rsid w:val="00912E0B"/>
    <w:rsid w:val="00912E1D"/>
    <w:rsid w:val="00912FE5"/>
    <w:rsid w:val="009130C9"/>
    <w:rsid w:val="00913487"/>
    <w:rsid w:val="009135AA"/>
    <w:rsid w:val="009139A5"/>
    <w:rsid w:val="00913B02"/>
    <w:rsid w:val="009141E3"/>
    <w:rsid w:val="0091424B"/>
    <w:rsid w:val="009147AA"/>
    <w:rsid w:val="009150E2"/>
    <w:rsid w:val="00915220"/>
    <w:rsid w:val="00915403"/>
    <w:rsid w:val="00915746"/>
    <w:rsid w:val="00915ECE"/>
    <w:rsid w:val="009161FB"/>
    <w:rsid w:val="009162E3"/>
    <w:rsid w:val="00916631"/>
    <w:rsid w:val="00916BCB"/>
    <w:rsid w:val="00916E10"/>
    <w:rsid w:val="009170F7"/>
    <w:rsid w:val="009177EB"/>
    <w:rsid w:val="00917C54"/>
    <w:rsid w:val="00920077"/>
    <w:rsid w:val="0092015F"/>
    <w:rsid w:val="009201AC"/>
    <w:rsid w:val="0092049F"/>
    <w:rsid w:val="00920F96"/>
    <w:rsid w:val="0092127B"/>
    <w:rsid w:val="009215BE"/>
    <w:rsid w:val="00921C9A"/>
    <w:rsid w:val="00922C0D"/>
    <w:rsid w:val="00922DB8"/>
    <w:rsid w:val="00922DD9"/>
    <w:rsid w:val="00922DEC"/>
    <w:rsid w:val="00922FC6"/>
    <w:rsid w:val="00923B9F"/>
    <w:rsid w:val="00924509"/>
    <w:rsid w:val="009249F2"/>
    <w:rsid w:val="00925031"/>
    <w:rsid w:val="009254A9"/>
    <w:rsid w:val="00925B13"/>
    <w:rsid w:val="00925EA9"/>
    <w:rsid w:val="00925FB4"/>
    <w:rsid w:val="00926330"/>
    <w:rsid w:val="009269FF"/>
    <w:rsid w:val="00926A5C"/>
    <w:rsid w:val="00926B23"/>
    <w:rsid w:val="00926BEB"/>
    <w:rsid w:val="009270DE"/>
    <w:rsid w:val="00927CFD"/>
    <w:rsid w:val="00927E5D"/>
    <w:rsid w:val="00927F53"/>
    <w:rsid w:val="00930316"/>
    <w:rsid w:val="00930C40"/>
    <w:rsid w:val="00931203"/>
    <w:rsid w:val="00931216"/>
    <w:rsid w:val="00931322"/>
    <w:rsid w:val="00931623"/>
    <w:rsid w:val="00931F42"/>
    <w:rsid w:val="00932004"/>
    <w:rsid w:val="00932D42"/>
    <w:rsid w:val="00932E4C"/>
    <w:rsid w:val="00933503"/>
    <w:rsid w:val="0093361D"/>
    <w:rsid w:val="00933EA6"/>
    <w:rsid w:val="00934DCE"/>
    <w:rsid w:val="00935680"/>
    <w:rsid w:val="009357A7"/>
    <w:rsid w:val="009357F8"/>
    <w:rsid w:val="009360A7"/>
    <w:rsid w:val="00936545"/>
    <w:rsid w:val="00936EF7"/>
    <w:rsid w:val="0093741C"/>
    <w:rsid w:val="00937788"/>
    <w:rsid w:val="00937D17"/>
    <w:rsid w:val="009402A1"/>
    <w:rsid w:val="009405D0"/>
    <w:rsid w:val="009405DF"/>
    <w:rsid w:val="00940AA1"/>
    <w:rsid w:val="00940BC5"/>
    <w:rsid w:val="00940FC2"/>
    <w:rsid w:val="00941078"/>
    <w:rsid w:val="00941C49"/>
    <w:rsid w:val="00941C50"/>
    <w:rsid w:val="00942146"/>
    <w:rsid w:val="00942598"/>
    <w:rsid w:val="00942E6C"/>
    <w:rsid w:val="00943087"/>
    <w:rsid w:val="00943095"/>
    <w:rsid w:val="0094333A"/>
    <w:rsid w:val="0094352C"/>
    <w:rsid w:val="009437CA"/>
    <w:rsid w:val="009437E1"/>
    <w:rsid w:val="009439CA"/>
    <w:rsid w:val="0094419F"/>
    <w:rsid w:val="009448E4"/>
    <w:rsid w:val="00944D44"/>
    <w:rsid w:val="0094546D"/>
    <w:rsid w:val="009459DE"/>
    <w:rsid w:val="00945EC4"/>
    <w:rsid w:val="009465EB"/>
    <w:rsid w:val="009468B2"/>
    <w:rsid w:val="00946A7A"/>
    <w:rsid w:val="00947116"/>
    <w:rsid w:val="009471D1"/>
    <w:rsid w:val="00947710"/>
    <w:rsid w:val="0094776E"/>
    <w:rsid w:val="00947F0C"/>
    <w:rsid w:val="009504EE"/>
    <w:rsid w:val="0095060B"/>
    <w:rsid w:val="00950BD2"/>
    <w:rsid w:val="0095118A"/>
    <w:rsid w:val="0095165A"/>
    <w:rsid w:val="009517C0"/>
    <w:rsid w:val="009519F1"/>
    <w:rsid w:val="00951C0F"/>
    <w:rsid w:val="00951D9D"/>
    <w:rsid w:val="0095252C"/>
    <w:rsid w:val="00952A82"/>
    <w:rsid w:val="00952BC3"/>
    <w:rsid w:val="00952E77"/>
    <w:rsid w:val="0095390D"/>
    <w:rsid w:val="00953F46"/>
    <w:rsid w:val="009544C3"/>
    <w:rsid w:val="009549C8"/>
    <w:rsid w:val="00956246"/>
    <w:rsid w:val="00956305"/>
    <w:rsid w:val="0095646F"/>
    <w:rsid w:val="00957126"/>
    <w:rsid w:val="009572F2"/>
    <w:rsid w:val="009573E2"/>
    <w:rsid w:val="0095740D"/>
    <w:rsid w:val="00957881"/>
    <w:rsid w:val="009579CD"/>
    <w:rsid w:val="009600DF"/>
    <w:rsid w:val="00960E19"/>
    <w:rsid w:val="00960EC4"/>
    <w:rsid w:val="00961267"/>
    <w:rsid w:val="00961926"/>
    <w:rsid w:val="00961BF4"/>
    <w:rsid w:val="0096200D"/>
    <w:rsid w:val="00962090"/>
    <w:rsid w:val="0096244E"/>
    <w:rsid w:val="00962557"/>
    <w:rsid w:val="00962FBE"/>
    <w:rsid w:val="00962FE6"/>
    <w:rsid w:val="0096318F"/>
    <w:rsid w:val="009635BB"/>
    <w:rsid w:val="00963722"/>
    <w:rsid w:val="0096389A"/>
    <w:rsid w:val="00963BE5"/>
    <w:rsid w:val="00963CA8"/>
    <w:rsid w:val="0096410D"/>
    <w:rsid w:val="0096429F"/>
    <w:rsid w:val="00964686"/>
    <w:rsid w:val="009646EF"/>
    <w:rsid w:val="009648CE"/>
    <w:rsid w:val="0096501E"/>
    <w:rsid w:val="00965105"/>
    <w:rsid w:val="009654BE"/>
    <w:rsid w:val="00965EF1"/>
    <w:rsid w:val="009664CF"/>
    <w:rsid w:val="00966CB3"/>
    <w:rsid w:val="00967568"/>
    <w:rsid w:val="0096786C"/>
    <w:rsid w:val="00967FFA"/>
    <w:rsid w:val="009700DD"/>
    <w:rsid w:val="009709B8"/>
    <w:rsid w:val="00970C77"/>
    <w:rsid w:val="00970CA5"/>
    <w:rsid w:val="00970CFB"/>
    <w:rsid w:val="00971095"/>
    <w:rsid w:val="009713F6"/>
    <w:rsid w:val="00971A95"/>
    <w:rsid w:val="00971AA1"/>
    <w:rsid w:val="00972180"/>
    <w:rsid w:val="00972BA2"/>
    <w:rsid w:val="00973053"/>
    <w:rsid w:val="009732B2"/>
    <w:rsid w:val="009733BE"/>
    <w:rsid w:val="009737B6"/>
    <w:rsid w:val="00973B87"/>
    <w:rsid w:val="00973F45"/>
    <w:rsid w:val="00974A96"/>
    <w:rsid w:val="00974BCE"/>
    <w:rsid w:val="00974C5D"/>
    <w:rsid w:val="009751AB"/>
    <w:rsid w:val="00975425"/>
    <w:rsid w:val="009755BB"/>
    <w:rsid w:val="009755E5"/>
    <w:rsid w:val="00975E2D"/>
    <w:rsid w:val="0097662B"/>
    <w:rsid w:val="00976678"/>
    <w:rsid w:val="009766B1"/>
    <w:rsid w:val="00976841"/>
    <w:rsid w:val="00976F31"/>
    <w:rsid w:val="00976FB3"/>
    <w:rsid w:val="0097712E"/>
    <w:rsid w:val="009774B3"/>
    <w:rsid w:val="00977DA3"/>
    <w:rsid w:val="00977DC8"/>
    <w:rsid w:val="00980568"/>
    <w:rsid w:val="00980836"/>
    <w:rsid w:val="009810FA"/>
    <w:rsid w:val="009811DA"/>
    <w:rsid w:val="009812C6"/>
    <w:rsid w:val="009819BF"/>
    <w:rsid w:val="00982C39"/>
    <w:rsid w:val="00982D4B"/>
    <w:rsid w:val="00983387"/>
    <w:rsid w:val="00983C13"/>
    <w:rsid w:val="00983FC5"/>
    <w:rsid w:val="009842C8"/>
    <w:rsid w:val="009844C7"/>
    <w:rsid w:val="00984717"/>
    <w:rsid w:val="00985137"/>
    <w:rsid w:val="00985BD7"/>
    <w:rsid w:val="00986BB8"/>
    <w:rsid w:val="00986E81"/>
    <w:rsid w:val="00986F87"/>
    <w:rsid w:val="009871C8"/>
    <w:rsid w:val="009878C7"/>
    <w:rsid w:val="00987910"/>
    <w:rsid w:val="00987EA5"/>
    <w:rsid w:val="0099005F"/>
    <w:rsid w:val="0099042A"/>
    <w:rsid w:val="009904E8"/>
    <w:rsid w:val="009905FF"/>
    <w:rsid w:val="00990755"/>
    <w:rsid w:val="00990909"/>
    <w:rsid w:val="00990BFE"/>
    <w:rsid w:val="00990EB6"/>
    <w:rsid w:val="009915DB"/>
    <w:rsid w:val="009918C3"/>
    <w:rsid w:val="009919E5"/>
    <w:rsid w:val="00991B06"/>
    <w:rsid w:val="009924A9"/>
    <w:rsid w:val="00992ADE"/>
    <w:rsid w:val="00992CC9"/>
    <w:rsid w:val="0099308D"/>
    <w:rsid w:val="00993191"/>
    <w:rsid w:val="009935F0"/>
    <w:rsid w:val="00993651"/>
    <w:rsid w:val="00993696"/>
    <w:rsid w:val="00993D4F"/>
    <w:rsid w:val="009940FF"/>
    <w:rsid w:val="00994220"/>
    <w:rsid w:val="00994441"/>
    <w:rsid w:val="00994698"/>
    <w:rsid w:val="00995542"/>
    <w:rsid w:val="0099558C"/>
    <w:rsid w:val="00996716"/>
    <w:rsid w:val="0099698E"/>
    <w:rsid w:val="00996A44"/>
    <w:rsid w:val="00996CAF"/>
    <w:rsid w:val="00997749"/>
    <w:rsid w:val="00997F99"/>
    <w:rsid w:val="009A00C1"/>
    <w:rsid w:val="009A020D"/>
    <w:rsid w:val="009A0E15"/>
    <w:rsid w:val="009A0ED6"/>
    <w:rsid w:val="009A10B4"/>
    <w:rsid w:val="009A112A"/>
    <w:rsid w:val="009A1857"/>
    <w:rsid w:val="009A20E2"/>
    <w:rsid w:val="009A2146"/>
    <w:rsid w:val="009A243F"/>
    <w:rsid w:val="009A27A7"/>
    <w:rsid w:val="009A2A19"/>
    <w:rsid w:val="009A3B26"/>
    <w:rsid w:val="009A3D35"/>
    <w:rsid w:val="009A3E80"/>
    <w:rsid w:val="009A4154"/>
    <w:rsid w:val="009A442A"/>
    <w:rsid w:val="009A4502"/>
    <w:rsid w:val="009A45F6"/>
    <w:rsid w:val="009A48A8"/>
    <w:rsid w:val="009A54F6"/>
    <w:rsid w:val="009A5894"/>
    <w:rsid w:val="009A6511"/>
    <w:rsid w:val="009A6653"/>
    <w:rsid w:val="009A6A88"/>
    <w:rsid w:val="009A6CDC"/>
    <w:rsid w:val="009A6F0B"/>
    <w:rsid w:val="009A6F63"/>
    <w:rsid w:val="009A7414"/>
    <w:rsid w:val="009A743B"/>
    <w:rsid w:val="009A74C4"/>
    <w:rsid w:val="009A7761"/>
    <w:rsid w:val="009A7936"/>
    <w:rsid w:val="009B0042"/>
    <w:rsid w:val="009B0206"/>
    <w:rsid w:val="009B075A"/>
    <w:rsid w:val="009B0BCF"/>
    <w:rsid w:val="009B132A"/>
    <w:rsid w:val="009B18F2"/>
    <w:rsid w:val="009B1D0A"/>
    <w:rsid w:val="009B2AEC"/>
    <w:rsid w:val="009B2DA4"/>
    <w:rsid w:val="009B2E17"/>
    <w:rsid w:val="009B32CB"/>
    <w:rsid w:val="009B38B0"/>
    <w:rsid w:val="009B3A01"/>
    <w:rsid w:val="009B3CC7"/>
    <w:rsid w:val="009B3FAF"/>
    <w:rsid w:val="009B4108"/>
    <w:rsid w:val="009B4207"/>
    <w:rsid w:val="009B42AA"/>
    <w:rsid w:val="009B42AF"/>
    <w:rsid w:val="009B4AC8"/>
    <w:rsid w:val="009B5780"/>
    <w:rsid w:val="009B5A65"/>
    <w:rsid w:val="009B662B"/>
    <w:rsid w:val="009B67C7"/>
    <w:rsid w:val="009B6C58"/>
    <w:rsid w:val="009B6D58"/>
    <w:rsid w:val="009B7541"/>
    <w:rsid w:val="009B77C4"/>
    <w:rsid w:val="009B7843"/>
    <w:rsid w:val="009B7B61"/>
    <w:rsid w:val="009B7FF9"/>
    <w:rsid w:val="009C03A2"/>
    <w:rsid w:val="009C0822"/>
    <w:rsid w:val="009C0B7D"/>
    <w:rsid w:val="009C1104"/>
    <w:rsid w:val="009C11DA"/>
    <w:rsid w:val="009C137F"/>
    <w:rsid w:val="009C22E1"/>
    <w:rsid w:val="009C2E0E"/>
    <w:rsid w:val="009C31DF"/>
    <w:rsid w:val="009C3C96"/>
    <w:rsid w:val="009C3F33"/>
    <w:rsid w:val="009C4191"/>
    <w:rsid w:val="009C4E93"/>
    <w:rsid w:val="009C4EE0"/>
    <w:rsid w:val="009C5434"/>
    <w:rsid w:val="009C54B6"/>
    <w:rsid w:val="009C5EC5"/>
    <w:rsid w:val="009C6923"/>
    <w:rsid w:val="009C745C"/>
    <w:rsid w:val="009D0070"/>
    <w:rsid w:val="009D02E9"/>
    <w:rsid w:val="009D0325"/>
    <w:rsid w:val="009D0671"/>
    <w:rsid w:val="009D068A"/>
    <w:rsid w:val="009D0751"/>
    <w:rsid w:val="009D0C64"/>
    <w:rsid w:val="009D0D82"/>
    <w:rsid w:val="009D1076"/>
    <w:rsid w:val="009D2495"/>
    <w:rsid w:val="009D24B8"/>
    <w:rsid w:val="009D2865"/>
    <w:rsid w:val="009D2A11"/>
    <w:rsid w:val="009D2B49"/>
    <w:rsid w:val="009D2B91"/>
    <w:rsid w:val="009D2DB0"/>
    <w:rsid w:val="009D2FC6"/>
    <w:rsid w:val="009D3190"/>
    <w:rsid w:val="009D3286"/>
    <w:rsid w:val="009D3715"/>
    <w:rsid w:val="009D3B7B"/>
    <w:rsid w:val="009D3F48"/>
    <w:rsid w:val="009D4309"/>
    <w:rsid w:val="009D4513"/>
    <w:rsid w:val="009D4877"/>
    <w:rsid w:val="009D4906"/>
    <w:rsid w:val="009D527C"/>
    <w:rsid w:val="009D53D6"/>
    <w:rsid w:val="009D5431"/>
    <w:rsid w:val="009D5B37"/>
    <w:rsid w:val="009D5B66"/>
    <w:rsid w:val="009D5DEC"/>
    <w:rsid w:val="009D5F3C"/>
    <w:rsid w:val="009D678A"/>
    <w:rsid w:val="009D766F"/>
    <w:rsid w:val="009D76CD"/>
    <w:rsid w:val="009D7B05"/>
    <w:rsid w:val="009D7EA6"/>
    <w:rsid w:val="009D7F16"/>
    <w:rsid w:val="009E05EA"/>
    <w:rsid w:val="009E07BC"/>
    <w:rsid w:val="009E0E70"/>
    <w:rsid w:val="009E12A6"/>
    <w:rsid w:val="009E13B8"/>
    <w:rsid w:val="009E181F"/>
    <w:rsid w:val="009E2CAE"/>
    <w:rsid w:val="009E3031"/>
    <w:rsid w:val="009E33E6"/>
    <w:rsid w:val="009E35B1"/>
    <w:rsid w:val="009E41A0"/>
    <w:rsid w:val="009E41F7"/>
    <w:rsid w:val="009E4741"/>
    <w:rsid w:val="009E4D48"/>
    <w:rsid w:val="009E54E3"/>
    <w:rsid w:val="009E5DFB"/>
    <w:rsid w:val="009E5FBC"/>
    <w:rsid w:val="009E6134"/>
    <w:rsid w:val="009E64F2"/>
    <w:rsid w:val="009E747E"/>
    <w:rsid w:val="009E752F"/>
    <w:rsid w:val="009E7751"/>
    <w:rsid w:val="009E7946"/>
    <w:rsid w:val="009F0DF5"/>
    <w:rsid w:val="009F0E2E"/>
    <w:rsid w:val="009F10D8"/>
    <w:rsid w:val="009F1342"/>
    <w:rsid w:val="009F146F"/>
    <w:rsid w:val="009F1918"/>
    <w:rsid w:val="009F1BA4"/>
    <w:rsid w:val="009F1C59"/>
    <w:rsid w:val="009F1FFA"/>
    <w:rsid w:val="009F253E"/>
    <w:rsid w:val="009F2988"/>
    <w:rsid w:val="009F31A2"/>
    <w:rsid w:val="009F3388"/>
    <w:rsid w:val="009F363D"/>
    <w:rsid w:val="009F375D"/>
    <w:rsid w:val="009F3FD6"/>
    <w:rsid w:val="009F418D"/>
    <w:rsid w:val="009F4274"/>
    <w:rsid w:val="009F44CC"/>
    <w:rsid w:val="009F48D4"/>
    <w:rsid w:val="009F4AC6"/>
    <w:rsid w:val="009F4D74"/>
    <w:rsid w:val="009F4EBE"/>
    <w:rsid w:val="009F54F0"/>
    <w:rsid w:val="009F570F"/>
    <w:rsid w:val="009F58E1"/>
    <w:rsid w:val="009F5DA4"/>
    <w:rsid w:val="009F69EE"/>
    <w:rsid w:val="009F70D7"/>
    <w:rsid w:val="009F7693"/>
    <w:rsid w:val="009F76A1"/>
    <w:rsid w:val="00A002E7"/>
    <w:rsid w:val="00A00661"/>
    <w:rsid w:val="00A006D8"/>
    <w:rsid w:val="00A0108B"/>
    <w:rsid w:val="00A01D1F"/>
    <w:rsid w:val="00A01E38"/>
    <w:rsid w:val="00A02132"/>
    <w:rsid w:val="00A02D61"/>
    <w:rsid w:val="00A033E4"/>
    <w:rsid w:val="00A03719"/>
    <w:rsid w:val="00A03DA2"/>
    <w:rsid w:val="00A03F36"/>
    <w:rsid w:val="00A03FBE"/>
    <w:rsid w:val="00A04016"/>
    <w:rsid w:val="00A040A8"/>
    <w:rsid w:val="00A0416F"/>
    <w:rsid w:val="00A044FC"/>
    <w:rsid w:val="00A048C2"/>
    <w:rsid w:val="00A0496E"/>
    <w:rsid w:val="00A050AA"/>
    <w:rsid w:val="00A05D0A"/>
    <w:rsid w:val="00A05D74"/>
    <w:rsid w:val="00A05F67"/>
    <w:rsid w:val="00A0621D"/>
    <w:rsid w:val="00A0624B"/>
    <w:rsid w:val="00A062A6"/>
    <w:rsid w:val="00A06307"/>
    <w:rsid w:val="00A065F3"/>
    <w:rsid w:val="00A0681E"/>
    <w:rsid w:val="00A0682D"/>
    <w:rsid w:val="00A06C13"/>
    <w:rsid w:val="00A06E6A"/>
    <w:rsid w:val="00A071D2"/>
    <w:rsid w:val="00A071E0"/>
    <w:rsid w:val="00A0774C"/>
    <w:rsid w:val="00A07BD7"/>
    <w:rsid w:val="00A07BE1"/>
    <w:rsid w:val="00A07D90"/>
    <w:rsid w:val="00A10A58"/>
    <w:rsid w:val="00A10C5E"/>
    <w:rsid w:val="00A11BAE"/>
    <w:rsid w:val="00A11F15"/>
    <w:rsid w:val="00A12166"/>
    <w:rsid w:val="00A121DD"/>
    <w:rsid w:val="00A12A4D"/>
    <w:rsid w:val="00A12B99"/>
    <w:rsid w:val="00A12C59"/>
    <w:rsid w:val="00A12D8A"/>
    <w:rsid w:val="00A13D02"/>
    <w:rsid w:val="00A14459"/>
    <w:rsid w:val="00A15660"/>
    <w:rsid w:val="00A15713"/>
    <w:rsid w:val="00A157ED"/>
    <w:rsid w:val="00A1582C"/>
    <w:rsid w:val="00A159DE"/>
    <w:rsid w:val="00A15D7B"/>
    <w:rsid w:val="00A16422"/>
    <w:rsid w:val="00A16725"/>
    <w:rsid w:val="00A17001"/>
    <w:rsid w:val="00A175E0"/>
    <w:rsid w:val="00A177B9"/>
    <w:rsid w:val="00A20A08"/>
    <w:rsid w:val="00A20D29"/>
    <w:rsid w:val="00A20DB0"/>
    <w:rsid w:val="00A21B97"/>
    <w:rsid w:val="00A21FD8"/>
    <w:rsid w:val="00A22249"/>
    <w:rsid w:val="00A2289D"/>
    <w:rsid w:val="00A22988"/>
    <w:rsid w:val="00A2315A"/>
    <w:rsid w:val="00A23461"/>
    <w:rsid w:val="00A23C36"/>
    <w:rsid w:val="00A23E2A"/>
    <w:rsid w:val="00A24CFB"/>
    <w:rsid w:val="00A25179"/>
    <w:rsid w:val="00A25238"/>
    <w:rsid w:val="00A25350"/>
    <w:rsid w:val="00A2554F"/>
    <w:rsid w:val="00A25951"/>
    <w:rsid w:val="00A25A7A"/>
    <w:rsid w:val="00A26F27"/>
    <w:rsid w:val="00A271FC"/>
    <w:rsid w:val="00A27738"/>
    <w:rsid w:val="00A27C34"/>
    <w:rsid w:val="00A27E86"/>
    <w:rsid w:val="00A27FA4"/>
    <w:rsid w:val="00A302C6"/>
    <w:rsid w:val="00A30564"/>
    <w:rsid w:val="00A30969"/>
    <w:rsid w:val="00A30A3F"/>
    <w:rsid w:val="00A3105C"/>
    <w:rsid w:val="00A312FF"/>
    <w:rsid w:val="00A314A8"/>
    <w:rsid w:val="00A319CF"/>
    <w:rsid w:val="00A32097"/>
    <w:rsid w:val="00A32D5E"/>
    <w:rsid w:val="00A330A2"/>
    <w:rsid w:val="00A337A2"/>
    <w:rsid w:val="00A33968"/>
    <w:rsid w:val="00A33E8E"/>
    <w:rsid w:val="00A3402C"/>
    <w:rsid w:val="00A34D5D"/>
    <w:rsid w:val="00A34DDE"/>
    <w:rsid w:val="00A35120"/>
    <w:rsid w:val="00A352EE"/>
    <w:rsid w:val="00A35D65"/>
    <w:rsid w:val="00A35DED"/>
    <w:rsid w:val="00A36439"/>
    <w:rsid w:val="00A3670C"/>
    <w:rsid w:val="00A36AD7"/>
    <w:rsid w:val="00A36EA6"/>
    <w:rsid w:val="00A36F0B"/>
    <w:rsid w:val="00A3781D"/>
    <w:rsid w:val="00A37E13"/>
    <w:rsid w:val="00A40094"/>
    <w:rsid w:val="00A4093B"/>
    <w:rsid w:val="00A41954"/>
    <w:rsid w:val="00A41E07"/>
    <w:rsid w:val="00A42AD0"/>
    <w:rsid w:val="00A42B86"/>
    <w:rsid w:val="00A42E76"/>
    <w:rsid w:val="00A43233"/>
    <w:rsid w:val="00A43DA6"/>
    <w:rsid w:val="00A440F8"/>
    <w:rsid w:val="00A441FF"/>
    <w:rsid w:val="00A44291"/>
    <w:rsid w:val="00A44939"/>
    <w:rsid w:val="00A44989"/>
    <w:rsid w:val="00A44D61"/>
    <w:rsid w:val="00A45192"/>
    <w:rsid w:val="00A45236"/>
    <w:rsid w:val="00A452AB"/>
    <w:rsid w:val="00A45302"/>
    <w:rsid w:val="00A46015"/>
    <w:rsid w:val="00A46602"/>
    <w:rsid w:val="00A46C8A"/>
    <w:rsid w:val="00A46F53"/>
    <w:rsid w:val="00A4719F"/>
    <w:rsid w:val="00A47796"/>
    <w:rsid w:val="00A47F21"/>
    <w:rsid w:val="00A501E7"/>
    <w:rsid w:val="00A50353"/>
    <w:rsid w:val="00A5125B"/>
    <w:rsid w:val="00A527D6"/>
    <w:rsid w:val="00A529E4"/>
    <w:rsid w:val="00A52AD8"/>
    <w:rsid w:val="00A537A2"/>
    <w:rsid w:val="00A53EE3"/>
    <w:rsid w:val="00A543AF"/>
    <w:rsid w:val="00A54785"/>
    <w:rsid w:val="00A54E5D"/>
    <w:rsid w:val="00A554D1"/>
    <w:rsid w:val="00A55848"/>
    <w:rsid w:val="00A55A89"/>
    <w:rsid w:val="00A55B7A"/>
    <w:rsid w:val="00A55CFB"/>
    <w:rsid w:val="00A55E24"/>
    <w:rsid w:val="00A56480"/>
    <w:rsid w:val="00A5688B"/>
    <w:rsid w:val="00A56E89"/>
    <w:rsid w:val="00A57371"/>
    <w:rsid w:val="00A606F2"/>
    <w:rsid w:val="00A6091C"/>
    <w:rsid w:val="00A60DFF"/>
    <w:rsid w:val="00A61E88"/>
    <w:rsid w:val="00A61FCD"/>
    <w:rsid w:val="00A62CC8"/>
    <w:rsid w:val="00A62D6A"/>
    <w:rsid w:val="00A62E51"/>
    <w:rsid w:val="00A63367"/>
    <w:rsid w:val="00A636F5"/>
    <w:rsid w:val="00A64349"/>
    <w:rsid w:val="00A64603"/>
    <w:rsid w:val="00A648DE"/>
    <w:rsid w:val="00A649AA"/>
    <w:rsid w:val="00A650D1"/>
    <w:rsid w:val="00A65EFB"/>
    <w:rsid w:val="00A65FBA"/>
    <w:rsid w:val="00A6613C"/>
    <w:rsid w:val="00A661F8"/>
    <w:rsid w:val="00A6685D"/>
    <w:rsid w:val="00A66A31"/>
    <w:rsid w:val="00A67721"/>
    <w:rsid w:val="00A679BB"/>
    <w:rsid w:val="00A67A75"/>
    <w:rsid w:val="00A67C6A"/>
    <w:rsid w:val="00A70004"/>
    <w:rsid w:val="00A700F9"/>
    <w:rsid w:val="00A70456"/>
    <w:rsid w:val="00A71033"/>
    <w:rsid w:val="00A71278"/>
    <w:rsid w:val="00A712F2"/>
    <w:rsid w:val="00A71537"/>
    <w:rsid w:val="00A716C0"/>
    <w:rsid w:val="00A71AFF"/>
    <w:rsid w:val="00A71C7B"/>
    <w:rsid w:val="00A72983"/>
    <w:rsid w:val="00A7424C"/>
    <w:rsid w:val="00A7466A"/>
    <w:rsid w:val="00A74EB6"/>
    <w:rsid w:val="00A75479"/>
    <w:rsid w:val="00A7630E"/>
    <w:rsid w:val="00A7726B"/>
    <w:rsid w:val="00A77A7C"/>
    <w:rsid w:val="00A77D98"/>
    <w:rsid w:val="00A80163"/>
    <w:rsid w:val="00A81C78"/>
    <w:rsid w:val="00A82408"/>
    <w:rsid w:val="00A8254A"/>
    <w:rsid w:val="00A82CFD"/>
    <w:rsid w:val="00A82DC2"/>
    <w:rsid w:val="00A83459"/>
    <w:rsid w:val="00A84052"/>
    <w:rsid w:val="00A8427E"/>
    <w:rsid w:val="00A84B73"/>
    <w:rsid w:val="00A8516C"/>
    <w:rsid w:val="00A853E4"/>
    <w:rsid w:val="00A855C1"/>
    <w:rsid w:val="00A86155"/>
    <w:rsid w:val="00A8666D"/>
    <w:rsid w:val="00A866EC"/>
    <w:rsid w:val="00A86B29"/>
    <w:rsid w:val="00A86CAE"/>
    <w:rsid w:val="00A871B0"/>
    <w:rsid w:val="00A872F3"/>
    <w:rsid w:val="00A87526"/>
    <w:rsid w:val="00A87808"/>
    <w:rsid w:val="00A87831"/>
    <w:rsid w:val="00A87847"/>
    <w:rsid w:val="00A87F15"/>
    <w:rsid w:val="00A900FC"/>
    <w:rsid w:val="00A90702"/>
    <w:rsid w:val="00A907E8"/>
    <w:rsid w:val="00A9096A"/>
    <w:rsid w:val="00A9140B"/>
    <w:rsid w:val="00A918DF"/>
    <w:rsid w:val="00A91B65"/>
    <w:rsid w:val="00A926DD"/>
    <w:rsid w:val="00A92B13"/>
    <w:rsid w:val="00A9309D"/>
    <w:rsid w:val="00A93649"/>
    <w:rsid w:val="00A93935"/>
    <w:rsid w:val="00A93B1F"/>
    <w:rsid w:val="00A94020"/>
    <w:rsid w:val="00A94070"/>
    <w:rsid w:val="00A942CC"/>
    <w:rsid w:val="00A945DD"/>
    <w:rsid w:val="00A95614"/>
    <w:rsid w:val="00A95913"/>
    <w:rsid w:val="00A95949"/>
    <w:rsid w:val="00A95CC7"/>
    <w:rsid w:val="00A95E85"/>
    <w:rsid w:val="00A95FEC"/>
    <w:rsid w:val="00A96410"/>
    <w:rsid w:val="00A9653C"/>
    <w:rsid w:val="00A96911"/>
    <w:rsid w:val="00A96EFB"/>
    <w:rsid w:val="00A96FCE"/>
    <w:rsid w:val="00A972F2"/>
    <w:rsid w:val="00A97721"/>
    <w:rsid w:val="00AA02B5"/>
    <w:rsid w:val="00AA05BD"/>
    <w:rsid w:val="00AA104D"/>
    <w:rsid w:val="00AA14D3"/>
    <w:rsid w:val="00AA1DB7"/>
    <w:rsid w:val="00AA2404"/>
    <w:rsid w:val="00AA2897"/>
    <w:rsid w:val="00AA2C3D"/>
    <w:rsid w:val="00AA3556"/>
    <w:rsid w:val="00AA3893"/>
    <w:rsid w:val="00AA3923"/>
    <w:rsid w:val="00AA3C76"/>
    <w:rsid w:val="00AA47F3"/>
    <w:rsid w:val="00AA4DFF"/>
    <w:rsid w:val="00AA55A1"/>
    <w:rsid w:val="00AA55FB"/>
    <w:rsid w:val="00AA5AF4"/>
    <w:rsid w:val="00AA60CB"/>
    <w:rsid w:val="00AA68A8"/>
    <w:rsid w:val="00AA696E"/>
    <w:rsid w:val="00AA6F21"/>
    <w:rsid w:val="00AA7290"/>
    <w:rsid w:val="00AA77D9"/>
    <w:rsid w:val="00AA7945"/>
    <w:rsid w:val="00AB07C4"/>
    <w:rsid w:val="00AB0916"/>
    <w:rsid w:val="00AB19CF"/>
    <w:rsid w:val="00AB1A00"/>
    <w:rsid w:val="00AB20EC"/>
    <w:rsid w:val="00AB28BD"/>
    <w:rsid w:val="00AB290D"/>
    <w:rsid w:val="00AB2A33"/>
    <w:rsid w:val="00AB48CA"/>
    <w:rsid w:val="00AB4C90"/>
    <w:rsid w:val="00AB52F3"/>
    <w:rsid w:val="00AB5662"/>
    <w:rsid w:val="00AB5B58"/>
    <w:rsid w:val="00AB5B7A"/>
    <w:rsid w:val="00AB5E90"/>
    <w:rsid w:val="00AB64A6"/>
    <w:rsid w:val="00AB688E"/>
    <w:rsid w:val="00AB6E6B"/>
    <w:rsid w:val="00AB71C5"/>
    <w:rsid w:val="00AB7EF4"/>
    <w:rsid w:val="00AC047D"/>
    <w:rsid w:val="00AC0871"/>
    <w:rsid w:val="00AC0D48"/>
    <w:rsid w:val="00AC0D53"/>
    <w:rsid w:val="00AC13A3"/>
    <w:rsid w:val="00AC149A"/>
    <w:rsid w:val="00AC15EC"/>
    <w:rsid w:val="00AC26E2"/>
    <w:rsid w:val="00AC2A74"/>
    <w:rsid w:val="00AC2B34"/>
    <w:rsid w:val="00AC2B4F"/>
    <w:rsid w:val="00AC31C3"/>
    <w:rsid w:val="00AC37D7"/>
    <w:rsid w:val="00AC3993"/>
    <w:rsid w:val="00AC3E8E"/>
    <w:rsid w:val="00AC484F"/>
    <w:rsid w:val="00AC5348"/>
    <w:rsid w:val="00AC547A"/>
    <w:rsid w:val="00AC55F1"/>
    <w:rsid w:val="00AC5A88"/>
    <w:rsid w:val="00AC5CC7"/>
    <w:rsid w:val="00AC60FC"/>
    <w:rsid w:val="00AC6252"/>
    <w:rsid w:val="00AC66DF"/>
    <w:rsid w:val="00AC699B"/>
    <w:rsid w:val="00AC7DC6"/>
    <w:rsid w:val="00AD00F0"/>
    <w:rsid w:val="00AD0C3A"/>
    <w:rsid w:val="00AD1461"/>
    <w:rsid w:val="00AD1988"/>
    <w:rsid w:val="00AD1EF1"/>
    <w:rsid w:val="00AD1EF6"/>
    <w:rsid w:val="00AD2168"/>
    <w:rsid w:val="00AD22C3"/>
    <w:rsid w:val="00AD24AF"/>
    <w:rsid w:val="00AD3077"/>
    <w:rsid w:val="00AD321E"/>
    <w:rsid w:val="00AD33C7"/>
    <w:rsid w:val="00AD364B"/>
    <w:rsid w:val="00AD424A"/>
    <w:rsid w:val="00AD4C5A"/>
    <w:rsid w:val="00AD52FB"/>
    <w:rsid w:val="00AD5526"/>
    <w:rsid w:val="00AD590A"/>
    <w:rsid w:val="00AD5ED7"/>
    <w:rsid w:val="00AD641D"/>
    <w:rsid w:val="00AD649C"/>
    <w:rsid w:val="00AD670B"/>
    <w:rsid w:val="00AD6A02"/>
    <w:rsid w:val="00AD6B3E"/>
    <w:rsid w:val="00AD6C3D"/>
    <w:rsid w:val="00AD6E8B"/>
    <w:rsid w:val="00AD6F11"/>
    <w:rsid w:val="00AD6F87"/>
    <w:rsid w:val="00AD7234"/>
    <w:rsid w:val="00AD724A"/>
    <w:rsid w:val="00AD7C18"/>
    <w:rsid w:val="00AE0318"/>
    <w:rsid w:val="00AE06DD"/>
    <w:rsid w:val="00AE0B53"/>
    <w:rsid w:val="00AE137C"/>
    <w:rsid w:val="00AE14B1"/>
    <w:rsid w:val="00AE184A"/>
    <w:rsid w:val="00AE1A57"/>
    <w:rsid w:val="00AE22E7"/>
    <w:rsid w:val="00AE250F"/>
    <w:rsid w:val="00AE2C9D"/>
    <w:rsid w:val="00AE3189"/>
    <w:rsid w:val="00AE45C0"/>
    <w:rsid w:val="00AE467F"/>
    <w:rsid w:val="00AE4BED"/>
    <w:rsid w:val="00AE50FD"/>
    <w:rsid w:val="00AE518F"/>
    <w:rsid w:val="00AE5901"/>
    <w:rsid w:val="00AE5A4D"/>
    <w:rsid w:val="00AE5D82"/>
    <w:rsid w:val="00AE64C1"/>
    <w:rsid w:val="00AE6582"/>
    <w:rsid w:val="00AE6939"/>
    <w:rsid w:val="00AE6B67"/>
    <w:rsid w:val="00AE6B78"/>
    <w:rsid w:val="00AE7321"/>
    <w:rsid w:val="00AE7435"/>
    <w:rsid w:val="00AF006F"/>
    <w:rsid w:val="00AF01B0"/>
    <w:rsid w:val="00AF113E"/>
    <w:rsid w:val="00AF1632"/>
    <w:rsid w:val="00AF1E2C"/>
    <w:rsid w:val="00AF20FA"/>
    <w:rsid w:val="00AF21BC"/>
    <w:rsid w:val="00AF291E"/>
    <w:rsid w:val="00AF2A25"/>
    <w:rsid w:val="00AF2C61"/>
    <w:rsid w:val="00AF2E49"/>
    <w:rsid w:val="00AF2FAA"/>
    <w:rsid w:val="00AF36FB"/>
    <w:rsid w:val="00AF3B05"/>
    <w:rsid w:val="00AF4640"/>
    <w:rsid w:val="00AF4D8D"/>
    <w:rsid w:val="00AF4DD8"/>
    <w:rsid w:val="00AF5815"/>
    <w:rsid w:val="00AF5F94"/>
    <w:rsid w:val="00AF5FB5"/>
    <w:rsid w:val="00AF62A8"/>
    <w:rsid w:val="00AF6453"/>
    <w:rsid w:val="00AF6BCD"/>
    <w:rsid w:val="00AF763A"/>
    <w:rsid w:val="00AF7C58"/>
    <w:rsid w:val="00AF7FEC"/>
    <w:rsid w:val="00B00697"/>
    <w:rsid w:val="00B00B72"/>
    <w:rsid w:val="00B00CB9"/>
    <w:rsid w:val="00B013E1"/>
    <w:rsid w:val="00B013F2"/>
    <w:rsid w:val="00B01404"/>
    <w:rsid w:val="00B01421"/>
    <w:rsid w:val="00B014A9"/>
    <w:rsid w:val="00B01AE1"/>
    <w:rsid w:val="00B01DC7"/>
    <w:rsid w:val="00B01F8B"/>
    <w:rsid w:val="00B0240D"/>
    <w:rsid w:val="00B026F0"/>
    <w:rsid w:val="00B02C3E"/>
    <w:rsid w:val="00B0388D"/>
    <w:rsid w:val="00B04BFF"/>
    <w:rsid w:val="00B04E40"/>
    <w:rsid w:val="00B055E1"/>
    <w:rsid w:val="00B05846"/>
    <w:rsid w:val="00B063FC"/>
    <w:rsid w:val="00B06581"/>
    <w:rsid w:val="00B06DFF"/>
    <w:rsid w:val="00B06F76"/>
    <w:rsid w:val="00B07497"/>
    <w:rsid w:val="00B07A2E"/>
    <w:rsid w:val="00B07A40"/>
    <w:rsid w:val="00B07FDB"/>
    <w:rsid w:val="00B11460"/>
    <w:rsid w:val="00B11644"/>
    <w:rsid w:val="00B11711"/>
    <w:rsid w:val="00B11935"/>
    <w:rsid w:val="00B120FB"/>
    <w:rsid w:val="00B12118"/>
    <w:rsid w:val="00B12FC8"/>
    <w:rsid w:val="00B13117"/>
    <w:rsid w:val="00B13615"/>
    <w:rsid w:val="00B13E1D"/>
    <w:rsid w:val="00B1407E"/>
    <w:rsid w:val="00B144DE"/>
    <w:rsid w:val="00B145CD"/>
    <w:rsid w:val="00B146A9"/>
    <w:rsid w:val="00B148B9"/>
    <w:rsid w:val="00B14BE8"/>
    <w:rsid w:val="00B1555C"/>
    <w:rsid w:val="00B155F3"/>
    <w:rsid w:val="00B156DA"/>
    <w:rsid w:val="00B15983"/>
    <w:rsid w:val="00B15DA2"/>
    <w:rsid w:val="00B1656E"/>
    <w:rsid w:val="00B16B51"/>
    <w:rsid w:val="00B1706F"/>
    <w:rsid w:val="00B172E0"/>
    <w:rsid w:val="00B17830"/>
    <w:rsid w:val="00B17A75"/>
    <w:rsid w:val="00B17E44"/>
    <w:rsid w:val="00B17E5F"/>
    <w:rsid w:val="00B200A6"/>
    <w:rsid w:val="00B20A47"/>
    <w:rsid w:val="00B20FF0"/>
    <w:rsid w:val="00B2103F"/>
    <w:rsid w:val="00B212C1"/>
    <w:rsid w:val="00B21C83"/>
    <w:rsid w:val="00B21F00"/>
    <w:rsid w:val="00B2200E"/>
    <w:rsid w:val="00B222A1"/>
    <w:rsid w:val="00B22436"/>
    <w:rsid w:val="00B227C6"/>
    <w:rsid w:val="00B228DD"/>
    <w:rsid w:val="00B229A2"/>
    <w:rsid w:val="00B23096"/>
    <w:rsid w:val="00B23204"/>
    <w:rsid w:val="00B23446"/>
    <w:rsid w:val="00B23E15"/>
    <w:rsid w:val="00B240D0"/>
    <w:rsid w:val="00B240DF"/>
    <w:rsid w:val="00B242C7"/>
    <w:rsid w:val="00B24635"/>
    <w:rsid w:val="00B24D3B"/>
    <w:rsid w:val="00B252C6"/>
    <w:rsid w:val="00B2541F"/>
    <w:rsid w:val="00B25832"/>
    <w:rsid w:val="00B259BA"/>
    <w:rsid w:val="00B26114"/>
    <w:rsid w:val="00B264BB"/>
    <w:rsid w:val="00B26DD2"/>
    <w:rsid w:val="00B2766F"/>
    <w:rsid w:val="00B27A31"/>
    <w:rsid w:val="00B27B78"/>
    <w:rsid w:val="00B3017C"/>
    <w:rsid w:val="00B304F7"/>
    <w:rsid w:val="00B30665"/>
    <w:rsid w:val="00B30F7A"/>
    <w:rsid w:val="00B3115B"/>
    <w:rsid w:val="00B31708"/>
    <w:rsid w:val="00B31C90"/>
    <w:rsid w:val="00B321D0"/>
    <w:rsid w:val="00B32232"/>
    <w:rsid w:val="00B324C7"/>
    <w:rsid w:val="00B327C4"/>
    <w:rsid w:val="00B3298A"/>
    <w:rsid w:val="00B32F52"/>
    <w:rsid w:val="00B33247"/>
    <w:rsid w:val="00B3352F"/>
    <w:rsid w:val="00B33A34"/>
    <w:rsid w:val="00B33BD2"/>
    <w:rsid w:val="00B33C06"/>
    <w:rsid w:val="00B342A0"/>
    <w:rsid w:val="00B34301"/>
    <w:rsid w:val="00B3467E"/>
    <w:rsid w:val="00B34A26"/>
    <w:rsid w:val="00B351F6"/>
    <w:rsid w:val="00B352EB"/>
    <w:rsid w:val="00B35C6A"/>
    <w:rsid w:val="00B35E2C"/>
    <w:rsid w:val="00B36512"/>
    <w:rsid w:val="00B3666B"/>
    <w:rsid w:val="00B36947"/>
    <w:rsid w:val="00B36BEE"/>
    <w:rsid w:val="00B36EC1"/>
    <w:rsid w:val="00B37018"/>
    <w:rsid w:val="00B3713B"/>
    <w:rsid w:val="00B37180"/>
    <w:rsid w:val="00B3721C"/>
    <w:rsid w:val="00B375A3"/>
    <w:rsid w:val="00B37AB0"/>
    <w:rsid w:val="00B402AE"/>
    <w:rsid w:val="00B4037E"/>
    <w:rsid w:val="00B403EF"/>
    <w:rsid w:val="00B40523"/>
    <w:rsid w:val="00B405E7"/>
    <w:rsid w:val="00B408BE"/>
    <w:rsid w:val="00B40A97"/>
    <w:rsid w:val="00B40E6A"/>
    <w:rsid w:val="00B40F92"/>
    <w:rsid w:val="00B415F1"/>
    <w:rsid w:val="00B41607"/>
    <w:rsid w:val="00B418B2"/>
    <w:rsid w:val="00B41A4F"/>
    <w:rsid w:val="00B421C2"/>
    <w:rsid w:val="00B422E4"/>
    <w:rsid w:val="00B424BF"/>
    <w:rsid w:val="00B427F1"/>
    <w:rsid w:val="00B42A14"/>
    <w:rsid w:val="00B42A97"/>
    <w:rsid w:val="00B42D96"/>
    <w:rsid w:val="00B4321A"/>
    <w:rsid w:val="00B43374"/>
    <w:rsid w:val="00B439F9"/>
    <w:rsid w:val="00B43BFC"/>
    <w:rsid w:val="00B44A01"/>
    <w:rsid w:val="00B4511E"/>
    <w:rsid w:val="00B45228"/>
    <w:rsid w:val="00B466E3"/>
    <w:rsid w:val="00B46A09"/>
    <w:rsid w:val="00B46EA0"/>
    <w:rsid w:val="00B47367"/>
    <w:rsid w:val="00B47568"/>
    <w:rsid w:val="00B47734"/>
    <w:rsid w:val="00B47ECF"/>
    <w:rsid w:val="00B50A74"/>
    <w:rsid w:val="00B50EA1"/>
    <w:rsid w:val="00B50FA8"/>
    <w:rsid w:val="00B51280"/>
    <w:rsid w:val="00B51907"/>
    <w:rsid w:val="00B51A9A"/>
    <w:rsid w:val="00B522F9"/>
    <w:rsid w:val="00B5232B"/>
    <w:rsid w:val="00B528F4"/>
    <w:rsid w:val="00B52918"/>
    <w:rsid w:val="00B5373B"/>
    <w:rsid w:val="00B53CBD"/>
    <w:rsid w:val="00B53EA4"/>
    <w:rsid w:val="00B542AB"/>
    <w:rsid w:val="00B54717"/>
    <w:rsid w:val="00B547AD"/>
    <w:rsid w:val="00B54ADD"/>
    <w:rsid w:val="00B54E51"/>
    <w:rsid w:val="00B55119"/>
    <w:rsid w:val="00B553B7"/>
    <w:rsid w:val="00B553D0"/>
    <w:rsid w:val="00B556CC"/>
    <w:rsid w:val="00B55EE1"/>
    <w:rsid w:val="00B55F40"/>
    <w:rsid w:val="00B55F4C"/>
    <w:rsid w:val="00B56755"/>
    <w:rsid w:val="00B56B47"/>
    <w:rsid w:val="00B56CCC"/>
    <w:rsid w:val="00B56FB0"/>
    <w:rsid w:val="00B601B8"/>
    <w:rsid w:val="00B601D8"/>
    <w:rsid w:val="00B603A3"/>
    <w:rsid w:val="00B60756"/>
    <w:rsid w:val="00B6128E"/>
    <w:rsid w:val="00B612F8"/>
    <w:rsid w:val="00B6206B"/>
    <w:rsid w:val="00B62A63"/>
    <w:rsid w:val="00B62AB5"/>
    <w:rsid w:val="00B63243"/>
    <w:rsid w:val="00B633D3"/>
    <w:rsid w:val="00B6369E"/>
    <w:rsid w:val="00B639A3"/>
    <w:rsid w:val="00B6459E"/>
    <w:rsid w:val="00B64A7D"/>
    <w:rsid w:val="00B64A88"/>
    <w:rsid w:val="00B650D3"/>
    <w:rsid w:val="00B6515C"/>
    <w:rsid w:val="00B6523B"/>
    <w:rsid w:val="00B65271"/>
    <w:rsid w:val="00B65F1E"/>
    <w:rsid w:val="00B6646E"/>
    <w:rsid w:val="00B664C0"/>
    <w:rsid w:val="00B667BE"/>
    <w:rsid w:val="00B66DA9"/>
    <w:rsid w:val="00B66F52"/>
    <w:rsid w:val="00B678A7"/>
    <w:rsid w:val="00B70EBB"/>
    <w:rsid w:val="00B70FC5"/>
    <w:rsid w:val="00B7187D"/>
    <w:rsid w:val="00B719DF"/>
    <w:rsid w:val="00B71A72"/>
    <w:rsid w:val="00B72AAC"/>
    <w:rsid w:val="00B735D8"/>
    <w:rsid w:val="00B7391F"/>
    <w:rsid w:val="00B739E9"/>
    <w:rsid w:val="00B73C49"/>
    <w:rsid w:val="00B746E5"/>
    <w:rsid w:val="00B74760"/>
    <w:rsid w:val="00B74B15"/>
    <w:rsid w:val="00B7525B"/>
    <w:rsid w:val="00B75621"/>
    <w:rsid w:val="00B767A8"/>
    <w:rsid w:val="00B769E6"/>
    <w:rsid w:val="00B76F76"/>
    <w:rsid w:val="00B77E43"/>
    <w:rsid w:val="00B77F46"/>
    <w:rsid w:val="00B804AA"/>
    <w:rsid w:val="00B80938"/>
    <w:rsid w:val="00B80A62"/>
    <w:rsid w:val="00B80C4C"/>
    <w:rsid w:val="00B8107C"/>
    <w:rsid w:val="00B81689"/>
    <w:rsid w:val="00B81730"/>
    <w:rsid w:val="00B817F3"/>
    <w:rsid w:val="00B8185B"/>
    <w:rsid w:val="00B818E4"/>
    <w:rsid w:val="00B82E55"/>
    <w:rsid w:val="00B82F6C"/>
    <w:rsid w:val="00B831BA"/>
    <w:rsid w:val="00B84428"/>
    <w:rsid w:val="00B8461D"/>
    <w:rsid w:val="00B848FB"/>
    <w:rsid w:val="00B84C2D"/>
    <w:rsid w:val="00B84D9F"/>
    <w:rsid w:val="00B84E4B"/>
    <w:rsid w:val="00B84FFA"/>
    <w:rsid w:val="00B855A6"/>
    <w:rsid w:val="00B859A3"/>
    <w:rsid w:val="00B85AC6"/>
    <w:rsid w:val="00B85B59"/>
    <w:rsid w:val="00B864F0"/>
    <w:rsid w:val="00B86883"/>
    <w:rsid w:val="00B86A63"/>
    <w:rsid w:val="00B872BD"/>
    <w:rsid w:val="00B87F3A"/>
    <w:rsid w:val="00B90715"/>
    <w:rsid w:val="00B908FF"/>
    <w:rsid w:val="00B90B5D"/>
    <w:rsid w:val="00B90D7F"/>
    <w:rsid w:val="00B91324"/>
    <w:rsid w:val="00B9178B"/>
    <w:rsid w:val="00B91AC2"/>
    <w:rsid w:val="00B91B88"/>
    <w:rsid w:val="00B91E69"/>
    <w:rsid w:val="00B91F70"/>
    <w:rsid w:val="00B92423"/>
    <w:rsid w:val="00B9273B"/>
    <w:rsid w:val="00B927A1"/>
    <w:rsid w:val="00B92F1E"/>
    <w:rsid w:val="00B931FE"/>
    <w:rsid w:val="00B93205"/>
    <w:rsid w:val="00B93431"/>
    <w:rsid w:val="00B94476"/>
    <w:rsid w:val="00B948B7"/>
    <w:rsid w:val="00B948F4"/>
    <w:rsid w:val="00B959F0"/>
    <w:rsid w:val="00B95D28"/>
    <w:rsid w:val="00B95F2B"/>
    <w:rsid w:val="00B96578"/>
    <w:rsid w:val="00B9679B"/>
    <w:rsid w:val="00B96F86"/>
    <w:rsid w:val="00B970A1"/>
    <w:rsid w:val="00B97144"/>
    <w:rsid w:val="00B9721D"/>
    <w:rsid w:val="00B97822"/>
    <w:rsid w:val="00BA0A1D"/>
    <w:rsid w:val="00BA0A28"/>
    <w:rsid w:val="00BA10F2"/>
    <w:rsid w:val="00BA130E"/>
    <w:rsid w:val="00BA2533"/>
    <w:rsid w:val="00BA26E6"/>
    <w:rsid w:val="00BA280D"/>
    <w:rsid w:val="00BA2D61"/>
    <w:rsid w:val="00BA2E77"/>
    <w:rsid w:val="00BA2F7F"/>
    <w:rsid w:val="00BA2FA5"/>
    <w:rsid w:val="00BA30A9"/>
    <w:rsid w:val="00BA3876"/>
    <w:rsid w:val="00BA448A"/>
    <w:rsid w:val="00BA4AC2"/>
    <w:rsid w:val="00BA4EE5"/>
    <w:rsid w:val="00BA5358"/>
    <w:rsid w:val="00BA5975"/>
    <w:rsid w:val="00BA657A"/>
    <w:rsid w:val="00BA680A"/>
    <w:rsid w:val="00BA6C50"/>
    <w:rsid w:val="00BA711F"/>
    <w:rsid w:val="00BA7C7A"/>
    <w:rsid w:val="00BB0414"/>
    <w:rsid w:val="00BB0541"/>
    <w:rsid w:val="00BB06E0"/>
    <w:rsid w:val="00BB0788"/>
    <w:rsid w:val="00BB0C6E"/>
    <w:rsid w:val="00BB1057"/>
    <w:rsid w:val="00BB1194"/>
    <w:rsid w:val="00BB1B9F"/>
    <w:rsid w:val="00BB25DA"/>
    <w:rsid w:val="00BB2A14"/>
    <w:rsid w:val="00BB2B5F"/>
    <w:rsid w:val="00BB35A5"/>
    <w:rsid w:val="00BB44D7"/>
    <w:rsid w:val="00BB45AE"/>
    <w:rsid w:val="00BB4B0D"/>
    <w:rsid w:val="00BB556B"/>
    <w:rsid w:val="00BB6570"/>
    <w:rsid w:val="00BB661F"/>
    <w:rsid w:val="00BB6820"/>
    <w:rsid w:val="00BB725D"/>
    <w:rsid w:val="00BB758D"/>
    <w:rsid w:val="00BC095F"/>
    <w:rsid w:val="00BC0CAE"/>
    <w:rsid w:val="00BC0F73"/>
    <w:rsid w:val="00BC126C"/>
    <w:rsid w:val="00BC127E"/>
    <w:rsid w:val="00BC199D"/>
    <w:rsid w:val="00BC2B38"/>
    <w:rsid w:val="00BC2B8F"/>
    <w:rsid w:val="00BC388A"/>
    <w:rsid w:val="00BC3AA5"/>
    <w:rsid w:val="00BC3AD7"/>
    <w:rsid w:val="00BC3CE7"/>
    <w:rsid w:val="00BC3CE9"/>
    <w:rsid w:val="00BC3FFE"/>
    <w:rsid w:val="00BC40BD"/>
    <w:rsid w:val="00BC433D"/>
    <w:rsid w:val="00BC52D4"/>
    <w:rsid w:val="00BC59DF"/>
    <w:rsid w:val="00BC6D73"/>
    <w:rsid w:val="00BC7142"/>
    <w:rsid w:val="00BC738B"/>
    <w:rsid w:val="00BC79EA"/>
    <w:rsid w:val="00BC7B09"/>
    <w:rsid w:val="00BC7D38"/>
    <w:rsid w:val="00BD058B"/>
    <w:rsid w:val="00BD05D6"/>
    <w:rsid w:val="00BD0748"/>
    <w:rsid w:val="00BD0CE3"/>
    <w:rsid w:val="00BD0DF8"/>
    <w:rsid w:val="00BD1260"/>
    <w:rsid w:val="00BD2B1E"/>
    <w:rsid w:val="00BD2CAB"/>
    <w:rsid w:val="00BD3025"/>
    <w:rsid w:val="00BD3035"/>
    <w:rsid w:val="00BD3237"/>
    <w:rsid w:val="00BD324C"/>
    <w:rsid w:val="00BD32BC"/>
    <w:rsid w:val="00BD398E"/>
    <w:rsid w:val="00BD4574"/>
    <w:rsid w:val="00BD4853"/>
    <w:rsid w:val="00BD4A72"/>
    <w:rsid w:val="00BD4C1B"/>
    <w:rsid w:val="00BD5B91"/>
    <w:rsid w:val="00BD62E4"/>
    <w:rsid w:val="00BD674D"/>
    <w:rsid w:val="00BD680A"/>
    <w:rsid w:val="00BD6E51"/>
    <w:rsid w:val="00BD71AC"/>
    <w:rsid w:val="00BD7417"/>
    <w:rsid w:val="00BD7683"/>
    <w:rsid w:val="00BD79D8"/>
    <w:rsid w:val="00BE0304"/>
    <w:rsid w:val="00BE0580"/>
    <w:rsid w:val="00BE08D7"/>
    <w:rsid w:val="00BE09B6"/>
    <w:rsid w:val="00BE1234"/>
    <w:rsid w:val="00BE128E"/>
    <w:rsid w:val="00BE12E3"/>
    <w:rsid w:val="00BE2084"/>
    <w:rsid w:val="00BE23D0"/>
    <w:rsid w:val="00BE3610"/>
    <w:rsid w:val="00BE37CA"/>
    <w:rsid w:val="00BE40DF"/>
    <w:rsid w:val="00BE570A"/>
    <w:rsid w:val="00BE5B68"/>
    <w:rsid w:val="00BE5BE0"/>
    <w:rsid w:val="00BE618C"/>
    <w:rsid w:val="00BE619E"/>
    <w:rsid w:val="00BE623E"/>
    <w:rsid w:val="00BE6780"/>
    <w:rsid w:val="00BE7554"/>
    <w:rsid w:val="00BE7E67"/>
    <w:rsid w:val="00BE7F3D"/>
    <w:rsid w:val="00BF0027"/>
    <w:rsid w:val="00BF0303"/>
    <w:rsid w:val="00BF0461"/>
    <w:rsid w:val="00BF0568"/>
    <w:rsid w:val="00BF06B4"/>
    <w:rsid w:val="00BF0E77"/>
    <w:rsid w:val="00BF0E78"/>
    <w:rsid w:val="00BF1336"/>
    <w:rsid w:val="00BF1B5A"/>
    <w:rsid w:val="00BF1B92"/>
    <w:rsid w:val="00BF3843"/>
    <w:rsid w:val="00BF499D"/>
    <w:rsid w:val="00BF4BE8"/>
    <w:rsid w:val="00BF4D64"/>
    <w:rsid w:val="00BF53BF"/>
    <w:rsid w:val="00BF55D6"/>
    <w:rsid w:val="00BF5AA3"/>
    <w:rsid w:val="00BF6067"/>
    <w:rsid w:val="00BF62E8"/>
    <w:rsid w:val="00BF637B"/>
    <w:rsid w:val="00BF6C0F"/>
    <w:rsid w:val="00BF6F3D"/>
    <w:rsid w:val="00BF708D"/>
    <w:rsid w:val="00BF7323"/>
    <w:rsid w:val="00BF7585"/>
    <w:rsid w:val="00BF771D"/>
    <w:rsid w:val="00BF7750"/>
    <w:rsid w:val="00BF7FD0"/>
    <w:rsid w:val="00BF7FE5"/>
    <w:rsid w:val="00C0018E"/>
    <w:rsid w:val="00C002AE"/>
    <w:rsid w:val="00C004AA"/>
    <w:rsid w:val="00C0056C"/>
    <w:rsid w:val="00C00826"/>
    <w:rsid w:val="00C00CEF"/>
    <w:rsid w:val="00C00D5D"/>
    <w:rsid w:val="00C01303"/>
    <w:rsid w:val="00C01627"/>
    <w:rsid w:val="00C01D0A"/>
    <w:rsid w:val="00C02413"/>
    <w:rsid w:val="00C02B89"/>
    <w:rsid w:val="00C02BA0"/>
    <w:rsid w:val="00C02BB5"/>
    <w:rsid w:val="00C02CDC"/>
    <w:rsid w:val="00C02E33"/>
    <w:rsid w:val="00C03870"/>
    <w:rsid w:val="00C03D18"/>
    <w:rsid w:val="00C03F4B"/>
    <w:rsid w:val="00C04021"/>
    <w:rsid w:val="00C0456F"/>
    <w:rsid w:val="00C047F0"/>
    <w:rsid w:val="00C04ABE"/>
    <w:rsid w:val="00C04BC3"/>
    <w:rsid w:val="00C058B7"/>
    <w:rsid w:val="00C05EB5"/>
    <w:rsid w:val="00C067B6"/>
    <w:rsid w:val="00C06A03"/>
    <w:rsid w:val="00C0747D"/>
    <w:rsid w:val="00C075A5"/>
    <w:rsid w:val="00C079B4"/>
    <w:rsid w:val="00C07E81"/>
    <w:rsid w:val="00C10489"/>
    <w:rsid w:val="00C1062B"/>
    <w:rsid w:val="00C10931"/>
    <w:rsid w:val="00C10C9C"/>
    <w:rsid w:val="00C10D69"/>
    <w:rsid w:val="00C11138"/>
    <w:rsid w:val="00C116A0"/>
    <w:rsid w:val="00C11F53"/>
    <w:rsid w:val="00C1205F"/>
    <w:rsid w:val="00C12546"/>
    <w:rsid w:val="00C131BD"/>
    <w:rsid w:val="00C133CF"/>
    <w:rsid w:val="00C1381D"/>
    <w:rsid w:val="00C13B7C"/>
    <w:rsid w:val="00C13D51"/>
    <w:rsid w:val="00C1406D"/>
    <w:rsid w:val="00C14270"/>
    <w:rsid w:val="00C142E0"/>
    <w:rsid w:val="00C14694"/>
    <w:rsid w:val="00C146AE"/>
    <w:rsid w:val="00C14F1F"/>
    <w:rsid w:val="00C14F65"/>
    <w:rsid w:val="00C1503E"/>
    <w:rsid w:val="00C1542C"/>
    <w:rsid w:val="00C15749"/>
    <w:rsid w:val="00C15E6C"/>
    <w:rsid w:val="00C16AD6"/>
    <w:rsid w:val="00C16B7B"/>
    <w:rsid w:val="00C17236"/>
    <w:rsid w:val="00C17720"/>
    <w:rsid w:val="00C17DBF"/>
    <w:rsid w:val="00C20915"/>
    <w:rsid w:val="00C20A0A"/>
    <w:rsid w:val="00C20B81"/>
    <w:rsid w:val="00C2103D"/>
    <w:rsid w:val="00C212BF"/>
    <w:rsid w:val="00C21B5E"/>
    <w:rsid w:val="00C21ED6"/>
    <w:rsid w:val="00C2231F"/>
    <w:rsid w:val="00C2269F"/>
    <w:rsid w:val="00C227CB"/>
    <w:rsid w:val="00C22A3B"/>
    <w:rsid w:val="00C232D1"/>
    <w:rsid w:val="00C233B7"/>
    <w:rsid w:val="00C23FC3"/>
    <w:rsid w:val="00C245BE"/>
    <w:rsid w:val="00C24726"/>
    <w:rsid w:val="00C24943"/>
    <w:rsid w:val="00C24C14"/>
    <w:rsid w:val="00C24D47"/>
    <w:rsid w:val="00C25E2F"/>
    <w:rsid w:val="00C26221"/>
    <w:rsid w:val="00C2625B"/>
    <w:rsid w:val="00C264EA"/>
    <w:rsid w:val="00C269BF"/>
    <w:rsid w:val="00C26C91"/>
    <w:rsid w:val="00C26D32"/>
    <w:rsid w:val="00C26D6D"/>
    <w:rsid w:val="00C30789"/>
    <w:rsid w:val="00C30EE6"/>
    <w:rsid w:val="00C31226"/>
    <w:rsid w:val="00C31641"/>
    <w:rsid w:val="00C31CE9"/>
    <w:rsid w:val="00C32013"/>
    <w:rsid w:val="00C32A08"/>
    <w:rsid w:val="00C32E6B"/>
    <w:rsid w:val="00C3313B"/>
    <w:rsid w:val="00C336EF"/>
    <w:rsid w:val="00C33763"/>
    <w:rsid w:val="00C33C4D"/>
    <w:rsid w:val="00C34277"/>
    <w:rsid w:val="00C35748"/>
    <w:rsid w:val="00C35DA4"/>
    <w:rsid w:val="00C362BE"/>
    <w:rsid w:val="00C369C7"/>
    <w:rsid w:val="00C36BFA"/>
    <w:rsid w:val="00C36C84"/>
    <w:rsid w:val="00C37AE6"/>
    <w:rsid w:val="00C400D9"/>
    <w:rsid w:val="00C4012B"/>
    <w:rsid w:val="00C402CE"/>
    <w:rsid w:val="00C40F86"/>
    <w:rsid w:val="00C41252"/>
    <w:rsid w:val="00C415E9"/>
    <w:rsid w:val="00C41799"/>
    <w:rsid w:val="00C41B3C"/>
    <w:rsid w:val="00C4225A"/>
    <w:rsid w:val="00C42DC4"/>
    <w:rsid w:val="00C4327F"/>
    <w:rsid w:val="00C4337A"/>
    <w:rsid w:val="00C433EB"/>
    <w:rsid w:val="00C43AE2"/>
    <w:rsid w:val="00C4427F"/>
    <w:rsid w:val="00C44351"/>
    <w:rsid w:val="00C445C4"/>
    <w:rsid w:val="00C4491D"/>
    <w:rsid w:val="00C44B04"/>
    <w:rsid w:val="00C44E80"/>
    <w:rsid w:val="00C450C0"/>
    <w:rsid w:val="00C45623"/>
    <w:rsid w:val="00C46151"/>
    <w:rsid w:val="00C46343"/>
    <w:rsid w:val="00C46495"/>
    <w:rsid w:val="00C469B9"/>
    <w:rsid w:val="00C46CF4"/>
    <w:rsid w:val="00C47464"/>
    <w:rsid w:val="00C47B9E"/>
    <w:rsid w:val="00C502EA"/>
    <w:rsid w:val="00C5080A"/>
    <w:rsid w:val="00C51500"/>
    <w:rsid w:val="00C5151E"/>
    <w:rsid w:val="00C515EB"/>
    <w:rsid w:val="00C51720"/>
    <w:rsid w:val="00C518F3"/>
    <w:rsid w:val="00C52262"/>
    <w:rsid w:val="00C52BB3"/>
    <w:rsid w:val="00C533AB"/>
    <w:rsid w:val="00C53708"/>
    <w:rsid w:val="00C53C06"/>
    <w:rsid w:val="00C53C9F"/>
    <w:rsid w:val="00C53D71"/>
    <w:rsid w:val="00C54103"/>
    <w:rsid w:val="00C5458B"/>
    <w:rsid w:val="00C54F35"/>
    <w:rsid w:val="00C5506B"/>
    <w:rsid w:val="00C55992"/>
    <w:rsid w:val="00C55B89"/>
    <w:rsid w:val="00C55BA4"/>
    <w:rsid w:val="00C55E6E"/>
    <w:rsid w:val="00C5605E"/>
    <w:rsid w:val="00C5610D"/>
    <w:rsid w:val="00C563A3"/>
    <w:rsid w:val="00C566A0"/>
    <w:rsid w:val="00C5680F"/>
    <w:rsid w:val="00C56D7D"/>
    <w:rsid w:val="00C578B9"/>
    <w:rsid w:val="00C603B2"/>
    <w:rsid w:val="00C60D6C"/>
    <w:rsid w:val="00C60F73"/>
    <w:rsid w:val="00C61233"/>
    <w:rsid w:val="00C614F1"/>
    <w:rsid w:val="00C61D1A"/>
    <w:rsid w:val="00C62345"/>
    <w:rsid w:val="00C623D9"/>
    <w:rsid w:val="00C62764"/>
    <w:rsid w:val="00C63296"/>
    <w:rsid w:val="00C63953"/>
    <w:rsid w:val="00C63A44"/>
    <w:rsid w:val="00C64454"/>
    <w:rsid w:val="00C6473E"/>
    <w:rsid w:val="00C64DE7"/>
    <w:rsid w:val="00C64DEC"/>
    <w:rsid w:val="00C65043"/>
    <w:rsid w:val="00C65818"/>
    <w:rsid w:val="00C65B02"/>
    <w:rsid w:val="00C65F66"/>
    <w:rsid w:val="00C66068"/>
    <w:rsid w:val="00C660F9"/>
    <w:rsid w:val="00C666C4"/>
    <w:rsid w:val="00C66FC7"/>
    <w:rsid w:val="00C6727D"/>
    <w:rsid w:val="00C67A6A"/>
    <w:rsid w:val="00C67C16"/>
    <w:rsid w:val="00C70D04"/>
    <w:rsid w:val="00C70F18"/>
    <w:rsid w:val="00C70FF7"/>
    <w:rsid w:val="00C72147"/>
    <w:rsid w:val="00C72149"/>
    <w:rsid w:val="00C72B0F"/>
    <w:rsid w:val="00C72B1C"/>
    <w:rsid w:val="00C72BB4"/>
    <w:rsid w:val="00C72D42"/>
    <w:rsid w:val="00C72DD3"/>
    <w:rsid w:val="00C7412F"/>
    <w:rsid w:val="00C742BA"/>
    <w:rsid w:val="00C7474C"/>
    <w:rsid w:val="00C754DA"/>
    <w:rsid w:val="00C75824"/>
    <w:rsid w:val="00C76175"/>
    <w:rsid w:val="00C76E7A"/>
    <w:rsid w:val="00C773D8"/>
    <w:rsid w:val="00C775DF"/>
    <w:rsid w:val="00C7760F"/>
    <w:rsid w:val="00C803C5"/>
    <w:rsid w:val="00C80C0F"/>
    <w:rsid w:val="00C81177"/>
    <w:rsid w:val="00C814AB"/>
    <w:rsid w:val="00C82B4F"/>
    <w:rsid w:val="00C83329"/>
    <w:rsid w:val="00C83575"/>
    <w:rsid w:val="00C835C8"/>
    <w:rsid w:val="00C83644"/>
    <w:rsid w:val="00C837F9"/>
    <w:rsid w:val="00C8394F"/>
    <w:rsid w:val="00C83F20"/>
    <w:rsid w:val="00C84173"/>
    <w:rsid w:val="00C843B1"/>
    <w:rsid w:val="00C84678"/>
    <w:rsid w:val="00C84749"/>
    <w:rsid w:val="00C847D3"/>
    <w:rsid w:val="00C84B02"/>
    <w:rsid w:val="00C84B0D"/>
    <w:rsid w:val="00C84F9C"/>
    <w:rsid w:val="00C85153"/>
    <w:rsid w:val="00C853E7"/>
    <w:rsid w:val="00C85B1A"/>
    <w:rsid w:val="00C86AE9"/>
    <w:rsid w:val="00C86EDB"/>
    <w:rsid w:val="00C87070"/>
    <w:rsid w:val="00C8714B"/>
    <w:rsid w:val="00C87170"/>
    <w:rsid w:val="00C8731F"/>
    <w:rsid w:val="00C87414"/>
    <w:rsid w:val="00C87896"/>
    <w:rsid w:val="00C87A48"/>
    <w:rsid w:val="00C87FBE"/>
    <w:rsid w:val="00C9066E"/>
    <w:rsid w:val="00C90A81"/>
    <w:rsid w:val="00C90E64"/>
    <w:rsid w:val="00C90E82"/>
    <w:rsid w:val="00C927EA"/>
    <w:rsid w:val="00C92815"/>
    <w:rsid w:val="00C929F1"/>
    <w:rsid w:val="00C92F04"/>
    <w:rsid w:val="00C93448"/>
    <w:rsid w:val="00C9350E"/>
    <w:rsid w:val="00C9374E"/>
    <w:rsid w:val="00C93C14"/>
    <w:rsid w:val="00C9411C"/>
    <w:rsid w:val="00C9427A"/>
    <w:rsid w:val="00C948F9"/>
    <w:rsid w:val="00C949FC"/>
    <w:rsid w:val="00C94F3B"/>
    <w:rsid w:val="00C96463"/>
    <w:rsid w:val="00C96615"/>
    <w:rsid w:val="00C96751"/>
    <w:rsid w:val="00C9693D"/>
    <w:rsid w:val="00C9699A"/>
    <w:rsid w:val="00C975B4"/>
    <w:rsid w:val="00CA0256"/>
    <w:rsid w:val="00CA0CCC"/>
    <w:rsid w:val="00CA0D27"/>
    <w:rsid w:val="00CA1340"/>
    <w:rsid w:val="00CA151B"/>
    <w:rsid w:val="00CA152E"/>
    <w:rsid w:val="00CA16CB"/>
    <w:rsid w:val="00CA17E8"/>
    <w:rsid w:val="00CA24B6"/>
    <w:rsid w:val="00CA25F4"/>
    <w:rsid w:val="00CA2783"/>
    <w:rsid w:val="00CA33B4"/>
    <w:rsid w:val="00CA391D"/>
    <w:rsid w:val="00CA3A6A"/>
    <w:rsid w:val="00CA4565"/>
    <w:rsid w:val="00CA46F5"/>
    <w:rsid w:val="00CA4BDC"/>
    <w:rsid w:val="00CA4CFA"/>
    <w:rsid w:val="00CA53EE"/>
    <w:rsid w:val="00CA55A9"/>
    <w:rsid w:val="00CA5B7E"/>
    <w:rsid w:val="00CA602D"/>
    <w:rsid w:val="00CA611F"/>
    <w:rsid w:val="00CA627D"/>
    <w:rsid w:val="00CA667E"/>
    <w:rsid w:val="00CA6791"/>
    <w:rsid w:val="00CA6C8C"/>
    <w:rsid w:val="00CA6CF3"/>
    <w:rsid w:val="00CA7122"/>
    <w:rsid w:val="00CA7468"/>
    <w:rsid w:val="00CB0066"/>
    <w:rsid w:val="00CB02A3"/>
    <w:rsid w:val="00CB052B"/>
    <w:rsid w:val="00CB0A66"/>
    <w:rsid w:val="00CB0C18"/>
    <w:rsid w:val="00CB19A0"/>
    <w:rsid w:val="00CB1CED"/>
    <w:rsid w:val="00CB22D2"/>
    <w:rsid w:val="00CB2960"/>
    <w:rsid w:val="00CB2F3B"/>
    <w:rsid w:val="00CB33F3"/>
    <w:rsid w:val="00CB447E"/>
    <w:rsid w:val="00CB4700"/>
    <w:rsid w:val="00CB480D"/>
    <w:rsid w:val="00CB59A3"/>
    <w:rsid w:val="00CB643E"/>
    <w:rsid w:val="00CB64EE"/>
    <w:rsid w:val="00CB70C0"/>
    <w:rsid w:val="00CB735D"/>
    <w:rsid w:val="00CB77E9"/>
    <w:rsid w:val="00CC0475"/>
    <w:rsid w:val="00CC0571"/>
    <w:rsid w:val="00CC06E8"/>
    <w:rsid w:val="00CC08D6"/>
    <w:rsid w:val="00CC0FF5"/>
    <w:rsid w:val="00CC16F1"/>
    <w:rsid w:val="00CC16F4"/>
    <w:rsid w:val="00CC1AAE"/>
    <w:rsid w:val="00CC2470"/>
    <w:rsid w:val="00CC2B30"/>
    <w:rsid w:val="00CC2B5D"/>
    <w:rsid w:val="00CC3819"/>
    <w:rsid w:val="00CC3C06"/>
    <w:rsid w:val="00CC3E7E"/>
    <w:rsid w:val="00CC3F5B"/>
    <w:rsid w:val="00CC44A7"/>
    <w:rsid w:val="00CC4766"/>
    <w:rsid w:val="00CC47E7"/>
    <w:rsid w:val="00CC500F"/>
    <w:rsid w:val="00CC5219"/>
    <w:rsid w:val="00CC53AB"/>
    <w:rsid w:val="00CC5844"/>
    <w:rsid w:val="00CC5FC6"/>
    <w:rsid w:val="00CC6029"/>
    <w:rsid w:val="00CC6A12"/>
    <w:rsid w:val="00CC6E80"/>
    <w:rsid w:val="00CC6FBE"/>
    <w:rsid w:val="00CC7F08"/>
    <w:rsid w:val="00CD055A"/>
    <w:rsid w:val="00CD06F4"/>
    <w:rsid w:val="00CD1B0A"/>
    <w:rsid w:val="00CD2D35"/>
    <w:rsid w:val="00CD2D75"/>
    <w:rsid w:val="00CD316D"/>
    <w:rsid w:val="00CD4F3D"/>
    <w:rsid w:val="00CD519E"/>
    <w:rsid w:val="00CD5376"/>
    <w:rsid w:val="00CD53F9"/>
    <w:rsid w:val="00CD5E2E"/>
    <w:rsid w:val="00CD64B0"/>
    <w:rsid w:val="00CD691C"/>
    <w:rsid w:val="00CD7158"/>
    <w:rsid w:val="00CD7F64"/>
    <w:rsid w:val="00CE0C79"/>
    <w:rsid w:val="00CE1009"/>
    <w:rsid w:val="00CE1309"/>
    <w:rsid w:val="00CE18EF"/>
    <w:rsid w:val="00CE1C81"/>
    <w:rsid w:val="00CE2178"/>
    <w:rsid w:val="00CE21C1"/>
    <w:rsid w:val="00CE222C"/>
    <w:rsid w:val="00CE24A5"/>
    <w:rsid w:val="00CE2CD5"/>
    <w:rsid w:val="00CE4060"/>
    <w:rsid w:val="00CE4417"/>
    <w:rsid w:val="00CE50B5"/>
    <w:rsid w:val="00CE54BE"/>
    <w:rsid w:val="00CE55A8"/>
    <w:rsid w:val="00CE57CB"/>
    <w:rsid w:val="00CE635C"/>
    <w:rsid w:val="00CE7CA1"/>
    <w:rsid w:val="00CF0288"/>
    <w:rsid w:val="00CF0B06"/>
    <w:rsid w:val="00CF0B52"/>
    <w:rsid w:val="00CF0B68"/>
    <w:rsid w:val="00CF108D"/>
    <w:rsid w:val="00CF1143"/>
    <w:rsid w:val="00CF15C2"/>
    <w:rsid w:val="00CF3097"/>
    <w:rsid w:val="00CF3156"/>
    <w:rsid w:val="00CF32CD"/>
    <w:rsid w:val="00CF3425"/>
    <w:rsid w:val="00CF34B4"/>
    <w:rsid w:val="00CF373A"/>
    <w:rsid w:val="00CF430F"/>
    <w:rsid w:val="00CF45A6"/>
    <w:rsid w:val="00CF4A4E"/>
    <w:rsid w:val="00CF5640"/>
    <w:rsid w:val="00CF58E8"/>
    <w:rsid w:val="00CF60E3"/>
    <w:rsid w:val="00CF6BF6"/>
    <w:rsid w:val="00CF6FFE"/>
    <w:rsid w:val="00CF702F"/>
    <w:rsid w:val="00CF7366"/>
    <w:rsid w:val="00CF7464"/>
    <w:rsid w:val="00CF776E"/>
    <w:rsid w:val="00CF7947"/>
    <w:rsid w:val="00D000CC"/>
    <w:rsid w:val="00D00258"/>
    <w:rsid w:val="00D0075B"/>
    <w:rsid w:val="00D00DD9"/>
    <w:rsid w:val="00D00E54"/>
    <w:rsid w:val="00D01098"/>
    <w:rsid w:val="00D01103"/>
    <w:rsid w:val="00D013BC"/>
    <w:rsid w:val="00D01553"/>
    <w:rsid w:val="00D01C65"/>
    <w:rsid w:val="00D020AB"/>
    <w:rsid w:val="00D0269B"/>
    <w:rsid w:val="00D02E07"/>
    <w:rsid w:val="00D03146"/>
    <w:rsid w:val="00D0320C"/>
    <w:rsid w:val="00D03D0A"/>
    <w:rsid w:val="00D03FD2"/>
    <w:rsid w:val="00D04613"/>
    <w:rsid w:val="00D049E1"/>
    <w:rsid w:val="00D04A7D"/>
    <w:rsid w:val="00D04E08"/>
    <w:rsid w:val="00D05623"/>
    <w:rsid w:val="00D05EFA"/>
    <w:rsid w:val="00D062E0"/>
    <w:rsid w:val="00D07490"/>
    <w:rsid w:val="00D1020C"/>
    <w:rsid w:val="00D10CC1"/>
    <w:rsid w:val="00D10E0D"/>
    <w:rsid w:val="00D10ECC"/>
    <w:rsid w:val="00D10FAE"/>
    <w:rsid w:val="00D11320"/>
    <w:rsid w:val="00D1176F"/>
    <w:rsid w:val="00D120D7"/>
    <w:rsid w:val="00D126BB"/>
    <w:rsid w:val="00D1348D"/>
    <w:rsid w:val="00D136E3"/>
    <w:rsid w:val="00D14462"/>
    <w:rsid w:val="00D1472D"/>
    <w:rsid w:val="00D14A32"/>
    <w:rsid w:val="00D14BA9"/>
    <w:rsid w:val="00D15A36"/>
    <w:rsid w:val="00D15FE3"/>
    <w:rsid w:val="00D1614B"/>
    <w:rsid w:val="00D16642"/>
    <w:rsid w:val="00D166E6"/>
    <w:rsid w:val="00D16B9B"/>
    <w:rsid w:val="00D17182"/>
    <w:rsid w:val="00D1747F"/>
    <w:rsid w:val="00D20546"/>
    <w:rsid w:val="00D2154C"/>
    <w:rsid w:val="00D2295D"/>
    <w:rsid w:val="00D22E72"/>
    <w:rsid w:val="00D234BB"/>
    <w:rsid w:val="00D2367A"/>
    <w:rsid w:val="00D23BA9"/>
    <w:rsid w:val="00D2413A"/>
    <w:rsid w:val="00D243CB"/>
    <w:rsid w:val="00D24A84"/>
    <w:rsid w:val="00D255F3"/>
    <w:rsid w:val="00D257A4"/>
    <w:rsid w:val="00D258EF"/>
    <w:rsid w:val="00D262B4"/>
    <w:rsid w:val="00D264C2"/>
    <w:rsid w:val="00D26648"/>
    <w:rsid w:val="00D266B4"/>
    <w:rsid w:val="00D266D3"/>
    <w:rsid w:val="00D268E9"/>
    <w:rsid w:val="00D26B1A"/>
    <w:rsid w:val="00D26B7F"/>
    <w:rsid w:val="00D270A5"/>
    <w:rsid w:val="00D2712E"/>
    <w:rsid w:val="00D30AD3"/>
    <w:rsid w:val="00D30CD8"/>
    <w:rsid w:val="00D3119E"/>
    <w:rsid w:val="00D31588"/>
    <w:rsid w:val="00D31D05"/>
    <w:rsid w:val="00D32683"/>
    <w:rsid w:val="00D32787"/>
    <w:rsid w:val="00D32DD2"/>
    <w:rsid w:val="00D33547"/>
    <w:rsid w:val="00D34124"/>
    <w:rsid w:val="00D34C74"/>
    <w:rsid w:val="00D34D3B"/>
    <w:rsid w:val="00D34E33"/>
    <w:rsid w:val="00D350B6"/>
    <w:rsid w:val="00D35CE1"/>
    <w:rsid w:val="00D35FD0"/>
    <w:rsid w:val="00D36206"/>
    <w:rsid w:val="00D36BE9"/>
    <w:rsid w:val="00D36BF2"/>
    <w:rsid w:val="00D36D9A"/>
    <w:rsid w:val="00D37139"/>
    <w:rsid w:val="00D37724"/>
    <w:rsid w:val="00D379B0"/>
    <w:rsid w:val="00D4057E"/>
    <w:rsid w:val="00D40ADF"/>
    <w:rsid w:val="00D4122A"/>
    <w:rsid w:val="00D4130E"/>
    <w:rsid w:val="00D41C65"/>
    <w:rsid w:val="00D4218D"/>
    <w:rsid w:val="00D42946"/>
    <w:rsid w:val="00D42CCA"/>
    <w:rsid w:val="00D4344C"/>
    <w:rsid w:val="00D43B8C"/>
    <w:rsid w:val="00D43C14"/>
    <w:rsid w:val="00D43F05"/>
    <w:rsid w:val="00D43F16"/>
    <w:rsid w:val="00D4453D"/>
    <w:rsid w:val="00D44745"/>
    <w:rsid w:val="00D44CC4"/>
    <w:rsid w:val="00D45183"/>
    <w:rsid w:val="00D45312"/>
    <w:rsid w:val="00D45790"/>
    <w:rsid w:val="00D457BE"/>
    <w:rsid w:val="00D45846"/>
    <w:rsid w:val="00D464AA"/>
    <w:rsid w:val="00D4690E"/>
    <w:rsid w:val="00D46B78"/>
    <w:rsid w:val="00D4735E"/>
    <w:rsid w:val="00D47556"/>
    <w:rsid w:val="00D477CC"/>
    <w:rsid w:val="00D47C3A"/>
    <w:rsid w:val="00D50205"/>
    <w:rsid w:val="00D50A6A"/>
    <w:rsid w:val="00D50BC5"/>
    <w:rsid w:val="00D5202C"/>
    <w:rsid w:val="00D53503"/>
    <w:rsid w:val="00D54148"/>
    <w:rsid w:val="00D54687"/>
    <w:rsid w:val="00D54886"/>
    <w:rsid w:val="00D5563C"/>
    <w:rsid w:val="00D55C4C"/>
    <w:rsid w:val="00D55FD2"/>
    <w:rsid w:val="00D5692B"/>
    <w:rsid w:val="00D56BD8"/>
    <w:rsid w:val="00D5713A"/>
    <w:rsid w:val="00D575BD"/>
    <w:rsid w:val="00D57C97"/>
    <w:rsid w:val="00D57E4D"/>
    <w:rsid w:val="00D60D9E"/>
    <w:rsid w:val="00D60DAE"/>
    <w:rsid w:val="00D613B5"/>
    <w:rsid w:val="00D617FB"/>
    <w:rsid w:val="00D618EB"/>
    <w:rsid w:val="00D619E3"/>
    <w:rsid w:val="00D62088"/>
    <w:rsid w:val="00D623F6"/>
    <w:rsid w:val="00D62595"/>
    <w:rsid w:val="00D6292B"/>
    <w:rsid w:val="00D62F9A"/>
    <w:rsid w:val="00D63099"/>
    <w:rsid w:val="00D6318A"/>
    <w:rsid w:val="00D63AFA"/>
    <w:rsid w:val="00D63D26"/>
    <w:rsid w:val="00D63DBF"/>
    <w:rsid w:val="00D63E76"/>
    <w:rsid w:val="00D63F36"/>
    <w:rsid w:val="00D640C3"/>
    <w:rsid w:val="00D64137"/>
    <w:rsid w:val="00D6426E"/>
    <w:rsid w:val="00D64FD8"/>
    <w:rsid w:val="00D65E0F"/>
    <w:rsid w:val="00D65F12"/>
    <w:rsid w:val="00D66018"/>
    <w:rsid w:val="00D661A5"/>
    <w:rsid w:val="00D66827"/>
    <w:rsid w:val="00D66B6E"/>
    <w:rsid w:val="00D66C07"/>
    <w:rsid w:val="00D675F6"/>
    <w:rsid w:val="00D67818"/>
    <w:rsid w:val="00D70DB9"/>
    <w:rsid w:val="00D711E5"/>
    <w:rsid w:val="00D71236"/>
    <w:rsid w:val="00D714A2"/>
    <w:rsid w:val="00D72639"/>
    <w:rsid w:val="00D72938"/>
    <w:rsid w:val="00D7298B"/>
    <w:rsid w:val="00D73144"/>
    <w:rsid w:val="00D73568"/>
    <w:rsid w:val="00D737AD"/>
    <w:rsid w:val="00D73BD8"/>
    <w:rsid w:val="00D73D0E"/>
    <w:rsid w:val="00D74CB8"/>
    <w:rsid w:val="00D7517E"/>
    <w:rsid w:val="00D754CC"/>
    <w:rsid w:val="00D75E1D"/>
    <w:rsid w:val="00D76470"/>
    <w:rsid w:val="00D76577"/>
    <w:rsid w:val="00D76814"/>
    <w:rsid w:val="00D76BDF"/>
    <w:rsid w:val="00D76D7A"/>
    <w:rsid w:val="00D8046A"/>
    <w:rsid w:val="00D8068D"/>
    <w:rsid w:val="00D807F1"/>
    <w:rsid w:val="00D81345"/>
    <w:rsid w:val="00D818EE"/>
    <w:rsid w:val="00D82069"/>
    <w:rsid w:val="00D824A8"/>
    <w:rsid w:val="00D83F54"/>
    <w:rsid w:val="00D8439E"/>
    <w:rsid w:val="00D84653"/>
    <w:rsid w:val="00D84681"/>
    <w:rsid w:val="00D84F07"/>
    <w:rsid w:val="00D85170"/>
    <w:rsid w:val="00D85492"/>
    <w:rsid w:val="00D85727"/>
    <w:rsid w:val="00D8575C"/>
    <w:rsid w:val="00D8594F"/>
    <w:rsid w:val="00D85D40"/>
    <w:rsid w:val="00D8659A"/>
    <w:rsid w:val="00D8685A"/>
    <w:rsid w:val="00D86985"/>
    <w:rsid w:val="00D869C6"/>
    <w:rsid w:val="00D86D99"/>
    <w:rsid w:val="00D86F8A"/>
    <w:rsid w:val="00D87C93"/>
    <w:rsid w:val="00D87CBA"/>
    <w:rsid w:val="00D90324"/>
    <w:rsid w:val="00D90374"/>
    <w:rsid w:val="00D91081"/>
    <w:rsid w:val="00D912EE"/>
    <w:rsid w:val="00D91520"/>
    <w:rsid w:val="00D9172E"/>
    <w:rsid w:val="00D918A4"/>
    <w:rsid w:val="00D91946"/>
    <w:rsid w:val="00D924B0"/>
    <w:rsid w:val="00D92E15"/>
    <w:rsid w:val="00D931F9"/>
    <w:rsid w:val="00D93BF1"/>
    <w:rsid w:val="00D93E7B"/>
    <w:rsid w:val="00D9495D"/>
    <w:rsid w:val="00D94ACD"/>
    <w:rsid w:val="00D94BEE"/>
    <w:rsid w:val="00D95B35"/>
    <w:rsid w:val="00D95CE4"/>
    <w:rsid w:val="00D96349"/>
    <w:rsid w:val="00D96C71"/>
    <w:rsid w:val="00D96D43"/>
    <w:rsid w:val="00DA0C3B"/>
    <w:rsid w:val="00DA1118"/>
    <w:rsid w:val="00DA168C"/>
    <w:rsid w:val="00DA182F"/>
    <w:rsid w:val="00DA1A7B"/>
    <w:rsid w:val="00DA1F6A"/>
    <w:rsid w:val="00DA31BB"/>
    <w:rsid w:val="00DA3488"/>
    <w:rsid w:val="00DA41EB"/>
    <w:rsid w:val="00DA5A08"/>
    <w:rsid w:val="00DA5D57"/>
    <w:rsid w:val="00DA64A3"/>
    <w:rsid w:val="00DA6B65"/>
    <w:rsid w:val="00DA6BB0"/>
    <w:rsid w:val="00DA6CCD"/>
    <w:rsid w:val="00DA75FA"/>
    <w:rsid w:val="00DA7BDA"/>
    <w:rsid w:val="00DA7C1F"/>
    <w:rsid w:val="00DB0BCC"/>
    <w:rsid w:val="00DB0E79"/>
    <w:rsid w:val="00DB104E"/>
    <w:rsid w:val="00DB12B2"/>
    <w:rsid w:val="00DB1F38"/>
    <w:rsid w:val="00DB1FBB"/>
    <w:rsid w:val="00DB20E2"/>
    <w:rsid w:val="00DB28C6"/>
    <w:rsid w:val="00DB2CA5"/>
    <w:rsid w:val="00DB2E06"/>
    <w:rsid w:val="00DB2ED1"/>
    <w:rsid w:val="00DB337D"/>
    <w:rsid w:val="00DB3767"/>
    <w:rsid w:val="00DB40C0"/>
    <w:rsid w:val="00DB43C9"/>
    <w:rsid w:val="00DB4D73"/>
    <w:rsid w:val="00DB53EB"/>
    <w:rsid w:val="00DB54B8"/>
    <w:rsid w:val="00DB5718"/>
    <w:rsid w:val="00DB5F71"/>
    <w:rsid w:val="00DB60E5"/>
    <w:rsid w:val="00DB61CB"/>
    <w:rsid w:val="00DB6BAB"/>
    <w:rsid w:val="00DB6C16"/>
    <w:rsid w:val="00DB6C58"/>
    <w:rsid w:val="00DB7018"/>
    <w:rsid w:val="00DB71DB"/>
    <w:rsid w:val="00DB72C9"/>
    <w:rsid w:val="00DB730B"/>
    <w:rsid w:val="00DB73EB"/>
    <w:rsid w:val="00DB7C36"/>
    <w:rsid w:val="00DB7FE4"/>
    <w:rsid w:val="00DC0062"/>
    <w:rsid w:val="00DC0472"/>
    <w:rsid w:val="00DC09FF"/>
    <w:rsid w:val="00DC0CC6"/>
    <w:rsid w:val="00DC0E27"/>
    <w:rsid w:val="00DC0FE5"/>
    <w:rsid w:val="00DC11FB"/>
    <w:rsid w:val="00DC16FD"/>
    <w:rsid w:val="00DC187A"/>
    <w:rsid w:val="00DC2052"/>
    <w:rsid w:val="00DC25C3"/>
    <w:rsid w:val="00DC2FD5"/>
    <w:rsid w:val="00DC337F"/>
    <w:rsid w:val="00DC3742"/>
    <w:rsid w:val="00DC3AFE"/>
    <w:rsid w:val="00DC3EA0"/>
    <w:rsid w:val="00DC4567"/>
    <w:rsid w:val="00DC50E6"/>
    <w:rsid w:val="00DC5AAA"/>
    <w:rsid w:val="00DC5B4F"/>
    <w:rsid w:val="00DC5B53"/>
    <w:rsid w:val="00DC61BA"/>
    <w:rsid w:val="00DC636D"/>
    <w:rsid w:val="00DC654C"/>
    <w:rsid w:val="00DC65E8"/>
    <w:rsid w:val="00DC6677"/>
    <w:rsid w:val="00DC6831"/>
    <w:rsid w:val="00DC6B4E"/>
    <w:rsid w:val="00DC6FC2"/>
    <w:rsid w:val="00DC72E7"/>
    <w:rsid w:val="00DC7781"/>
    <w:rsid w:val="00DC7CA8"/>
    <w:rsid w:val="00DD0704"/>
    <w:rsid w:val="00DD0C44"/>
    <w:rsid w:val="00DD132F"/>
    <w:rsid w:val="00DD16F0"/>
    <w:rsid w:val="00DD19F4"/>
    <w:rsid w:val="00DD1D1D"/>
    <w:rsid w:val="00DD1D6D"/>
    <w:rsid w:val="00DD1DFA"/>
    <w:rsid w:val="00DD2529"/>
    <w:rsid w:val="00DD268A"/>
    <w:rsid w:val="00DD32A8"/>
    <w:rsid w:val="00DD3DCB"/>
    <w:rsid w:val="00DD459D"/>
    <w:rsid w:val="00DD4997"/>
    <w:rsid w:val="00DD5A79"/>
    <w:rsid w:val="00DD5F23"/>
    <w:rsid w:val="00DD6B65"/>
    <w:rsid w:val="00DD6DB6"/>
    <w:rsid w:val="00DD728D"/>
    <w:rsid w:val="00DD73F7"/>
    <w:rsid w:val="00DD7595"/>
    <w:rsid w:val="00DD7F95"/>
    <w:rsid w:val="00DE0500"/>
    <w:rsid w:val="00DE0668"/>
    <w:rsid w:val="00DE0782"/>
    <w:rsid w:val="00DE0E4A"/>
    <w:rsid w:val="00DE0E65"/>
    <w:rsid w:val="00DE1663"/>
    <w:rsid w:val="00DE1951"/>
    <w:rsid w:val="00DE21DB"/>
    <w:rsid w:val="00DE2400"/>
    <w:rsid w:val="00DE2C83"/>
    <w:rsid w:val="00DE3102"/>
    <w:rsid w:val="00DE37E7"/>
    <w:rsid w:val="00DE3A2C"/>
    <w:rsid w:val="00DE3B9C"/>
    <w:rsid w:val="00DE3F65"/>
    <w:rsid w:val="00DE433C"/>
    <w:rsid w:val="00DE4B43"/>
    <w:rsid w:val="00DE53C5"/>
    <w:rsid w:val="00DE58D8"/>
    <w:rsid w:val="00DE5982"/>
    <w:rsid w:val="00DE5DB6"/>
    <w:rsid w:val="00DE60D5"/>
    <w:rsid w:val="00DE617D"/>
    <w:rsid w:val="00DE62FE"/>
    <w:rsid w:val="00DE697C"/>
    <w:rsid w:val="00DE6B13"/>
    <w:rsid w:val="00DE6C76"/>
    <w:rsid w:val="00DE7165"/>
    <w:rsid w:val="00DE71B8"/>
    <w:rsid w:val="00DE71BB"/>
    <w:rsid w:val="00DE7849"/>
    <w:rsid w:val="00DE7B5E"/>
    <w:rsid w:val="00DF0143"/>
    <w:rsid w:val="00DF0D82"/>
    <w:rsid w:val="00DF12FB"/>
    <w:rsid w:val="00DF15B4"/>
    <w:rsid w:val="00DF1665"/>
    <w:rsid w:val="00DF166F"/>
    <w:rsid w:val="00DF1739"/>
    <w:rsid w:val="00DF1B9F"/>
    <w:rsid w:val="00DF1BC8"/>
    <w:rsid w:val="00DF251B"/>
    <w:rsid w:val="00DF2A54"/>
    <w:rsid w:val="00DF2B26"/>
    <w:rsid w:val="00DF3D0C"/>
    <w:rsid w:val="00DF3F73"/>
    <w:rsid w:val="00DF490B"/>
    <w:rsid w:val="00DF5349"/>
    <w:rsid w:val="00DF55D1"/>
    <w:rsid w:val="00DF56FA"/>
    <w:rsid w:val="00DF6270"/>
    <w:rsid w:val="00DF643D"/>
    <w:rsid w:val="00DF7568"/>
    <w:rsid w:val="00DF788A"/>
    <w:rsid w:val="00DF7BD2"/>
    <w:rsid w:val="00DF7D20"/>
    <w:rsid w:val="00DF7D2C"/>
    <w:rsid w:val="00DF7D84"/>
    <w:rsid w:val="00DF7FEE"/>
    <w:rsid w:val="00E0067A"/>
    <w:rsid w:val="00E00C90"/>
    <w:rsid w:val="00E00E65"/>
    <w:rsid w:val="00E012F1"/>
    <w:rsid w:val="00E01AC4"/>
    <w:rsid w:val="00E0268C"/>
    <w:rsid w:val="00E026D2"/>
    <w:rsid w:val="00E02A91"/>
    <w:rsid w:val="00E0342F"/>
    <w:rsid w:val="00E03436"/>
    <w:rsid w:val="00E035C7"/>
    <w:rsid w:val="00E03640"/>
    <w:rsid w:val="00E040CB"/>
    <w:rsid w:val="00E044E3"/>
    <w:rsid w:val="00E04D1D"/>
    <w:rsid w:val="00E053DA"/>
    <w:rsid w:val="00E05EB8"/>
    <w:rsid w:val="00E0662F"/>
    <w:rsid w:val="00E0670E"/>
    <w:rsid w:val="00E06A2C"/>
    <w:rsid w:val="00E0702D"/>
    <w:rsid w:val="00E07403"/>
    <w:rsid w:val="00E074A0"/>
    <w:rsid w:val="00E0766E"/>
    <w:rsid w:val="00E10074"/>
    <w:rsid w:val="00E10100"/>
    <w:rsid w:val="00E10133"/>
    <w:rsid w:val="00E1038F"/>
    <w:rsid w:val="00E105ED"/>
    <w:rsid w:val="00E10A23"/>
    <w:rsid w:val="00E11245"/>
    <w:rsid w:val="00E11640"/>
    <w:rsid w:val="00E11735"/>
    <w:rsid w:val="00E11A9A"/>
    <w:rsid w:val="00E11E8E"/>
    <w:rsid w:val="00E1228A"/>
    <w:rsid w:val="00E12CAA"/>
    <w:rsid w:val="00E13094"/>
    <w:rsid w:val="00E133CC"/>
    <w:rsid w:val="00E139E4"/>
    <w:rsid w:val="00E14100"/>
    <w:rsid w:val="00E148DF"/>
    <w:rsid w:val="00E14E22"/>
    <w:rsid w:val="00E15166"/>
    <w:rsid w:val="00E15401"/>
    <w:rsid w:val="00E15602"/>
    <w:rsid w:val="00E15E21"/>
    <w:rsid w:val="00E15E93"/>
    <w:rsid w:val="00E16458"/>
    <w:rsid w:val="00E169A0"/>
    <w:rsid w:val="00E16BD2"/>
    <w:rsid w:val="00E16EC9"/>
    <w:rsid w:val="00E1786F"/>
    <w:rsid w:val="00E17A8C"/>
    <w:rsid w:val="00E17C99"/>
    <w:rsid w:val="00E203EA"/>
    <w:rsid w:val="00E207A6"/>
    <w:rsid w:val="00E2088E"/>
    <w:rsid w:val="00E20A71"/>
    <w:rsid w:val="00E20A84"/>
    <w:rsid w:val="00E20CB0"/>
    <w:rsid w:val="00E211BA"/>
    <w:rsid w:val="00E2138D"/>
    <w:rsid w:val="00E21955"/>
    <w:rsid w:val="00E21B71"/>
    <w:rsid w:val="00E22579"/>
    <w:rsid w:val="00E227C6"/>
    <w:rsid w:val="00E22969"/>
    <w:rsid w:val="00E23401"/>
    <w:rsid w:val="00E23804"/>
    <w:rsid w:val="00E23889"/>
    <w:rsid w:val="00E23E51"/>
    <w:rsid w:val="00E240C5"/>
    <w:rsid w:val="00E24683"/>
    <w:rsid w:val="00E24AC4"/>
    <w:rsid w:val="00E24ECB"/>
    <w:rsid w:val="00E25046"/>
    <w:rsid w:val="00E251D9"/>
    <w:rsid w:val="00E25C90"/>
    <w:rsid w:val="00E2601F"/>
    <w:rsid w:val="00E273A8"/>
    <w:rsid w:val="00E27AEC"/>
    <w:rsid w:val="00E27F45"/>
    <w:rsid w:val="00E3034D"/>
    <w:rsid w:val="00E3051E"/>
    <w:rsid w:val="00E30BAA"/>
    <w:rsid w:val="00E30DAE"/>
    <w:rsid w:val="00E318D0"/>
    <w:rsid w:val="00E31C12"/>
    <w:rsid w:val="00E32467"/>
    <w:rsid w:val="00E326F5"/>
    <w:rsid w:val="00E34582"/>
    <w:rsid w:val="00E348EC"/>
    <w:rsid w:val="00E34BC3"/>
    <w:rsid w:val="00E35015"/>
    <w:rsid w:val="00E352AA"/>
    <w:rsid w:val="00E3560B"/>
    <w:rsid w:val="00E364B7"/>
    <w:rsid w:val="00E365CF"/>
    <w:rsid w:val="00E37619"/>
    <w:rsid w:val="00E40D17"/>
    <w:rsid w:val="00E40E79"/>
    <w:rsid w:val="00E41420"/>
    <w:rsid w:val="00E4158B"/>
    <w:rsid w:val="00E41902"/>
    <w:rsid w:val="00E430AF"/>
    <w:rsid w:val="00E43913"/>
    <w:rsid w:val="00E4392C"/>
    <w:rsid w:val="00E43E90"/>
    <w:rsid w:val="00E44452"/>
    <w:rsid w:val="00E44679"/>
    <w:rsid w:val="00E44DCA"/>
    <w:rsid w:val="00E4507A"/>
    <w:rsid w:val="00E4537B"/>
    <w:rsid w:val="00E45B52"/>
    <w:rsid w:val="00E45C83"/>
    <w:rsid w:val="00E46252"/>
    <w:rsid w:val="00E4666C"/>
    <w:rsid w:val="00E466DA"/>
    <w:rsid w:val="00E46FD0"/>
    <w:rsid w:val="00E4778B"/>
    <w:rsid w:val="00E478B8"/>
    <w:rsid w:val="00E47D49"/>
    <w:rsid w:val="00E5003D"/>
    <w:rsid w:val="00E5004D"/>
    <w:rsid w:val="00E50375"/>
    <w:rsid w:val="00E507E1"/>
    <w:rsid w:val="00E508C0"/>
    <w:rsid w:val="00E50C29"/>
    <w:rsid w:val="00E50D40"/>
    <w:rsid w:val="00E50F13"/>
    <w:rsid w:val="00E51F26"/>
    <w:rsid w:val="00E520B0"/>
    <w:rsid w:val="00E5235B"/>
    <w:rsid w:val="00E52AC1"/>
    <w:rsid w:val="00E53244"/>
    <w:rsid w:val="00E53271"/>
    <w:rsid w:val="00E5343E"/>
    <w:rsid w:val="00E53BFB"/>
    <w:rsid w:val="00E54148"/>
    <w:rsid w:val="00E5422B"/>
    <w:rsid w:val="00E54405"/>
    <w:rsid w:val="00E54CC3"/>
    <w:rsid w:val="00E54E1F"/>
    <w:rsid w:val="00E55221"/>
    <w:rsid w:val="00E55865"/>
    <w:rsid w:val="00E55F29"/>
    <w:rsid w:val="00E55F6E"/>
    <w:rsid w:val="00E56F3A"/>
    <w:rsid w:val="00E574A3"/>
    <w:rsid w:val="00E57564"/>
    <w:rsid w:val="00E5798F"/>
    <w:rsid w:val="00E57BAB"/>
    <w:rsid w:val="00E60285"/>
    <w:rsid w:val="00E60754"/>
    <w:rsid w:val="00E607BD"/>
    <w:rsid w:val="00E60BAF"/>
    <w:rsid w:val="00E60C32"/>
    <w:rsid w:val="00E60FC2"/>
    <w:rsid w:val="00E6178F"/>
    <w:rsid w:val="00E61893"/>
    <w:rsid w:val="00E619A2"/>
    <w:rsid w:val="00E61CA5"/>
    <w:rsid w:val="00E620E2"/>
    <w:rsid w:val="00E6265F"/>
    <w:rsid w:val="00E627C3"/>
    <w:rsid w:val="00E63494"/>
    <w:rsid w:val="00E63825"/>
    <w:rsid w:val="00E63D04"/>
    <w:rsid w:val="00E6564A"/>
    <w:rsid w:val="00E659A6"/>
    <w:rsid w:val="00E65A56"/>
    <w:rsid w:val="00E6693E"/>
    <w:rsid w:val="00E66D2C"/>
    <w:rsid w:val="00E67028"/>
    <w:rsid w:val="00E67BEF"/>
    <w:rsid w:val="00E67C4F"/>
    <w:rsid w:val="00E70052"/>
    <w:rsid w:val="00E70190"/>
    <w:rsid w:val="00E702FC"/>
    <w:rsid w:val="00E702FF"/>
    <w:rsid w:val="00E73731"/>
    <w:rsid w:val="00E7437A"/>
    <w:rsid w:val="00E744A6"/>
    <w:rsid w:val="00E746F3"/>
    <w:rsid w:val="00E75303"/>
    <w:rsid w:val="00E756C7"/>
    <w:rsid w:val="00E7586C"/>
    <w:rsid w:val="00E7653D"/>
    <w:rsid w:val="00E76FED"/>
    <w:rsid w:val="00E77024"/>
    <w:rsid w:val="00E77035"/>
    <w:rsid w:val="00E772BC"/>
    <w:rsid w:val="00E80329"/>
    <w:rsid w:val="00E8051D"/>
    <w:rsid w:val="00E809C9"/>
    <w:rsid w:val="00E80B29"/>
    <w:rsid w:val="00E80D28"/>
    <w:rsid w:val="00E818E2"/>
    <w:rsid w:val="00E82092"/>
    <w:rsid w:val="00E82577"/>
    <w:rsid w:val="00E82C38"/>
    <w:rsid w:val="00E83055"/>
    <w:rsid w:val="00E83928"/>
    <w:rsid w:val="00E83D8F"/>
    <w:rsid w:val="00E843E8"/>
    <w:rsid w:val="00E84666"/>
    <w:rsid w:val="00E85017"/>
    <w:rsid w:val="00E85A9D"/>
    <w:rsid w:val="00E85B74"/>
    <w:rsid w:val="00E86766"/>
    <w:rsid w:val="00E86C5D"/>
    <w:rsid w:val="00E8715F"/>
    <w:rsid w:val="00E8722E"/>
    <w:rsid w:val="00E87881"/>
    <w:rsid w:val="00E90112"/>
    <w:rsid w:val="00E90BBC"/>
    <w:rsid w:val="00E90BD5"/>
    <w:rsid w:val="00E91185"/>
    <w:rsid w:val="00E9156E"/>
    <w:rsid w:val="00E91D8F"/>
    <w:rsid w:val="00E91EB9"/>
    <w:rsid w:val="00E923A8"/>
    <w:rsid w:val="00E9243A"/>
    <w:rsid w:val="00E924BD"/>
    <w:rsid w:val="00E92D55"/>
    <w:rsid w:val="00E93055"/>
    <w:rsid w:val="00E94C22"/>
    <w:rsid w:val="00E9525A"/>
    <w:rsid w:val="00E957AF"/>
    <w:rsid w:val="00E96389"/>
    <w:rsid w:val="00E9645E"/>
    <w:rsid w:val="00E96975"/>
    <w:rsid w:val="00E96E21"/>
    <w:rsid w:val="00E96F05"/>
    <w:rsid w:val="00E96F3C"/>
    <w:rsid w:val="00E97B10"/>
    <w:rsid w:val="00E97E32"/>
    <w:rsid w:val="00EA075F"/>
    <w:rsid w:val="00EA0B58"/>
    <w:rsid w:val="00EA1055"/>
    <w:rsid w:val="00EA127D"/>
    <w:rsid w:val="00EA16D3"/>
    <w:rsid w:val="00EA1989"/>
    <w:rsid w:val="00EA1A02"/>
    <w:rsid w:val="00EA1C9B"/>
    <w:rsid w:val="00EA1CB6"/>
    <w:rsid w:val="00EA1DD9"/>
    <w:rsid w:val="00EA222C"/>
    <w:rsid w:val="00EA2E73"/>
    <w:rsid w:val="00EA2EFB"/>
    <w:rsid w:val="00EA2F00"/>
    <w:rsid w:val="00EA3579"/>
    <w:rsid w:val="00EA387B"/>
    <w:rsid w:val="00EA4914"/>
    <w:rsid w:val="00EA4D9D"/>
    <w:rsid w:val="00EA5C8E"/>
    <w:rsid w:val="00EA5F14"/>
    <w:rsid w:val="00EA60FF"/>
    <w:rsid w:val="00EA6877"/>
    <w:rsid w:val="00EA6F01"/>
    <w:rsid w:val="00EA7124"/>
    <w:rsid w:val="00EA7139"/>
    <w:rsid w:val="00EA7416"/>
    <w:rsid w:val="00EB0107"/>
    <w:rsid w:val="00EB03DA"/>
    <w:rsid w:val="00EB08A7"/>
    <w:rsid w:val="00EB08C3"/>
    <w:rsid w:val="00EB09F4"/>
    <w:rsid w:val="00EB0C3D"/>
    <w:rsid w:val="00EB10A9"/>
    <w:rsid w:val="00EB1BED"/>
    <w:rsid w:val="00EB26DE"/>
    <w:rsid w:val="00EB2B36"/>
    <w:rsid w:val="00EB2E66"/>
    <w:rsid w:val="00EB3015"/>
    <w:rsid w:val="00EB345B"/>
    <w:rsid w:val="00EB3666"/>
    <w:rsid w:val="00EB37EB"/>
    <w:rsid w:val="00EB4F9C"/>
    <w:rsid w:val="00EB54D8"/>
    <w:rsid w:val="00EB57BC"/>
    <w:rsid w:val="00EB595A"/>
    <w:rsid w:val="00EB707B"/>
    <w:rsid w:val="00EB7F11"/>
    <w:rsid w:val="00EC0A90"/>
    <w:rsid w:val="00EC0F35"/>
    <w:rsid w:val="00EC142E"/>
    <w:rsid w:val="00EC15AB"/>
    <w:rsid w:val="00EC1770"/>
    <w:rsid w:val="00EC1B78"/>
    <w:rsid w:val="00EC3644"/>
    <w:rsid w:val="00EC392A"/>
    <w:rsid w:val="00EC3AD8"/>
    <w:rsid w:val="00EC422E"/>
    <w:rsid w:val="00EC45C8"/>
    <w:rsid w:val="00EC47EA"/>
    <w:rsid w:val="00EC5353"/>
    <w:rsid w:val="00EC5967"/>
    <w:rsid w:val="00EC5F83"/>
    <w:rsid w:val="00EC67C3"/>
    <w:rsid w:val="00EC6C2A"/>
    <w:rsid w:val="00EC702E"/>
    <w:rsid w:val="00EC7D6F"/>
    <w:rsid w:val="00EC7D90"/>
    <w:rsid w:val="00EC7DF7"/>
    <w:rsid w:val="00EC7F1D"/>
    <w:rsid w:val="00ED02DE"/>
    <w:rsid w:val="00ED0A8F"/>
    <w:rsid w:val="00ED0CBE"/>
    <w:rsid w:val="00ED0F81"/>
    <w:rsid w:val="00ED1452"/>
    <w:rsid w:val="00ED18AB"/>
    <w:rsid w:val="00ED1E49"/>
    <w:rsid w:val="00ED1FEC"/>
    <w:rsid w:val="00ED22EE"/>
    <w:rsid w:val="00ED249F"/>
    <w:rsid w:val="00ED2769"/>
    <w:rsid w:val="00ED2F01"/>
    <w:rsid w:val="00ED3278"/>
    <w:rsid w:val="00ED40F2"/>
    <w:rsid w:val="00ED414E"/>
    <w:rsid w:val="00ED4810"/>
    <w:rsid w:val="00ED4B4F"/>
    <w:rsid w:val="00ED4C0F"/>
    <w:rsid w:val="00ED4E29"/>
    <w:rsid w:val="00ED524E"/>
    <w:rsid w:val="00ED5F71"/>
    <w:rsid w:val="00ED68E8"/>
    <w:rsid w:val="00ED6EEB"/>
    <w:rsid w:val="00ED7308"/>
    <w:rsid w:val="00ED7357"/>
    <w:rsid w:val="00EE00C4"/>
    <w:rsid w:val="00EE013F"/>
    <w:rsid w:val="00EE02CC"/>
    <w:rsid w:val="00EE02D4"/>
    <w:rsid w:val="00EE0C32"/>
    <w:rsid w:val="00EE0D3D"/>
    <w:rsid w:val="00EE1528"/>
    <w:rsid w:val="00EE16A7"/>
    <w:rsid w:val="00EE1CD5"/>
    <w:rsid w:val="00EE2BA2"/>
    <w:rsid w:val="00EE2DD1"/>
    <w:rsid w:val="00EE2F01"/>
    <w:rsid w:val="00EE2FFA"/>
    <w:rsid w:val="00EE306E"/>
    <w:rsid w:val="00EE31F1"/>
    <w:rsid w:val="00EE325D"/>
    <w:rsid w:val="00EE3281"/>
    <w:rsid w:val="00EE3542"/>
    <w:rsid w:val="00EE36B7"/>
    <w:rsid w:val="00EE3A2B"/>
    <w:rsid w:val="00EE3BC7"/>
    <w:rsid w:val="00EE40A3"/>
    <w:rsid w:val="00EE4291"/>
    <w:rsid w:val="00EE4311"/>
    <w:rsid w:val="00EE43AB"/>
    <w:rsid w:val="00EE46B6"/>
    <w:rsid w:val="00EE4C60"/>
    <w:rsid w:val="00EE54B3"/>
    <w:rsid w:val="00EE5683"/>
    <w:rsid w:val="00EE5E55"/>
    <w:rsid w:val="00EE6002"/>
    <w:rsid w:val="00EE601B"/>
    <w:rsid w:val="00EE6A46"/>
    <w:rsid w:val="00EE6CB0"/>
    <w:rsid w:val="00EE7B3B"/>
    <w:rsid w:val="00EF0244"/>
    <w:rsid w:val="00EF04B4"/>
    <w:rsid w:val="00EF0673"/>
    <w:rsid w:val="00EF120D"/>
    <w:rsid w:val="00EF14B5"/>
    <w:rsid w:val="00EF18AD"/>
    <w:rsid w:val="00EF1AB4"/>
    <w:rsid w:val="00EF2138"/>
    <w:rsid w:val="00EF2BB6"/>
    <w:rsid w:val="00EF2D4A"/>
    <w:rsid w:val="00EF314D"/>
    <w:rsid w:val="00EF326E"/>
    <w:rsid w:val="00EF345A"/>
    <w:rsid w:val="00EF3969"/>
    <w:rsid w:val="00EF3A77"/>
    <w:rsid w:val="00EF3BEC"/>
    <w:rsid w:val="00EF3D46"/>
    <w:rsid w:val="00EF41F1"/>
    <w:rsid w:val="00EF4C57"/>
    <w:rsid w:val="00EF4E88"/>
    <w:rsid w:val="00EF619B"/>
    <w:rsid w:val="00EF6365"/>
    <w:rsid w:val="00EF6389"/>
    <w:rsid w:val="00EF661A"/>
    <w:rsid w:val="00EF6670"/>
    <w:rsid w:val="00EF69D5"/>
    <w:rsid w:val="00EF6AF7"/>
    <w:rsid w:val="00F0021F"/>
    <w:rsid w:val="00F00CFC"/>
    <w:rsid w:val="00F00FB0"/>
    <w:rsid w:val="00F013D7"/>
    <w:rsid w:val="00F018FC"/>
    <w:rsid w:val="00F01D5E"/>
    <w:rsid w:val="00F02333"/>
    <w:rsid w:val="00F02AC9"/>
    <w:rsid w:val="00F02B23"/>
    <w:rsid w:val="00F03033"/>
    <w:rsid w:val="00F032DC"/>
    <w:rsid w:val="00F03350"/>
    <w:rsid w:val="00F03569"/>
    <w:rsid w:val="00F04202"/>
    <w:rsid w:val="00F04D69"/>
    <w:rsid w:val="00F050F3"/>
    <w:rsid w:val="00F062D3"/>
    <w:rsid w:val="00F06861"/>
    <w:rsid w:val="00F06D8B"/>
    <w:rsid w:val="00F070C4"/>
    <w:rsid w:val="00F070CE"/>
    <w:rsid w:val="00F07716"/>
    <w:rsid w:val="00F10C14"/>
    <w:rsid w:val="00F10CD8"/>
    <w:rsid w:val="00F10F0F"/>
    <w:rsid w:val="00F119AB"/>
    <w:rsid w:val="00F12313"/>
    <w:rsid w:val="00F1267A"/>
    <w:rsid w:val="00F12BA9"/>
    <w:rsid w:val="00F12CDE"/>
    <w:rsid w:val="00F13227"/>
    <w:rsid w:val="00F133E7"/>
    <w:rsid w:val="00F13516"/>
    <w:rsid w:val="00F137D8"/>
    <w:rsid w:val="00F13CCB"/>
    <w:rsid w:val="00F146A3"/>
    <w:rsid w:val="00F15680"/>
    <w:rsid w:val="00F15740"/>
    <w:rsid w:val="00F15AB7"/>
    <w:rsid w:val="00F15D89"/>
    <w:rsid w:val="00F1654E"/>
    <w:rsid w:val="00F173F0"/>
    <w:rsid w:val="00F1750B"/>
    <w:rsid w:val="00F178CB"/>
    <w:rsid w:val="00F17BCA"/>
    <w:rsid w:val="00F17F78"/>
    <w:rsid w:val="00F20342"/>
    <w:rsid w:val="00F20398"/>
    <w:rsid w:val="00F20D34"/>
    <w:rsid w:val="00F20E9B"/>
    <w:rsid w:val="00F20F5C"/>
    <w:rsid w:val="00F21732"/>
    <w:rsid w:val="00F21B22"/>
    <w:rsid w:val="00F22C88"/>
    <w:rsid w:val="00F2338D"/>
    <w:rsid w:val="00F23FAD"/>
    <w:rsid w:val="00F242FE"/>
    <w:rsid w:val="00F246BF"/>
    <w:rsid w:val="00F24879"/>
    <w:rsid w:val="00F24994"/>
    <w:rsid w:val="00F24CC6"/>
    <w:rsid w:val="00F254C6"/>
    <w:rsid w:val="00F2674B"/>
    <w:rsid w:val="00F268C4"/>
    <w:rsid w:val="00F269A0"/>
    <w:rsid w:val="00F26BF8"/>
    <w:rsid w:val="00F26D9E"/>
    <w:rsid w:val="00F26E4E"/>
    <w:rsid w:val="00F26E9D"/>
    <w:rsid w:val="00F27B1D"/>
    <w:rsid w:val="00F27C86"/>
    <w:rsid w:val="00F30017"/>
    <w:rsid w:val="00F303E3"/>
    <w:rsid w:val="00F30D39"/>
    <w:rsid w:val="00F3172C"/>
    <w:rsid w:val="00F3177E"/>
    <w:rsid w:val="00F319C9"/>
    <w:rsid w:val="00F31AE2"/>
    <w:rsid w:val="00F32454"/>
    <w:rsid w:val="00F32723"/>
    <w:rsid w:val="00F32B90"/>
    <w:rsid w:val="00F33A55"/>
    <w:rsid w:val="00F33FCF"/>
    <w:rsid w:val="00F342F1"/>
    <w:rsid w:val="00F34474"/>
    <w:rsid w:val="00F3457E"/>
    <w:rsid w:val="00F34866"/>
    <w:rsid w:val="00F34A2E"/>
    <w:rsid w:val="00F350B3"/>
    <w:rsid w:val="00F35E1A"/>
    <w:rsid w:val="00F35E51"/>
    <w:rsid w:val="00F3634C"/>
    <w:rsid w:val="00F36894"/>
    <w:rsid w:val="00F36D1D"/>
    <w:rsid w:val="00F370B9"/>
    <w:rsid w:val="00F3772D"/>
    <w:rsid w:val="00F37B33"/>
    <w:rsid w:val="00F37BE5"/>
    <w:rsid w:val="00F40B49"/>
    <w:rsid w:val="00F40DB4"/>
    <w:rsid w:val="00F41301"/>
    <w:rsid w:val="00F4135E"/>
    <w:rsid w:val="00F4155E"/>
    <w:rsid w:val="00F41786"/>
    <w:rsid w:val="00F43071"/>
    <w:rsid w:val="00F431FB"/>
    <w:rsid w:val="00F437D9"/>
    <w:rsid w:val="00F43C83"/>
    <w:rsid w:val="00F44170"/>
    <w:rsid w:val="00F44262"/>
    <w:rsid w:val="00F44C6E"/>
    <w:rsid w:val="00F45394"/>
    <w:rsid w:val="00F4540A"/>
    <w:rsid w:val="00F45589"/>
    <w:rsid w:val="00F45622"/>
    <w:rsid w:val="00F45CA5"/>
    <w:rsid w:val="00F45E1E"/>
    <w:rsid w:val="00F46269"/>
    <w:rsid w:val="00F46929"/>
    <w:rsid w:val="00F471FB"/>
    <w:rsid w:val="00F47446"/>
    <w:rsid w:val="00F479BE"/>
    <w:rsid w:val="00F47ABA"/>
    <w:rsid w:val="00F47D18"/>
    <w:rsid w:val="00F506E0"/>
    <w:rsid w:val="00F50A31"/>
    <w:rsid w:val="00F512D4"/>
    <w:rsid w:val="00F51B74"/>
    <w:rsid w:val="00F52118"/>
    <w:rsid w:val="00F5256E"/>
    <w:rsid w:val="00F52AAA"/>
    <w:rsid w:val="00F52E35"/>
    <w:rsid w:val="00F53022"/>
    <w:rsid w:val="00F53C93"/>
    <w:rsid w:val="00F53E5C"/>
    <w:rsid w:val="00F54078"/>
    <w:rsid w:val="00F54262"/>
    <w:rsid w:val="00F5466E"/>
    <w:rsid w:val="00F549A3"/>
    <w:rsid w:val="00F54DC4"/>
    <w:rsid w:val="00F54FA9"/>
    <w:rsid w:val="00F55429"/>
    <w:rsid w:val="00F55912"/>
    <w:rsid w:val="00F55F03"/>
    <w:rsid w:val="00F55F0E"/>
    <w:rsid w:val="00F564AD"/>
    <w:rsid w:val="00F566C1"/>
    <w:rsid w:val="00F56B10"/>
    <w:rsid w:val="00F56FE5"/>
    <w:rsid w:val="00F57548"/>
    <w:rsid w:val="00F57D7B"/>
    <w:rsid w:val="00F600F5"/>
    <w:rsid w:val="00F60828"/>
    <w:rsid w:val="00F60D78"/>
    <w:rsid w:val="00F61BBA"/>
    <w:rsid w:val="00F62151"/>
    <w:rsid w:val="00F62319"/>
    <w:rsid w:val="00F62546"/>
    <w:rsid w:val="00F628BB"/>
    <w:rsid w:val="00F629A2"/>
    <w:rsid w:val="00F62CCD"/>
    <w:rsid w:val="00F630CB"/>
    <w:rsid w:val="00F630E7"/>
    <w:rsid w:val="00F634B8"/>
    <w:rsid w:val="00F6361E"/>
    <w:rsid w:val="00F63E39"/>
    <w:rsid w:val="00F64580"/>
    <w:rsid w:val="00F645A8"/>
    <w:rsid w:val="00F64EEA"/>
    <w:rsid w:val="00F65D47"/>
    <w:rsid w:val="00F65DE0"/>
    <w:rsid w:val="00F66689"/>
    <w:rsid w:val="00F666A4"/>
    <w:rsid w:val="00F676E1"/>
    <w:rsid w:val="00F677EC"/>
    <w:rsid w:val="00F6793C"/>
    <w:rsid w:val="00F67B15"/>
    <w:rsid w:val="00F67F99"/>
    <w:rsid w:val="00F70404"/>
    <w:rsid w:val="00F70458"/>
    <w:rsid w:val="00F70612"/>
    <w:rsid w:val="00F70FA6"/>
    <w:rsid w:val="00F711F4"/>
    <w:rsid w:val="00F713BF"/>
    <w:rsid w:val="00F71483"/>
    <w:rsid w:val="00F71B93"/>
    <w:rsid w:val="00F71D3F"/>
    <w:rsid w:val="00F7239A"/>
    <w:rsid w:val="00F727BD"/>
    <w:rsid w:val="00F72920"/>
    <w:rsid w:val="00F7295D"/>
    <w:rsid w:val="00F732B6"/>
    <w:rsid w:val="00F73376"/>
    <w:rsid w:val="00F737E6"/>
    <w:rsid w:val="00F738B9"/>
    <w:rsid w:val="00F73D5E"/>
    <w:rsid w:val="00F74599"/>
    <w:rsid w:val="00F74693"/>
    <w:rsid w:val="00F74929"/>
    <w:rsid w:val="00F74B11"/>
    <w:rsid w:val="00F75C43"/>
    <w:rsid w:val="00F76482"/>
    <w:rsid w:val="00F76B3E"/>
    <w:rsid w:val="00F76E26"/>
    <w:rsid w:val="00F772CA"/>
    <w:rsid w:val="00F77C21"/>
    <w:rsid w:val="00F8023C"/>
    <w:rsid w:val="00F80FDF"/>
    <w:rsid w:val="00F8196E"/>
    <w:rsid w:val="00F82416"/>
    <w:rsid w:val="00F83233"/>
    <w:rsid w:val="00F83A31"/>
    <w:rsid w:val="00F83C6E"/>
    <w:rsid w:val="00F84272"/>
    <w:rsid w:val="00F84458"/>
    <w:rsid w:val="00F8481E"/>
    <w:rsid w:val="00F84C7F"/>
    <w:rsid w:val="00F860F7"/>
    <w:rsid w:val="00F86643"/>
    <w:rsid w:val="00F86923"/>
    <w:rsid w:val="00F86D0A"/>
    <w:rsid w:val="00F86F99"/>
    <w:rsid w:val="00F86FA0"/>
    <w:rsid w:val="00F87341"/>
    <w:rsid w:val="00F87357"/>
    <w:rsid w:val="00F87A2D"/>
    <w:rsid w:val="00F87ACA"/>
    <w:rsid w:val="00F87DB2"/>
    <w:rsid w:val="00F903E6"/>
    <w:rsid w:val="00F906BA"/>
    <w:rsid w:val="00F908F3"/>
    <w:rsid w:val="00F90F19"/>
    <w:rsid w:val="00F9155A"/>
    <w:rsid w:val="00F9170D"/>
    <w:rsid w:val="00F9185E"/>
    <w:rsid w:val="00F91901"/>
    <w:rsid w:val="00F919EC"/>
    <w:rsid w:val="00F91BAD"/>
    <w:rsid w:val="00F92A6C"/>
    <w:rsid w:val="00F92AF0"/>
    <w:rsid w:val="00F92B73"/>
    <w:rsid w:val="00F94607"/>
    <w:rsid w:val="00F94F59"/>
    <w:rsid w:val="00F951C3"/>
    <w:rsid w:val="00F95EC3"/>
    <w:rsid w:val="00F96080"/>
    <w:rsid w:val="00F96112"/>
    <w:rsid w:val="00F96574"/>
    <w:rsid w:val="00F96817"/>
    <w:rsid w:val="00F96ED6"/>
    <w:rsid w:val="00F96F33"/>
    <w:rsid w:val="00F97DBA"/>
    <w:rsid w:val="00FA023A"/>
    <w:rsid w:val="00FA1165"/>
    <w:rsid w:val="00FA17A4"/>
    <w:rsid w:val="00FA2307"/>
    <w:rsid w:val="00FA232F"/>
    <w:rsid w:val="00FA2369"/>
    <w:rsid w:val="00FA2805"/>
    <w:rsid w:val="00FA2BF2"/>
    <w:rsid w:val="00FA2C62"/>
    <w:rsid w:val="00FA2C8C"/>
    <w:rsid w:val="00FA3A0E"/>
    <w:rsid w:val="00FA3B41"/>
    <w:rsid w:val="00FA3BA1"/>
    <w:rsid w:val="00FA3BEE"/>
    <w:rsid w:val="00FA3C26"/>
    <w:rsid w:val="00FA3CE2"/>
    <w:rsid w:val="00FA4001"/>
    <w:rsid w:val="00FA40CF"/>
    <w:rsid w:val="00FA44DD"/>
    <w:rsid w:val="00FA4F95"/>
    <w:rsid w:val="00FA53F5"/>
    <w:rsid w:val="00FA576B"/>
    <w:rsid w:val="00FA596A"/>
    <w:rsid w:val="00FA6042"/>
    <w:rsid w:val="00FA617D"/>
    <w:rsid w:val="00FA6646"/>
    <w:rsid w:val="00FA66D7"/>
    <w:rsid w:val="00FA6E7D"/>
    <w:rsid w:val="00FA739D"/>
    <w:rsid w:val="00FA7E25"/>
    <w:rsid w:val="00FA7ED9"/>
    <w:rsid w:val="00FB0089"/>
    <w:rsid w:val="00FB01A6"/>
    <w:rsid w:val="00FB0247"/>
    <w:rsid w:val="00FB0367"/>
    <w:rsid w:val="00FB069C"/>
    <w:rsid w:val="00FB0B5E"/>
    <w:rsid w:val="00FB0E2F"/>
    <w:rsid w:val="00FB41FB"/>
    <w:rsid w:val="00FB46A1"/>
    <w:rsid w:val="00FB49AD"/>
    <w:rsid w:val="00FB5119"/>
    <w:rsid w:val="00FB5571"/>
    <w:rsid w:val="00FB5BDD"/>
    <w:rsid w:val="00FB5DB1"/>
    <w:rsid w:val="00FB5ECA"/>
    <w:rsid w:val="00FB617B"/>
    <w:rsid w:val="00FB627A"/>
    <w:rsid w:val="00FB62C7"/>
    <w:rsid w:val="00FB6365"/>
    <w:rsid w:val="00FB67EE"/>
    <w:rsid w:val="00FB6B29"/>
    <w:rsid w:val="00FB6C0D"/>
    <w:rsid w:val="00FB6F72"/>
    <w:rsid w:val="00FC0136"/>
    <w:rsid w:val="00FC08E6"/>
    <w:rsid w:val="00FC11ED"/>
    <w:rsid w:val="00FC13E8"/>
    <w:rsid w:val="00FC190A"/>
    <w:rsid w:val="00FC194B"/>
    <w:rsid w:val="00FC1B1E"/>
    <w:rsid w:val="00FC203E"/>
    <w:rsid w:val="00FC20FB"/>
    <w:rsid w:val="00FC297E"/>
    <w:rsid w:val="00FC2AA6"/>
    <w:rsid w:val="00FC2FB5"/>
    <w:rsid w:val="00FC5E9D"/>
    <w:rsid w:val="00FC6A39"/>
    <w:rsid w:val="00FC6A70"/>
    <w:rsid w:val="00FC6EAC"/>
    <w:rsid w:val="00FC7343"/>
    <w:rsid w:val="00FC7364"/>
    <w:rsid w:val="00FC737F"/>
    <w:rsid w:val="00FD00C5"/>
    <w:rsid w:val="00FD03D3"/>
    <w:rsid w:val="00FD0F57"/>
    <w:rsid w:val="00FD116C"/>
    <w:rsid w:val="00FD1DEB"/>
    <w:rsid w:val="00FD1FD9"/>
    <w:rsid w:val="00FD407C"/>
    <w:rsid w:val="00FD415A"/>
    <w:rsid w:val="00FD4783"/>
    <w:rsid w:val="00FD49AF"/>
    <w:rsid w:val="00FD4D56"/>
    <w:rsid w:val="00FD4E0A"/>
    <w:rsid w:val="00FD5953"/>
    <w:rsid w:val="00FD5A6A"/>
    <w:rsid w:val="00FD5B2A"/>
    <w:rsid w:val="00FD5BFD"/>
    <w:rsid w:val="00FD710D"/>
    <w:rsid w:val="00FD74CD"/>
    <w:rsid w:val="00FD7AD3"/>
    <w:rsid w:val="00FD7C0D"/>
    <w:rsid w:val="00FE0743"/>
    <w:rsid w:val="00FE0854"/>
    <w:rsid w:val="00FE0B29"/>
    <w:rsid w:val="00FE14D7"/>
    <w:rsid w:val="00FE16B1"/>
    <w:rsid w:val="00FE16F9"/>
    <w:rsid w:val="00FE1C0F"/>
    <w:rsid w:val="00FE209A"/>
    <w:rsid w:val="00FE2485"/>
    <w:rsid w:val="00FE2E0B"/>
    <w:rsid w:val="00FE3859"/>
    <w:rsid w:val="00FE39D9"/>
    <w:rsid w:val="00FE54B5"/>
    <w:rsid w:val="00FE5670"/>
    <w:rsid w:val="00FE585B"/>
    <w:rsid w:val="00FE5CA1"/>
    <w:rsid w:val="00FE60F9"/>
    <w:rsid w:val="00FE6171"/>
    <w:rsid w:val="00FE6677"/>
    <w:rsid w:val="00FE67DE"/>
    <w:rsid w:val="00FE6A93"/>
    <w:rsid w:val="00FE7228"/>
    <w:rsid w:val="00FE74EC"/>
    <w:rsid w:val="00FE7EF7"/>
    <w:rsid w:val="00FE7F3D"/>
    <w:rsid w:val="00FF07E8"/>
    <w:rsid w:val="00FF180C"/>
    <w:rsid w:val="00FF2031"/>
    <w:rsid w:val="00FF2534"/>
    <w:rsid w:val="00FF26E7"/>
    <w:rsid w:val="00FF273F"/>
    <w:rsid w:val="00FF392A"/>
    <w:rsid w:val="00FF3CDC"/>
    <w:rsid w:val="00FF3DF0"/>
    <w:rsid w:val="00FF3F37"/>
    <w:rsid w:val="00FF482A"/>
    <w:rsid w:val="00FF5079"/>
    <w:rsid w:val="00FF51DB"/>
    <w:rsid w:val="00FF58EA"/>
    <w:rsid w:val="00FF59C8"/>
    <w:rsid w:val="00FF5C8A"/>
    <w:rsid w:val="00FF6ADE"/>
    <w:rsid w:val="00FF6AE4"/>
    <w:rsid w:val="00FF6B53"/>
    <w:rsid w:val="00FF7226"/>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2EAFAD"/>
  <w14:defaultImageDpi w14:val="330"/>
  <w15:docId w15:val="{0307BA6A-941B-4E41-A1CA-B983F30D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77EC"/>
  </w:style>
  <w:style w:type="paragraph" w:styleId="Heading1">
    <w:name w:val="heading 1"/>
    <w:basedOn w:val="Normal"/>
    <w:next w:val="Normal"/>
    <w:link w:val="Heading1Char"/>
    <w:qFormat/>
    <w:rsid w:val="00B155F3"/>
    <w:pPr>
      <w:keepNext/>
      <w:keepLines/>
      <w:numPr>
        <w:numId w:val="4"/>
      </w:numPr>
      <w:spacing w:before="360" w:line="240" w:lineRule="auto"/>
      <w:outlineLvl w:val="0"/>
    </w:pPr>
    <w:rPr>
      <w:rFonts w:asciiTheme="majorHAnsi" w:eastAsiaTheme="majorEastAsia" w:hAnsiTheme="majorHAnsi" w:cstheme="majorBidi"/>
      <w:color w:val="7C384A" w:themeColor="accent1" w:themeShade="BF"/>
      <w:sz w:val="48"/>
      <w:szCs w:val="48"/>
    </w:rPr>
  </w:style>
  <w:style w:type="paragraph" w:styleId="Heading2">
    <w:name w:val="heading 2"/>
    <w:basedOn w:val="Normal"/>
    <w:next w:val="Normal"/>
    <w:link w:val="Heading2Char"/>
    <w:uiPriority w:val="9"/>
    <w:unhideWhenUsed/>
    <w:qFormat/>
    <w:rsid w:val="00FF51DB"/>
    <w:pPr>
      <w:keepNext/>
      <w:keepLines/>
      <w:numPr>
        <w:ilvl w:val="1"/>
        <w:numId w:val="4"/>
      </w:numPr>
      <w:spacing w:before="360" w:line="240" w:lineRule="auto"/>
      <w:outlineLvl w:val="1"/>
    </w:pPr>
    <w:rPr>
      <w:rFonts w:asciiTheme="majorHAnsi" w:eastAsiaTheme="majorEastAsia" w:hAnsiTheme="majorHAnsi" w:cstheme="majorBidi"/>
      <w:b/>
      <w:color w:val="7C384A" w:themeColor="accent1" w:themeShade="BF"/>
      <w:sz w:val="28"/>
      <w:szCs w:val="28"/>
    </w:rPr>
  </w:style>
  <w:style w:type="paragraph" w:styleId="Heading3">
    <w:name w:val="heading 3"/>
    <w:basedOn w:val="Normal"/>
    <w:next w:val="Normal"/>
    <w:link w:val="Heading3Char"/>
    <w:uiPriority w:val="9"/>
    <w:unhideWhenUsed/>
    <w:qFormat/>
    <w:rsid w:val="00B155F3"/>
    <w:pPr>
      <w:keepNext/>
      <w:keepLines/>
      <w:numPr>
        <w:ilvl w:val="2"/>
        <w:numId w:val="4"/>
      </w:numPr>
      <w:spacing w:before="240" w:line="240" w:lineRule="auto"/>
      <w:outlineLvl w:val="2"/>
    </w:pPr>
    <w:rPr>
      <w:rFonts w:asciiTheme="majorHAnsi" w:eastAsiaTheme="majorEastAsia" w:hAnsiTheme="majorHAnsi" w:cstheme="majorBidi"/>
      <w:b/>
      <w:color w:val="7C384A" w:themeColor="accent1" w:themeShade="BF"/>
      <w:sz w:val="22"/>
      <w:szCs w:val="32"/>
    </w:rPr>
  </w:style>
  <w:style w:type="paragraph" w:styleId="Heading4">
    <w:name w:val="heading 4"/>
    <w:basedOn w:val="Normal"/>
    <w:next w:val="Normal"/>
    <w:link w:val="Heading4Char"/>
    <w:uiPriority w:val="9"/>
    <w:unhideWhenUsed/>
    <w:qFormat/>
    <w:rsid w:val="00B155F3"/>
    <w:pPr>
      <w:keepNext/>
      <w:keepLines/>
      <w:spacing w:before="240" w:line="240" w:lineRule="auto"/>
      <w:outlineLvl w:val="3"/>
    </w:pPr>
    <w:rPr>
      <w:rFonts w:asciiTheme="majorHAnsi" w:eastAsiaTheme="majorEastAsia" w:hAnsiTheme="majorHAnsi" w:cstheme="majorBidi"/>
      <w:color w:val="7C384A" w:themeColor="accent1" w:themeShade="BF"/>
      <w:sz w:val="22"/>
      <w:szCs w:val="22"/>
    </w:rPr>
  </w:style>
  <w:style w:type="paragraph" w:styleId="Heading5">
    <w:name w:val="heading 5"/>
    <w:basedOn w:val="Normal"/>
    <w:next w:val="Normal"/>
    <w:link w:val="Heading5Char"/>
    <w:uiPriority w:val="9"/>
    <w:unhideWhenUsed/>
    <w:rsid w:val="00F677EC"/>
    <w:pPr>
      <w:keepNext/>
      <w:keepLines/>
      <w:numPr>
        <w:ilvl w:val="4"/>
        <w:numId w:val="4"/>
      </w:numPr>
      <w:spacing w:before="40" w:after="0"/>
      <w:outlineLvl w:val="4"/>
    </w:pPr>
    <w:rPr>
      <w:rFonts w:asciiTheme="majorHAnsi" w:eastAsiaTheme="majorEastAsia" w:hAnsiTheme="majorHAnsi" w:cstheme="majorBidi"/>
      <w:color w:val="696464" w:themeColor="text2"/>
      <w:sz w:val="22"/>
      <w:szCs w:val="22"/>
    </w:rPr>
  </w:style>
  <w:style w:type="paragraph" w:styleId="Heading6">
    <w:name w:val="heading 6"/>
    <w:basedOn w:val="Normal"/>
    <w:next w:val="Normal"/>
    <w:link w:val="Heading6Char"/>
    <w:uiPriority w:val="9"/>
    <w:unhideWhenUsed/>
    <w:qFormat/>
    <w:rsid w:val="00F677EC"/>
    <w:pPr>
      <w:keepNext/>
      <w:keepLines/>
      <w:numPr>
        <w:ilvl w:val="5"/>
        <w:numId w:val="4"/>
      </w:numPr>
      <w:spacing w:before="40" w:after="0"/>
      <w:outlineLvl w:val="5"/>
    </w:pPr>
    <w:rPr>
      <w:rFonts w:asciiTheme="majorHAnsi" w:eastAsiaTheme="majorEastAsia" w:hAnsiTheme="majorHAnsi" w:cstheme="majorBidi"/>
      <w:i/>
      <w:iCs/>
      <w:color w:val="696464" w:themeColor="text2"/>
      <w:sz w:val="21"/>
      <w:szCs w:val="21"/>
    </w:rPr>
  </w:style>
  <w:style w:type="paragraph" w:styleId="Heading7">
    <w:name w:val="heading 7"/>
    <w:basedOn w:val="Normal"/>
    <w:next w:val="Normal"/>
    <w:link w:val="Heading7Char"/>
    <w:uiPriority w:val="9"/>
    <w:unhideWhenUsed/>
    <w:qFormat/>
    <w:rsid w:val="00F677EC"/>
    <w:pPr>
      <w:keepNext/>
      <w:keepLines/>
      <w:numPr>
        <w:ilvl w:val="6"/>
        <w:numId w:val="4"/>
      </w:numPr>
      <w:spacing w:before="40" w:after="0"/>
      <w:outlineLvl w:val="6"/>
    </w:pPr>
    <w:rPr>
      <w:rFonts w:asciiTheme="majorHAnsi" w:eastAsiaTheme="majorEastAsia" w:hAnsiTheme="majorHAnsi" w:cstheme="majorBidi"/>
      <w:i/>
      <w:iCs/>
      <w:color w:val="532531" w:themeColor="accent1" w:themeShade="80"/>
      <w:sz w:val="21"/>
      <w:szCs w:val="21"/>
    </w:rPr>
  </w:style>
  <w:style w:type="paragraph" w:styleId="Heading8">
    <w:name w:val="heading 8"/>
    <w:basedOn w:val="Normal"/>
    <w:next w:val="Normal"/>
    <w:link w:val="Heading8Char"/>
    <w:uiPriority w:val="9"/>
    <w:unhideWhenUsed/>
    <w:qFormat/>
    <w:rsid w:val="00F677EC"/>
    <w:pPr>
      <w:keepNext/>
      <w:keepLines/>
      <w:numPr>
        <w:ilvl w:val="7"/>
        <w:numId w:val="4"/>
      </w:numPr>
      <w:spacing w:before="40" w:after="0"/>
      <w:outlineLvl w:val="7"/>
    </w:pPr>
    <w:rPr>
      <w:rFonts w:asciiTheme="majorHAnsi" w:eastAsiaTheme="majorEastAsia" w:hAnsiTheme="majorHAnsi" w:cstheme="majorBidi"/>
      <w:b/>
      <w:bCs/>
      <w:color w:val="696464" w:themeColor="text2"/>
    </w:rPr>
  </w:style>
  <w:style w:type="paragraph" w:styleId="Heading9">
    <w:name w:val="heading 9"/>
    <w:basedOn w:val="Normal"/>
    <w:next w:val="Normal"/>
    <w:link w:val="Heading9Char"/>
    <w:uiPriority w:val="9"/>
    <w:unhideWhenUsed/>
    <w:qFormat/>
    <w:rsid w:val="00F677EC"/>
    <w:pPr>
      <w:keepNext/>
      <w:keepLines/>
      <w:numPr>
        <w:ilvl w:val="8"/>
        <w:numId w:val="4"/>
      </w:numPr>
      <w:spacing w:before="40" w:after="0"/>
      <w:outlineLvl w:val="8"/>
    </w:pPr>
    <w:rPr>
      <w:rFonts w:asciiTheme="majorHAnsi" w:eastAsiaTheme="majorEastAsia" w:hAnsiTheme="majorHAnsi" w:cstheme="majorBidi"/>
      <w:b/>
      <w:bCs/>
      <w:i/>
      <w:iCs/>
      <w:color w:val="69646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5F3"/>
    <w:rPr>
      <w:rFonts w:asciiTheme="majorHAnsi" w:eastAsiaTheme="majorEastAsia" w:hAnsiTheme="majorHAnsi" w:cstheme="majorBidi"/>
      <w:color w:val="7C384A" w:themeColor="accent1" w:themeShade="BF"/>
      <w:sz w:val="48"/>
      <w:szCs w:val="48"/>
    </w:rPr>
  </w:style>
  <w:style w:type="character" w:customStyle="1" w:styleId="Heading2Char">
    <w:name w:val="Heading 2 Char"/>
    <w:basedOn w:val="DefaultParagraphFont"/>
    <w:link w:val="Heading2"/>
    <w:uiPriority w:val="9"/>
    <w:rsid w:val="00FF51DB"/>
    <w:rPr>
      <w:rFonts w:asciiTheme="majorHAnsi" w:eastAsiaTheme="majorEastAsia" w:hAnsiTheme="majorHAnsi" w:cstheme="majorBidi"/>
      <w:b/>
      <w:color w:val="7C384A" w:themeColor="accent1" w:themeShade="BF"/>
      <w:sz w:val="28"/>
      <w:szCs w:val="28"/>
    </w:rPr>
  </w:style>
  <w:style w:type="character" w:customStyle="1" w:styleId="Heading3Char">
    <w:name w:val="Heading 3 Char"/>
    <w:basedOn w:val="DefaultParagraphFont"/>
    <w:link w:val="Heading3"/>
    <w:uiPriority w:val="9"/>
    <w:rsid w:val="00B155F3"/>
    <w:rPr>
      <w:rFonts w:asciiTheme="majorHAnsi" w:eastAsiaTheme="majorEastAsia" w:hAnsiTheme="majorHAnsi" w:cstheme="majorBidi"/>
      <w:b/>
      <w:color w:val="7C384A" w:themeColor="accent1" w:themeShade="BF"/>
      <w:sz w:val="22"/>
      <w:szCs w:val="32"/>
    </w:rPr>
  </w:style>
  <w:style w:type="character" w:customStyle="1" w:styleId="Heading4Char">
    <w:name w:val="Heading 4 Char"/>
    <w:basedOn w:val="DefaultParagraphFont"/>
    <w:link w:val="Heading4"/>
    <w:uiPriority w:val="9"/>
    <w:rsid w:val="00B155F3"/>
    <w:rPr>
      <w:rFonts w:asciiTheme="majorHAnsi" w:eastAsiaTheme="majorEastAsia" w:hAnsiTheme="majorHAnsi" w:cstheme="majorBidi"/>
      <w:color w:val="7C384A" w:themeColor="accent1" w:themeShade="BF"/>
      <w:sz w:val="22"/>
      <w:szCs w:val="22"/>
    </w:rPr>
  </w:style>
  <w:style w:type="character" w:customStyle="1" w:styleId="Heading5Char">
    <w:name w:val="Heading 5 Char"/>
    <w:basedOn w:val="DefaultParagraphFont"/>
    <w:link w:val="Heading5"/>
    <w:uiPriority w:val="9"/>
    <w:rsid w:val="00F677EC"/>
    <w:rPr>
      <w:rFonts w:asciiTheme="majorHAnsi" w:eastAsiaTheme="majorEastAsia" w:hAnsiTheme="majorHAnsi" w:cstheme="majorBidi"/>
      <w:color w:val="696464" w:themeColor="text2"/>
      <w:sz w:val="22"/>
      <w:szCs w:val="22"/>
    </w:rPr>
  </w:style>
  <w:style w:type="character" w:customStyle="1" w:styleId="Heading6Char">
    <w:name w:val="Heading 6 Char"/>
    <w:basedOn w:val="DefaultParagraphFont"/>
    <w:link w:val="Heading6"/>
    <w:uiPriority w:val="9"/>
    <w:rsid w:val="00F677EC"/>
    <w:rPr>
      <w:rFonts w:asciiTheme="majorHAnsi" w:eastAsiaTheme="majorEastAsia" w:hAnsiTheme="majorHAnsi" w:cstheme="majorBidi"/>
      <w:i/>
      <w:iCs/>
      <w:color w:val="696464" w:themeColor="text2"/>
      <w:sz w:val="21"/>
      <w:szCs w:val="21"/>
    </w:rPr>
  </w:style>
  <w:style w:type="character" w:customStyle="1" w:styleId="Heading7Char">
    <w:name w:val="Heading 7 Char"/>
    <w:basedOn w:val="DefaultParagraphFont"/>
    <w:link w:val="Heading7"/>
    <w:uiPriority w:val="9"/>
    <w:rsid w:val="00F677EC"/>
    <w:rPr>
      <w:rFonts w:asciiTheme="majorHAnsi" w:eastAsiaTheme="majorEastAsia" w:hAnsiTheme="majorHAnsi" w:cstheme="majorBidi"/>
      <w:i/>
      <w:iCs/>
      <w:color w:val="532531" w:themeColor="accent1" w:themeShade="80"/>
      <w:sz w:val="21"/>
      <w:szCs w:val="21"/>
    </w:rPr>
  </w:style>
  <w:style w:type="character" w:customStyle="1" w:styleId="Heading8Char">
    <w:name w:val="Heading 8 Char"/>
    <w:basedOn w:val="DefaultParagraphFont"/>
    <w:link w:val="Heading8"/>
    <w:uiPriority w:val="9"/>
    <w:rsid w:val="00F677EC"/>
    <w:rPr>
      <w:rFonts w:asciiTheme="majorHAnsi" w:eastAsiaTheme="majorEastAsia" w:hAnsiTheme="majorHAnsi" w:cstheme="majorBidi"/>
      <w:b/>
      <w:bCs/>
      <w:color w:val="696464" w:themeColor="text2"/>
    </w:rPr>
  </w:style>
  <w:style w:type="character" w:customStyle="1" w:styleId="Heading9Char">
    <w:name w:val="Heading 9 Char"/>
    <w:basedOn w:val="DefaultParagraphFont"/>
    <w:link w:val="Heading9"/>
    <w:uiPriority w:val="9"/>
    <w:rsid w:val="00F677EC"/>
    <w:rPr>
      <w:rFonts w:asciiTheme="majorHAnsi" w:eastAsiaTheme="majorEastAsia" w:hAnsiTheme="majorHAnsi" w:cstheme="majorBidi"/>
      <w:b/>
      <w:bCs/>
      <w:i/>
      <w:iCs/>
      <w:color w:val="696464" w:themeColor="text2"/>
    </w:rPr>
  </w:style>
  <w:style w:type="paragraph" w:styleId="ListParagraph">
    <w:name w:val="List Paragraph"/>
    <w:aliases w:val="Bullets,Liste Article,Numbered paragraph,List Paragraph1,Paragraphe de liste1,Medium Grid 1 - Accent 21,LIST OF TABLES.,List Paragraph2,List Paragraph-ExecSummary,references,Paragraphe à Puce,Resume Title,List Paragraph_Table bullets,Ha,L"/>
    <w:basedOn w:val="Normal"/>
    <w:link w:val="ListParagraphChar"/>
    <w:uiPriority w:val="34"/>
    <w:qFormat/>
    <w:rsid w:val="0042009E"/>
    <w:pPr>
      <w:ind w:left="720"/>
      <w:contextualSpacing/>
    </w:pPr>
  </w:style>
  <w:style w:type="character" w:customStyle="1" w:styleId="ListParagraphChar">
    <w:name w:val="List Paragraph Char"/>
    <w:aliases w:val="Bullets Char,Liste Article Char,Numbered paragraph Char,List Paragraph1 Char,Paragraphe de liste1 Char,Medium Grid 1 - Accent 21 Char,LIST OF TABLES. Char,List Paragraph2 Char,List Paragraph-ExecSummary Char,references Char,Ha Char"/>
    <w:basedOn w:val="DefaultParagraphFont"/>
    <w:link w:val="ListParagraph"/>
    <w:uiPriority w:val="34"/>
    <w:qFormat/>
    <w:rsid w:val="00C0018E"/>
  </w:style>
  <w:style w:type="paragraph" w:customStyle="1" w:styleId="Default">
    <w:name w:val="Default"/>
    <w:rsid w:val="00654FF6"/>
    <w:pPr>
      <w:widowControl w:val="0"/>
      <w:autoSpaceDE w:val="0"/>
      <w:autoSpaceDN w:val="0"/>
      <w:adjustRightInd w:val="0"/>
    </w:pPr>
    <w:rPr>
      <w:rFonts w:ascii="Times New Roman" w:hAnsi="Times New Roman" w:cs="Times New Roman"/>
      <w:color w:val="000000"/>
    </w:rPr>
  </w:style>
  <w:style w:type="table" w:styleId="TableGrid">
    <w:name w:val="Table Grid"/>
    <w:aliases w:val="Plain Table,GRM Table"/>
    <w:basedOn w:val="TableNormal"/>
    <w:uiPriority w:val="39"/>
    <w:rsid w:val="006E0069"/>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F03"/>
    <w:pPr>
      <w:tabs>
        <w:tab w:val="center" w:pos="4320"/>
        <w:tab w:val="right" w:pos="8640"/>
      </w:tabs>
    </w:pPr>
  </w:style>
  <w:style w:type="character" w:customStyle="1" w:styleId="HeaderChar">
    <w:name w:val="Header Char"/>
    <w:basedOn w:val="DefaultParagraphFont"/>
    <w:link w:val="Header"/>
    <w:uiPriority w:val="99"/>
    <w:rsid w:val="00F55F03"/>
  </w:style>
  <w:style w:type="paragraph" w:styleId="Footer">
    <w:name w:val="footer"/>
    <w:basedOn w:val="Normal"/>
    <w:link w:val="FooterChar"/>
    <w:uiPriority w:val="99"/>
    <w:unhideWhenUsed/>
    <w:rsid w:val="00F55F03"/>
    <w:pPr>
      <w:tabs>
        <w:tab w:val="center" w:pos="4320"/>
        <w:tab w:val="right" w:pos="8640"/>
      </w:tabs>
    </w:pPr>
  </w:style>
  <w:style w:type="character" w:customStyle="1" w:styleId="FooterChar">
    <w:name w:val="Footer Char"/>
    <w:basedOn w:val="DefaultParagraphFont"/>
    <w:link w:val="Footer"/>
    <w:uiPriority w:val="99"/>
    <w:rsid w:val="00F55F03"/>
  </w:style>
  <w:style w:type="character" w:styleId="PageNumber">
    <w:name w:val="page number"/>
    <w:basedOn w:val="DefaultParagraphFont"/>
    <w:unhideWhenUsed/>
    <w:rsid w:val="002B617D"/>
  </w:style>
  <w:style w:type="paragraph" w:customStyle="1" w:styleId="Level1">
    <w:name w:val="Level 1"/>
    <w:basedOn w:val="TOC1"/>
    <w:link w:val="Level1Char"/>
    <w:rsid w:val="00171511"/>
    <w:pPr>
      <w:spacing w:after="120"/>
    </w:pPr>
    <w:rPr>
      <w:rFonts w:asciiTheme="majorHAnsi" w:eastAsia="Times New Roman" w:hAnsiTheme="majorHAnsi" w:cs="Times New Roman"/>
      <w:b/>
      <w:bCs/>
      <w:caps/>
    </w:rPr>
  </w:style>
  <w:style w:type="paragraph" w:styleId="TOC1">
    <w:name w:val="toc 1"/>
    <w:basedOn w:val="Normal"/>
    <w:next w:val="Normal"/>
    <w:uiPriority w:val="39"/>
    <w:unhideWhenUsed/>
    <w:rsid w:val="00B155F3"/>
    <w:pPr>
      <w:tabs>
        <w:tab w:val="left" w:pos="567"/>
        <w:tab w:val="right" w:leader="dot" w:pos="9639"/>
      </w:tabs>
      <w:spacing w:before="120" w:after="0" w:line="240" w:lineRule="auto"/>
      <w:ind w:left="567" w:hanging="567"/>
    </w:pPr>
    <w:rPr>
      <w:rFonts w:ascii="Calibri" w:hAnsi="Calibri"/>
      <w:sz w:val="22"/>
    </w:rPr>
  </w:style>
  <w:style w:type="character" w:customStyle="1" w:styleId="Level1Char">
    <w:name w:val="Level 1 Char"/>
    <w:basedOn w:val="DefaultParagraphFont"/>
    <w:link w:val="Level1"/>
    <w:rsid w:val="00171511"/>
    <w:rPr>
      <w:rFonts w:asciiTheme="majorHAnsi" w:eastAsia="Times New Roman" w:hAnsiTheme="majorHAnsi" w:cs="Times New Roman"/>
      <w:b/>
      <w:bCs/>
      <w:caps/>
      <w:sz w:val="20"/>
      <w:szCs w:val="20"/>
    </w:rPr>
  </w:style>
  <w:style w:type="paragraph" w:customStyle="1" w:styleId="Level2">
    <w:name w:val="Level 2"/>
    <w:basedOn w:val="TOC2"/>
    <w:link w:val="Level2Char"/>
    <w:rsid w:val="00171511"/>
    <w:pPr>
      <w:tabs>
        <w:tab w:val="right" w:leader="dot" w:pos="8630"/>
      </w:tabs>
      <w:ind w:left="200"/>
    </w:pPr>
    <w:rPr>
      <w:rFonts w:asciiTheme="majorHAnsi" w:eastAsia="Times New Roman" w:hAnsiTheme="majorHAnsi" w:cs="Times New Roman"/>
      <w:smallCaps/>
      <w:color w:val="000000"/>
    </w:rPr>
  </w:style>
  <w:style w:type="paragraph" w:styleId="TOC2">
    <w:name w:val="toc 2"/>
    <w:basedOn w:val="Normal"/>
    <w:next w:val="Normal"/>
    <w:uiPriority w:val="39"/>
    <w:unhideWhenUsed/>
    <w:rsid w:val="00E46FD0"/>
    <w:pPr>
      <w:tabs>
        <w:tab w:val="right" w:leader="dot" w:pos="9639"/>
      </w:tabs>
      <w:spacing w:after="0" w:line="240" w:lineRule="auto"/>
      <w:ind w:left="567" w:hanging="567"/>
    </w:pPr>
    <w:rPr>
      <w:sz w:val="22"/>
    </w:rPr>
  </w:style>
  <w:style w:type="character" w:customStyle="1" w:styleId="Level2Char">
    <w:name w:val="Level 2 Char"/>
    <w:basedOn w:val="DefaultParagraphFont"/>
    <w:link w:val="Level2"/>
    <w:rsid w:val="00171511"/>
    <w:rPr>
      <w:rFonts w:asciiTheme="majorHAnsi" w:eastAsia="Times New Roman" w:hAnsiTheme="majorHAnsi" w:cs="Times New Roman"/>
      <w:smallCaps/>
      <w:color w:val="000000"/>
      <w:sz w:val="20"/>
      <w:szCs w:val="20"/>
    </w:rPr>
  </w:style>
  <w:style w:type="character" w:styleId="CommentReference">
    <w:name w:val="annotation reference"/>
    <w:basedOn w:val="DefaultParagraphFont"/>
    <w:uiPriority w:val="99"/>
    <w:unhideWhenUsed/>
    <w:rsid w:val="00314705"/>
    <w:rPr>
      <w:sz w:val="16"/>
      <w:szCs w:val="16"/>
    </w:rPr>
  </w:style>
  <w:style w:type="paragraph" w:styleId="CommentText">
    <w:name w:val="annotation text"/>
    <w:basedOn w:val="Normal"/>
    <w:link w:val="CommentTextChar"/>
    <w:uiPriority w:val="99"/>
    <w:unhideWhenUsed/>
    <w:rsid w:val="00314705"/>
  </w:style>
  <w:style w:type="character" w:customStyle="1" w:styleId="CommentTextChar">
    <w:name w:val="Comment Text Char"/>
    <w:basedOn w:val="DefaultParagraphFont"/>
    <w:link w:val="CommentText"/>
    <w:uiPriority w:val="99"/>
    <w:rsid w:val="00314705"/>
    <w:rPr>
      <w:sz w:val="20"/>
      <w:szCs w:val="20"/>
    </w:rPr>
  </w:style>
  <w:style w:type="paragraph" w:styleId="FootnoteText">
    <w:name w:val="footnote text"/>
    <w:basedOn w:val="Normal"/>
    <w:link w:val="FootnoteTextChar"/>
    <w:unhideWhenUsed/>
    <w:rsid w:val="00444591"/>
  </w:style>
  <w:style w:type="character" w:customStyle="1" w:styleId="FootnoteTextChar">
    <w:name w:val="Footnote Text Char"/>
    <w:basedOn w:val="DefaultParagraphFont"/>
    <w:link w:val="FootnoteText"/>
    <w:semiHidden/>
    <w:rsid w:val="00444591"/>
    <w:rPr>
      <w:sz w:val="20"/>
      <w:szCs w:val="20"/>
    </w:rPr>
  </w:style>
  <w:style w:type="character" w:styleId="FootnoteReference">
    <w:name w:val="footnote reference"/>
    <w:basedOn w:val="DefaultParagraphFont"/>
    <w:semiHidden/>
    <w:unhideWhenUsed/>
    <w:rsid w:val="00444591"/>
    <w:rPr>
      <w:vertAlign w:val="superscript"/>
    </w:rPr>
  </w:style>
  <w:style w:type="character" w:styleId="Hyperlink">
    <w:name w:val="Hyperlink"/>
    <w:basedOn w:val="DefaultParagraphFont"/>
    <w:uiPriority w:val="99"/>
    <w:unhideWhenUsed/>
    <w:rsid w:val="00444591"/>
    <w:rPr>
      <w:color w:val="CC9900" w:themeColor="hyperlink"/>
      <w:u w:val="single"/>
    </w:rPr>
  </w:style>
  <w:style w:type="paragraph" w:styleId="TOC3">
    <w:name w:val="toc 3"/>
    <w:basedOn w:val="Normal"/>
    <w:next w:val="Normal"/>
    <w:autoRedefine/>
    <w:uiPriority w:val="39"/>
    <w:unhideWhenUsed/>
    <w:rsid w:val="000B7EF6"/>
    <w:pPr>
      <w:tabs>
        <w:tab w:val="left" w:pos="1701"/>
        <w:tab w:val="right" w:leader="dot" w:pos="9017"/>
      </w:tabs>
      <w:ind w:left="1701" w:hanging="709"/>
    </w:pPr>
  </w:style>
  <w:style w:type="paragraph" w:styleId="BodyText">
    <w:name w:val="Body Text"/>
    <w:basedOn w:val="Normal"/>
    <w:link w:val="BodyTextChar"/>
    <w:qFormat/>
    <w:rsid w:val="00721F2D"/>
    <w:pPr>
      <w:spacing w:before="120" w:after="40" w:line="276" w:lineRule="auto"/>
    </w:pPr>
    <w:rPr>
      <w:rFonts w:eastAsia="Times New Roman" w:cs="Times New Roman"/>
      <w:lang w:val="en-AU"/>
    </w:rPr>
  </w:style>
  <w:style w:type="character" w:customStyle="1" w:styleId="BodyTextChar">
    <w:name w:val="Body Text Char"/>
    <w:basedOn w:val="DefaultParagraphFont"/>
    <w:link w:val="BodyText"/>
    <w:rsid w:val="00721F2D"/>
    <w:rPr>
      <w:rFonts w:eastAsia="Times New Roman" w:cs="Times New Roman"/>
      <w:lang w:val="en-AU"/>
    </w:rPr>
  </w:style>
  <w:style w:type="paragraph" w:styleId="Title">
    <w:name w:val="Title"/>
    <w:basedOn w:val="Normal"/>
    <w:next w:val="Normal"/>
    <w:link w:val="TitleChar"/>
    <w:uiPriority w:val="10"/>
    <w:rsid w:val="00883579"/>
    <w:pPr>
      <w:spacing w:before="7920" w:after="360" w:line="240" w:lineRule="auto"/>
      <w:ind w:left="1560"/>
      <w:contextualSpacing/>
    </w:pPr>
    <w:rPr>
      <w:rFonts w:asciiTheme="majorHAnsi" w:eastAsiaTheme="majorEastAsia" w:hAnsiTheme="majorHAnsi" w:cstheme="majorBidi"/>
      <w:color w:val="67733D" w:themeColor="accent4"/>
      <w:spacing w:val="-10"/>
      <w:sz w:val="96"/>
      <w:szCs w:val="96"/>
      <w:lang w:eastAsia="en-AU"/>
    </w:rPr>
  </w:style>
  <w:style w:type="character" w:customStyle="1" w:styleId="TitleChar">
    <w:name w:val="Title Char"/>
    <w:basedOn w:val="DefaultParagraphFont"/>
    <w:link w:val="Title"/>
    <w:uiPriority w:val="10"/>
    <w:rsid w:val="00883579"/>
    <w:rPr>
      <w:rFonts w:asciiTheme="majorHAnsi" w:eastAsiaTheme="majorEastAsia" w:hAnsiTheme="majorHAnsi" w:cstheme="majorBidi"/>
      <w:color w:val="67733D" w:themeColor="accent4"/>
      <w:spacing w:val="-10"/>
      <w:sz w:val="96"/>
      <w:szCs w:val="96"/>
      <w:lang w:eastAsia="en-AU"/>
    </w:rPr>
  </w:style>
  <w:style w:type="paragraph" w:styleId="ListBullet">
    <w:name w:val="List Bullet"/>
    <w:basedOn w:val="Normal"/>
    <w:autoRedefine/>
    <w:qFormat/>
    <w:rsid w:val="00C9374E"/>
    <w:pPr>
      <w:numPr>
        <w:numId w:val="20"/>
      </w:numPr>
      <w:spacing w:line="276" w:lineRule="auto"/>
      <w:contextualSpacing/>
    </w:pPr>
    <w:rPr>
      <w:rFonts w:eastAsia="Times New Roman" w:cs="Times New Roman"/>
      <w:bCs/>
      <w:iCs/>
      <w:lang w:val="en-NZ"/>
    </w:rPr>
  </w:style>
  <w:style w:type="paragraph" w:styleId="ListNumber">
    <w:name w:val="List Number"/>
    <w:basedOn w:val="ListBullet"/>
    <w:uiPriority w:val="99"/>
    <w:qFormat/>
    <w:rsid w:val="00C0018E"/>
    <w:pPr>
      <w:numPr>
        <w:numId w:val="1"/>
      </w:numPr>
    </w:pPr>
  </w:style>
  <w:style w:type="paragraph" w:styleId="ListBullet2">
    <w:name w:val="List Bullet 2"/>
    <w:basedOn w:val="ListBullet"/>
    <w:rsid w:val="00C0018E"/>
    <w:pPr>
      <w:tabs>
        <w:tab w:val="left" w:pos="357"/>
      </w:tabs>
    </w:pPr>
    <w:rPr>
      <w:i/>
    </w:rPr>
  </w:style>
  <w:style w:type="paragraph" w:styleId="CommentSubject">
    <w:name w:val="annotation subject"/>
    <w:basedOn w:val="CommentText"/>
    <w:next w:val="CommentText"/>
    <w:link w:val="CommentSubjectChar"/>
    <w:uiPriority w:val="99"/>
    <w:rsid w:val="00C0018E"/>
    <w:rPr>
      <w:rFonts w:ascii="Times New Roman" w:eastAsia="Times New Roman" w:hAnsi="Times New Roman" w:cs="Times New Roman"/>
      <w:b/>
      <w:bCs/>
      <w:lang w:val="en-AU"/>
    </w:rPr>
  </w:style>
  <w:style w:type="character" w:customStyle="1" w:styleId="CommentSubjectChar">
    <w:name w:val="Comment Subject Char"/>
    <w:basedOn w:val="CommentTextChar"/>
    <w:link w:val="CommentSubject"/>
    <w:uiPriority w:val="99"/>
    <w:rsid w:val="00C0018E"/>
    <w:rPr>
      <w:rFonts w:ascii="Times New Roman" w:eastAsia="Times New Roman" w:hAnsi="Times New Roman" w:cs="Times New Roman"/>
      <w:b/>
      <w:bCs/>
      <w:sz w:val="20"/>
      <w:szCs w:val="20"/>
      <w:lang w:val="en-AU"/>
    </w:rPr>
  </w:style>
  <w:style w:type="paragraph" w:styleId="PlainText">
    <w:name w:val="Plain Text"/>
    <w:basedOn w:val="Normal"/>
    <w:link w:val="PlainTextChar"/>
    <w:uiPriority w:val="99"/>
    <w:unhideWhenUsed/>
    <w:rsid w:val="00C0018E"/>
    <w:rPr>
      <w:rFonts w:ascii="Consolas" w:eastAsia="Calibri" w:hAnsi="Consolas" w:cs="Times New Roman"/>
      <w:sz w:val="21"/>
      <w:szCs w:val="21"/>
      <w:lang w:val="en-AU"/>
    </w:rPr>
  </w:style>
  <w:style w:type="character" w:customStyle="1" w:styleId="PlainTextChar">
    <w:name w:val="Plain Text Char"/>
    <w:basedOn w:val="DefaultParagraphFont"/>
    <w:link w:val="PlainText"/>
    <w:uiPriority w:val="99"/>
    <w:rsid w:val="00C0018E"/>
    <w:rPr>
      <w:rFonts w:ascii="Consolas" w:eastAsia="Calibri" w:hAnsi="Consolas" w:cs="Times New Roman"/>
      <w:sz w:val="21"/>
      <w:szCs w:val="21"/>
      <w:lang w:val="en-AU"/>
    </w:rPr>
  </w:style>
  <w:style w:type="paragraph" w:customStyle="1" w:styleId="TableEntry">
    <w:name w:val="Table Entry"/>
    <w:basedOn w:val="BodyText"/>
    <w:rsid w:val="00C0018E"/>
    <w:pPr>
      <w:spacing w:before="60" w:after="60"/>
    </w:pPr>
  </w:style>
  <w:style w:type="paragraph" w:styleId="TOC9">
    <w:name w:val="toc 9"/>
    <w:basedOn w:val="Normal"/>
    <w:next w:val="Normal"/>
    <w:autoRedefine/>
    <w:rsid w:val="00C0018E"/>
    <w:pPr>
      <w:ind w:left="1920"/>
    </w:pPr>
    <w:rPr>
      <w:rFonts w:ascii="Times New Roman" w:eastAsia="Times New Roman" w:hAnsi="Times New Roman" w:cs="Times New Roman"/>
      <w:lang w:val="en-AU"/>
    </w:rPr>
  </w:style>
  <w:style w:type="character" w:customStyle="1" w:styleId="FootnoteTextChar1">
    <w:name w:val="Footnote Text Char1"/>
    <w:rsid w:val="00C0018E"/>
    <w:rPr>
      <w:lang w:val="en-US" w:eastAsia="en-US"/>
    </w:rPr>
  </w:style>
  <w:style w:type="paragraph" w:styleId="Revision">
    <w:name w:val="Revision"/>
    <w:hidden/>
    <w:uiPriority w:val="99"/>
    <w:semiHidden/>
    <w:rsid w:val="00C0018E"/>
    <w:rPr>
      <w:rFonts w:ascii="Times New Roman" w:eastAsia="Times New Roman" w:hAnsi="Times New Roman" w:cs="Times New Roman"/>
      <w:lang w:val="en-AU"/>
    </w:rPr>
  </w:style>
  <w:style w:type="character" w:customStyle="1" w:styleId="longtext">
    <w:name w:val="long_text"/>
    <w:rsid w:val="00C0018E"/>
  </w:style>
  <w:style w:type="character" w:customStyle="1" w:styleId="gt-icon-text">
    <w:name w:val="gt-icon-text"/>
    <w:basedOn w:val="DefaultParagraphFont"/>
    <w:rsid w:val="00C0018E"/>
  </w:style>
  <w:style w:type="paragraph" w:styleId="z-TopofForm">
    <w:name w:val="HTML Top of Form"/>
    <w:basedOn w:val="Normal"/>
    <w:next w:val="Normal"/>
    <w:link w:val="z-TopofFormChar"/>
    <w:hidden/>
    <w:rsid w:val="00C0018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C0018E"/>
    <w:rPr>
      <w:rFonts w:ascii="Arial" w:eastAsia="Times New Roman" w:hAnsi="Arial" w:cs="Arial"/>
      <w:vanish/>
      <w:sz w:val="16"/>
      <w:szCs w:val="16"/>
    </w:rPr>
  </w:style>
  <w:style w:type="paragraph" w:styleId="z-BottomofForm">
    <w:name w:val="HTML Bottom of Form"/>
    <w:basedOn w:val="Normal"/>
    <w:next w:val="Normal"/>
    <w:link w:val="z-BottomofFormChar"/>
    <w:hidden/>
    <w:rsid w:val="00C0018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C0018E"/>
    <w:rPr>
      <w:rFonts w:ascii="Arial" w:eastAsia="Times New Roman" w:hAnsi="Arial" w:cs="Arial"/>
      <w:vanish/>
      <w:sz w:val="16"/>
      <w:szCs w:val="16"/>
    </w:rPr>
  </w:style>
  <w:style w:type="paragraph" w:styleId="Caption">
    <w:name w:val="caption"/>
    <w:basedOn w:val="Normal"/>
    <w:next w:val="Normal"/>
    <w:link w:val="CaptionChar"/>
    <w:uiPriority w:val="35"/>
    <w:unhideWhenUsed/>
    <w:qFormat/>
    <w:rsid w:val="00084E00"/>
    <w:pPr>
      <w:keepNext/>
      <w:spacing w:before="240" w:line="240" w:lineRule="auto"/>
      <w:ind w:left="851" w:hanging="851"/>
    </w:pPr>
    <w:rPr>
      <w:b/>
      <w:bCs/>
      <w:color w:val="532531" w:themeColor="accent1" w:themeShade="80"/>
      <w:spacing w:val="6"/>
      <w:sz w:val="18"/>
    </w:rPr>
  </w:style>
  <w:style w:type="character" w:customStyle="1" w:styleId="CaptionChar">
    <w:name w:val="Caption Char"/>
    <w:link w:val="Caption"/>
    <w:uiPriority w:val="35"/>
    <w:rsid w:val="00084E00"/>
    <w:rPr>
      <w:b/>
      <w:bCs/>
      <w:color w:val="532531" w:themeColor="accent1" w:themeShade="80"/>
      <w:spacing w:val="6"/>
      <w:sz w:val="18"/>
    </w:rPr>
  </w:style>
  <w:style w:type="paragraph" w:styleId="TableofFigures">
    <w:name w:val="table of figures"/>
    <w:basedOn w:val="Normal"/>
    <w:next w:val="Normal"/>
    <w:uiPriority w:val="99"/>
    <w:rsid w:val="00E46FD0"/>
    <w:pPr>
      <w:tabs>
        <w:tab w:val="right" w:leader="dot" w:pos="9072"/>
      </w:tabs>
      <w:spacing w:line="240" w:lineRule="auto"/>
    </w:pPr>
    <w:rPr>
      <w:rFonts w:ascii="Calibri" w:eastAsia="Times New Roman" w:hAnsi="Calibri" w:cs="Times New Roman"/>
      <w:sz w:val="22"/>
      <w:lang w:val="en-AU"/>
    </w:rPr>
  </w:style>
  <w:style w:type="paragraph" w:styleId="NormalWeb">
    <w:name w:val="Normal (Web)"/>
    <w:basedOn w:val="Normal"/>
    <w:uiPriority w:val="99"/>
    <w:unhideWhenUsed/>
    <w:rsid w:val="00C0018E"/>
    <w:pPr>
      <w:spacing w:before="100" w:beforeAutospacing="1" w:after="100" w:afterAutospacing="1"/>
    </w:pPr>
    <w:rPr>
      <w:rFonts w:ascii="Times New Roman" w:eastAsia="Times New Roman" w:hAnsi="Times New Roman" w:cs="Times New Roman"/>
      <w:lang w:eastAsia="en-GB"/>
    </w:rPr>
  </w:style>
  <w:style w:type="paragraph" w:styleId="DocumentMap">
    <w:name w:val="Document Map"/>
    <w:basedOn w:val="Normal"/>
    <w:link w:val="DocumentMapChar"/>
    <w:rsid w:val="00C0018E"/>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rsid w:val="00C0018E"/>
    <w:rPr>
      <w:rFonts w:ascii="Tahoma" w:eastAsia="Times New Roman" w:hAnsi="Tahoma" w:cs="Times New Roman"/>
      <w:sz w:val="20"/>
      <w:szCs w:val="20"/>
      <w:shd w:val="clear" w:color="auto" w:fill="000080"/>
      <w:lang w:val="en-GB"/>
    </w:rPr>
  </w:style>
  <w:style w:type="paragraph" w:styleId="NoSpacing">
    <w:name w:val="No Spacing"/>
    <w:link w:val="NoSpacingChar"/>
    <w:uiPriority w:val="1"/>
    <w:qFormat/>
    <w:rsid w:val="00F677EC"/>
    <w:pPr>
      <w:spacing w:after="0" w:line="240" w:lineRule="auto"/>
    </w:pPr>
  </w:style>
  <w:style w:type="character" w:styleId="FollowedHyperlink">
    <w:name w:val="FollowedHyperlink"/>
    <w:basedOn w:val="DefaultParagraphFont"/>
    <w:rsid w:val="00C0018E"/>
    <w:rPr>
      <w:color w:val="96A9A9" w:themeColor="followedHyperlink"/>
      <w:u w:val="single"/>
    </w:rPr>
  </w:style>
  <w:style w:type="paragraph" w:styleId="TOCHeading">
    <w:name w:val="TOC Heading"/>
    <w:basedOn w:val="Heading1"/>
    <w:next w:val="Normal"/>
    <w:link w:val="TOCHeadingChar"/>
    <w:uiPriority w:val="39"/>
    <w:unhideWhenUsed/>
    <w:rsid w:val="00B155F3"/>
    <w:pPr>
      <w:numPr>
        <w:numId w:val="0"/>
      </w:numPr>
      <w:outlineLvl w:val="9"/>
    </w:pPr>
    <w:rPr>
      <w:color w:val="532531" w:themeColor="accent1" w:themeShade="80"/>
    </w:rPr>
  </w:style>
  <w:style w:type="character" w:customStyle="1" w:styleId="TOCHeadingChar">
    <w:name w:val="TOC Heading Char"/>
    <w:basedOn w:val="Heading1Char"/>
    <w:link w:val="TOCHeading"/>
    <w:uiPriority w:val="39"/>
    <w:rsid w:val="00B155F3"/>
    <w:rPr>
      <w:rFonts w:asciiTheme="majorHAnsi" w:eastAsiaTheme="majorEastAsia" w:hAnsiTheme="majorHAnsi" w:cstheme="majorBidi"/>
      <w:color w:val="532531" w:themeColor="accent1" w:themeShade="80"/>
      <w:sz w:val="48"/>
      <w:szCs w:val="48"/>
    </w:rPr>
  </w:style>
  <w:style w:type="paragraph" w:customStyle="1" w:styleId="ANNEXHEADING">
    <w:name w:val="ANNEX HEADING"/>
    <w:basedOn w:val="TOCHeading"/>
    <w:link w:val="ANNEXHEADINGChar"/>
    <w:rsid w:val="00B155F3"/>
    <w:pPr>
      <w:numPr>
        <w:numId w:val="3"/>
      </w:numPr>
      <w:spacing w:before="0" w:after="240"/>
      <w:ind w:left="1701" w:hanging="1701"/>
      <w:outlineLvl w:val="0"/>
    </w:pPr>
    <w:rPr>
      <w:lang w:val="en-GB"/>
    </w:rPr>
  </w:style>
  <w:style w:type="character" w:customStyle="1" w:styleId="ANNEXHEADINGChar">
    <w:name w:val="ANNEX HEADING Char"/>
    <w:basedOn w:val="TOCHeadingChar"/>
    <w:link w:val="ANNEXHEADING"/>
    <w:rsid w:val="00B155F3"/>
    <w:rPr>
      <w:rFonts w:asciiTheme="majorHAnsi" w:eastAsiaTheme="majorEastAsia" w:hAnsiTheme="majorHAnsi" w:cstheme="majorBidi"/>
      <w:color w:val="532531" w:themeColor="accent1" w:themeShade="80"/>
      <w:sz w:val="48"/>
      <w:szCs w:val="48"/>
      <w:lang w:val="en-GB"/>
    </w:rPr>
  </w:style>
  <w:style w:type="table" w:styleId="LightList-Accent1">
    <w:name w:val="Light List Accent 1"/>
    <w:basedOn w:val="TableNormal"/>
    <w:uiPriority w:val="61"/>
    <w:rsid w:val="003F7E2C"/>
    <w:rPr>
      <w:rFonts w:eastAsiaTheme="minorHAnsi"/>
      <w:sz w:val="22"/>
      <w:szCs w:val="22"/>
      <w:lang w:val="en-AU"/>
    </w:rPr>
    <w:tblPr>
      <w:tblStyleRowBandSize w:val="1"/>
      <w:tblStyleColBandSize w:val="1"/>
      <w:tblBorders>
        <w:top w:val="single" w:sz="8" w:space="0" w:color="A64B63" w:themeColor="accent1"/>
        <w:left w:val="single" w:sz="8" w:space="0" w:color="A64B63" w:themeColor="accent1"/>
        <w:bottom w:val="single" w:sz="8" w:space="0" w:color="A64B63" w:themeColor="accent1"/>
        <w:right w:val="single" w:sz="8" w:space="0" w:color="A64B63" w:themeColor="accent1"/>
      </w:tblBorders>
    </w:tblPr>
    <w:tblStylePr w:type="firstRow">
      <w:pPr>
        <w:spacing w:before="0" w:after="0" w:line="240" w:lineRule="auto"/>
      </w:pPr>
      <w:rPr>
        <w:b/>
        <w:bCs/>
        <w:color w:val="FFFFFF" w:themeColor="background1"/>
      </w:rPr>
      <w:tblPr/>
      <w:tcPr>
        <w:shd w:val="clear" w:color="auto" w:fill="A64B63" w:themeFill="accent1"/>
      </w:tcPr>
    </w:tblStylePr>
    <w:tblStylePr w:type="lastRow">
      <w:pPr>
        <w:spacing w:before="0" w:after="0" w:line="240" w:lineRule="auto"/>
      </w:pPr>
      <w:rPr>
        <w:b/>
        <w:bCs/>
      </w:rPr>
      <w:tblPr/>
      <w:tcPr>
        <w:tcBorders>
          <w:top w:val="double" w:sz="6" w:space="0" w:color="A64B63" w:themeColor="accent1"/>
          <w:left w:val="single" w:sz="8" w:space="0" w:color="A64B63" w:themeColor="accent1"/>
          <w:bottom w:val="single" w:sz="8" w:space="0" w:color="A64B63" w:themeColor="accent1"/>
          <w:right w:val="single" w:sz="8" w:space="0" w:color="A64B63" w:themeColor="accent1"/>
        </w:tcBorders>
      </w:tcPr>
    </w:tblStylePr>
    <w:tblStylePr w:type="firstCol">
      <w:rPr>
        <w:b/>
        <w:bCs/>
      </w:rPr>
    </w:tblStylePr>
    <w:tblStylePr w:type="lastCol">
      <w:rPr>
        <w:b/>
        <w:bCs/>
      </w:rPr>
    </w:tblStylePr>
    <w:tblStylePr w:type="band1Vert">
      <w:tblPr/>
      <w:tcPr>
        <w:tcBorders>
          <w:top w:val="single" w:sz="8" w:space="0" w:color="A64B63" w:themeColor="accent1"/>
          <w:left w:val="single" w:sz="8" w:space="0" w:color="A64B63" w:themeColor="accent1"/>
          <w:bottom w:val="single" w:sz="8" w:space="0" w:color="A64B63" w:themeColor="accent1"/>
          <w:right w:val="single" w:sz="8" w:space="0" w:color="A64B63" w:themeColor="accent1"/>
        </w:tcBorders>
      </w:tcPr>
    </w:tblStylePr>
    <w:tblStylePr w:type="band1Horz">
      <w:tblPr/>
      <w:tcPr>
        <w:tcBorders>
          <w:top w:val="single" w:sz="8" w:space="0" w:color="A64B63" w:themeColor="accent1"/>
          <w:left w:val="single" w:sz="8" w:space="0" w:color="A64B63" w:themeColor="accent1"/>
          <w:bottom w:val="single" w:sz="8" w:space="0" w:color="A64B63" w:themeColor="accent1"/>
          <w:right w:val="single" w:sz="8" w:space="0" w:color="A64B63" w:themeColor="accent1"/>
        </w:tcBorders>
      </w:tcPr>
    </w:tblStylePr>
  </w:style>
  <w:style w:type="character" w:styleId="IntenseEmphasis">
    <w:name w:val="Intense Emphasis"/>
    <w:basedOn w:val="DefaultParagraphFont"/>
    <w:uiPriority w:val="21"/>
    <w:rsid w:val="00F677EC"/>
    <w:rPr>
      <w:b/>
      <w:bCs/>
      <w:i/>
      <w:iCs/>
    </w:rPr>
  </w:style>
  <w:style w:type="table" w:customStyle="1" w:styleId="PlainTable4">
    <w:name w:val="Plain Table4"/>
    <w:basedOn w:val="TableNormal"/>
    <w:next w:val="TableGrid"/>
    <w:uiPriority w:val="39"/>
    <w:rsid w:val="00B65271"/>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7">
    <w:name w:val="Plain Table7"/>
    <w:basedOn w:val="TableNormal"/>
    <w:next w:val="TableGrid"/>
    <w:uiPriority w:val="39"/>
    <w:rsid w:val="00B65271"/>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5">
    <w:name w:val="List Bullet 5"/>
    <w:basedOn w:val="Normal"/>
    <w:uiPriority w:val="99"/>
    <w:semiHidden/>
    <w:rsid w:val="008407B1"/>
    <w:pPr>
      <w:numPr>
        <w:numId w:val="2"/>
      </w:numPr>
      <w:spacing w:before="60" w:after="60" w:line="240" w:lineRule="auto"/>
    </w:pPr>
    <w:rPr>
      <w:rFonts w:ascii="Arial" w:eastAsia="Times New Roman" w:hAnsi="Arial" w:cs="Times New Roman"/>
      <w:szCs w:val="22"/>
      <w:lang w:val="en-AU" w:eastAsia="en-AU"/>
    </w:rPr>
  </w:style>
  <w:style w:type="paragraph" w:customStyle="1" w:styleId="Preparedfor">
    <w:name w:val="Prepared for"/>
    <w:basedOn w:val="Normal"/>
    <w:semiHidden/>
    <w:rsid w:val="008407B1"/>
    <w:pPr>
      <w:spacing w:before="60" w:after="60" w:line="240" w:lineRule="auto"/>
    </w:pPr>
    <w:rPr>
      <w:rFonts w:ascii="Arial" w:eastAsia="Times New Roman" w:hAnsi="Arial" w:cs="Times New Roman"/>
      <w:color w:val="988F86"/>
      <w:lang w:val="en-AU" w:eastAsia="en-AU"/>
    </w:rPr>
  </w:style>
  <w:style w:type="paragraph" w:customStyle="1" w:styleId="DocumentInformation">
    <w:name w:val="Document Information"/>
    <w:basedOn w:val="Normal"/>
    <w:semiHidden/>
    <w:rsid w:val="008407B1"/>
    <w:pPr>
      <w:tabs>
        <w:tab w:val="left" w:pos="2268"/>
      </w:tabs>
      <w:spacing w:before="60" w:after="60"/>
      <w:ind w:left="2268" w:hanging="2268"/>
    </w:pPr>
    <w:rPr>
      <w:rFonts w:ascii="Arial" w:eastAsia="Times New Roman" w:hAnsi="Arial" w:cs="Times New Roman"/>
      <w:szCs w:val="22"/>
      <w:lang w:val="en-AU" w:eastAsia="en-AU"/>
    </w:rPr>
  </w:style>
  <w:style w:type="table" w:customStyle="1" w:styleId="PlainTable1">
    <w:name w:val="Plain Table1"/>
    <w:basedOn w:val="TableNormal"/>
    <w:uiPriority w:val="39"/>
    <w:rsid w:val="003661DA"/>
    <w:rPr>
      <w:rFonts w:ascii="Arial" w:eastAsia="Arial" w:hAnsi="Arial"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2"/>
    <w:basedOn w:val="TableNormal"/>
    <w:uiPriority w:val="39"/>
    <w:rsid w:val="003661DA"/>
    <w:rPr>
      <w:rFonts w:ascii="Arial" w:eastAsia="Arial" w:hAnsi="Arial" w:cs="Times New Roman"/>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AE184A"/>
    <w:rPr>
      <w:rFonts w:eastAsiaTheme="minorHAnsi"/>
      <w:color w:val="C24768" w:themeColor="accent3" w:themeShade="BF"/>
      <w:sz w:val="22"/>
      <w:szCs w:val="22"/>
    </w:rPr>
    <w:tblPr>
      <w:tblStyleRowBandSize w:val="1"/>
      <w:tblStyleColBandSize w:val="1"/>
      <w:tblBorders>
        <w:top w:val="single" w:sz="8" w:space="0" w:color="D98BA0" w:themeColor="accent3"/>
        <w:bottom w:val="single" w:sz="8" w:space="0" w:color="D98BA0" w:themeColor="accent3"/>
      </w:tblBorders>
    </w:tblPr>
    <w:tblStylePr w:type="firstRow">
      <w:pPr>
        <w:spacing w:before="0" w:after="0" w:line="240" w:lineRule="auto"/>
      </w:pPr>
      <w:rPr>
        <w:b/>
        <w:bCs/>
      </w:rPr>
      <w:tblPr/>
      <w:tcPr>
        <w:tcBorders>
          <w:top w:val="single" w:sz="8" w:space="0" w:color="D98BA0" w:themeColor="accent3"/>
          <w:left w:val="nil"/>
          <w:bottom w:val="single" w:sz="8" w:space="0" w:color="D98BA0" w:themeColor="accent3"/>
          <w:right w:val="nil"/>
          <w:insideH w:val="nil"/>
          <w:insideV w:val="nil"/>
        </w:tcBorders>
      </w:tcPr>
    </w:tblStylePr>
    <w:tblStylePr w:type="lastRow">
      <w:pPr>
        <w:spacing w:before="0" w:after="0" w:line="240" w:lineRule="auto"/>
      </w:pPr>
      <w:rPr>
        <w:b/>
        <w:bCs/>
      </w:rPr>
      <w:tblPr/>
      <w:tcPr>
        <w:tcBorders>
          <w:top w:val="single" w:sz="8" w:space="0" w:color="D98BA0" w:themeColor="accent3"/>
          <w:left w:val="nil"/>
          <w:bottom w:val="single" w:sz="8" w:space="0" w:color="D98B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2E7" w:themeFill="accent3" w:themeFillTint="3F"/>
      </w:tcPr>
    </w:tblStylePr>
    <w:tblStylePr w:type="band1Horz">
      <w:tblPr/>
      <w:tcPr>
        <w:tcBorders>
          <w:left w:val="nil"/>
          <w:right w:val="nil"/>
          <w:insideH w:val="nil"/>
          <w:insideV w:val="nil"/>
        </w:tcBorders>
        <w:shd w:val="clear" w:color="auto" w:fill="F5E2E7" w:themeFill="accent3" w:themeFillTint="3F"/>
      </w:tcPr>
    </w:tblStylePr>
  </w:style>
  <w:style w:type="character" w:styleId="Emphasis">
    <w:name w:val="Emphasis"/>
    <w:basedOn w:val="DefaultParagraphFont"/>
    <w:uiPriority w:val="20"/>
    <w:rsid w:val="00F677EC"/>
    <w:rPr>
      <w:i/>
      <w:iCs/>
    </w:rPr>
  </w:style>
  <w:style w:type="paragraph" w:styleId="EnvelopeReturn">
    <w:name w:val="envelope return"/>
    <w:basedOn w:val="Normal"/>
    <w:uiPriority w:val="99"/>
    <w:semiHidden/>
    <w:rsid w:val="00136BDD"/>
    <w:pPr>
      <w:spacing w:before="60" w:after="60" w:line="240" w:lineRule="auto"/>
    </w:pPr>
    <w:rPr>
      <w:rFonts w:ascii="Arial" w:eastAsia="Times New Roman" w:hAnsi="Arial" w:cs="Arial"/>
      <w:lang w:val="en-AU" w:eastAsia="en-AU"/>
    </w:rPr>
  </w:style>
  <w:style w:type="paragraph" w:customStyle="1" w:styleId="table-normal-nospace">
    <w:name w:val="table-normal-nospace"/>
    <w:basedOn w:val="Normal"/>
    <w:rsid w:val="00B31708"/>
    <w:pPr>
      <w:spacing w:before="20" w:after="20" w:line="240" w:lineRule="auto"/>
    </w:pPr>
    <w:rPr>
      <w:rFonts w:ascii="Arial" w:eastAsiaTheme="minorHAnsi" w:hAnsi="Arial" w:cstheme="majorHAnsi"/>
      <w:sz w:val="16"/>
      <w:szCs w:val="22"/>
      <w:lang w:val="en-AU"/>
    </w:rPr>
  </w:style>
  <w:style w:type="paragraph" w:customStyle="1" w:styleId="table-normal">
    <w:name w:val="table-normal"/>
    <w:basedOn w:val="Normal"/>
    <w:rsid w:val="00443151"/>
    <w:pPr>
      <w:spacing w:before="120" w:line="240" w:lineRule="auto"/>
    </w:pPr>
    <w:rPr>
      <w:rFonts w:ascii="Arial" w:eastAsiaTheme="minorHAnsi" w:hAnsi="Arial" w:cstheme="majorHAnsi"/>
      <w:sz w:val="16"/>
      <w:szCs w:val="22"/>
      <w:lang w:val="en-AU"/>
    </w:rPr>
  </w:style>
  <w:style w:type="table" w:styleId="TableGridLight">
    <w:name w:val="Grid Table Light"/>
    <w:basedOn w:val="TableNormal"/>
    <w:uiPriority w:val="40"/>
    <w:rsid w:val="00443151"/>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rsid w:val="00883579"/>
    <w:pPr>
      <w:numPr>
        <w:ilvl w:val="1"/>
      </w:numPr>
      <w:spacing w:before="360" w:line="240" w:lineRule="auto"/>
      <w:ind w:left="1560"/>
      <w:contextualSpacing/>
    </w:pPr>
    <w:rPr>
      <w:rFonts w:asciiTheme="majorHAnsi" w:eastAsiaTheme="majorEastAsia" w:hAnsiTheme="majorHAnsi" w:cstheme="majorBidi"/>
      <w:color w:val="172601" w:themeColor="accent2"/>
      <w:sz w:val="32"/>
      <w:szCs w:val="24"/>
      <w:lang w:val="en-AU" w:eastAsia="en-AU"/>
    </w:rPr>
  </w:style>
  <w:style w:type="character" w:customStyle="1" w:styleId="SubtitleChar">
    <w:name w:val="Subtitle Char"/>
    <w:basedOn w:val="DefaultParagraphFont"/>
    <w:link w:val="Subtitle"/>
    <w:uiPriority w:val="11"/>
    <w:rsid w:val="00883579"/>
    <w:rPr>
      <w:rFonts w:asciiTheme="majorHAnsi" w:eastAsiaTheme="majorEastAsia" w:hAnsiTheme="majorHAnsi" w:cstheme="majorBidi"/>
      <w:color w:val="172601" w:themeColor="accent2"/>
      <w:sz w:val="32"/>
      <w:szCs w:val="24"/>
      <w:lang w:val="en-AU" w:eastAsia="en-AU"/>
    </w:rPr>
  </w:style>
  <w:style w:type="character" w:styleId="Strong">
    <w:name w:val="Strong"/>
    <w:basedOn w:val="DefaultParagraphFont"/>
    <w:uiPriority w:val="22"/>
    <w:rsid w:val="00F677EC"/>
    <w:rPr>
      <w:b/>
      <w:bCs/>
    </w:rPr>
  </w:style>
  <w:style w:type="paragraph" w:styleId="Quote">
    <w:name w:val="Quote"/>
    <w:basedOn w:val="Normal"/>
    <w:next w:val="Normal"/>
    <w:link w:val="QuoteChar"/>
    <w:uiPriority w:val="29"/>
    <w:rsid w:val="00F677E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677EC"/>
    <w:rPr>
      <w:i/>
      <w:iCs/>
      <w:color w:val="404040" w:themeColor="text1" w:themeTint="BF"/>
    </w:rPr>
  </w:style>
  <w:style w:type="paragraph" w:styleId="IntenseQuote">
    <w:name w:val="Intense Quote"/>
    <w:basedOn w:val="Normal"/>
    <w:next w:val="Normal"/>
    <w:link w:val="IntenseQuoteChar"/>
    <w:uiPriority w:val="30"/>
    <w:rsid w:val="00B155F3"/>
    <w:pPr>
      <w:pBdr>
        <w:left w:val="single" w:sz="18" w:space="12" w:color="A64B63" w:themeColor="accent1"/>
      </w:pBdr>
      <w:spacing w:before="100" w:beforeAutospacing="1" w:line="240" w:lineRule="auto"/>
      <w:ind w:left="1225" w:right="1225"/>
    </w:pPr>
    <w:rPr>
      <w:rFonts w:eastAsiaTheme="majorEastAsia" w:cstheme="majorBidi"/>
      <w:color w:val="172601" w:themeColor="accent2"/>
      <w:sz w:val="22"/>
      <w:szCs w:val="28"/>
    </w:rPr>
  </w:style>
  <w:style w:type="character" w:customStyle="1" w:styleId="IntenseQuoteChar">
    <w:name w:val="Intense Quote Char"/>
    <w:basedOn w:val="DefaultParagraphFont"/>
    <w:link w:val="IntenseQuote"/>
    <w:uiPriority w:val="30"/>
    <w:rsid w:val="00B155F3"/>
    <w:rPr>
      <w:rFonts w:eastAsiaTheme="majorEastAsia" w:cstheme="majorBidi"/>
      <w:color w:val="172601" w:themeColor="accent2"/>
      <w:sz w:val="22"/>
      <w:szCs w:val="28"/>
    </w:rPr>
  </w:style>
  <w:style w:type="character" w:styleId="SubtleEmphasis">
    <w:name w:val="Subtle Emphasis"/>
    <w:basedOn w:val="DefaultParagraphFont"/>
    <w:uiPriority w:val="19"/>
    <w:rsid w:val="00F677EC"/>
    <w:rPr>
      <w:i/>
      <w:iCs/>
      <w:color w:val="404040" w:themeColor="text1" w:themeTint="BF"/>
    </w:rPr>
  </w:style>
  <w:style w:type="character" w:styleId="SubtleReference">
    <w:name w:val="Subtle Reference"/>
    <w:basedOn w:val="DefaultParagraphFont"/>
    <w:uiPriority w:val="31"/>
    <w:rsid w:val="00F677EC"/>
    <w:rPr>
      <w:smallCaps/>
      <w:color w:val="404040" w:themeColor="text1" w:themeTint="BF"/>
      <w:u w:val="single" w:color="7F7F7F" w:themeColor="text1" w:themeTint="80"/>
    </w:rPr>
  </w:style>
  <w:style w:type="character" w:styleId="IntenseReference">
    <w:name w:val="Intense Reference"/>
    <w:basedOn w:val="DefaultParagraphFont"/>
    <w:uiPriority w:val="32"/>
    <w:rsid w:val="00F677EC"/>
    <w:rPr>
      <w:b/>
      <w:bCs/>
      <w:smallCaps/>
      <w:spacing w:val="5"/>
      <w:u w:val="single"/>
    </w:rPr>
  </w:style>
  <w:style w:type="character" w:styleId="BookTitle">
    <w:name w:val="Book Title"/>
    <w:basedOn w:val="DefaultParagraphFont"/>
    <w:uiPriority w:val="33"/>
    <w:rsid w:val="00F677EC"/>
    <w:rPr>
      <w:b/>
      <w:bCs/>
      <w:smallCaps/>
    </w:rPr>
  </w:style>
  <w:style w:type="paragraph" w:styleId="BalloonText">
    <w:name w:val="Balloon Text"/>
    <w:basedOn w:val="Normal"/>
    <w:link w:val="BalloonTextChar"/>
    <w:uiPriority w:val="99"/>
    <w:semiHidden/>
    <w:unhideWhenUsed/>
    <w:rsid w:val="00084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00"/>
    <w:rPr>
      <w:rFonts w:ascii="Segoe UI" w:hAnsi="Segoe UI" w:cs="Segoe UI"/>
      <w:sz w:val="18"/>
      <w:szCs w:val="18"/>
    </w:rPr>
  </w:style>
  <w:style w:type="character" w:customStyle="1" w:styleId="NoSpacingChar">
    <w:name w:val="No Spacing Char"/>
    <w:basedOn w:val="DefaultParagraphFont"/>
    <w:link w:val="NoSpacing"/>
    <w:uiPriority w:val="1"/>
    <w:rsid w:val="00D91946"/>
  </w:style>
  <w:style w:type="table" w:styleId="GridTable1Light-Accent1">
    <w:name w:val="Grid Table 1 Light Accent 1"/>
    <w:basedOn w:val="TableNormal"/>
    <w:uiPriority w:val="46"/>
    <w:rsid w:val="009C3F33"/>
    <w:pPr>
      <w:spacing w:after="0" w:line="240" w:lineRule="auto"/>
    </w:pPr>
    <w:tblPr>
      <w:tblStyleRowBandSize w:val="1"/>
      <w:tblStyleColBandSize w:val="1"/>
      <w:tblBorders>
        <w:top w:val="single" w:sz="4" w:space="0" w:color="DDB4BF" w:themeColor="accent1" w:themeTint="66"/>
        <w:left w:val="single" w:sz="4" w:space="0" w:color="DDB4BF" w:themeColor="accent1" w:themeTint="66"/>
        <w:bottom w:val="single" w:sz="4" w:space="0" w:color="DDB4BF" w:themeColor="accent1" w:themeTint="66"/>
        <w:right w:val="single" w:sz="4" w:space="0" w:color="DDB4BF" w:themeColor="accent1" w:themeTint="66"/>
        <w:insideH w:val="single" w:sz="4" w:space="0" w:color="DDB4BF" w:themeColor="accent1" w:themeTint="66"/>
        <w:insideV w:val="single" w:sz="4" w:space="0" w:color="DDB4BF" w:themeColor="accent1" w:themeTint="66"/>
      </w:tblBorders>
    </w:tblPr>
    <w:tblStylePr w:type="firstRow">
      <w:rPr>
        <w:b/>
        <w:bCs/>
      </w:rPr>
      <w:tblPr/>
      <w:tcPr>
        <w:tcBorders>
          <w:bottom w:val="single" w:sz="12" w:space="0" w:color="CC8F9F" w:themeColor="accent1" w:themeTint="99"/>
        </w:tcBorders>
      </w:tcPr>
    </w:tblStylePr>
    <w:tblStylePr w:type="lastRow">
      <w:rPr>
        <w:b/>
        <w:bCs/>
      </w:rPr>
      <w:tblPr/>
      <w:tcPr>
        <w:tcBorders>
          <w:top w:val="double" w:sz="2" w:space="0" w:color="CC8F9F" w:themeColor="accent1" w:themeTint="99"/>
        </w:tcBorders>
      </w:tcPr>
    </w:tblStylePr>
    <w:tblStylePr w:type="firstCol">
      <w:rPr>
        <w:b/>
        <w:bCs/>
      </w:rPr>
    </w:tblStylePr>
    <w:tblStylePr w:type="lastCol">
      <w:rPr>
        <w:b/>
        <w:bCs/>
      </w:rPr>
    </w:tblStylePr>
  </w:style>
  <w:style w:type="table" w:customStyle="1" w:styleId="CHTable1">
    <w:name w:val="CH Table 1"/>
    <w:basedOn w:val="TableNormal"/>
    <w:uiPriority w:val="99"/>
    <w:rsid w:val="00615294"/>
    <w:pPr>
      <w:spacing w:before="100" w:after="100" w:line="240" w:lineRule="auto"/>
    </w:pPr>
    <w:rPr>
      <w:rFonts w:eastAsiaTheme="minorHAnsi" w:cs="Times New Roman"/>
      <w:color w:val="000000" w:themeColor="text1"/>
      <w:szCs w:val="21"/>
      <w:lang w:val="en-AU"/>
    </w:rPr>
    <w:tblPr>
      <w:tblStyleRowBandSize w:val="1"/>
      <w:tblStyleColBandSize w:val="1"/>
      <w:tblBorders>
        <w:insideH w:val="single" w:sz="4" w:space="0" w:color="67733D" w:themeColor="accent4"/>
        <w:insideV w:val="single" w:sz="4" w:space="0" w:color="67733D" w:themeColor="accent4"/>
      </w:tblBorders>
    </w:tblPr>
    <w:trPr>
      <w:cantSplit/>
    </w:trPr>
    <w:tblStylePr w:type="firstRow">
      <w:rPr>
        <w:b/>
        <w:color w:val="FFFFFF" w:themeColor="background1"/>
        <w:sz w:val="24"/>
      </w:rPr>
      <w:tblPr/>
      <w:trPr>
        <w:tblHeader/>
      </w:trPr>
      <w:tcPr>
        <w:shd w:val="clear" w:color="auto" w:fill="A64B63" w:themeFill="accent1"/>
      </w:tcPr>
    </w:tblStylePr>
    <w:tblStylePr w:type="firstCol">
      <w:rPr>
        <w:sz w:val="24"/>
      </w:rPr>
      <w:tblPr/>
      <w:tcPr>
        <w:tcBorders>
          <w:top w:val="nil"/>
          <w:left w:val="nil"/>
          <w:bottom w:val="nil"/>
          <w:right w:val="nil"/>
          <w:insideH w:val="nil"/>
          <w:insideV w:val="nil"/>
          <w:tl2br w:val="nil"/>
          <w:tr2bl w:val="nil"/>
        </w:tcBorders>
        <w:shd w:val="clear" w:color="auto" w:fill="FFFFFF" w:themeFill="background1"/>
      </w:tcPr>
    </w:tblStylePr>
  </w:style>
  <w:style w:type="numbering" w:customStyle="1" w:styleId="Headings">
    <w:name w:val="Headings"/>
    <w:uiPriority w:val="99"/>
    <w:rsid w:val="00615294"/>
    <w:pPr>
      <w:numPr>
        <w:numId w:val="5"/>
      </w:numPr>
    </w:pPr>
  </w:style>
  <w:style w:type="paragraph" w:styleId="ListNumber2">
    <w:name w:val="List Number 2"/>
    <w:basedOn w:val="Normal"/>
    <w:uiPriority w:val="99"/>
    <w:qFormat/>
    <w:rsid w:val="00615294"/>
    <w:pPr>
      <w:spacing w:after="210" w:line="276" w:lineRule="auto"/>
      <w:ind w:left="864" w:hanging="432"/>
      <w:contextualSpacing/>
    </w:pPr>
    <w:rPr>
      <w:rFonts w:eastAsiaTheme="minorHAnsi" w:cs="Times New Roman"/>
      <w:color w:val="000000" w:themeColor="text1"/>
      <w:sz w:val="22"/>
      <w:szCs w:val="21"/>
      <w:lang w:val="en-AU"/>
    </w:rPr>
  </w:style>
  <w:style w:type="paragraph" w:styleId="ListNumber3">
    <w:name w:val="List Number 3"/>
    <w:basedOn w:val="Normal"/>
    <w:uiPriority w:val="99"/>
    <w:unhideWhenUsed/>
    <w:rsid w:val="00615294"/>
    <w:pPr>
      <w:spacing w:after="210" w:line="276" w:lineRule="auto"/>
      <w:ind w:left="1440" w:hanging="360"/>
      <w:contextualSpacing/>
    </w:pPr>
    <w:rPr>
      <w:rFonts w:eastAsiaTheme="minorHAnsi" w:cs="Times New Roman"/>
      <w:color w:val="000000" w:themeColor="text1"/>
      <w:sz w:val="22"/>
      <w:szCs w:val="21"/>
      <w:lang w:val="en-AU"/>
    </w:rPr>
  </w:style>
  <w:style w:type="paragraph" w:styleId="ListNumber4">
    <w:name w:val="List Number 4"/>
    <w:basedOn w:val="Normal"/>
    <w:uiPriority w:val="99"/>
    <w:semiHidden/>
    <w:unhideWhenUsed/>
    <w:rsid w:val="00615294"/>
    <w:pPr>
      <w:spacing w:after="210" w:line="276" w:lineRule="auto"/>
      <w:ind w:left="1800" w:hanging="360"/>
      <w:contextualSpacing/>
    </w:pPr>
    <w:rPr>
      <w:rFonts w:eastAsiaTheme="minorHAnsi" w:cs="Times New Roman"/>
      <w:color w:val="000000" w:themeColor="text1"/>
      <w:sz w:val="22"/>
      <w:szCs w:val="21"/>
      <w:lang w:val="en-AU"/>
    </w:rPr>
  </w:style>
  <w:style w:type="paragraph" w:styleId="ListNumber5">
    <w:name w:val="List Number 5"/>
    <w:basedOn w:val="Normal"/>
    <w:uiPriority w:val="99"/>
    <w:semiHidden/>
    <w:unhideWhenUsed/>
    <w:rsid w:val="00615294"/>
    <w:pPr>
      <w:spacing w:after="210" w:line="276" w:lineRule="auto"/>
      <w:ind w:left="2160" w:hanging="360"/>
      <w:contextualSpacing/>
    </w:pPr>
    <w:rPr>
      <w:rFonts w:eastAsiaTheme="minorHAnsi" w:cs="Times New Roman"/>
      <w:color w:val="000000" w:themeColor="text1"/>
      <w:sz w:val="22"/>
      <w:szCs w:val="21"/>
      <w:lang w:val="en-AU"/>
    </w:rPr>
  </w:style>
  <w:style w:type="character" w:customStyle="1" w:styleId="normaltextrun">
    <w:name w:val="normaltextrun"/>
    <w:basedOn w:val="DefaultParagraphFont"/>
    <w:rsid w:val="00615294"/>
  </w:style>
  <w:style w:type="table" w:styleId="ListTable3-Accent1">
    <w:name w:val="List Table 3 Accent 1"/>
    <w:basedOn w:val="TableNormal"/>
    <w:uiPriority w:val="48"/>
    <w:rsid w:val="004874A0"/>
    <w:pPr>
      <w:spacing w:after="0" w:line="240" w:lineRule="auto"/>
    </w:pPr>
    <w:rPr>
      <w:rFonts w:eastAsiaTheme="minorHAnsi" w:cs="Times New Roman"/>
      <w:color w:val="000000" w:themeColor="text1"/>
      <w:sz w:val="21"/>
      <w:szCs w:val="21"/>
      <w:lang w:val="en-AU"/>
    </w:rPr>
    <w:tblPr>
      <w:tblStyleRowBandSize w:val="1"/>
      <w:tblStyleColBandSize w:val="1"/>
      <w:tblBorders>
        <w:top w:val="single" w:sz="4" w:space="0" w:color="A64B63" w:themeColor="accent1"/>
        <w:left w:val="single" w:sz="4" w:space="0" w:color="A64B63" w:themeColor="accent1"/>
        <w:bottom w:val="single" w:sz="4" w:space="0" w:color="A64B63" w:themeColor="accent1"/>
        <w:right w:val="single" w:sz="4" w:space="0" w:color="A64B63" w:themeColor="accent1"/>
      </w:tblBorders>
    </w:tblPr>
    <w:tblStylePr w:type="firstRow">
      <w:rPr>
        <w:b/>
        <w:bCs/>
        <w:color w:val="FFFFFF" w:themeColor="background1"/>
      </w:rPr>
      <w:tblPr/>
      <w:tcPr>
        <w:shd w:val="clear" w:color="auto" w:fill="A64B63" w:themeFill="accent1"/>
      </w:tcPr>
    </w:tblStylePr>
    <w:tblStylePr w:type="lastRow">
      <w:rPr>
        <w:b/>
        <w:bCs/>
      </w:rPr>
      <w:tblPr/>
      <w:tcPr>
        <w:tcBorders>
          <w:top w:val="double" w:sz="4" w:space="0" w:color="A64B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4B63" w:themeColor="accent1"/>
          <w:right w:val="single" w:sz="4" w:space="0" w:color="A64B63" w:themeColor="accent1"/>
        </w:tcBorders>
      </w:tcPr>
    </w:tblStylePr>
    <w:tblStylePr w:type="band1Horz">
      <w:tblPr/>
      <w:tcPr>
        <w:tcBorders>
          <w:top w:val="single" w:sz="4" w:space="0" w:color="A64B63" w:themeColor="accent1"/>
          <w:bottom w:val="single" w:sz="4" w:space="0" w:color="A64B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4B63" w:themeColor="accent1"/>
          <w:left w:val="nil"/>
        </w:tcBorders>
      </w:tcPr>
    </w:tblStylePr>
    <w:tblStylePr w:type="swCell">
      <w:tblPr/>
      <w:tcPr>
        <w:tcBorders>
          <w:top w:val="double" w:sz="4" w:space="0" w:color="A64B63" w:themeColor="accent1"/>
          <w:right w:val="nil"/>
        </w:tcBorders>
      </w:tcPr>
    </w:tblStylePr>
  </w:style>
  <w:style w:type="paragraph" w:customStyle="1" w:styleId="Instructions">
    <w:name w:val="Instructions"/>
    <w:next w:val="Normal"/>
    <w:uiPriority w:val="2"/>
    <w:qFormat/>
    <w:rsid w:val="004874A0"/>
    <w:pPr>
      <w:numPr>
        <w:numId w:val="6"/>
      </w:numPr>
      <w:spacing w:before="120" w:line="240" w:lineRule="auto"/>
    </w:pPr>
    <w:rPr>
      <w:rFonts w:ascii="Gill Sans MT" w:eastAsia="MS Mincho" w:hAnsi="Gill Sans MT" w:cs="GillSansMTStd-Book"/>
      <w:color w:val="404040"/>
      <w:szCs w:val="22"/>
    </w:rPr>
  </w:style>
  <w:style w:type="table" w:styleId="ListTable4-Accent1">
    <w:name w:val="List Table 4 Accent 1"/>
    <w:basedOn w:val="TableNormal"/>
    <w:uiPriority w:val="49"/>
    <w:rsid w:val="004874A0"/>
    <w:pPr>
      <w:spacing w:after="0" w:line="240" w:lineRule="auto"/>
    </w:pPr>
    <w:rPr>
      <w:rFonts w:eastAsiaTheme="minorHAnsi" w:cs="Times New Roman"/>
      <w:color w:val="000000" w:themeColor="text1"/>
      <w:sz w:val="21"/>
      <w:szCs w:val="21"/>
      <w:lang w:val="en-AU"/>
    </w:rPr>
    <w:tblPr>
      <w:tblStyleRowBandSize w:val="1"/>
      <w:tblStyleColBandSize w:val="1"/>
      <w:tblBorders>
        <w:top w:val="single" w:sz="4" w:space="0" w:color="CC8F9F" w:themeColor="accent1" w:themeTint="99"/>
        <w:left w:val="single" w:sz="4" w:space="0" w:color="CC8F9F" w:themeColor="accent1" w:themeTint="99"/>
        <w:bottom w:val="single" w:sz="4" w:space="0" w:color="CC8F9F" w:themeColor="accent1" w:themeTint="99"/>
        <w:right w:val="single" w:sz="4" w:space="0" w:color="CC8F9F" w:themeColor="accent1" w:themeTint="99"/>
        <w:insideH w:val="single" w:sz="4" w:space="0" w:color="CC8F9F" w:themeColor="accent1" w:themeTint="99"/>
      </w:tblBorders>
    </w:tblPr>
    <w:tblStylePr w:type="firstRow">
      <w:rPr>
        <w:b/>
        <w:bCs/>
        <w:color w:val="FFFFFF" w:themeColor="background1"/>
      </w:rPr>
      <w:tblPr/>
      <w:tcPr>
        <w:tcBorders>
          <w:top w:val="single" w:sz="4" w:space="0" w:color="A64B63" w:themeColor="accent1"/>
          <w:left w:val="single" w:sz="4" w:space="0" w:color="A64B63" w:themeColor="accent1"/>
          <w:bottom w:val="single" w:sz="4" w:space="0" w:color="A64B63" w:themeColor="accent1"/>
          <w:right w:val="single" w:sz="4" w:space="0" w:color="A64B63" w:themeColor="accent1"/>
          <w:insideH w:val="nil"/>
        </w:tcBorders>
        <w:shd w:val="clear" w:color="auto" w:fill="A64B63" w:themeFill="accent1"/>
      </w:tcPr>
    </w:tblStylePr>
    <w:tblStylePr w:type="lastRow">
      <w:rPr>
        <w:b/>
        <w:bCs/>
      </w:rPr>
      <w:tblPr/>
      <w:tcPr>
        <w:tcBorders>
          <w:top w:val="double" w:sz="4" w:space="0" w:color="CC8F9F" w:themeColor="accent1" w:themeTint="99"/>
        </w:tcBorders>
      </w:tcPr>
    </w:tblStylePr>
    <w:tblStylePr w:type="firstCol">
      <w:rPr>
        <w:b/>
        <w:bCs/>
      </w:rPr>
    </w:tblStylePr>
    <w:tblStylePr w:type="lastCol">
      <w:rPr>
        <w:b/>
        <w:bCs/>
      </w:rPr>
    </w:tblStylePr>
    <w:tblStylePr w:type="band1Vert">
      <w:tblPr/>
      <w:tcPr>
        <w:shd w:val="clear" w:color="auto" w:fill="EED9DF" w:themeFill="accent1" w:themeFillTint="33"/>
      </w:tcPr>
    </w:tblStylePr>
    <w:tblStylePr w:type="band1Horz">
      <w:tblPr/>
      <w:tcPr>
        <w:shd w:val="clear" w:color="auto" w:fill="EED9DF" w:themeFill="accent1" w:themeFillTint="33"/>
      </w:tcPr>
    </w:tblStylePr>
  </w:style>
  <w:style w:type="character" w:styleId="UnresolvedMention">
    <w:name w:val="Unresolved Mention"/>
    <w:basedOn w:val="DefaultParagraphFont"/>
    <w:uiPriority w:val="99"/>
    <w:semiHidden/>
    <w:unhideWhenUsed/>
    <w:rsid w:val="004874A0"/>
    <w:rPr>
      <w:color w:val="605E5C"/>
      <w:shd w:val="clear" w:color="auto" w:fill="E1DFDD"/>
    </w:rPr>
  </w:style>
  <w:style w:type="character" w:customStyle="1" w:styleId="gmailsignatureprefix">
    <w:name w:val="gmail_signature_prefix"/>
    <w:basedOn w:val="DefaultParagraphFont"/>
    <w:rsid w:val="004874A0"/>
  </w:style>
  <w:style w:type="paragraph" w:customStyle="1" w:styleId="TableParagraph">
    <w:name w:val="Table Paragraph"/>
    <w:basedOn w:val="Normal"/>
    <w:uiPriority w:val="1"/>
    <w:qFormat/>
    <w:rsid w:val="005F52CD"/>
    <w:pPr>
      <w:widowControl w:val="0"/>
      <w:autoSpaceDE w:val="0"/>
      <w:autoSpaceDN w:val="0"/>
      <w:spacing w:after="0" w:line="240" w:lineRule="auto"/>
    </w:pPr>
    <w:rPr>
      <w:rFonts w:ascii="Arial MT" w:eastAsia="Arial MT" w:hAnsi="Arial MT" w:cs="Arial MT"/>
      <w:sz w:val="22"/>
      <w:szCs w:val="22"/>
    </w:rPr>
  </w:style>
  <w:style w:type="table" w:styleId="GridTable4-Accent3">
    <w:name w:val="Grid Table 4 Accent 3"/>
    <w:basedOn w:val="TableNormal"/>
    <w:uiPriority w:val="49"/>
    <w:rsid w:val="004870E1"/>
    <w:pPr>
      <w:spacing w:after="0" w:line="240" w:lineRule="auto"/>
    </w:pPr>
    <w:tblPr>
      <w:tblStyleRowBandSize w:val="1"/>
      <w:tblStyleColBandSize w:val="1"/>
      <w:tblBorders>
        <w:top w:val="single" w:sz="4" w:space="0" w:color="E8B9C5" w:themeColor="accent3" w:themeTint="99"/>
        <w:left w:val="single" w:sz="4" w:space="0" w:color="E8B9C5" w:themeColor="accent3" w:themeTint="99"/>
        <w:bottom w:val="single" w:sz="4" w:space="0" w:color="E8B9C5" w:themeColor="accent3" w:themeTint="99"/>
        <w:right w:val="single" w:sz="4" w:space="0" w:color="E8B9C5" w:themeColor="accent3" w:themeTint="99"/>
        <w:insideH w:val="single" w:sz="4" w:space="0" w:color="E8B9C5" w:themeColor="accent3" w:themeTint="99"/>
        <w:insideV w:val="single" w:sz="4" w:space="0" w:color="E8B9C5" w:themeColor="accent3" w:themeTint="99"/>
      </w:tblBorders>
    </w:tblPr>
    <w:tblStylePr w:type="firstRow">
      <w:rPr>
        <w:b/>
        <w:bCs/>
        <w:color w:val="FFFFFF" w:themeColor="background1"/>
      </w:rPr>
      <w:tblPr/>
      <w:tcPr>
        <w:tcBorders>
          <w:top w:val="single" w:sz="4" w:space="0" w:color="D98BA0" w:themeColor="accent3"/>
          <w:left w:val="single" w:sz="4" w:space="0" w:color="D98BA0" w:themeColor="accent3"/>
          <w:bottom w:val="single" w:sz="4" w:space="0" w:color="D98BA0" w:themeColor="accent3"/>
          <w:right w:val="single" w:sz="4" w:space="0" w:color="D98BA0" w:themeColor="accent3"/>
          <w:insideH w:val="nil"/>
          <w:insideV w:val="nil"/>
        </w:tcBorders>
        <w:shd w:val="clear" w:color="auto" w:fill="D98BA0" w:themeFill="accent3"/>
      </w:tcPr>
    </w:tblStylePr>
    <w:tblStylePr w:type="lastRow">
      <w:rPr>
        <w:b/>
        <w:bCs/>
      </w:rPr>
      <w:tblPr/>
      <w:tcPr>
        <w:tcBorders>
          <w:top w:val="double" w:sz="4" w:space="0" w:color="D98BA0" w:themeColor="accent3"/>
        </w:tcBorders>
      </w:tcPr>
    </w:tblStylePr>
    <w:tblStylePr w:type="firstCol">
      <w:rPr>
        <w:b/>
        <w:bCs/>
      </w:rPr>
    </w:tblStylePr>
    <w:tblStylePr w:type="lastCol">
      <w:rPr>
        <w:b/>
        <w:bCs/>
      </w:rPr>
    </w:tblStylePr>
    <w:tblStylePr w:type="band1Vert">
      <w:tblPr/>
      <w:tcPr>
        <w:shd w:val="clear" w:color="auto" w:fill="F7E7EB" w:themeFill="accent3" w:themeFillTint="33"/>
      </w:tcPr>
    </w:tblStylePr>
    <w:tblStylePr w:type="band1Horz">
      <w:tblPr/>
      <w:tcPr>
        <w:shd w:val="clear" w:color="auto" w:fill="F7E7EB" w:themeFill="accent3" w:themeFillTint="33"/>
      </w:tcPr>
    </w:tblStylePr>
  </w:style>
  <w:style w:type="table" w:styleId="GridTable4-Accent1">
    <w:name w:val="Grid Table 4 Accent 1"/>
    <w:basedOn w:val="TableNormal"/>
    <w:uiPriority w:val="49"/>
    <w:rsid w:val="00903096"/>
    <w:pPr>
      <w:spacing w:after="0" w:line="240" w:lineRule="auto"/>
    </w:pPr>
    <w:tblPr>
      <w:tblStyleRowBandSize w:val="1"/>
      <w:tblStyleColBandSize w:val="1"/>
      <w:tblBorders>
        <w:top w:val="single" w:sz="4" w:space="0" w:color="CC8F9F" w:themeColor="accent1" w:themeTint="99"/>
        <w:left w:val="single" w:sz="4" w:space="0" w:color="CC8F9F" w:themeColor="accent1" w:themeTint="99"/>
        <w:bottom w:val="single" w:sz="4" w:space="0" w:color="CC8F9F" w:themeColor="accent1" w:themeTint="99"/>
        <w:right w:val="single" w:sz="4" w:space="0" w:color="CC8F9F" w:themeColor="accent1" w:themeTint="99"/>
        <w:insideH w:val="single" w:sz="4" w:space="0" w:color="CC8F9F" w:themeColor="accent1" w:themeTint="99"/>
        <w:insideV w:val="single" w:sz="4" w:space="0" w:color="CC8F9F" w:themeColor="accent1" w:themeTint="99"/>
      </w:tblBorders>
    </w:tblPr>
    <w:tblStylePr w:type="firstRow">
      <w:rPr>
        <w:b/>
        <w:bCs/>
        <w:color w:val="FFFFFF" w:themeColor="background1"/>
      </w:rPr>
      <w:tblPr/>
      <w:tcPr>
        <w:tcBorders>
          <w:top w:val="single" w:sz="4" w:space="0" w:color="A64B63" w:themeColor="accent1"/>
          <w:left w:val="single" w:sz="4" w:space="0" w:color="A64B63" w:themeColor="accent1"/>
          <w:bottom w:val="single" w:sz="4" w:space="0" w:color="A64B63" w:themeColor="accent1"/>
          <w:right w:val="single" w:sz="4" w:space="0" w:color="A64B63" w:themeColor="accent1"/>
          <w:insideH w:val="nil"/>
          <w:insideV w:val="nil"/>
        </w:tcBorders>
        <w:shd w:val="clear" w:color="auto" w:fill="A64B63" w:themeFill="accent1"/>
      </w:tcPr>
    </w:tblStylePr>
    <w:tblStylePr w:type="lastRow">
      <w:rPr>
        <w:b/>
        <w:bCs/>
      </w:rPr>
      <w:tblPr/>
      <w:tcPr>
        <w:tcBorders>
          <w:top w:val="double" w:sz="4" w:space="0" w:color="A64B63" w:themeColor="accent1"/>
        </w:tcBorders>
      </w:tcPr>
    </w:tblStylePr>
    <w:tblStylePr w:type="firstCol">
      <w:rPr>
        <w:b/>
        <w:bCs/>
      </w:rPr>
    </w:tblStylePr>
    <w:tblStylePr w:type="lastCol">
      <w:rPr>
        <w:b/>
        <w:bCs/>
      </w:rPr>
    </w:tblStylePr>
    <w:tblStylePr w:type="band1Vert">
      <w:tblPr/>
      <w:tcPr>
        <w:shd w:val="clear" w:color="auto" w:fill="EED9DF" w:themeFill="accent1" w:themeFillTint="33"/>
      </w:tcPr>
    </w:tblStylePr>
    <w:tblStylePr w:type="band1Horz">
      <w:tblPr/>
      <w:tcPr>
        <w:shd w:val="clear" w:color="auto" w:fill="EED9DF" w:themeFill="accent1" w:themeFillTint="33"/>
      </w:tcPr>
    </w:tblStylePr>
  </w:style>
  <w:style w:type="paragraph" w:customStyle="1" w:styleId="pf0">
    <w:name w:val="pf0"/>
    <w:basedOn w:val="Normal"/>
    <w:rsid w:val="0057779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577793"/>
    <w:rPr>
      <w:rFonts w:ascii="Segoe UI" w:hAnsi="Segoe UI" w:cs="Segoe UI" w:hint="default"/>
      <w:sz w:val="18"/>
      <w:szCs w:val="18"/>
    </w:rPr>
  </w:style>
  <w:style w:type="character" w:customStyle="1" w:styleId="cf21">
    <w:name w:val="cf21"/>
    <w:basedOn w:val="DefaultParagraphFont"/>
    <w:rsid w:val="00A07D9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
      <w:bodyDiv w:val="1"/>
      <w:marLeft w:val="0"/>
      <w:marRight w:val="0"/>
      <w:marTop w:val="0"/>
      <w:marBottom w:val="0"/>
      <w:divBdr>
        <w:top w:val="none" w:sz="0" w:space="0" w:color="auto"/>
        <w:left w:val="none" w:sz="0" w:space="0" w:color="auto"/>
        <w:bottom w:val="none" w:sz="0" w:space="0" w:color="auto"/>
        <w:right w:val="none" w:sz="0" w:space="0" w:color="auto"/>
      </w:divBdr>
    </w:div>
    <w:div w:id="3827470">
      <w:bodyDiv w:val="1"/>
      <w:marLeft w:val="0"/>
      <w:marRight w:val="0"/>
      <w:marTop w:val="0"/>
      <w:marBottom w:val="0"/>
      <w:divBdr>
        <w:top w:val="none" w:sz="0" w:space="0" w:color="auto"/>
        <w:left w:val="none" w:sz="0" w:space="0" w:color="auto"/>
        <w:bottom w:val="none" w:sz="0" w:space="0" w:color="auto"/>
        <w:right w:val="none" w:sz="0" w:space="0" w:color="auto"/>
      </w:divBdr>
    </w:div>
    <w:div w:id="116878905">
      <w:bodyDiv w:val="1"/>
      <w:marLeft w:val="0"/>
      <w:marRight w:val="0"/>
      <w:marTop w:val="0"/>
      <w:marBottom w:val="0"/>
      <w:divBdr>
        <w:top w:val="none" w:sz="0" w:space="0" w:color="auto"/>
        <w:left w:val="none" w:sz="0" w:space="0" w:color="auto"/>
        <w:bottom w:val="none" w:sz="0" w:space="0" w:color="auto"/>
        <w:right w:val="none" w:sz="0" w:space="0" w:color="auto"/>
      </w:divBdr>
    </w:div>
    <w:div w:id="123815711">
      <w:bodyDiv w:val="1"/>
      <w:marLeft w:val="0"/>
      <w:marRight w:val="0"/>
      <w:marTop w:val="0"/>
      <w:marBottom w:val="0"/>
      <w:divBdr>
        <w:top w:val="none" w:sz="0" w:space="0" w:color="auto"/>
        <w:left w:val="none" w:sz="0" w:space="0" w:color="auto"/>
        <w:bottom w:val="none" w:sz="0" w:space="0" w:color="auto"/>
        <w:right w:val="none" w:sz="0" w:space="0" w:color="auto"/>
      </w:divBdr>
      <w:divsChild>
        <w:div w:id="937182069">
          <w:marLeft w:val="547"/>
          <w:marRight w:val="0"/>
          <w:marTop w:val="200"/>
          <w:marBottom w:val="0"/>
          <w:divBdr>
            <w:top w:val="none" w:sz="0" w:space="0" w:color="auto"/>
            <w:left w:val="none" w:sz="0" w:space="0" w:color="auto"/>
            <w:bottom w:val="none" w:sz="0" w:space="0" w:color="auto"/>
            <w:right w:val="none" w:sz="0" w:space="0" w:color="auto"/>
          </w:divBdr>
        </w:div>
        <w:div w:id="985672346">
          <w:marLeft w:val="547"/>
          <w:marRight w:val="0"/>
          <w:marTop w:val="200"/>
          <w:marBottom w:val="0"/>
          <w:divBdr>
            <w:top w:val="none" w:sz="0" w:space="0" w:color="auto"/>
            <w:left w:val="none" w:sz="0" w:space="0" w:color="auto"/>
            <w:bottom w:val="none" w:sz="0" w:space="0" w:color="auto"/>
            <w:right w:val="none" w:sz="0" w:space="0" w:color="auto"/>
          </w:divBdr>
        </w:div>
        <w:div w:id="2123721260">
          <w:marLeft w:val="547"/>
          <w:marRight w:val="0"/>
          <w:marTop w:val="200"/>
          <w:marBottom w:val="0"/>
          <w:divBdr>
            <w:top w:val="none" w:sz="0" w:space="0" w:color="auto"/>
            <w:left w:val="none" w:sz="0" w:space="0" w:color="auto"/>
            <w:bottom w:val="none" w:sz="0" w:space="0" w:color="auto"/>
            <w:right w:val="none" w:sz="0" w:space="0" w:color="auto"/>
          </w:divBdr>
        </w:div>
        <w:div w:id="1881892567">
          <w:marLeft w:val="547"/>
          <w:marRight w:val="0"/>
          <w:marTop w:val="200"/>
          <w:marBottom w:val="0"/>
          <w:divBdr>
            <w:top w:val="none" w:sz="0" w:space="0" w:color="auto"/>
            <w:left w:val="none" w:sz="0" w:space="0" w:color="auto"/>
            <w:bottom w:val="none" w:sz="0" w:space="0" w:color="auto"/>
            <w:right w:val="none" w:sz="0" w:space="0" w:color="auto"/>
          </w:divBdr>
        </w:div>
        <w:div w:id="1469125817">
          <w:marLeft w:val="547"/>
          <w:marRight w:val="0"/>
          <w:marTop w:val="200"/>
          <w:marBottom w:val="0"/>
          <w:divBdr>
            <w:top w:val="none" w:sz="0" w:space="0" w:color="auto"/>
            <w:left w:val="none" w:sz="0" w:space="0" w:color="auto"/>
            <w:bottom w:val="none" w:sz="0" w:space="0" w:color="auto"/>
            <w:right w:val="none" w:sz="0" w:space="0" w:color="auto"/>
          </w:divBdr>
        </w:div>
        <w:div w:id="646469164">
          <w:marLeft w:val="547"/>
          <w:marRight w:val="0"/>
          <w:marTop w:val="200"/>
          <w:marBottom w:val="0"/>
          <w:divBdr>
            <w:top w:val="none" w:sz="0" w:space="0" w:color="auto"/>
            <w:left w:val="none" w:sz="0" w:space="0" w:color="auto"/>
            <w:bottom w:val="none" w:sz="0" w:space="0" w:color="auto"/>
            <w:right w:val="none" w:sz="0" w:space="0" w:color="auto"/>
          </w:divBdr>
        </w:div>
        <w:div w:id="912348004">
          <w:marLeft w:val="547"/>
          <w:marRight w:val="0"/>
          <w:marTop w:val="200"/>
          <w:marBottom w:val="0"/>
          <w:divBdr>
            <w:top w:val="none" w:sz="0" w:space="0" w:color="auto"/>
            <w:left w:val="none" w:sz="0" w:space="0" w:color="auto"/>
            <w:bottom w:val="none" w:sz="0" w:space="0" w:color="auto"/>
            <w:right w:val="none" w:sz="0" w:space="0" w:color="auto"/>
          </w:divBdr>
        </w:div>
        <w:div w:id="1936546859">
          <w:marLeft w:val="547"/>
          <w:marRight w:val="0"/>
          <w:marTop w:val="200"/>
          <w:marBottom w:val="0"/>
          <w:divBdr>
            <w:top w:val="none" w:sz="0" w:space="0" w:color="auto"/>
            <w:left w:val="none" w:sz="0" w:space="0" w:color="auto"/>
            <w:bottom w:val="none" w:sz="0" w:space="0" w:color="auto"/>
            <w:right w:val="none" w:sz="0" w:space="0" w:color="auto"/>
          </w:divBdr>
        </w:div>
      </w:divsChild>
    </w:div>
    <w:div w:id="130485122">
      <w:bodyDiv w:val="1"/>
      <w:marLeft w:val="0"/>
      <w:marRight w:val="0"/>
      <w:marTop w:val="0"/>
      <w:marBottom w:val="0"/>
      <w:divBdr>
        <w:top w:val="none" w:sz="0" w:space="0" w:color="auto"/>
        <w:left w:val="none" w:sz="0" w:space="0" w:color="auto"/>
        <w:bottom w:val="none" w:sz="0" w:space="0" w:color="auto"/>
        <w:right w:val="none" w:sz="0" w:space="0" w:color="auto"/>
      </w:divBdr>
    </w:div>
    <w:div w:id="140581238">
      <w:bodyDiv w:val="1"/>
      <w:marLeft w:val="0"/>
      <w:marRight w:val="0"/>
      <w:marTop w:val="0"/>
      <w:marBottom w:val="0"/>
      <w:divBdr>
        <w:top w:val="none" w:sz="0" w:space="0" w:color="auto"/>
        <w:left w:val="none" w:sz="0" w:space="0" w:color="auto"/>
        <w:bottom w:val="none" w:sz="0" w:space="0" w:color="auto"/>
        <w:right w:val="none" w:sz="0" w:space="0" w:color="auto"/>
      </w:divBdr>
    </w:div>
    <w:div w:id="142621607">
      <w:bodyDiv w:val="1"/>
      <w:marLeft w:val="0"/>
      <w:marRight w:val="0"/>
      <w:marTop w:val="0"/>
      <w:marBottom w:val="0"/>
      <w:divBdr>
        <w:top w:val="none" w:sz="0" w:space="0" w:color="auto"/>
        <w:left w:val="none" w:sz="0" w:space="0" w:color="auto"/>
        <w:bottom w:val="none" w:sz="0" w:space="0" w:color="auto"/>
        <w:right w:val="none" w:sz="0" w:space="0" w:color="auto"/>
      </w:divBdr>
    </w:div>
    <w:div w:id="149373234">
      <w:bodyDiv w:val="1"/>
      <w:marLeft w:val="0"/>
      <w:marRight w:val="0"/>
      <w:marTop w:val="0"/>
      <w:marBottom w:val="0"/>
      <w:divBdr>
        <w:top w:val="none" w:sz="0" w:space="0" w:color="auto"/>
        <w:left w:val="none" w:sz="0" w:space="0" w:color="auto"/>
        <w:bottom w:val="none" w:sz="0" w:space="0" w:color="auto"/>
        <w:right w:val="none" w:sz="0" w:space="0" w:color="auto"/>
      </w:divBdr>
    </w:div>
    <w:div w:id="159204503">
      <w:bodyDiv w:val="1"/>
      <w:marLeft w:val="0"/>
      <w:marRight w:val="0"/>
      <w:marTop w:val="0"/>
      <w:marBottom w:val="0"/>
      <w:divBdr>
        <w:top w:val="none" w:sz="0" w:space="0" w:color="auto"/>
        <w:left w:val="none" w:sz="0" w:space="0" w:color="auto"/>
        <w:bottom w:val="none" w:sz="0" w:space="0" w:color="auto"/>
        <w:right w:val="none" w:sz="0" w:space="0" w:color="auto"/>
      </w:divBdr>
      <w:divsChild>
        <w:div w:id="1595747942">
          <w:marLeft w:val="547"/>
          <w:marRight w:val="0"/>
          <w:marTop w:val="200"/>
          <w:marBottom w:val="0"/>
          <w:divBdr>
            <w:top w:val="none" w:sz="0" w:space="0" w:color="auto"/>
            <w:left w:val="none" w:sz="0" w:space="0" w:color="auto"/>
            <w:bottom w:val="none" w:sz="0" w:space="0" w:color="auto"/>
            <w:right w:val="none" w:sz="0" w:space="0" w:color="auto"/>
          </w:divBdr>
        </w:div>
        <w:div w:id="1718580286">
          <w:marLeft w:val="547"/>
          <w:marRight w:val="0"/>
          <w:marTop w:val="200"/>
          <w:marBottom w:val="0"/>
          <w:divBdr>
            <w:top w:val="none" w:sz="0" w:space="0" w:color="auto"/>
            <w:left w:val="none" w:sz="0" w:space="0" w:color="auto"/>
            <w:bottom w:val="none" w:sz="0" w:space="0" w:color="auto"/>
            <w:right w:val="none" w:sz="0" w:space="0" w:color="auto"/>
          </w:divBdr>
        </w:div>
        <w:div w:id="210963266">
          <w:marLeft w:val="547"/>
          <w:marRight w:val="0"/>
          <w:marTop w:val="200"/>
          <w:marBottom w:val="0"/>
          <w:divBdr>
            <w:top w:val="none" w:sz="0" w:space="0" w:color="auto"/>
            <w:left w:val="none" w:sz="0" w:space="0" w:color="auto"/>
            <w:bottom w:val="none" w:sz="0" w:space="0" w:color="auto"/>
            <w:right w:val="none" w:sz="0" w:space="0" w:color="auto"/>
          </w:divBdr>
        </w:div>
        <w:div w:id="1267157449">
          <w:marLeft w:val="547"/>
          <w:marRight w:val="0"/>
          <w:marTop w:val="200"/>
          <w:marBottom w:val="0"/>
          <w:divBdr>
            <w:top w:val="none" w:sz="0" w:space="0" w:color="auto"/>
            <w:left w:val="none" w:sz="0" w:space="0" w:color="auto"/>
            <w:bottom w:val="none" w:sz="0" w:space="0" w:color="auto"/>
            <w:right w:val="none" w:sz="0" w:space="0" w:color="auto"/>
          </w:divBdr>
        </w:div>
        <w:div w:id="488905856">
          <w:marLeft w:val="547"/>
          <w:marRight w:val="0"/>
          <w:marTop w:val="200"/>
          <w:marBottom w:val="0"/>
          <w:divBdr>
            <w:top w:val="none" w:sz="0" w:space="0" w:color="auto"/>
            <w:left w:val="none" w:sz="0" w:space="0" w:color="auto"/>
            <w:bottom w:val="none" w:sz="0" w:space="0" w:color="auto"/>
            <w:right w:val="none" w:sz="0" w:space="0" w:color="auto"/>
          </w:divBdr>
        </w:div>
        <w:div w:id="277684126">
          <w:marLeft w:val="547"/>
          <w:marRight w:val="0"/>
          <w:marTop w:val="200"/>
          <w:marBottom w:val="0"/>
          <w:divBdr>
            <w:top w:val="none" w:sz="0" w:space="0" w:color="auto"/>
            <w:left w:val="none" w:sz="0" w:space="0" w:color="auto"/>
            <w:bottom w:val="none" w:sz="0" w:space="0" w:color="auto"/>
            <w:right w:val="none" w:sz="0" w:space="0" w:color="auto"/>
          </w:divBdr>
        </w:div>
      </w:divsChild>
    </w:div>
    <w:div w:id="179053954">
      <w:bodyDiv w:val="1"/>
      <w:marLeft w:val="0"/>
      <w:marRight w:val="0"/>
      <w:marTop w:val="0"/>
      <w:marBottom w:val="0"/>
      <w:divBdr>
        <w:top w:val="none" w:sz="0" w:space="0" w:color="auto"/>
        <w:left w:val="none" w:sz="0" w:space="0" w:color="auto"/>
        <w:bottom w:val="none" w:sz="0" w:space="0" w:color="auto"/>
        <w:right w:val="none" w:sz="0" w:space="0" w:color="auto"/>
      </w:divBdr>
    </w:div>
    <w:div w:id="189611407">
      <w:bodyDiv w:val="1"/>
      <w:marLeft w:val="0"/>
      <w:marRight w:val="0"/>
      <w:marTop w:val="0"/>
      <w:marBottom w:val="0"/>
      <w:divBdr>
        <w:top w:val="none" w:sz="0" w:space="0" w:color="auto"/>
        <w:left w:val="none" w:sz="0" w:space="0" w:color="auto"/>
        <w:bottom w:val="none" w:sz="0" w:space="0" w:color="auto"/>
        <w:right w:val="none" w:sz="0" w:space="0" w:color="auto"/>
      </w:divBdr>
    </w:div>
    <w:div w:id="208609857">
      <w:bodyDiv w:val="1"/>
      <w:marLeft w:val="0"/>
      <w:marRight w:val="0"/>
      <w:marTop w:val="0"/>
      <w:marBottom w:val="0"/>
      <w:divBdr>
        <w:top w:val="none" w:sz="0" w:space="0" w:color="auto"/>
        <w:left w:val="none" w:sz="0" w:space="0" w:color="auto"/>
        <w:bottom w:val="none" w:sz="0" w:space="0" w:color="auto"/>
        <w:right w:val="none" w:sz="0" w:space="0" w:color="auto"/>
      </w:divBdr>
    </w:div>
    <w:div w:id="239142949">
      <w:bodyDiv w:val="1"/>
      <w:marLeft w:val="0"/>
      <w:marRight w:val="0"/>
      <w:marTop w:val="0"/>
      <w:marBottom w:val="0"/>
      <w:divBdr>
        <w:top w:val="none" w:sz="0" w:space="0" w:color="auto"/>
        <w:left w:val="none" w:sz="0" w:space="0" w:color="auto"/>
        <w:bottom w:val="none" w:sz="0" w:space="0" w:color="auto"/>
        <w:right w:val="none" w:sz="0" w:space="0" w:color="auto"/>
      </w:divBdr>
    </w:div>
    <w:div w:id="240868449">
      <w:bodyDiv w:val="1"/>
      <w:marLeft w:val="0"/>
      <w:marRight w:val="0"/>
      <w:marTop w:val="0"/>
      <w:marBottom w:val="0"/>
      <w:divBdr>
        <w:top w:val="none" w:sz="0" w:space="0" w:color="auto"/>
        <w:left w:val="none" w:sz="0" w:space="0" w:color="auto"/>
        <w:bottom w:val="none" w:sz="0" w:space="0" w:color="auto"/>
        <w:right w:val="none" w:sz="0" w:space="0" w:color="auto"/>
      </w:divBdr>
    </w:div>
    <w:div w:id="242498880">
      <w:bodyDiv w:val="1"/>
      <w:marLeft w:val="0"/>
      <w:marRight w:val="0"/>
      <w:marTop w:val="0"/>
      <w:marBottom w:val="0"/>
      <w:divBdr>
        <w:top w:val="none" w:sz="0" w:space="0" w:color="auto"/>
        <w:left w:val="none" w:sz="0" w:space="0" w:color="auto"/>
        <w:bottom w:val="none" w:sz="0" w:space="0" w:color="auto"/>
        <w:right w:val="none" w:sz="0" w:space="0" w:color="auto"/>
      </w:divBdr>
    </w:div>
    <w:div w:id="254094123">
      <w:bodyDiv w:val="1"/>
      <w:marLeft w:val="0"/>
      <w:marRight w:val="0"/>
      <w:marTop w:val="0"/>
      <w:marBottom w:val="0"/>
      <w:divBdr>
        <w:top w:val="none" w:sz="0" w:space="0" w:color="auto"/>
        <w:left w:val="none" w:sz="0" w:space="0" w:color="auto"/>
        <w:bottom w:val="none" w:sz="0" w:space="0" w:color="auto"/>
        <w:right w:val="none" w:sz="0" w:space="0" w:color="auto"/>
      </w:divBdr>
    </w:div>
    <w:div w:id="256640174">
      <w:bodyDiv w:val="1"/>
      <w:marLeft w:val="0"/>
      <w:marRight w:val="0"/>
      <w:marTop w:val="0"/>
      <w:marBottom w:val="0"/>
      <w:divBdr>
        <w:top w:val="none" w:sz="0" w:space="0" w:color="auto"/>
        <w:left w:val="none" w:sz="0" w:space="0" w:color="auto"/>
        <w:bottom w:val="none" w:sz="0" w:space="0" w:color="auto"/>
        <w:right w:val="none" w:sz="0" w:space="0" w:color="auto"/>
      </w:divBdr>
      <w:divsChild>
        <w:div w:id="1604220819">
          <w:marLeft w:val="547"/>
          <w:marRight w:val="0"/>
          <w:marTop w:val="200"/>
          <w:marBottom w:val="0"/>
          <w:divBdr>
            <w:top w:val="none" w:sz="0" w:space="0" w:color="auto"/>
            <w:left w:val="none" w:sz="0" w:space="0" w:color="auto"/>
            <w:bottom w:val="none" w:sz="0" w:space="0" w:color="auto"/>
            <w:right w:val="none" w:sz="0" w:space="0" w:color="auto"/>
          </w:divBdr>
        </w:div>
        <w:div w:id="2123917504">
          <w:marLeft w:val="1166"/>
          <w:marRight w:val="0"/>
          <w:marTop w:val="200"/>
          <w:marBottom w:val="0"/>
          <w:divBdr>
            <w:top w:val="none" w:sz="0" w:space="0" w:color="auto"/>
            <w:left w:val="none" w:sz="0" w:space="0" w:color="auto"/>
            <w:bottom w:val="none" w:sz="0" w:space="0" w:color="auto"/>
            <w:right w:val="none" w:sz="0" w:space="0" w:color="auto"/>
          </w:divBdr>
        </w:div>
        <w:div w:id="335621708">
          <w:marLeft w:val="1166"/>
          <w:marRight w:val="0"/>
          <w:marTop w:val="200"/>
          <w:marBottom w:val="0"/>
          <w:divBdr>
            <w:top w:val="none" w:sz="0" w:space="0" w:color="auto"/>
            <w:left w:val="none" w:sz="0" w:space="0" w:color="auto"/>
            <w:bottom w:val="none" w:sz="0" w:space="0" w:color="auto"/>
            <w:right w:val="none" w:sz="0" w:space="0" w:color="auto"/>
          </w:divBdr>
        </w:div>
        <w:div w:id="25638239">
          <w:marLeft w:val="1166"/>
          <w:marRight w:val="0"/>
          <w:marTop w:val="200"/>
          <w:marBottom w:val="0"/>
          <w:divBdr>
            <w:top w:val="none" w:sz="0" w:space="0" w:color="auto"/>
            <w:left w:val="none" w:sz="0" w:space="0" w:color="auto"/>
            <w:bottom w:val="none" w:sz="0" w:space="0" w:color="auto"/>
            <w:right w:val="none" w:sz="0" w:space="0" w:color="auto"/>
          </w:divBdr>
        </w:div>
        <w:div w:id="255990935">
          <w:marLeft w:val="547"/>
          <w:marRight w:val="0"/>
          <w:marTop w:val="200"/>
          <w:marBottom w:val="0"/>
          <w:divBdr>
            <w:top w:val="none" w:sz="0" w:space="0" w:color="auto"/>
            <w:left w:val="none" w:sz="0" w:space="0" w:color="auto"/>
            <w:bottom w:val="none" w:sz="0" w:space="0" w:color="auto"/>
            <w:right w:val="none" w:sz="0" w:space="0" w:color="auto"/>
          </w:divBdr>
        </w:div>
        <w:div w:id="421146843">
          <w:marLeft w:val="547"/>
          <w:marRight w:val="0"/>
          <w:marTop w:val="200"/>
          <w:marBottom w:val="0"/>
          <w:divBdr>
            <w:top w:val="none" w:sz="0" w:space="0" w:color="auto"/>
            <w:left w:val="none" w:sz="0" w:space="0" w:color="auto"/>
            <w:bottom w:val="none" w:sz="0" w:space="0" w:color="auto"/>
            <w:right w:val="none" w:sz="0" w:space="0" w:color="auto"/>
          </w:divBdr>
        </w:div>
        <w:div w:id="109058877">
          <w:marLeft w:val="547"/>
          <w:marRight w:val="0"/>
          <w:marTop w:val="200"/>
          <w:marBottom w:val="0"/>
          <w:divBdr>
            <w:top w:val="none" w:sz="0" w:space="0" w:color="auto"/>
            <w:left w:val="none" w:sz="0" w:space="0" w:color="auto"/>
            <w:bottom w:val="none" w:sz="0" w:space="0" w:color="auto"/>
            <w:right w:val="none" w:sz="0" w:space="0" w:color="auto"/>
          </w:divBdr>
        </w:div>
      </w:divsChild>
    </w:div>
    <w:div w:id="271479716">
      <w:bodyDiv w:val="1"/>
      <w:marLeft w:val="0"/>
      <w:marRight w:val="0"/>
      <w:marTop w:val="0"/>
      <w:marBottom w:val="0"/>
      <w:divBdr>
        <w:top w:val="none" w:sz="0" w:space="0" w:color="auto"/>
        <w:left w:val="none" w:sz="0" w:space="0" w:color="auto"/>
        <w:bottom w:val="none" w:sz="0" w:space="0" w:color="auto"/>
        <w:right w:val="none" w:sz="0" w:space="0" w:color="auto"/>
      </w:divBdr>
    </w:div>
    <w:div w:id="280652553">
      <w:bodyDiv w:val="1"/>
      <w:marLeft w:val="0"/>
      <w:marRight w:val="0"/>
      <w:marTop w:val="0"/>
      <w:marBottom w:val="0"/>
      <w:divBdr>
        <w:top w:val="none" w:sz="0" w:space="0" w:color="auto"/>
        <w:left w:val="none" w:sz="0" w:space="0" w:color="auto"/>
        <w:bottom w:val="none" w:sz="0" w:space="0" w:color="auto"/>
        <w:right w:val="none" w:sz="0" w:space="0" w:color="auto"/>
      </w:divBdr>
      <w:divsChild>
        <w:div w:id="35278604">
          <w:marLeft w:val="547"/>
          <w:marRight w:val="0"/>
          <w:marTop w:val="200"/>
          <w:marBottom w:val="0"/>
          <w:divBdr>
            <w:top w:val="none" w:sz="0" w:space="0" w:color="auto"/>
            <w:left w:val="none" w:sz="0" w:space="0" w:color="auto"/>
            <w:bottom w:val="none" w:sz="0" w:space="0" w:color="auto"/>
            <w:right w:val="none" w:sz="0" w:space="0" w:color="auto"/>
          </w:divBdr>
        </w:div>
        <w:div w:id="179394641">
          <w:marLeft w:val="1166"/>
          <w:marRight w:val="0"/>
          <w:marTop w:val="200"/>
          <w:marBottom w:val="0"/>
          <w:divBdr>
            <w:top w:val="none" w:sz="0" w:space="0" w:color="auto"/>
            <w:left w:val="none" w:sz="0" w:space="0" w:color="auto"/>
            <w:bottom w:val="none" w:sz="0" w:space="0" w:color="auto"/>
            <w:right w:val="none" w:sz="0" w:space="0" w:color="auto"/>
          </w:divBdr>
        </w:div>
        <w:div w:id="1981618044">
          <w:marLeft w:val="1166"/>
          <w:marRight w:val="0"/>
          <w:marTop w:val="200"/>
          <w:marBottom w:val="0"/>
          <w:divBdr>
            <w:top w:val="none" w:sz="0" w:space="0" w:color="auto"/>
            <w:left w:val="none" w:sz="0" w:space="0" w:color="auto"/>
            <w:bottom w:val="none" w:sz="0" w:space="0" w:color="auto"/>
            <w:right w:val="none" w:sz="0" w:space="0" w:color="auto"/>
          </w:divBdr>
        </w:div>
        <w:div w:id="1336148072">
          <w:marLeft w:val="1166"/>
          <w:marRight w:val="0"/>
          <w:marTop w:val="200"/>
          <w:marBottom w:val="0"/>
          <w:divBdr>
            <w:top w:val="none" w:sz="0" w:space="0" w:color="auto"/>
            <w:left w:val="none" w:sz="0" w:space="0" w:color="auto"/>
            <w:bottom w:val="none" w:sz="0" w:space="0" w:color="auto"/>
            <w:right w:val="none" w:sz="0" w:space="0" w:color="auto"/>
          </w:divBdr>
        </w:div>
        <w:div w:id="271790874">
          <w:marLeft w:val="1166"/>
          <w:marRight w:val="0"/>
          <w:marTop w:val="200"/>
          <w:marBottom w:val="0"/>
          <w:divBdr>
            <w:top w:val="none" w:sz="0" w:space="0" w:color="auto"/>
            <w:left w:val="none" w:sz="0" w:space="0" w:color="auto"/>
            <w:bottom w:val="none" w:sz="0" w:space="0" w:color="auto"/>
            <w:right w:val="none" w:sz="0" w:space="0" w:color="auto"/>
          </w:divBdr>
        </w:div>
        <w:div w:id="1171288536">
          <w:marLeft w:val="547"/>
          <w:marRight w:val="0"/>
          <w:marTop w:val="200"/>
          <w:marBottom w:val="0"/>
          <w:divBdr>
            <w:top w:val="none" w:sz="0" w:space="0" w:color="auto"/>
            <w:left w:val="none" w:sz="0" w:space="0" w:color="auto"/>
            <w:bottom w:val="none" w:sz="0" w:space="0" w:color="auto"/>
            <w:right w:val="none" w:sz="0" w:space="0" w:color="auto"/>
          </w:divBdr>
        </w:div>
      </w:divsChild>
    </w:div>
    <w:div w:id="304624316">
      <w:bodyDiv w:val="1"/>
      <w:marLeft w:val="0"/>
      <w:marRight w:val="0"/>
      <w:marTop w:val="0"/>
      <w:marBottom w:val="0"/>
      <w:divBdr>
        <w:top w:val="none" w:sz="0" w:space="0" w:color="auto"/>
        <w:left w:val="none" w:sz="0" w:space="0" w:color="auto"/>
        <w:bottom w:val="none" w:sz="0" w:space="0" w:color="auto"/>
        <w:right w:val="none" w:sz="0" w:space="0" w:color="auto"/>
      </w:divBdr>
    </w:div>
    <w:div w:id="306473107">
      <w:bodyDiv w:val="1"/>
      <w:marLeft w:val="0"/>
      <w:marRight w:val="0"/>
      <w:marTop w:val="0"/>
      <w:marBottom w:val="0"/>
      <w:divBdr>
        <w:top w:val="none" w:sz="0" w:space="0" w:color="auto"/>
        <w:left w:val="none" w:sz="0" w:space="0" w:color="auto"/>
        <w:bottom w:val="none" w:sz="0" w:space="0" w:color="auto"/>
        <w:right w:val="none" w:sz="0" w:space="0" w:color="auto"/>
      </w:divBdr>
      <w:divsChild>
        <w:div w:id="1079132788">
          <w:marLeft w:val="547"/>
          <w:marRight w:val="0"/>
          <w:marTop w:val="200"/>
          <w:marBottom w:val="0"/>
          <w:divBdr>
            <w:top w:val="none" w:sz="0" w:space="0" w:color="auto"/>
            <w:left w:val="none" w:sz="0" w:space="0" w:color="auto"/>
            <w:bottom w:val="none" w:sz="0" w:space="0" w:color="auto"/>
            <w:right w:val="none" w:sz="0" w:space="0" w:color="auto"/>
          </w:divBdr>
        </w:div>
        <w:div w:id="690686387">
          <w:marLeft w:val="547"/>
          <w:marRight w:val="0"/>
          <w:marTop w:val="200"/>
          <w:marBottom w:val="0"/>
          <w:divBdr>
            <w:top w:val="none" w:sz="0" w:space="0" w:color="auto"/>
            <w:left w:val="none" w:sz="0" w:space="0" w:color="auto"/>
            <w:bottom w:val="none" w:sz="0" w:space="0" w:color="auto"/>
            <w:right w:val="none" w:sz="0" w:space="0" w:color="auto"/>
          </w:divBdr>
        </w:div>
        <w:div w:id="1234969656">
          <w:marLeft w:val="547"/>
          <w:marRight w:val="0"/>
          <w:marTop w:val="200"/>
          <w:marBottom w:val="0"/>
          <w:divBdr>
            <w:top w:val="none" w:sz="0" w:space="0" w:color="auto"/>
            <w:left w:val="none" w:sz="0" w:space="0" w:color="auto"/>
            <w:bottom w:val="none" w:sz="0" w:space="0" w:color="auto"/>
            <w:right w:val="none" w:sz="0" w:space="0" w:color="auto"/>
          </w:divBdr>
        </w:div>
        <w:div w:id="477502348">
          <w:marLeft w:val="1166"/>
          <w:marRight w:val="0"/>
          <w:marTop w:val="200"/>
          <w:marBottom w:val="0"/>
          <w:divBdr>
            <w:top w:val="none" w:sz="0" w:space="0" w:color="auto"/>
            <w:left w:val="none" w:sz="0" w:space="0" w:color="auto"/>
            <w:bottom w:val="none" w:sz="0" w:space="0" w:color="auto"/>
            <w:right w:val="none" w:sz="0" w:space="0" w:color="auto"/>
          </w:divBdr>
        </w:div>
        <w:div w:id="181481873">
          <w:marLeft w:val="1166"/>
          <w:marRight w:val="0"/>
          <w:marTop w:val="200"/>
          <w:marBottom w:val="0"/>
          <w:divBdr>
            <w:top w:val="none" w:sz="0" w:space="0" w:color="auto"/>
            <w:left w:val="none" w:sz="0" w:space="0" w:color="auto"/>
            <w:bottom w:val="none" w:sz="0" w:space="0" w:color="auto"/>
            <w:right w:val="none" w:sz="0" w:space="0" w:color="auto"/>
          </w:divBdr>
        </w:div>
        <w:div w:id="1376199393">
          <w:marLeft w:val="1166"/>
          <w:marRight w:val="0"/>
          <w:marTop w:val="200"/>
          <w:marBottom w:val="0"/>
          <w:divBdr>
            <w:top w:val="none" w:sz="0" w:space="0" w:color="auto"/>
            <w:left w:val="none" w:sz="0" w:space="0" w:color="auto"/>
            <w:bottom w:val="none" w:sz="0" w:space="0" w:color="auto"/>
            <w:right w:val="none" w:sz="0" w:space="0" w:color="auto"/>
          </w:divBdr>
        </w:div>
        <w:div w:id="62458246">
          <w:marLeft w:val="1166"/>
          <w:marRight w:val="0"/>
          <w:marTop w:val="200"/>
          <w:marBottom w:val="0"/>
          <w:divBdr>
            <w:top w:val="none" w:sz="0" w:space="0" w:color="auto"/>
            <w:left w:val="none" w:sz="0" w:space="0" w:color="auto"/>
            <w:bottom w:val="none" w:sz="0" w:space="0" w:color="auto"/>
            <w:right w:val="none" w:sz="0" w:space="0" w:color="auto"/>
          </w:divBdr>
        </w:div>
        <w:div w:id="714240104">
          <w:marLeft w:val="547"/>
          <w:marRight w:val="0"/>
          <w:marTop w:val="200"/>
          <w:marBottom w:val="0"/>
          <w:divBdr>
            <w:top w:val="none" w:sz="0" w:space="0" w:color="auto"/>
            <w:left w:val="none" w:sz="0" w:space="0" w:color="auto"/>
            <w:bottom w:val="none" w:sz="0" w:space="0" w:color="auto"/>
            <w:right w:val="none" w:sz="0" w:space="0" w:color="auto"/>
          </w:divBdr>
        </w:div>
        <w:div w:id="197932918">
          <w:marLeft w:val="547"/>
          <w:marRight w:val="0"/>
          <w:marTop w:val="200"/>
          <w:marBottom w:val="0"/>
          <w:divBdr>
            <w:top w:val="none" w:sz="0" w:space="0" w:color="auto"/>
            <w:left w:val="none" w:sz="0" w:space="0" w:color="auto"/>
            <w:bottom w:val="none" w:sz="0" w:space="0" w:color="auto"/>
            <w:right w:val="none" w:sz="0" w:space="0" w:color="auto"/>
          </w:divBdr>
        </w:div>
        <w:div w:id="549656715">
          <w:marLeft w:val="547"/>
          <w:marRight w:val="0"/>
          <w:marTop w:val="200"/>
          <w:marBottom w:val="0"/>
          <w:divBdr>
            <w:top w:val="none" w:sz="0" w:space="0" w:color="auto"/>
            <w:left w:val="none" w:sz="0" w:space="0" w:color="auto"/>
            <w:bottom w:val="none" w:sz="0" w:space="0" w:color="auto"/>
            <w:right w:val="none" w:sz="0" w:space="0" w:color="auto"/>
          </w:divBdr>
        </w:div>
        <w:div w:id="316567431">
          <w:marLeft w:val="1166"/>
          <w:marRight w:val="0"/>
          <w:marTop w:val="200"/>
          <w:marBottom w:val="0"/>
          <w:divBdr>
            <w:top w:val="none" w:sz="0" w:space="0" w:color="auto"/>
            <w:left w:val="none" w:sz="0" w:space="0" w:color="auto"/>
            <w:bottom w:val="none" w:sz="0" w:space="0" w:color="auto"/>
            <w:right w:val="none" w:sz="0" w:space="0" w:color="auto"/>
          </w:divBdr>
        </w:div>
        <w:div w:id="714890260">
          <w:marLeft w:val="1166"/>
          <w:marRight w:val="0"/>
          <w:marTop w:val="200"/>
          <w:marBottom w:val="0"/>
          <w:divBdr>
            <w:top w:val="none" w:sz="0" w:space="0" w:color="auto"/>
            <w:left w:val="none" w:sz="0" w:space="0" w:color="auto"/>
            <w:bottom w:val="none" w:sz="0" w:space="0" w:color="auto"/>
            <w:right w:val="none" w:sz="0" w:space="0" w:color="auto"/>
          </w:divBdr>
        </w:div>
      </w:divsChild>
    </w:div>
    <w:div w:id="313071237">
      <w:bodyDiv w:val="1"/>
      <w:marLeft w:val="0"/>
      <w:marRight w:val="0"/>
      <w:marTop w:val="0"/>
      <w:marBottom w:val="0"/>
      <w:divBdr>
        <w:top w:val="none" w:sz="0" w:space="0" w:color="auto"/>
        <w:left w:val="none" w:sz="0" w:space="0" w:color="auto"/>
        <w:bottom w:val="none" w:sz="0" w:space="0" w:color="auto"/>
        <w:right w:val="none" w:sz="0" w:space="0" w:color="auto"/>
      </w:divBdr>
    </w:div>
    <w:div w:id="329528334">
      <w:bodyDiv w:val="1"/>
      <w:marLeft w:val="0"/>
      <w:marRight w:val="0"/>
      <w:marTop w:val="0"/>
      <w:marBottom w:val="0"/>
      <w:divBdr>
        <w:top w:val="none" w:sz="0" w:space="0" w:color="auto"/>
        <w:left w:val="none" w:sz="0" w:space="0" w:color="auto"/>
        <w:bottom w:val="none" w:sz="0" w:space="0" w:color="auto"/>
        <w:right w:val="none" w:sz="0" w:space="0" w:color="auto"/>
      </w:divBdr>
    </w:div>
    <w:div w:id="367679553">
      <w:bodyDiv w:val="1"/>
      <w:marLeft w:val="0"/>
      <w:marRight w:val="0"/>
      <w:marTop w:val="0"/>
      <w:marBottom w:val="0"/>
      <w:divBdr>
        <w:top w:val="none" w:sz="0" w:space="0" w:color="auto"/>
        <w:left w:val="none" w:sz="0" w:space="0" w:color="auto"/>
        <w:bottom w:val="none" w:sz="0" w:space="0" w:color="auto"/>
        <w:right w:val="none" w:sz="0" w:space="0" w:color="auto"/>
      </w:divBdr>
      <w:divsChild>
        <w:div w:id="1985698323">
          <w:marLeft w:val="547"/>
          <w:marRight w:val="0"/>
          <w:marTop w:val="200"/>
          <w:marBottom w:val="0"/>
          <w:divBdr>
            <w:top w:val="none" w:sz="0" w:space="0" w:color="auto"/>
            <w:left w:val="none" w:sz="0" w:space="0" w:color="auto"/>
            <w:bottom w:val="none" w:sz="0" w:space="0" w:color="auto"/>
            <w:right w:val="none" w:sz="0" w:space="0" w:color="auto"/>
          </w:divBdr>
        </w:div>
        <w:div w:id="467623946">
          <w:marLeft w:val="1166"/>
          <w:marRight w:val="0"/>
          <w:marTop w:val="200"/>
          <w:marBottom w:val="0"/>
          <w:divBdr>
            <w:top w:val="none" w:sz="0" w:space="0" w:color="auto"/>
            <w:left w:val="none" w:sz="0" w:space="0" w:color="auto"/>
            <w:bottom w:val="none" w:sz="0" w:space="0" w:color="auto"/>
            <w:right w:val="none" w:sz="0" w:space="0" w:color="auto"/>
          </w:divBdr>
        </w:div>
        <w:div w:id="695548142">
          <w:marLeft w:val="1166"/>
          <w:marRight w:val="0"/>
          <w:marTop w:val="200"/>
          <w:marBottom w:val="0"/>
          <w:divBdr>
            <w:top w:val="none" w:sz="0" w:space="0" w:color="auto"/>
            <w:left w:val="none" w:sz="0" w:space="0" w:color="auto"/>
            <w:bottom w:val="none" w:sz="0" w:space="0" w:color="auto"/>
            <w:right w:val="none" w:sz="0" w:space="0" w:color="auto"/>
          </w:divBdr>
        </w:div>
        <w:div w:id="1229919500">
          <w:marLeft w:val="1166"/>
          <w:marRight w:val="0"/>
          <w:marTop w:val="200"/>
          <w:marBottom w:val="0"/>
          <w:divBdr>
            <w:top w:val="none" w:sz="0" w:space="0" w:color="auto"/>
            <w:left w:val="none" w:sz="0" w:space="0" w:color="auto"/>
            <w:bottom w:val="none" w:sz="0" w:space="0" w:color="auto"/>
            <w:right w:val="none" w:sz="0" w:space="0" w:color="auto"/>
          </w:divBdr>
        </w:div>
        <w:div w:id="1877623529">
          <w:marLeft w:val="547"/>
          <w:marRight w:val="0"/>
          <w:marTop w:val="200"/>
          <w:marBottom w:val="0"/>
          <w:divBdr>
            <w:top w:val="none" w:sz="0" w:space="0" w:color="auto"/>
            <w:left w:val="none" w:sz="0" w:space="0" w:color="auto"/>
            <w:bottom w:val="none" w:sz="0" w:space="0" w:color="auto"/>
            <w:right w:val="none" w:sz="0" w:space="0" w:color="auto"/>
          </w:divBdr>
        </w:div>
        <w:div w:id="1815901687">
          <w:marLeft w:val="1166"/>
          <w:marRight w:val="0"/>
          <w:marTop w:val="200"/>
          <w:marBottom w:val="0"/>
          <w:divBdr>
            <w:top w:val="none" w:sz="0" w:space="0" w:color="auto"/>
            <w:left w:val="none" w:sz="0" w:space="0" w:color="auto"/>
            <w:bottom w:val="none" w:sz="0" w:space="0" w:color="auto"/>
            <w:right w:val="none" w:sz="0" w:space="0" w:color="auto"/>
          </w:divBdr>
        </w:div>
        <w:div w:id="1987851720">
          <w:marLeft w:val="1166"/>
          <w:marRight w:val="0"/>
          <w:marTop w:val="200"/>
          <w:marBottom w:val="0"/>
          <w:divBdr>
            <w:top w:val="none" w:sz="0" w:space="0" w:color="auto"/>
            <w:left w:val="none" w:sz="0" w:space="0" w:color="auto"/>
            <w:bottom w:val="none" w:sz="0" w:space="0" w:color="auto"/>
            <w:right w:val="none" w:sz="0" w:space="0" w:color="auto"/>
          </w:divBdr>
        </w:div>
        <w:div w:id="164783001">
          <w:marLeft w:val="1166"/>
          <w:marRight w:val="0"/>
          <w:marTop w:val="200"/>
          <w:marBottom w:val="0"/>
          <w:divBdr>
            <w:top w:val="none" w:sz="0" w:space="0" w:color="auto"/>
            <w:left w:val="none" w:sz="0" w:space="0" w:color="auto"/>
            <w:bottom w:val="none" w:sz="0" w:space="0" w:color="auto"/>
            <w:right w:val="none" w:sz="0" w:space="0" w:color="auto"/>
          </w:divBdr>
        </w:div>
      </w:divsChild>
    </w:div>
    <w:div w:id="380174846">
      <w:bodyDiv w:val="1"/>
      <w:marLeft w:val="0"/>
      <w:marRight w:val="0"/>
      <w:marTop w:val="0"/>
      <w:marBottom w:val="0"/>
      <w:divBdr>
        <w:top w:val="none" w:sz="0" w:space="0" w:color="auto"/>
        <w:left w:val="none" w:sz="0" w:space="0" w:color="auto"/>
        <w:bottom w:val="none" w:sz="0" w:space="0" w:color="auto"/>
        <w:right w:val="none" w:sz="0" w:space="0" w:color="auto"/>
      </w:divBdr>
      <w:divsChild>
        <w:div w:id="71658479">
          <w:marLeft w:val="547"/>
          <w:marRight w:val="0"/>
          <w:marTop w:val="154"/>
          <w:marBottom w:val="0"/>
          <w:divBdr>
            <w:top w:val="none" w:sz="0" w:space="0" w:color="auto"/>
            <w:left w:val="none" w:sz="0" w:space="0" w:color="auto"/>
            <w:bottom w:val="none" w:sz="0" w:space="0" w:color="auto"/>
            <w:right w:val="none" w:sz="0" w:space="0" w:color="auto"/>
          </w:divBdr>
        </w:div>
        <w:div w:id="348217288">
          <w:marLeft w:val="547"/>
          <w:marRight w:val="0"/>
          <w:marTop w:val="154"/>
          <w:marBottom w:val="0"/>
          <w:divBdr>
            <w:top w:val="none" w:sz="0" w:space="0" w:color="auto"/>
            <w:left w:val="none" w:sz="0" w:space="0" w:color="auto"/>
            <w:bottom w:val="none" w:sz="0" w:space="0" w:color="auto"/>
            <w:right w:val="none" w:sz="0" w:space="0" w:color="auto"/>
          </w:divBdr>
        </w:div>
        <w:div w:id="1010912078">
          <w:marLeft w:val="547"/>
          <w:marRight w:val="0"/>
          <w:marTop w:val="154"/>
          <w:marBottom w:val="0"/>
          <w:divBdr>
            <w:top w:val="none" w:sz="0" w:space="0" w:color="auto"/>
            <w:left w:val="none" w:sz="0" w:space="0" w:color="auto"/>
            <w:bottom w:val="none" w:sz="0" w:space="0" w:color="auto"/>
            <w:right w:val="none" w:sz="0" w:space="0" w:color="auto"/>
          </w:divBdr>
        </w:div>
        <w:div w:id="2044014749">
          <w:marLeft w:val="547"/>
          <w:marRight w:val="0"/>
          <w:marTop w:val="154"/>
          <w:marBottom w:val="0"/>
          <w:divBdr>
            <w:top w:val="none" w:sz="0" w:space="0" w:color="auto"/>
            <w:left w:val="none" w:sz="0" w:space="0" w:color="auto"/>
            <w:bottom w:val="none" w:sz="0" w:space="0" w:color="auto"/>
            <w:right w:val="none" w:sz="0" w:space="0" w:color="auto"/>
          </w:divBdr>
        </w:div>
      </w:divsChild>
    </w:div>
    <w:div w:id="380985934">
      <w:bodyDiv w:val="1"/>
      <w:marLeft w:val="0"/>
      <w:marRight w:val="0"/>
      <w:marTop w:val="0"/>
      <w:marBottom w:val="0"/>
      <w:divBdr>
        <w:top w:val="none" w:sz="0" w:space="0" w:color="auto"/>
        <w:left w:val="none" w:sz="0" w:space="0" w:color="auto"/>
        <w:bottom w:val="none" w:sz="0" w:space="0" w:color="auto"/>
        <w:right w:val="none" w:sz="0" w:space="0" w:color="auto"/>
      </w:divBdr>
    </w:div>
    <w:div w:id="384524312">
      <w:bodyDiv w:val="1"/>
      <w:marLeft w:val="0"/>
      <w:marRight w:val="0"/>
      <w:marTop w:val="0"/>
      <w:marBottom w:val="0"/>
      <w:divBdr>
        <w:top w:val="none" w:sz="0" w:space="0" w:color="auto"/>
        <w:left w:val="none" w:sz="0" w:space="0" w:color="auto"/>
        <w:bottom w:val="none" w:sz="0" w:space="0" w:color="auto"/>
        <w:right w:val="none" w:sz="0" w:space="0" w:color="auto"/>
      </w:divBdr>
    </w:div>
    <w:div w:id="396629576">
      <w:bodyDiv w:val="1"/>
      <w:marLeft w:val="0"/>
      <w:marRight w:val="0"/>
      <w:marTop w:val="0"/>
      <w:marBottom w:val="0"/>
      <w:divBdr>
        <w:top w:val="none" w:sz="0" w:space="0" w:color="auto"/>
        <w:left w:val="none" w:sz="0" w:space="0" w:color="auto"/>
        <w:bottom w:val="none" w:sz="0" w:space="0" w:color="auto"/>
        <w:right w:val="none" w:sz="0" w:space="0" w:color="auto"/>
      </w:divBdr>
    </w:div>
    <w:div w:id="417363697">
      <w:bodyDiv w:val="1"/>
      <w:marLeft w:val="0"/>
      <w:marRight w:val="0"/>
      <w:marTop w:val="0"/>
      <w:marBottom w:val="0"/>
      <w:divBdr>
        <w:top w:val="none" w:sz="0" w:space="0" w:color="auto"/>
        <w:left w:val="none" w:sz="0" w:space="0" w:color="auto"/>
        <w:bottom w:val="none" w:sz="0" w:space="0" w:color="auto"/>
        <w:right w:val="none" w:sz="0" w:space="0" w:color="auto"/>
      </w:divBdr>
      <w:divsChild>
        <w:div w:id="1719469998">
          <w:marLeft w:val="547"/>
          <w:marRight w:val="0"/>
          <w:marTop w:val="200"/>
          <w:marBottom w:val="0"/>
          <w:divBdr>
            <w:top w:val="none" w:sz="0" w:space="0" w:color="auto"/>
            <w:left w:val="none" w:sz="0" w:space="0" w:color="auto"/>
            <w:bottom w:val="none" w:sz="0" w:space="0" w:color="auto"/>
            <w:right w:val="none" w:sz="0" w:space="0" w:color="auto"/>
          </w:divBdr>
        </w:div>
        <w:div w:id="1547835063">
          <w:marLeft w:val="1166"/>
          <w:marRight w:val="0"/>
          <w:marTop w:val="200"/>
          <w:marBottom w:val="0"/>
          <w:divBdr>
            <w:top w:val="none" w:sz="0" w:space="0" w:color="auto"/>
            <w:left w:val="none" w:sz="0" w:space="0" w:color="auto"/>
            <w:bottom w:val="none" w:sz="0" w:space="0" w:color="auto"/>
            <w:right w:val="none" w:sz="0" w:space="0" w:color="auto"/>
          </w:divBdr>
        </w:div>
        <w:div w:id="1520201353">
          <w:marLeft w:val="1166"/>
          <w:marRight w:val="0"/>
          <w:marTop w:val="200"/>
          <w:marBottom w:val="0"/>
          <w:divBdr>
            <w:top w:val="none" w:sz="0" w:space="0" w:color="auto"/>
            <w:left w:val="none" w:sz="0" w:space="0" w:color="auto"/>
            <w:bottom w:val="none" w:sz="0" w:space="0" w:color="auto"/>
            <w:right w:val="none" w:sz="0" w:space="0" w:color="auto"/>
          </w:divBdr>
        </w:div>
        <w:div w:id="655378275">
          <w:marLeft w:val="1166"/>
          <w:marRight w:val="0"/>
          <w:marTop w:val="200"/>
          <w:marBottom w:val="0"/>
          <w:divBdr>
            <w:top w:val="none" w:sz="0" w:space="0" w:color="auto"/>
            <w:left w:val="none" w:sz="0" w:space="0" w:color="auto"/>
            <w:bottom w:val="none" w:sz="0" w:space="0" w:color="auto"/>
            <w:right w:val="none" w:sz="0" w:space="0" w:color="auto"/>
          </w:divBdr>
        </w:div>
        <w:div w:id="660541682">
          <w:marLeft w:val="1166"/>
          <w:marRight w:val="0"/>
          <w:marTop w:val="200"/>
          <w:marBottom w:val="0"/>
          <w:divBdr>
            <w:top w:val="none" w:sz="0" w:space="0" w:color="auto"/>
            <w:left w:val="none" w:sz="0" w:space="0" w:color="auto"/>
            <w:bottom w:val="none" w:sz="0" w:space="0" w:color="auto"/>
            <w:right w:val="none" w:sz="0" w:space="0" w:color="auto"/>
          </w:divBdr>
        </w:div>
        <w:div w:id="1010179921">
          <w:marLeft w:val="1166"/>
          <w:marRight w:val="0"/>
          <w:marTop w:val="200"/>
          <w:marBottom w:val="0"/>
          <w:divBdr>
            <w:top w:val="none" w:sz="0" w:space="0" w:color="auto"/>
            <w:left w:val="none" w:sz="0" w:space="0" w:color="auto"/>
            <w:bottom w:val="none" w:sz="0" w:space="0" w:color="auto"/>
            <w:right w:val="none" w:sz="0" w:space="0" w:color="auto"/>
          </w:divBdr>
        </w:div>
        <w:div w:id="1250315651">
          <w:marLeft w:val="547"/>
          <w:marRight w:val="0"/>
          <w:marTop w:val="200"/>
          <w:marBottom w:val="0"/>
          <w:divBdr>
            <w:top w:val="none" w:sz="0" w:space="0" w:color="auto"/>
            <w:left w:val="none" w:sz="0" w:space="0" w:color="auto"/>
            <w:bottom w:val="none" w:sz="0" w:space="0" w:color="auto"/>
            <w:right w:val="none" w:sz="0" w:space="0" w:color="auto"/>
          </w:divBdr>
        </w:div>
        <w:div w:id="387460493">
          <w:marLeft w:val="547"/>
          <w:marRight w:val="0"/>
          <w:marTop w:val="200"/>
          <w:marBottom w:val="0"/>
          <w:divBdr>
            <w:top w:val="none" w:sz="0" w:space="0" w:color="auto"/>
            <w:left w:val="none" w:sz="0" w:space="0" w:color="auto"/>
            <w:bottom w:val="none" w:sz="0" w:space="0" w:color="auto"/>
            <w:right w:val="none" w:sz="0" w:space="0" w:color="auto"/>
          </w:divBdr>
        </w:div>
      </w:divsChild>
    </w:div>
    <w:div w:id="444423926">
      <w:bodyDiv w:val="1"/>
      <w:marLeft w:val="0"/>
      <w:marRight w:val="0"/>
      <w:marTop w:val="0"/>
      <w:marBottom w:val="0"/>
      <w:divBdr>
        <w:top w:val="none" w:sz="0" w:space="0" w:color="auto"/>
        <w:left w:val="none" w:sz="0" w:space="0" w:color="auto"/>
        <w:bottom w:val="none" w:sz="0" w:space="0" w:color="auto"/>
        <w:right w:val="none" w:sz="0" w:space="0" w:color="auto"/>
      </w:divBdr>
    </w:div>
    <w:div w:id="451750600">
      <w:bodyDiv w:val="1"/>
      <w:marLeft w:val="0"/>
      <w:marRight w:val="0"/>
      <w:marTop w:val="0"/>
      <w:marBottom w:val="0"/>
      <w:divBdr>
        <w:top w:val="none" w:sz="0" w:space="0" w:color="auto"/>
        <w:left w:val="none" w:sz="0" w:space="0" w:color="auto"/>
        <w:bottom w:val="none" w:sz="0" w:space="0" w:color="auto"/>
        <w:right w:val="none" w:sz="0" w:space="0" w:color="auto"/>
      </w:divBdr>
    </w:div>
    <w:div w:id="461651717">
      <w:bodyDiv w:val="1"/>
      <w:marLeft w:val="0"/>
      <w:marRight w:val="0"/>
      <w:marTop w:val="0"/>
      <w:marBottom w:val="0"/>
      <w:divBdr>
        <w:top w:val="none" w:sz="0" w:space="0" w:color="auto"/>
        <w:left w:val="none" w:sz="0" w:space="0" w:color="auto"/>
        <w:bottom w:val="none" w:sz="0" w:space="0" w:color="auto"/>
        <w:right w:val="none" w:sz="0" w:space="0" w:color="auto"/>
      </w:divBdr>
    </w:div>
    <w:div w:id="465660312">
      <w:bodyDiv w:val="1"/>
      <w:marLeft w:val="0"/>
      <w:marRight w:val="0"/>
      <w:marTop w:val="0"/>
      <w:marBottom w:val="0"/>
      <w:divBdr>
        <w:top w:val="none" w:sz="0" w:space="0" w:color="auto"/>
        <w:left w:val="none" w:sz="0" w:space="0" w:color="auto"/>
        <w:bottom w:val="none" w:sz="0" w:space="0" w:color="auto"/>
        <w:right w:val="none" w:sz="0" w:space="0" w:color="auto"/>
      </w:divBdr>
    </w:div>
    <w:div w:id="497773338">
      <w:bodyDiv w:val="1"/>
      <w:marLeft w:val="0"/>
      <w:marRight w:val="0"/>
      <w:marTop w:val="0"/>
      <w:marBottom w:val="0"/>
      <w:divBdr>
        <w:top w:val="none" w:sz="0" w:space="0" w:color="auto"/>
        <w:left w:val="none" w:sz="0" w:space="0" w:color="auto"/>
        <w:bottom w:val="none" w:sz="0" w:space="0" w:color="auto"/>
        <w:right w:val="none" w:sz="0" w:space="0" w:color="auto"/>
      </w:divBdr>
    </w:div>
    <w:div w:id="498154272">
      <w:bodyDiv w:val="1"/>
      <w:marLeft w:val="0"/>
      <w:marRight w:val="0"/>
      <w:marTop w:val="0"/>
      <w:marBottom w:val="0"/>
      <w:divBdr>
        <w:top w:val="none" w:sz="0" w:space="0" w:color="auto"/>
        <w:left w:val="none" w:sz="0" w:space="0" w:color="auto"/>
        <w:bottom w:val="none" w:sz="0" w:space="0" w:color="auto"/>
        <w:right w:val="none" w:sz="0" w:space="0" w:color="auto"/>
      </w:divBdr>
    </w:div>
    <w:div w:id="500656743">
      <w:bodyDiv w:val="1"/>
      <w:marLeft w:val="0"/>
      <w:marRight w:val="0"/>
      <w:marTop w:val="0"/>
      <w:marBottom w:val="0"/>
      <w:divBdr>
        <w:top w:val="none" w:sz="0" w:space="0" w:color="auto"/>
        <w:left w:val="none" w:sz="0" w:space="0" w:color="auto"/>
        <w:bottom w:val="none" w:sz="0" w:space="0" w:color="auto"/>
        <w:right w:val="none" w:sz="0" w:space="0" w:color="auto"/>
      </w:divBdr>
    </w:div>
    <w:div w:id="502205192">
      <w:bodyDiv w:val="1"/>
      <w:marLeft w:val="0"/>
      <w:marRight w:val="0"/>
      <w:marTop w:val="0"/>
      <w:marBottom w:val="0"/>
      <w:divBdr>
        <w:top w:val="none" w:sz="0" w:space="0" w:color="auto"/>
        <w:left w:val="none" w:sz="0" w:space="0" w:color="auto"/>
        <w:bottom w:val="none" w:sz="0" w:space="0" w:color="auto"/>
        <w:right w:val="none" w:sz="0" w:space="0" w:color="auto"/>
      </w:divBdr>
    </w:div>
    <w:div w:id="522089876">
      <w:bodyDiv w:val="1"/>
      <w:marLeft w:val="0"/>
      <w:marRight w:val="0"/>
      <w:marTop w:val="0"/>
      <w:marBottom w:val="0"/>
      <w:divBdr>
        <w:top w:val="none" w:sz="0" w:space="0" w:color="auto"/>
        <w:left w:val="none" w:sz="0" w:space="0" w:color="auto"/>
        <w:bottom w:val="none" w:sz="0" w:space="0" w:color="auto"/>
        <w:right w:val="none" w:sz="0" w:space="0" w:color="auto"/>
      </w:divBdr>
    </w:div>
    <w:div w:id="524289127">
      <w:bodyDiv w:val="1"/>
      <w:marLeft w:val="0"/>
      <w:marRight w:val="0"/>
      <w:marTop w:val="0"/>
      <w:marBottom w:val="0"/>
      <w:divBdr>
        <w:top w:val="none" w:sz="0" w:space="0" w:color="auto"/>
        <w:left w:val="none" w:sz="0" w:space="0" w:color="auto"/>
        <w:bottom w:val="none" w:sz="0" w:space="0" w:color="auto"/>
        <w:right w:val="none" w:sz="0" w:space="0" w:color="auto"/>
      </w:divBdr>
      <w:divsChild>
        <w:div w:id="189950285">
          <w:marLeft w:val="547"/>
          <w:marRight w:val="0"/>
          <w:marTop w:val="200"/>
          <w:marBottom w:val="0"/>
          <w:divBdr>
            <w:top w:val="none" w:sz="0" w:space="0" w:color="auto"/>
            <w:left w:val="none" w:sz="0" w:space="0" w:color="auto"/>
            <w:bottom w:val="none" w:sz="0" w:space="0" w:color="auto"/>
            <w:right w:val="none" w:sz="0" w:space="0" w:color="auto"/>
          </w:divBdr>
        </w:div>
        <w:div w:id="1422292619">
          <w:marLeft w:val="1166"/>
          <w:marRight w:val="0"/>
          <w:marTop w:val="200"/>
          <w:marBottom w:val="0"/>
          <w:divBdr>
            <w:top w:val="none" w:sz="0" w:space="0" w:color="auto"/>
            <w:left w:val="none" w:sz="0" w:space="0" w:color="auto"/>
            <w:bottom w:val="none" w:sz="0" w:space="0" w:color="auto"/>
            <w:right w:val="none" w:sz="0" w:space="0" w:color="auto"/>
          </w:divBdr>
        </w:div>
        <w:div w:id="1279918319">
          <w:marLeft w:val="1166"/>
          <w:marRight w:val="0"/>
          <w:marTop w:val="200"/>
          <w:marBottom w:val="0"/>
          <w:divBdr>
            <w:top w:val="none" w:sz="0" w:space="0" w:color="auto"/>
            <w:left w:val="none" w:sz="0" w:space="0" w:color="auto"/>
            <w:bottom w:val="none" w:sz="0" w:space="0" w:color="auto"/>
            <w:right w:val="none" w:sz="0" w:space="0" w:color="auto"/>
          </w:divBdr>
        </w:div>
        <w:div w:id="1032151604">
          <w:marLeft w:val="547"/>
          <w:marRight w:val="0"/>
          <w:marTop w:val="200"/>
          <w:marBottom w:val="0"/>
          <w:divBdr>
            <w:top w:val="none" w:sz="0" w:space="0" w:color="auto"/>
            <w:left w:val="none" w:sz="0" w:space="0" w:color="auto"/>
            <w:bottom w:val="none" w:sz="0" w:space="0" w:color="auto"/>
            <w:right w:val="none" w:sz="0" w:space="0" w:color="auto"/>
          </w:divBdr>
        </w:div>
        <w:div w:id="963121645">
          <w:marLeft w:val="547"/>
          <w:marRight w:val="0"/>
          <w:marTop w:val="200"/>
          <w:marBottom w:val="0"/>
          <w:divBdr>
            <w:top w:val="none" w:sz="0" w:space="0" w:color="auto"/>
            <w:left w:val="none" w:sz="0" w:space="0" w:color="auto"/>
            <w:bottom w:val="none" w:sz="0" w:space="0" w:color="auto"/>
            <w:right w:val="none" w:sz="0" w:space="0" w:color="auto"/>
          </w:divBdr>
        </w:div>
        <w:div w:id="421340353">
          <w:marLeft w:val="547"/>
          <w:marRight w:val="0"/>
          <w:marTop w:val="200"/>
          <w:marBottom w:val="0"/>
          <w:divBdr>
            <w:top w:val="none" w:sz="0" w:space="0" w:color="auto"/>
            <w:left w:val="none" w:sz="0" w:space="0" w:color="auto"/>
            <w:bottom w:val="none" w:sz="0" w:space="0" w:color="auto"/>
            <w:right w:val="none" w:sz="0" w:space="0" w:color="auto"/>
          </w:divBdr>
        </w:div>
        <w:div w:id="1088623536">
          <w:marLeft w:val="1166"/>
          <w:marRight w:val="0"/>
          <w:marTop w:val="200"/>
          <w:marBottom w:val="0"/>
          <w:divBdr>
            <w:top w:val="none" w:sz="0" w:space="0" w:color="auto"/>
            <w:left w:val="none" w:sz="0" w:space="0" w:color="auto"/>
            <w:bottom w:val="none" w:sz="0" w:space="0" w:color="auto"/>
            <w:right w:val="none" w:sz="0" w:space="0" w:color="auto"/>
          </w:divBdr>
        </w:div>
        <w:div w:id="1132334450">
          <w:marLeft w:val="1166"/>
          <w:marRight w:val="0"/>
          <w:marTop w:val="200"/>
          <w:marBottom w:val="0"/>
          <w:divBdr>
            <w:top w:val="none" w:sz="0" w:space="0" w:color="auto"/>
            <w:left w:val="none" w:sz="0" w:space="0" w:color="auto"/>
            <w:bottom w:val="none" w:sz="0" w:space="0" w:color="auto"/>
            <w:right w:val="none" w:sz="0" w:space="0" w:color="auto"/>
          </w:divBdr>
        </w:div>
        <w:div w:id="103428925">
          <w:marLeft w:val="547"/>
          <w:marRight w:val="0"/>
          <w:marTop w:val="200"/>
          <w:marBottom w:val="0"/>
          <w:divBdr>
            <w:top w:val="none" w:sz="0" w:space="0" w:color="auto"/>
            <w:left w:val="none" w:sz="0" w:space="0" w:color="auto"/>
            <w:bottom w:val="none" w:sz="0" w:space="0" w:color="auto"/>
            <w:right w:val="none" w:sz="0" w:space="0" w:color="auto"/>
          </w:divBdr>
        </w:div>
        <w:div w:id="98531050">
          <w:marLeft w:val="547"/>
          <w:marRight w:val="0"/>
          <w:marTop w:val="200"/>
          <w:marBottom w:val="0"/>
          <w:divBdr>
            <w:top w:val="none" w:sz="0" w:space="0" w:color="auto"/>
            <w:left w:val="none" w:sz="0" w:space="0" w:color="auto"/>
            <w:bottom w:val="none" w:sz="0" w:space="0" w:color="auto"/>
            <w:right w:val="none" w:sz="0" w:space="0" w:color="auto"/>
          </w:divBdr>
        </w:div>
      </w:divsChild>
    </w:div>
    <w:div w:id="561137194">
      <w:bodyDiv w:val="1"/>
      <w:marLeft w:val="0"/>
      <w:marRight w:val="0"/>
      <w:marTop w:val="0"/>
      <w:marBottom w:val="0"/>
      <w:divBdr>
        <w:top w:val="none" w:sz="0" w:space="0" w:color="auto"/>
        <w:left w:val="none" w:sz="0" w:space="0" w:color="auto"/>
        <w:bottom w:val="none" w:sz="0" w:space="0" w:color="auto"/>
        <w:right w:val="none" w:sz="0" w:space="0" w:color="auto"/>
      </w:divBdr>
    </w:div>
    <w:div w:id="571500676">
      <w:bodyDiv w:val="1"/>
      <w:marLeft w:val="0"/>
      <w:marRight w:val="0"/>
      <w:marTop w:val="0"/>
      <w:marBottom w:val="0"/>
      <w:divBdr>
        <w:top w:val="none" w:sz="0" w:space="0" w:color="auto"/>
        <w:left w:val="none" w:sz="0" w:space="0" w:color="auto"/>
        <w:bottom w:val="none" w:sz="0" w:space="0" w:color="auto"/>
        <w:right w:val="none" w:sz="0" w:space="0" w:color="auto"/>
      </w:divBdr>
      <w:divsChild>
        <w:div w:id="1208877070">
          <w:marLeft w:val="547"/>
          <w:marRight w:val="0"/>
          <w:marTop w:val="200"/>
          <w:marBottom w:val="0"/>
          <w:divBdr>
            <w:top w:val="none" w:sz="0" w:space="0" w:color="auto"/>
            <w:left w:val="none" w:sz="0" w:space="0" w:color="auto"/>
            <w:bottom w:val="none" w:sz="0" w:space="0" w:color="auto"/>
            <w:right w:val="none" w:sz="0" w:space="0" w:color="auto"/>
          </w:divBdr>
        </w:div>
        <w:div w:id="449905324">
          <w:marLeft w:val="547"/>
          <w:marRight w:val="0"/>
          <w:marTop w:val="200"/>
          <w:marBottom w:val="0"/>
          <w:divBdr>
            <w:top w:val="none" w:sz="0" w:space="0" w:color="auto"/>
            <w:left w:val="none" w:sz="0" w:space="0" w:color="auto"/>
            <w:bottom w:val="none" w:sz="0" w:space="0" w:color="auto"/>
            <w:right w:val="none" w:sz="0" w:space="0" w:color="auto"/>
          </w:divBdr>
        </w:div>
        <w:div w:id="1396469408">
          <w:marLeft w:val="547"/>
          <w:marRight w:val="0"/>
          <w:marTop w:val="200"/>
          <w:marBottom w:val="0"/>
          <w:divBdr>
            <w:top w:val="none" w:sz="0" w:space="0" w:color="auto"/>
            <w:left w:val="none" w:sz="0" w:space="0" w:color="auto"/>
            <w:bottom w:val="none" w:sz="0" w:space="0" w:color="auto"/>
            <w:right w:val="none" w:sz="0" w:space="0" w:color="auto"/>
          </w:divBdr>
        </w:div>
        <w:div w:id="51927564">
          <w:marLeft w:val="547"/>
          <w:marRight w:val="0"/>
          <w:marTop w:val="200"/>
          <w:marBottom w:val="0"/>
          <w:divBdr>
            <w:top w:val="none" w:sz="0" w:space="0" w:color="auto"/>
            <w:left w:val="none" w:sz="0" w:space="0" w:color="auto"/>
            <w:bottom w:val="none" w:sz="0" w:space="0" w:color="auto"/>
            <w:right w:val="none" w:sz="0" w:space="0" w:color="auto"/>
          </w:divBdr>
        </w:div>
      </w:divsChild>
    </w:div>
    <w:div w:id="584070543">
      <w:bodyDiv w:val="1"/>
      <w:marLeft w:val="0"/>
      <w:marRight w:val="0"/>
      <w:marTop w:val="0"/>
      <w:marBottom w:val="0"/>
      <w:divBdr>
        <w:top w:val="none" w:sz="0" w:space="0" w:color="auto"/>
        <w:left w:val="none" w:sz="0" w:space="0" w:color="auto"/>
        <w:bottom w:val="none" w:sz="0" w:space="0" w:color="auto"/>
        <w:right w:val="none" w:sz="0" w:space="0" w:color="auto"/>
      </w:divBdr>
    </w:div>
    <w:div w:id="594286084">
      <w:bodyDiv w:val="1"/>
      <w:marLeft w:val="0"/>
      <w:marRight w:val="0"/>
      <w:marTop w:val="0"/>
      <w:marBottom w:val="0"/>
      <w:divBdr>
        <w:top w:val="none" w:sz="0" w:space="0" w:color="auto"/>
        <w:left w:val="none" w:sz="0" w:space="0" w:color="auto"/>
        <w:bottom w:val="none" w:sz="0" w:space="0" w:color="auto"/>
        <w:right w:val="none" w:sz="0" w:space="0" w:color="auto"/>
      </w:divBdr>
      <w:divsChild>
        <w:div w:id="2005276541">
          <w:marLeft w:val="446"/>
          <w:marRight w:val="0"/>
          <w:marTop w:val="0"/>
          <w:marBottom w:val="0"/>
          <w:divBdr>
            <w:top w:val="none" w:sz="0" w:space="0" w:color="auto"/>
            <w:left w:val="none" w:sz="0" w:space="0" w:color="auto"/>
            <w:bottom w:val="none" w:sz="0" w:space="0" w:color="auto"/>
            <w:right w:val="none" w:sz="0" w:space="0" w:color="auto"/>
          </w:divBdr>
        </w:div>
      </w:divsChild>
    </w:div>
    <w:div w:id="600796446">
      <w:bodyDiv w:val="1"/>
      <w:marLeft w:val="0"/>
      <w:marRight w:val="0"/>
      <w:marTop w:val="0"/>
      <w:marBottom w:val="0"/>
      <w:divBdr>
        <w:top w:val="none" w:sz="0" w:space="0" w:color="auto"/>
        <w:left w:val="none" w:sz="0" w:space="0" w:color="auto"/>
        <w:bottom w:val="none" w:sz="0" w:space="0" w:color="auto"/>
        <w:right w:val="none" w:sz="0" w:space="0" w:color="auto"/>
      </w:divBdr>
    </w:div>
    <w:div w:id="606886546">
      <w:bodyDiv w:val="1"/>
      <w:marLeft w:val="0"/>
      <w:marRight w:val="0"/>
      <w:marTop w:val="0"/>
      <w:marBottom w:val="0"/>
      <w:divBdr>
        <w:top w:val="none" w:sz="0" w:space="0" w:color="auto"/>
        <w:left w:val="none" w:sz="0" w:space="0" w:color="auto"/>
        <w:bottom w:val="none" w:sz="0" w:space="0" w:color="auto"/>
        <w:right w:val="none" w:sz="0" w:space="0" w:color="auto"/>
      </w:divBdr>
    </w:div>
    <w:div w:id="614023782">
      <w:bodyDiv w:val="1"/>
      <w:marLeft w:val="0"/>
      <w:marRight w:val="0"/>
      <w:marTop w:val="0"/>
      <w:marBottom w:val="0"/>
      <w:divBdr>
        <w:top w:val="none" w:sz="0" w:space="0" w:color="auto"/>
        <w:left w:val="none" w:sz="0" w:space="0" w:color="auto"/>
        <w:bottom w:val="none" w:sz="0" w:space="0" w:color="auto"/>
        <w:right w:val="none" w:sz="0" w:space="0" w:color="auto"/>
      </w:divBdr>
    </w:div>
    <w:div w:id="651830772">
      <w:bodyDiv w:val="1"/>
      <w:marLeft w:val="0"/>
      <w:marRight w:val="0"/>
      <w:marTop w:val="0"/>
      <w:marBottom w:val="0"/>
      <w:divBdr>
        <w:top w:val="none" w:sz="0" w:space="0" w:color="auto"/>
        <w:left w:val="none" w:sz="0" w:space="0" w:color="auto"/>
        <w:bottom w:val="none" w:sz="0" w:space="0" w:color="auto"/>
        <w:right w:val="none" w:sz="0" w:space="0" w:color="auto"/>
      </w:divBdr>
    </w:div>
    <w:div w:id="653069275">
      <w:bodyDiv w:val="1"/>
      <w:marLeft w:val="0"/>
      <w:marRight w:val="0"/>
      <w:marTop w:val="0"/>
      <w:marBottom w:val="0"/>
      <w:divBdr>
        <w:top w:val="none" w:sz="0" w:space="0" w:color="auto"/>
        <w:left w:val="none" w:sz="0" w:space="0" w:color="auto"/>
        <w:bottom w:val="none" w:sz="0" w:space="0" w:color="auto"/>
        <w:right w:val="none" w:sz="0" w:space="0" w:color="auto"/>
      </w:divBdr>
      <w:divsChild>
        <w:div w:id="789973726">
          <w:marLeft w:val="360"/>
          <w:marRight w:val="0"/>
          <w:marTop w:val="200"/>
          <w:marBottom w:val="0"/>
          <w:divBdr>
            <w:top w:val="none" w:sz="0" w:space="0" w:color="auto"/>
            <w:left w:val="none" w:sz="0" w:space="0" w:color="auto"/>
            <w:bottom w:val="none" w:sz="0" w:space="0" w:color="auto"/>
            <w:right w:val="none" w:sz="0" w:space="0" w:color="auto"/>
          </w:divBdr>
        </w:div>
        <w:div w:id="917012478">
          <w:marLeft w:val="360"/>
          <w:marRight w:val="0"/>
          <w:marTop w:val="200"/>
          <w:marBottom w:val="0"/>
          <w:divBdr>
            <w:top w:val="none" w:sz="0" w:space="0" w:color="auto"/>
            <w:left w:val="none" w:sz="0" w:space="0" w:color="auto"/>
            <w:bottom w:val="none" w:sz="0" w:space="0" w:color="auto"/>
            <w:right w:val="none" w:sz="0" w:space="0" w:color="auto"/>
          </w:divBdr>
        </w:div>
        <w:div w:id="1375423444">
          <w:marLeft w:val="360"/>
          <w:marRight w:val="0"/>
          <w:marTop w:val="200"/>
          <w:marBottom w:val="0"/>
          <w:divBdr>
            <w:top w:val="none" w:sz="0" w:space="0" w:color="auto"/>
            <w:left w:val="none" w:sz="0" w:space="0" w:color="auto"/>
            <w:bottom w:val="none" w:sz="0" w:space="0" w:color="auto"/>
            <w:right w:val="none" w:sz="0" w:space="0" w:color="auto"/>
          </w:divBdr>
        </w:div>
        <w:div w:id="1653414316">
          <w:marLeft w:val="360"/>
          <w:marRight w:val="0"/>
          <w:marTop w:val="200"/>
          <w:marBottom w:val="0"/>
          <w:divBdr>
            <w:top w:val="none" w:sz="0" w:space="0" w:color="auto"/>
            <w:left w:val="none" w:sz="0" w:space="0" w:color="auto"/>
            <w:bottom w:val="none" w:sz="0" w:space="0" w:color="auto"/>
            <w:right w:val="none" w:sz="0" w:space="0" w:color="auto"/>
          </w:divBdr>
        </w:div>
        <w:div w:id="1966765446">
          <w:marLeft w:val="360"/>
          <w:marRight w:val="0"/>
          <w:marTop w:val="200"/>
          <w:marBottom w:val="0"/>
          <w:divBdr>
            <w:top w:val="none" w:sz="0" w:space="0" w:color="auto"/>
            <w:left w:val="none" w:sz="0" w:space="0" w:color="auto"/>
            <w:bottom w:val="none" w:sz="0" w:space="0" w:color="auto"/>
            <w:right w:val="none" w:sz="0" w:space="0" w:color="auto"/>
          </w:divBdr>
        </w:div>
      </w:divsChild>
    </w:div>
    <w:div w:id="659385296">
      <w:bodyDiv w:val="1"/>
      <w:marLeft w:val="0"/>
      <w:marRight w:val="0"/>
      <w:marTop w:val="0"/>
      <w:marBottom w:val="0"/>
      <w:divBdr>
        <w:top w:val="none" w:sz="0" w:space="0" w:color="auto"/>
        <w:left w:val="none" w:sz="0" w:space="0" w:color="auto"/>
        <w:bottom w:val="none" w:sz="0" w:space="0" w:color="auto"/>
        <w:right w:val="none" w:sz="0" w:space="0" w:color="auto"/>
      </w:divBdr>
      <w:divsChild>
        <w:div w:id="1196239786">
          <w:marLeft w:val="1166"/>
          <w:marRight w:val="0"/>
          <w:marTop w:val="200"/>
          <w:marBottom w:val="0"/>
          <w:divBdr>
            <w:top w:val="none" w:sz="0" w:space="0" w:color="auto"/>
            <w:left w:val="none" w:sz="0" w:space="0" w:color="auto"/>
            <w:bottom w:val="none" w:sz="0" w:space="0" w:color="auto"/>
            <w:right w:val="none" w:sz="0" w:space="0" w:color="auto"/>
          </w:divBdr>
        </w:div>
        <w:div w:id="2098289404">
          <w:marLeft w:val="1800"/>
          <w:marRight w:val="0"/>
          <w:marTop w:val="200"/>
          <w:marBottom w:val="0"/>
          <w:divBdr>
            <w:top w:val="none" w:sz="0" w:space="0" w:color="auto"/>
            <w:left w:val="none" w:sz="0" w:space="0" w:color="auto"/>
            <w:bottom w:val="none" w:sz="0" w:space="0" w:color="auto"/>
            <w:right w:val="none" w:sz="0" w:space="0" w:color="auto"/>
          </w:divBdr>
        </w:div>
        <w:div w:id="237902897">
          <w:marLeft w:val="1800"/>
          <w:marRight w:val="0"/>
          <w:marTop w:val="200"/>
          <w:marBottom w:val="0"/>
          <w:divBdr>
            <w:top w:val="none" w:sz="0" w:space="0" w:color="auto"/>
            <w:left w:val="none" w:sz="0" w:space="0" w:color="auto"/>
            <w:bottom w:val="none" w:sz="0" w:space="0" w:color="auto"/>
            <w:right w:val="none" w:sz="0" w:space="0" w:color="auto"/>
          </w:divBdr>
        </w:div>
        <w:div w:id="412044361">
          <w:marLeft w:val="1800"/>
          <w:marRight w:val="0"/>
          <w:marTop w:val="200"/>
          <w:marBottom w:val="0"/>
          <w:divBdr>
            <w:top w:val="none" w:sz="0" w:space="0" w:color="auto"/>
            <w:left w:val="none" w:sz="0" w:space="0" w:color="auto"/>
            <w:bottom w:val="none" w:sz="0" w:space="0" w:color="auto"/>
            <w:right w:val="none" w:sz="0" w:space="0" w:color="auto"/>
          </w:divBdr>
        </w:div>
      </w:divsChild>
    </w:div>
    <w:div w:id="663046387">
      <w:bodyDiv w:val="1"/>
      <w:marLeft w:val="0"/>
      <w:marRight w:val="0"/>
      <w:marTop w:val="0"/>
      <w:marBottom w:val="0"/>
      <w:divBdr>
        <w:top w:val="none" w:sz="0" w:space="0" w:color="auto"/>
        <w:left w:val="none" w:sz="0" w:space="0" w:color="auto"/>
        <w:bottom w:val="none" w:sz="0" w:space="0" w:color="auto"/>
        <w:right w:val="none" w:sz="0" w:space="0" w:color="auto"/>
      </w:divBdr>
      <w:divsChild>
        <w:div w:id="1022975430">
          <w:marLeft w:val="547"/>
          <w:marRight w:val="0"/>
          <w:marTop w:val="200"/>
          <w:marBottom w:val="0"/>
          <w:divBdr>
            <w:top w:val="none" w:sz="0" w:space="0" w:color="auto"/>
            <w:left w:val="none" w:sz="0" w:space="0" w:color="auto"/>
            <w:bottom w:val="none" w:sz="0" w:space="0" w:color="auto"/>
            <w:right w:val="none" w:sz="0" w:space="0" w:color="auto"/>
          </w:divBdr>
        </w:div>
        <w:div w:id="1989439261">
          <w:marLeft w:val="1166"/>
          <w:marRight w:val="0"/>
          <w:marTop w:val="200"/>
          <w:marBottom w:val="0"/>
          <w:divBdr>
            <w:top w:val="none" w:sz="0" w:space="0" w:color="auto"/>
            <w:left w:val="none" w:sz="0" w:space="0" w:color="auto"/>
            <w:bottom w:val="none" w:sz="0" w:space="0" w:color="auto"/>
            <w:right w:val="none" w:sz="0" w:space="0" w:color="auto"/>
          </w:divBdr>
        </w:div>
        <w:div w:id="224419934">
          <w:marLeft w:val="1166"/>
          <w:marRight w:val="0"/>
          <w:marTop w:val="200"/>
          <w:marBottom w:val="0"/>
          <w:divBdr>
            <w:top w:val="none" w:sz="0" w:space="0" w:color="auto"/>
            <w:left w:val="none" w:sz="0" w:space="0" w:color="auto"/>
            <w:bottom w:val="none" w:sz="0" w:space="0" w:color="auto"/>
            <w:right w:val="none" w:sz="0" w:space="0" w:color="auto"/>
          </w:divBdr>
        </w:div>
        <w:div w:id="1749569273">
          <w:marLeft w:val="1166"/>
          <w:marRight w:val="0"/>
          <w:marTop w:val="200"/>
          <w:marBottom w:val="0"/>
          <w:divBdr>
            <w:top w:val="none" w:sz="0" w:space="0" w:color="auto"/>
            <w:left w:val="none" w:sz="0" w:space="0" w:color="auto"/>
            <w:bottom w:val="none" w:sz="0" w:space="0" w:color="auto"/>
            <w:right w:val="none" w:sz="0" w:space="0" w:color="auto"/>
          </w:divBdr>
        </w:div>
        <w:div w:id="1377200590">
          <w:marLeft w:val="1166"/>
          <w:marRight w:val="0"/>
          <w:marTop w:val="200"/>
          <w:marBottom w:val="0"/>
          <w:divBdr>
            <w:top w:val="none" w:sz="0" w:space="0" w:color="auto"/>
            <w:left w:val="none" w:sz="0" w:space="0" w:color="auto"/>
            <w:bottom w:val="none" w:sz="0" w:space="0" w:color="auto"/>
            <w:right w:val="none" w:sz="0" w:space="0" w:color="auto"/>
          </w:divBdr>
        </w:div>
      </w:divsChild>
    </w:div>
    <w:div w:id="667488381">
      <w:bodyDiv w:val="1"/>
      <w:marLeft w:val="0"/>
      <w:marRight w:val="0"/>
      <w:marTop w:val="0"/>
      <w:marBottom w:val="0"/>
      <w:divBdr>
        <w:top w:val="none" w:sz="0" w:space="0" w:color="auto"/>
        <w:left w:val="none" w:sz="0" w:space="0" w:color="auto"/>
        <w:bottom w:val="none" w:sz="0" w:space="0" w:color="auto"/>
        <w:right w:val="none" w:sz="0" w:space="0" w:color="auto"/>
      </w:divBdr>
      <w:divsChild>
        <w:div w:id="2017228440">
          <w:marLeft w:val="547"/>
          <w:marRight w:val="0"/>
          <w:marTop w:val="200"/>
          <w:marBottom w:val="0"/>
          <w:divBdr>
            <w:top w:val="none" w:sz="0" w:space="0" w:color="auto"/>
            <w:left w:val="none" w:sz="0" w:space="0" w:color="auto"/>
            <w:bottom w:val="none" w:sz="0" w:space="0" w:color="auto"/>
            <w:right w:val="none" w:sz="0" w:space="0" w:color="auto"/>
          </w:divBdr>
        </w:div>
        <w:div w:id="25638035">
          <w:marLeft w:val="1166"/>
          <w:marRight w:val="0"/>
          <w:marTop w:val="200"/>
          <w:marBottom w:val="0"/>
          <w:divBdr>
            <w:top w:val="none" w:sz="0" w:space="0" w:color="auto"/>
            <w:left w:val="none" w:sz="0" w:space="0" w:color="auto"/>
            <w:bottom w:val="none" w:sz="0" w:space="0" w:color="auto"/>
            <w:right w:val="none" w:sz="0" w:space="0" w:color="auto"/>
          </w:divBdr>
        </w:div>
        <w:div w:id="311954014">
          <w:marLeft w:val="1166"/>
          <w:marRight w:val="0"/>
          <w:marTop w:val="200"/>
          <w:marBottom w:val="0"/>
          <w:divBdr>
            <w:top w:val="none" w:sz="0" w:space="0" w:color="auto"/>
            <w:left w:val="none" w:sz="0" w:space="0" w:color="auto"/>
            <w:bottom w:val="none" w:sz="0" w:space="0" w:color="auto"/>
            <w:right w:val="none" w:sz="0" w:space="0" w:color="auto"/>
          </w:divBdr>
        </w:div>
        <w:div w:id="90128624">
          <w:marLeft w:val="1166"/>
          <w:marRight w:val="0"/>
          <w:marTop w:val="200"/>
          <w:marBottom w:val="0"/>
          <w:divBdr>
            <w:top w:val="none" w:sz="0" w:space="0" w:color="auto"/>
            <w:left w:val="none" w:sz="0" w:space="0" w:color="auto"/>
            <w:bottom w:val="none" w:sz="0" w:space="0" w:color="auto"/>
            <w:right w:val="none" w:sz="0" w:space="0" w:color="auto"/>
          </w:divBdr>
        </w:div>
        <w:div w:id="1757440395">
          <w:marLeft w:val="1166"/>
          <w:marRight w:val="0"/>
          <w:marTop w:val="200"/>
          <w:marBottom w:val="0"/>
          <w:divBdr>
            <w:top w:val="none" w:sz="0" w:space="0" w:color="auto"/>
            <w:left w:val="none" w:sz="0" w:space="0" w:color="auto"/>
            <w:bottom w:val="none" w:sz="0" w:space="0" w:color="auto"/>
            <w:right w:val="none" w:sz="0" w:space="0" w:color="auto"/>
          </w:divBdr>
        </w:div>
        <w:div w:id="2059011977">
          <w:marLeft w:val="1166"/>
          <w:marRight w:val="0"/>
          <w:marTop w:val="200"/>
          <w:marBottom w:val="0"/>
          <w:divBdr>
            <w:top w:val="none" w:sz="0" w:space="0" w:color="auto"/>
            <w:left w:val="none" w:sz="0" w:space="0" w:color="auto"/>
            <w:bottom w:val="none" w:sz="0" w:space="0" w:color="auto"/>
            <w:right w:val="none" w:sz="0" w:space="0" w:color="auto"/>
          </w:divBdr>
        </w:div>
        <w:div w:id="2033191549">
          <w:marLeft w:val="1800"/>
          <w:marRight w:val="0"/>
          <w:marTop w:val="200"/>
          <w:marBottom w:val="0"/>
          <w:divBdr>
            <w:top w:val="none" w:sz="0" w:space="0" w:color="auto"/>
            <w:left w:val="none" w:sz="0" w:space="0" w:color="auto"/>
            <w:bottom w:val="none" w:sz="0" w:space="0" w:color="auto"/>
            <w:right w:val="none" w:sz="0" w:space="0" w:color="auto"/>
          </w:divBdr>
        </w:div>
        <w:div w:id="870801991">
          <w:marLeft w:val="1800"/>
          <w:marRight w:val="0"/>
          <w:marTop w:val="200"/>
          <w:marBottom w:val="0"/>
          <w:divBdr>
            <w:top w:val="none" w:sz="0" w:space="0" w:color="auto"/>
            <w:left w:val="none" w:sz="0" w:space="0" w:color="auto"/>
            <w:bottom w:val="none" w:sz="0" w:space="0" w:color="auto"/>
            <w:right w:val="none" w:sz="0" w:space="0" w:color="auto"/>
          </w:divBdr>
        </w:div>
        <w:div w:id="1247113518">
          <w:marLeft w:val="547"/>
          <w:marRight w:val="0"/>
          <w:marTop w:val="200"/>
          <w:marBottom w:val="0"/>
          <w:divBdr>
            <w:top w:val="none" w:sz="0" w:space="0" w:color="auto"/>
            <w:left w:val="none" w:sz="0" w:space="0" w:color="auto"/>
            <w:bottom w:val="none" w:sz="0" w:space="0" w:color="auto"/>
            <w:right w:val="none" w:sz="0" w:space="0" w:color="auto"/>
          </w:divBdr>
        </w:div>
        <w:div w:id="1815486714">
          <w:marLeft w:val="1166"/>
          <w:marRight w:val="0"/>
          <w:marTop w:val="200"/>
          <w:marBottom w:val="0"/>
          <w:divBdr>
            <w:top w:val="none" w:sz="0" w:space="0" w:color="auto"/>
            <w:left w:val="none" w:sz="0" w:space="0" w:color="auto"/>
            <w:bottom w:val="none" w:sz="0" w:space="0" w:color="auto"/>
            <w:right w:val="none" w:sz="0" w:space="0" w:color="auto"/>
          </w:divBdr>
        </w:div>
        <w:div w:id="1549684569">
          <w:marLeft w:val="1166"/>
          <w:marRight w:val="0"/>
          <w:marTop w:val="200"/>
          <w:marBottom w:val="0"/>
          <w:divBdr>
            <w:top w:val="none" w:sz="0" w:space="0" w:color="auto"/>
            <w:left w:val="none" w:sz="0" w:space="0" w:color="auto"/>
            <w:bottom w:val="none" w:sz="0" w:space="0" w:color="auto"/>
            <w:right w:val="none" w:sz="0" w:space="0" w:color="auto"/>
          </w:divBdr>
        </w:div>
      </w:divsChild>
    </w:div>
    <w:div w:id="674458416">
      <w:bodyDiv w:val="1"/>
      <w:marLeft w:val="0"/>
      <w:marRight w:val="0"/>
      <w:marTop w:val="0"/>
      <w:marBottom w:val="0"/>
      <w:divBdr>
        <w:top w:val="none" w:sz="0" w:space="0" w:color="auto"/>
        <w:left w:val="none" w:sz="0" w:space="0" w:color="auto"/>
        <w:bottom w:val="none" w:sz="0" w:space="0" w:color="auto"/>
        <w:right w:val="none" w:sz="0" w:space="0" w:color="auto"/>
      </w:divBdr>
    </w:div>
    <w:div w:id="704138477">
      <w:bodyDiv w:val="1"/>
      <w:marLeft w:val="0"/>
      <w:marRight w:val="0"/>
      <w:marTop w:val="0"/>
      <w:marBottom w:val="0"/>
      <w:divBdr>
        <w:top w:val="none" w:sz="0" w:space="0" w:color="auto"/>
        <w:left w:val="none" w:sz="0" w:space="0" w:color="auto"/>
        <w:bottom w:val="none" w:sz="0" w:space="0" w:color="auto"/>
        <w:right w:val="none" w:sz="0" w:space="0" w:color="auto"/>
      </w:divBdr>
      <w:divsChild>
        <w:div w:id="2099325770">
          <w:marLeft w:val="547"/>
          <w:marRight w:val="0"/>
          <w:marTop w:val="200"/>
          <w:marBottom w:val="0"/>
          <w:divBdr>
            <w:top w:val="none" w:sz="0" w:space="0" w:color="auto"/>
            <w:left w:val="none" w:sz="0" w:space="0" w:color="auto"/>
            <w:bottom w:val="none" w:sz="0" w:space="0" w:color="auto"/>
            <w:right w:val="none" w:sz="0" w:space="0" w:color="auto"/>
          </w:divBdr>
        </w:div>
        <w:div w:id="1487824131">
          <w:marLeft w:val="547"/>
          <w:marRight w:val="0"/>
          <w:marTop w:val="200"/>
          <w:marBottom w:val="0"/>
          <w:divBdr>
            <w:top w:val="none" w:sz="0" w:space="0" w:color="auto"/>
            <w:left w:val="none" w:sz="0" w:space="0" w:color="auto"/>
            <w:bottom w:val="none" w:sz="0" w:space="0" w:color="auto"/>
            <w:right w:val="none" w:sz="0" w:space="0" w:color="auto"/>
          </w:divBdr>
        </w:div>
        <w:div w:id="1403210225">
          <w:marLeft w:val="547"/>
          <w:marRight w:val="0"/>
          <w:marTop w:val="200"/>
          <w:marBottom w:val="0"/>
          <w:divBdr>
            <w:top w:val="none" w:sz="0" w:space="0" w:color="auto"/>
            <w:left w:val="none" w:sz="0" w:space="0" w:color="auto"/>
            <w:bottom w:val="none" w:sz="0" w:space="0" w:color="auto"/>
            <w:right w:val="none" w:sz="0" w:space="0" w:color="auto"/>
          </w:divBdr>
        </w:div>
        <w:div w:id="449977402">
          <w:marLeft w:val="547"/>
          <w:marRight w:val="0"/>
          <w:marTop w:val="200"/>
          <w:marBottom w:val="0"/>
          <w:divBdr>
            <w:top w:val="none" w:sz="0" w:space="0" w:color="auto"/>
            <w:left w:val="none" w:sz="0" w:space="0" w:color="auto"/>
            <w:bottom w:val="none" w:sz="0" w:space="0" w:color="auto"/>
            <w:right w:val="none" w:sz="0" w:space="0" w:color="auto"/>
          </w:divBdr>
        </w:div>
        <w:div w:id="802237898">
          <w:marLeft w:val="1166"/>
          <w:marRight w:val="0"/>
          <w:marTop w:val="200"/>
          <w:marBottom w:val="0"/>
          <w:divBdr>
            <w:top w:val="none" w:sz="0" w:space="0" w:color="auto"/>
            <w:left w:val="none" w:sz="0" w:space="0" w:color="auto"/>
            <w:bottom w:val="none" w:sz="0" w:space="0" w:color="auto"/>
            <w:right w:val="none" w:sz="0" w:space="0" w:color="auto"/>
          </w:divBdr>
        </w:div>
        <w:div w:id="798955137">
          <w:marLeft w:val="1166"/>
          <w:marRight w:val="0"/>
          <w:marTop w:val="200"/>
          <w:marBottom w:val="0"/>
          <w:divBdr>
            <w:top w:val="none" w:sz="0" w:space="0" w:color="auto"/>
            <w:left w:val="none" w:sz="0" w:space="0" w:color="auto"/>
            <w:bottom w:val="none" w:sz="0" w:space="0" w:color="auto"/>
            <w:right w:val="none" w:sz="0" w:space="0" w:color="auto"/>
          </w:divBdr>
        </w:div>
        <w:div w:id="1858739605">
          <w:marLeft w:val="1166"/>
          <w:marRight w:val="0"/>
          <w:marTop w:val="200"/>
          <w:marBottom w:val="0"/>
          <w:divBdr>
            <w:top w:val="none" w:sz="0" w:space="0" w:color="auto"/>
            <w:left w:val="none" w:sz="0" w:space="0" w:color="auto"/>
            <w:bottom w:val="none" w:sz="0" w:space="0" w:color="auto"/>
            <w:right w:val="none" w:sz="0" w:space="0" w:color="auto"/>
          </w:divBdr>
        </w:div>
        <w:div w:id="1431003644">
          <w:marLeft w:val="1166"/>
          <w:marRight w:val="0"/>
          <w:marTop w:val="200"/>
          <w:marBottom w:val="0"/>
          <w:divBdr>
            <w:top w:val="none" w:sz="0" w:space="0" w:color="auto"/>
            <w:left w:val="none" w:sz="0" w:space="0" w:color="auto"/>
            <w:bottom w:val="none" w:sz="0" w:space="0" w:color="auto"/>
            <w:right w:val="none" w:sz="0" w:space="0" w:color="auto"/>
          </w:divBdr>
        </w:div>
        <w:div w:id="1911383844">
          <w:marLeft w:val="1166"/>
          <w:marRight w:val="0"/>
          <w:marTop w:val="200"/>
          <w:marBottom w:val="0"/>
          <w:divBdr>
            <w:top w:val="none" w:sz="0" w:space="0" w:color="auto"/>
            <w:left w:val="none" w:sz="0" w:space="0" w:color="auto"/>
            <w:bottom w:val="none" w:sz="0" w:space="0" w:color="auto"/>
            <w:right w:val="none" w:sz="0" w:space="0" w:color="auto"/>
          </w:divBdr>
        </w:div>
        <w:div w:id="525871218">
          <w:marLeft w:val="1166"/>
          <w:marRight w:val="0"/>
          <w:marTop w:val="200"/>
          <w:marBottom w:val="0"/>
          <w:divBdr>
            <w:top w:val="none" w:sz="0" w:space="0" w:color="auto"/>
            <w:left w:val="none" w:sz="0" w:space="0" w:color="auto"/>
            <w:bottom w:val="none" w:sz="0" w:space="0" w:color="auto"/>
            <w:right w:val="none" w:sz="0" w:space="0" w:color="auto"/>
          </w:divBdr>
        </w:div>
      </w:divsChild>
    </w:div>
    <w:div w:id="706418611">
      <w:bodyDiv w:val="1"/>
      <w:marLeft w:val="0"/>
      <w:marRight w:val="0"/>
      <w:marTop w:val="0"/>
      <w:marBottom w:val="0"/>
      <w:divBdr>
        <w:top w:val="none" w:sz="0" w:space="0" w:color="auto"/>
        <w:left w:val="none" w:sz="0" w:space="0" w:color="auto"/>
        <w:bottom w:val="none" w:sz="0" w:space="0" w:color="auto"/>
        <w:right w:val="none" w:sz="0" w:space="0" w:color="auto"/>
      </w:divBdr>
      <w:divsChild>
        <w:div w:id="1040940857">
          <w:marLeft w:val="547"/>
          <w:marRight w:val="0"/>
          <w:marTop w:val="200"/>
          <w:marBottom w:val="0"/>
          <w:divBdr>
            <w:top w:val="none" w:sz="0" w:space="0" w:color="auto"/>
            <w:left w:val="none" w:sz="0" w:space="0" w:color="auto"/>
            <w:bottom w:val="none" w:sz="0" w:space="0" w:color="auto"/>
            <w:right w:val="none" w:sz="0" w:space="0" w:color="auto"/>
          </w:divBdr>
        </w:div>
        <w:div w:id="1617634918">
          <w:marLeft w:val="547"/>
          <w:marRight w:val="0"/>
          <w:marTop w:val="200"/>
          <w:marBottom w:val="0"/>
          <w:divBdr>
            <w:top w:val="none" w:sz="0" w:space="0" w:color="auto"/>
            <w:left w:val="none" w:sz="0" w:space="0" w:color="auto"/>
            <w:bottom w:val="none" w:sz="0" w:space="0" w:color="auto"/>
            <w:right w:val="none" w:sz="0" w:space="0" w:color="auto"/>
          </w:divBdr>
        </w:div>
        <w:div w:id="1646473951">
          <w:marLeft w:val="1166"/>
          <w:marRight w:val="0"/>
          <w:marTop w:val="200"/>
          <w:marBottom w:val="0"/>
          <w:divBdr>
            <w:top w:val="none" w:sz="0" w:space="0" w:color="auto"/>
            <w:left w:val="none" w:sz="0" w:space="0" w:color="auto"/>
            <w:bottom w:val="none" w:sz="0" w:space="0" w:color="auto"/>
            <w:right w:val="none" w:sz="0" w:space="0" w:color="auto"/>
          </w:divBdr>
        </w:div>
        <w:div w:id="1617908587">
          <w:marLeft w:val="1166"/>
          <w:marRight w:val="0"/>
          <w:marTop w:val="200"/>
          <w:marBottom w:val="0"/>
          <w:divBdr>
            <w:top w:val="none" w:sz="0" w:space="0" w:color="auto"/>
            <w:left w:val="none" w:sz="0" w:space="0" w:color="auto"/>
            <w:bottom w:val="none" w:sz="0" w:space="0" w:color="auto"/>
            <w:right w:val="none" w:sz="0" w:space="0" w:color="auto"/>
          </w:divBdr>
        </w:div>
        <w:div w:id="430518648">
          <w:marLeft w:val="1166"/>
          <w:marRight w:val="0"/>
          <w:marTop w:val="200"/>
          <w:marBottom w:val="0"/>
          <w:divBdr>
            <w:top w:val="none" w:sz="0" w:space="0" w:color="auto"/>
            <w:left w:val="none" w:sz="0" w:space="0" w:color="auto"/>
            <w:bottom w:val="none" w:sz="0" w:space="0" w:color="auto"/>
            <w:right w:val="none" w:sz="0" w:space="0" w:color="auto"/>
          </w:divBdr>
        </w:div>
        <w:div w:id="903100868">
          <w:marLeft w:val="547"/>
          <w:marRight w:val="0"/>
          <w:marTop w:val="200"/>
          <w:marBottom w:val="0"/>
          <w:divBdr>
            <w:top w:val="none" w:sz="0" w:space="0" w:color="auto"/>
            <w:left w:val="none" w:sz="0" w:space="0" w:color="auto"/>
            <w:bottom w:val="none" w:sz="0" w:space="0" w:color="auto"/>
            <w:right w:val="none" w:sz="0" w:space="0" w:color="auto"/>
          </w:divBdr>
        </w:div>
        <w:div w:id="394201299">
          <w:marLeft w:val="547"/>
          <w:marRight w:val="0"/>
          <w:marTop w:val="200"/>
          <w:marBottom w:val="0"/>
          <w:divBdr>
            <w:top w:val="none" w:sz="0" w:space="0" w:color="auto"/>
            <w:left w:val="none" w:sz="0" w:space="0" w:color="auto"/>
            <w:bottom w:val="none" w:sz="0" w:space="0" w:color="auto"/>
            <w:right w:val="none" w:sz="0" w:space="0" w:color="auto"/>
          </w:divBdr>
        </w:div>
        <w:div w:id="34549007">
          <w:marLeft w:val="1166"/>
          <w:marRight w:val="0"/>
          <w:marTop w:val="200"/>
          <w:marBottom w:val="0"/>
          <w:divBdr>
            <w:top w:val="none" w:sz="0" w:space="0" w:color="auto"/>
            <w:left w:val="none" w:sz="0" w:space="0" w:color="auto"/>
            <w:bottom w:val="none" w:sz="0" w:space="0" w:color="auto"/>
            <w:right w:val="none" w:sz="0" w:space="0" w:color="auto"/>
          </w:divBdr>
        </w:div>
        <w:div w:id="704332809">
          <w:marLeft w:val="1166"/>
          <w:marRight w:val="0"/>
          <w:marTop w:val="200"/>
          <w:marBottom w:val="0"/>
          <w:divBdr>
            <w:top w:val="none" w:sz="0" w:space="0" w:color="auto"/>
            <w:left w:val="none" w:sz="0" w:space="0" w:color="auto"/>
            <w:bottom w:val="none" w:sz="0" w:space="0" w:color="auto"/>
            <w:right w:val="none" w:sz="0" w:space="0" w:color="auto"/>
          </w:divBdr>
        </w:div>
      </w:divsChild>
    </w:div>
    <w:div w:id="724646779">
      <w:bodyDiv w:val="1"/>
      <w:marLeft w:val="0"/>
      <w:marRight w:val="0"/>
      <w:marTop w:val="0"/>
      <w:marBottom w:val="0"/>
      <w:divBdr>
        <w:top w:val="none" w:sz="0" w:space="0" w:color="auto"/>
        <w:left w:val="none" w:sz="0" w:space="0" w:color="auto"/>
        <w:bottom w:val="none" w:sz="0" w:space="0" w:color="auto"/>
        <w:right w:val="none" w:sz="0" w:space="0" w:color="auto"/>
      </w:divBdr>
    </w:div>
    <w:div w:id="744499112">
      <w:bodyDiv w:val="1"/>
      <w:marLeft w:val="0"/>
      <w:marRight w:val="0"/>
      <w:marTop w:val="0"/>
      <w:marBottom w:val="0"/>
      <w:divBdr>
        <w:top w:val="none" w:sz="0" w:space="0" w:color="auto"/>
        <w:left w:val="none" w:sz="0" w:space="0" w:color="auto"/>
        <w:bottom w:val="none" w:sz="0" w:space="0" w:color="auto"/>
        <w:right w:val="none" w:sz="0" w:space="0" w:color="auto"/>
      </w:divBdr>
    </w:div>
    <w:div w:id="761726371">
      <w:bodyDiv w:val="1"/>
      <w:marLeft w:val="0"/>
      <w:marRight w:val="0"/>
      <w:marTop w:val="0"/>
      <w:marBottom w:val="0"/>
      <w:divBdr>
        <w:top w:val="none" w:sz="0" w:space="0" w:color="auto"/>
        <w:left w:val="none" w:sz="0" w:space="0" w:color="auto"/>
        <w:bottom w:val="none" w:sz="0" w:space="0" w:color="auto"/>
        <w:right w:val="none" w:sz="0" w:space="0" w:color="auto"/>
      </w:divBdr>
    </w:div>
    <w:div w:id="807478889">
      <w:bodyDiv w:val="1"/>
      <w:marLeft w:val="0"/>
      <w:marRight w:val="0"/>
      <w:marTop w:val="0"/>
      <w:marBottom w:val="0"/>
      <w:divBdr>
        <w:top w:val="none" w:sz="0" w:space="0" w:color="auto"/>
        <w:left w:val="none" w:sz="0" w:space="0" w:color="auto"/>
        <w:bottom w:val="none" w:sz="0" w:space="0" w:color="auto"/>
        <w:right w:val="none" w:sz="0" w:space="0" w:color="auto"/>
      </w:divBdr>
    </w:div>
    <w:div w:id="866330613">
      <w:bodyDiv w:val="1"/>
      <w:marLeft w:val="0"/>
      <w:marRight w:val="0"/>
      <w:marTop w:val="0"/>
      <w:marBottom w:val="0"/>
      <w:divBdr>
        <w:top w:val="none" w:sz="0" w:space="0" w:color="auto"/>
        <w:left w:val="none" w:sz="0" w:space="0" w:color="auto"/>
        <w:bottom w:val="none" w:sz="0" w:space="0" w:color="auto"/>
        <w:right w:val="none" w:sz="0" w:space="0" w:color="auto"/>
      </w:divBdr>
    </w:div>
    <w:div w:id="876549347">
      <w:bodyDiv w:val="1"/>
      <w:marLeft w:val="0"/>
      <w:marRight w:val="0"/>
      <w:marTop w:val="0"/>
      <w:marBottom w:val="0"/>
      <w:divBdr>
        <w:top w:val="none" w:sz="0" w:space="0" w:color="auto"/>
        <w:left w:val="none" w:sz="0" w:space="0" w:color="auto"/>
        <w:bottom w:val="none" w:sz="0" w:space="0" w:color="auto"/>
        <w:right w:val="none" w:sz="0" w:space="0" w:color="auto"/>
      </w:divBdr>
      <w:divsChild>
        <w:div w:id="2062628329">
          <w:marLeft w:val="547"/>
          <w:marRight w:val="0"/>
          <w:marTop w:val="200"/>
          <w:marBottom w:val="0"/>
          <w:divBdr>
            <w:top w:val="none" w:sz="0" w:space="0" w:color="auto"/>
            <w:left w:val="none" w:sz="0" w:space="0" w:color="auto"/>
            <w:bottom w:val="none" w:sz="0" w:space="0" w:color="auto"/>
            <w:right w:val="none" w:sz="0" w:space="0" w:color="auto"/>
          </w:divBdr>
        </w:div>
        <w:div w:id="1116098585">
          <w:marLeft w:val="1166"/>
          <w:marRight w:val="0"/>
          <w:marTop w:val="200"/>
          <w:marBottom w:val="0"/>
          <w:divBdr>
            <w:top w:val="none" w:sz="0" w:space="0" w:color="auto"/>
            <w:left w:val="none" w:sz="0" w:space="0" w:color="auto"/>
            <w:bottom w:val="none" w:sz="0" w:space="0" w:color="auto"/>
            <w:right w:val="none" w:sz="0" w:space="0" w:color="auto"/>
          </w:divBdr>
        </w:div>
        <w:div w:id="1904681925">
          <w:marLeft w:val="1166"/>
          <w:marRight w:val="0"/>
          <w:marTop w:val="200"/>
          <w:marBottom w:val="0"/>
          <w:divBdr>
            <w:top w:val="none" w:sz="0" w:space="0" w:color="auto"/>
            <w:left w:val="none" w:sz="0" w:space="0" w:color="auto"/>
            <w:bottom w:val="none" w:sz="0" w:space="0" w:color="auto"/>
            <w:right w:val="none" w:sz="0" w:space="0" w:color="auto"/>
          </w:divBdr>
        </w:div>
        <w:div w:id="711267732">
          <w:marLeft w:val="547"/>
          <w:marRight w:val="0"/>
          <w:marTop w:val="200"/>
          <w:marBottom w:val="0"/>
          <w:divBdr>
            <w:top w:val="none" w:sz="0" w:space="0" w:color="auto"/>
            <w:left w:val="none" w:sz="0" w:space="0" w:color="auto"/>
            <w:bottom w:val="none" w:sz="0" w:space="0" w:color="auto"/>
            <w:right w:val="none" w:sz="0" w:space="0" w:color="auto"/>
          </w:divBdr>
        </w:div>
        <w:div w:id="1957828905">
          <w:marLeft w:val="547"/>
          <w:marRight w:val="0"/>
          <w:marTop w:val="200"/>
          <w:marBottom w:val="0"/>
          <w:divBdr>
            <w:top w:val="none" w:sz="0" w:space="0" w:color="auto"/>
            <w:left w:val="none" w:sz="0" w:space="0" w:color="auto"/>
            <w:bottom w:val="none" w:sz="0" w:space="0" w:color="auto"/>
            <w:right w:val="none" w:sz="0" w:space="0" w:color="auto"/>
          </w:divBdr>
        </w:div>
        <w:div w:id="2046053722">
          <w:marLeft w:val="547"/>
          <w:marRight w:val="0"/>
          <w:marTop w:val="200"/>
          <w:marBottom w:val="0"/>
          <w:divBdr>
            <w:top w:val="none" w:sz="0" w:space="0" w:color="auto"/>
            <w:left w:val="none" w:sz="0" w:space="0" w:color="auto"/>
            <w:bottom w:val="none" w:sz="0" w:space="0" w:color="auto"/>
            <w:right w:val="none" w:sz="0" w:space="0" w:color="auto"/>
          </w:divBdr>
        </w:div>
        <w:div w:id="848833949">
          <w:marLeft w:val="1166"/>
          <w:marRight w:val="0"/>
          <w:marTop w:val="200"/>
          <w:marBottom w:val="0"/>
          <w:divBdr>
            <w:top w:val="none" w:sz="0" w:space="0" w:color="auto"/>
            <w:left w:val="none" w:sz="0" w:space="0" w:color="auto"/>
            <w:bottom w:val="none" w:sz="0" w:space="0" w:color="auto"/>
            <w:right w:val="none" w:sz="0" w:space="0" w:color="auto"/>
          </w:divBdr>
        </w:div>
        <w:div w:id="2061516597">
          <w:marLeft w:val="1166"/>
          <w:marRight w:val="0"/>
          <w:marTop w:val="200"/>
          <w:marBottom w:val="0"/>
          <w:divBdr>
            <w:top w:val="none" w:sz="0" w:space="0" w:color="auto"/>
            <w:left w:val="none" w:sz="0" w:space="0" w:color="auto"/>
            <w:bottom w:val="none" w:sz="0" w:space="0" w:color="auto"/>
            <w:right w:val="none" w:sz="0" w:space="0" w:color="auto"/>
          </w:divBdr>
        </w:div>
        <w:div w:id="1125196121">
          <w:marLeft w:val="547"/>
          <w:marRight w:val="0"/>
          <w:marTop w:val="200"/>
          <w:marBottom w:val="0"/>
          <w:divBdr>
            <w:top w:val="none" w:sz="0" w:space="0" w:color="auto"/>
            <w:left w:val="none" w:sz="0" w:space="0" w:color="auto"/>
            <w:bottom w:val="none" w:sz="0" w:space="0" w:color="auto"/>
            <w:right w:val="none" w:sz="0" w:space="0" w:color="auto"/>
          </w:divBdr>
        </w:div>
        <w:div w:id="429393244">
          <w:marLeft w:val="547"/>
          <w:marRight w:val="0"/>
          <w:marTop w:val="200"/>
          <w:marBottom w:val="0"/>
          <w:divBdr>
            <w:top w:val="none" w:sz="0" w:space="0" w:color="auto"/>
            <w:left w:val="none" w:sz="0" w:space="0" w:color="auto"/>
            <w:bottom w:val="none" w:sz="0" w:space="0" w:color="auto"/>
            <w:right w:val="none" w:sz="0" w:space="0" w:color="auto"/>
          </w:divBdr>
        </w:div>
        <w:div w:id="1028679715">
          <w:marLeft w:val="547"/>
          <w:marRight w:val="0"/>
          <w:marTop w:val="200"/>
          <w:marBottom w:val="0"/>
          <w:divBdr>
            <w:top w:val="none" w:sz="0" w:space="0" w:color="auto"/>
            <w:left w:val="none" w:sz="0" w:space="0" w:color="auto"/>
            <w:bottom w:val="none" w:sz="0" w:space="0" w:color="auto"/>
            <w:right w:val="none" w:sz="0" w:space="0" w:color="auto"/>
          </w:divBdr>
        </w:div>
      </w:divsChild>
    </w:div>
    <w:div w:id="894853647">
      <w:bodyDiv w:val="1"/>
      <w:marLeft w:val="0"/>
      <w:marRight w:val="0"/>
      <w:marTop w:val="0"/>
      <w:marBottom w:val="0"/>
      <w:divBdr>
        <w:top w:val="none" w:sz="0" w:space="0" w:color="auto"/>
        <w:left w:val="none" w:sz="0" w:space="0" w:color="auto"/>
        <w:bottom w:val="none" w:sz="0" w:space="0" w:color="auto"/>
        <w:right w:val="none" w:sz="0" w:space="0" w:color="auto"/>
      </w:divBdr>
      <w:divsChild>
        <w:div w:id="195701105">
          <w:marLeft w:val="547"/>
          <w:marRight w:val="0"/>
          <w:marTop w:val="200"/>
          <w:marBottom w:val="0"/>
          <w:divBdr>
            <w:top w:val="none" w:sz="0" w:space="0" w:color="auto"/>
            <w:left w:val="none" w:sz="0" w:space="0" w:color="auto"/>
            <w:bottom w:val="none" w:sz="0" w:space="0" w:color="auto"/>
            <w:right w:val="none" w:sz="0" w:space="0" w:color="auto"/>
          </w:divBdr>
        </w:div>
        <w:div w:id="2093623276">
          <w:marLeft w:val="547"/>
          <w:marRight w:val="0"/>
          <w:marTop w:val="200"/>
          <w:marBottom w:val="0"/>
          <w:divBdr>
            <w:top w:val="none" w:sz="0" w:space="0" w:color="auto"/>
            <w:left w:val="none" w:sz="0" w:space="0" w:color="auto"/>
            <w:bottom w:val="none" w:sz="0" w:space="0" w:color="auto"/>
            <w:right w:val="none" w:sz="0" w:space="0" w:color="auto"/>
          </w:divBdr>
        </w:div>
        <w:div w:id="1519658908">
          <w:marLeft w:val="547"/>
          <w:marRight w:val="0"/>
          <w:marTop w:val="200"/>
          <w:marBottom w:val="0"/>
          <w:divBdr>
            <w:top w:val="none" w:sz="0" w:space="0" w:color="auto"/>
            <w:left w:val="none" w:sz="0" w:space="0" w:color="auto"/>
            <w:bottom w:val="none" w:sz="0" w:space="0" w:color="auto"/>
            <w:right w:val="none" w:sz="0" w:space="0" w:color="auto"/>
          </w:divBdr>
        </w:div>
        <w:div w:id="277565620">
          <w:marLeft w:val="547"/>
          <w:marRight w:val="0"/>
          <w:marTop w:val="200"/>
          <w:marBottom w:val="0"/>
          <w:divBdr>
            <w:top w:val="none" w:sz="0" w:space="0" w:color="auto"/>
            <w:left w:val="none" w:sz="0" w:space="0" w:color="auto"/>
            <w:bottom w:val="none" w:sz="0" w:space="0" w:color="auto"/>
            <w:right w:val="none" w:sz="0" w:space="0" w:color="auto"/>
          </w:divBdr>
        </w:div>
      </w:divsChild>
    </w:div>
    <w:div w:id="895697866">
      <w:bodyDiv w:val="1"/>
      <w:marLeft w:val="0"/>
      <w:marRight w:val="0"/>
      <w:marTop w:val="0"/>
      <w:marBottom w:val="0"/>
      <w:divBdr>
        <w:top w:val="none" w:sz="0" w:space="0" w:color="auto"/>
        <w:left w:val="none" w:sz="0" w:space="0" w:color="auto"/>
        <w:bottom w:val="none" w:sz="0" w:space="0" w:color="auto"/>
        <w:right w:val="none" w:sz="0" w:space="0" w:color="auto"/>
      </w:divBdr>
      <w:divsChild>
        <w:div w:id="108597579">
          <w:marLeft w:val="547"/>
          <w:marRight w:val="0"/>
          <w:marTop w:val="200"/>
          <w:marBottom w:val="0"/>
          <w:divBdr>
            <w:top w:val="none" w:sz="0" w:space="0" w:color="auto"/>
            <w:left w:val="none" w:sz="0" w:space="0" w:color="auto"/>
            <w:bottom w:val="none" w:sz="0" w:space="0" w:color="auto"/>
            <w:right w:val="none" w:sz="0" w:space="0" w:color="auto"/>
          </w:divBdr>
        </w:div>
        <w:div w:id="1388919473">
          <w:marLeft w:val="547"/>
          <w:marRight w:val="0"/>
          <w:marTop w:val="200"/>
          <w:marBottom w:val="0"/>
          <w:divBdr>
            <w:top w:val="none" w:sz="0" w:space="0" w:color="auto"/>
            <w:left w:val="none" w:sz="0" w:space="0" w:color="auto"/>
            <w:bottom w:val="none" w:sz="0" w:space="0" w:color="auto"/>
            <w:right w:val="none" w:sz="0" w:space="0" w:color="auto"/>
          </w:divBdr>
        </w:div>
        <w:div w:id="855389659">
          <w:marLeft w:val="1166"/>
          <w:marRight w:val="0"/>
          <w:marTop w:val="200"/>
          <w:marBottom w:val="0"/>
          <w:divBdr>
            <w:top w:val="none" w:sz="0" w:space="0" w:color="auto"/>
            <w:left w:val="none" w:sz="0" w:space="0" w:color="auto"/>
            <w:bottom w:val="none" w:sz="0" w:space="0" w:color="auto"/>
            <w:right w:val="none" w:sz="0" w:space="0" w:color="auto"/>
          </w:divBdr>
        </w:div>
        <w:div w:id="702248174">
          <w:marLeft w:val="1166"/>
          <w:marRight w:val="0"/>
          <w:marTop w:val="200"/>
          <w:marBottom w:val="0"/>
          <w:divBdr>
            <w:top w:val="none" w:sz="0" w:space="0" w:color="auto"/>
            <w:left w:val="none" w:sz="0" w:space="0" w:color="auto"/>
            <w:bottom w:val="none" w:sz="0" w:space="0" w:color="auto"/>
            <w:right w:val="none" w:sz="0" w:space="0" w:color="auto"/>
          </w:divBdr>
        </w:div>
        <w:div w:id="1110710543">
          <w:marLeft w:val="1166"/>
          <w:marRight w:val="0"/>
          <w:marTop w:val="200"/>
          <w:marBottom w:val="0"/>
          <w:divBdr>
            <w:top w:val="none" w:sz="0" w:space="0" w:color="auto"/>
            <w:left w:val="none" w:sz="0" w:space="0" w:color="auto"/>
            <w:bottom w:val="none" w:sz="0" w:space="0" w:color="auto"/>
            <w:right w:val="none" w:sz="0" w:space="0" w:color="auto"/>
          </w:divBdr>
        </w:div>
        <w:div w:id="2088651725">
          <w:marLeft w:val="1166"/>
          <w:marRight w:val="0"/>
          <w:marTop w:val="200"/>
          <w:marBottom w:val="0"/>
          <w:divBdr>
            <w:top w:val="none" w:sz="0" w:space="0" w:color="auto"/>
            <w:left w:val="none" w:sz="0" w:space="0" w:color="auto"/>
            <w:bottom w:val="none" w:sz="0" w:space="0" w:color="auto"/>
            <w:right w:val="none" w:sz="0" w:space="0" w:color="auto"/>
          </w:divBdr>
        </w:div>
        <w:div w:id="75249091">
          <w:marLeft w:val="1166"/>
          <w:marRight w:val="0"/>
          <w:marTop w:val="200"/>
          <w:marBottom w:val="0"/>
          <w:divBdr>
            <w:top w:val="none" w:sz="0" w:space="0" w:color="auto"/>
            <w:left w:val="none" w:sz="0" w:space="0" w:color="auto"/>
            <w:bottom w:val="none" w:sz="0" w:space="0" w:color="auto"/>
            <w:right w:val="none" w:sz="0" w:space="0" w:color="auto"/>
          </w:divBdr>
        </w:div>
        <w:div w:id="211354505">
          <w:marLeft w:val="1166"/>
          <w:marRight w:val="0"/>
          <w:marTop w:val="200"/>
          <w:marBottom w:val="0"/>
          <w:divBdr>
            <w:top w:val="none" w:sz="0" w:space="0" w:color="auto"/>
            <w:left w:val="none" w:sz="0" w:space="0" w:color="auto"/>
            <w:bottom w:val="none" w:sz="0" w:space="0" w:color="auto"/>
            <w:right w:val="none" w:sz="0" w:space="0" w:color="auto"/>
          </w:divBdr>
        </w:div>
      </w:divsChild>
    </w:div>
    <w:div w:id="905801800">
      <w:bodyDiv w:val="1"/>
      <w:marLeft w:val="0"/>
      <w:marRight w:val="0"/>
      <w:marTop w:val="0"/>
      <w:marBottom w:val="0"/>
      <w:divBdr>
        <w:top w:val="none" w:sz="0" w:space="0" w:color="auto"/>
        <w:left w:val="none" w:sz="0" w:space="0" w:color="auto"/>
        <w:bottom w:val="none" w:sz="0" w:space="0" w:color="auto"/>
        <w:right w:val="none" w:sz="0" w:space="0" w:color="auto"/>
      </w:divBdr>
    </w:div>
    <w:div w:id="928074609">
      <w:bodyDiv w:val="1"/>
      <w:marLeft w:val="0"/>
      <w:marRight w:val="0"/>
      <w:marTop w:val="0"/>
      <w:marBottom w:val="0"/>
      <w:divBdr>
        <w:top w:val="none" w:sz="0" w:space="0" w:color="auto"/>
        <w:left w:val="none" w:sz="0" w:space="0" w:color="auto"/>
        <w:bottom w:val="none" w:sz="0" w:space="0" w:color="auto"/>
        <w:right w:val="none" w:sz="0" w:space="0" w:color="auto"/>
      </w:divBdr>
    </w:div>
    <w:div w:id="956641707">
      <w:bodyDiv w:val="1"/>
      <w:marLeft w:val="0"/>
      <w:marRight w:val="0"/>
      <w:marTop w:val="0"/>
      <w:marBottom w:val="0"/>
      <w:divBdr>
        <w:top w:val="none" w:sz="0" w:space="0" w:color="auto"/>
        <w:left w:val="none" w:sz="0" w:space="0" w:color="auto"/>
        <w:bottom w:val="none" w:sz="0" w:space="0" w:color="auto"/>
        <w:right w:val="none" w:sz="0" w:space="0" w:color="auto"/>
      </w:divBdr>
      <w:divsChild>
        <w:div w:id="269438136">
          <w:marLeft w:val="547"/>
          <w:marRight w:val="0"/>
          <w:marTop w:val="200"/>
          <w:marBottom w:val="0"/>
          <w:divBdr>
            <w:top w:val="none" w:sz="0" w:space="0" w:color="auto"/>
            <w:left w:val="none" w:sz="0" w:space="0" w:color="auto"/>
            <w:bottom w:val="none" w:sz="0" w:space="0" w:color="auto"/>
            <w:right w:val="none" w:sz="0" w:space="0" w:color="auto"/>
          </w:divBdr>
        </w:div>
        <w:div w:id="342511331">
          <w:marLeft w:val="1166"/>
          <w:marRight w:val="0"/>
          <w:marTop w:val="200"/>
          <w:marBottom w:val="0"/>
          <w:divBdr>
            <w:top w:val="none" w:sz="0" w:space="0" w:color="auto"/>
            <w:left w:val="none" w:sz="0" w:space="0" w:color="auto"/>
            <w:bottom w:val="none" w:sz="0" w:space="0" w:color="auto"/>
            <w:right w:val="none" w:sz="0" w:space="0" w:color="auto"/>
          </w:divBdr>
        </w:div>
        <w:div w:id="1626765379">
          <w:marLeft w:val="1166"/>
          <w:marRight w:val="0"/>
          <w:marTop w:val="200"/>
          <w:marBottom w:val="0"/>
          <w:divBdr>
            <w:top w:val="none" w:sz="0" w:space="0" w:color="auto"/>
            <w:left w:val="none" w:sz="0" w:space="0" w:color="auto"/>
            <w:bottom w:val="none" w:sz="0" w:space="0" w:color="auto"/>
            <w:right w:val="none" w:sz="0" w:space="0" w:color="auto"/>
          </w:divBdr>
        </w:div>
        <w:div w:id="93285784">
          <w:marLeft w:val="1166"/>
          <w:marRight w:val="0"/>
          <w:marTop w:val="200"/>
          <w:marBottom w:val="0"/>
          <w:divBdr>
            <w:top w:val="none" w:sz="0" w:space="0" w:color="auto"/>
            <w:left w:val="none" w:sz="0" w:space="0" w:color="auto"/>
            <w:bottom w:val="none" w:sz="0" w:space="0" w:color="auto"/>
            <w:right w:val="none" w:sz="0" w:space="0" w:color="auto"/>
          </w:divBdr>
        </w:div>
        <w:div w:id="1385448106">
          <w:marLeft w:val="547"/>
          <w:marRight w:val="0"/>
          <w:marTop w:val="200"/>
          <w:marBottom w:val="0"/>
          <w:divBdr>
            <w:top w:val="none" w:sz="0" w:space="0" w:color="auto"/>
            <w:left w:val="none" w:sz="0" w:space="0" w:color="auto"/>
            <w:bottom w:val="none" w:sz="0" w:space="0" w:color="auto"/>
            <w:right w:val="none" w:sz="0" w:space="0" w:color="auto"/>
          </w:divBdr>
        </w:div>
        <w:div w:id="2062971909">
          <w:marLeft w:val="1166"/>
          <w:marRight w:val="0"/>
          <w:marTop w:val="200"/>
          <w:marBottom w:val="0"/>
          <w:divBdr>
            <w:top w:val="none" w:sz="0" w:space="0" w:color="auto"/>
            <w:left w:val="none" w:sz="0" w:space="0" w:color="auto"/>
            <w:bottom w:val="none" w:sz="0" w:space="0" w:color="auto"/>
            <w:right w:val="none" w:sz="0" w:space="0" w:color="auto"/>
          </w:divBdr>
        </w:div>
        <w:div w:id="2127889777">
          <w:marLeft w:val="1166"/>
          <w:marRight w:val="0"/>
          <w:marTop w:val="200"/>
          <w:marBottom w:val="0"/>
          <w:divBdr>
            <w:top w:val="none" w:sz="0" w:space="0" w:color="auto"/>
            <w:left w:val="none" w:sz="0" w:space="0" w:color="auto"/>
            <w:bottom w:val="none" w:sz="0" w:space="0" w:color="auto"/>
            <w:right w:val="none" w:sz="0" w:space="0" w:color="auto"/>
          </w:divBdr>
        </w:div>
        <w:div w:id="1851217685">
          <w:marLeft w:val="1166"/>
          <w:marRight w:val="0"/>
          <w:marTop w:val="200"/>
          <w:marBottom w:val="0"/>
          <w:divBdr>
            <w:top w:val="none" w:sz="0" w:space="0" w:color="auto"/>
            <w:left w:val="none" w:sz="0" w:space="0" w:color="auto"/>
            <w:bottom w:val="none" w:sz="0" w:space="0" w:color="auto"/>
            <w:right w:val="none" w:sz="0" w:space="0" w:color="auto"/>
          </w:divBdr>
        </w:div>
        <w:div w:id="299307814">
          <w:marLeft w:val="1166"/>
          <w:marRight w:val="0"/>
          <w:marTop w:val="200"/>
          <w:marBottom w:val="0"/>
          <w:divBdr>
            <w:top w:val="none" w:sz="0" w:space="0" w:color="auto"/>
            <w:left w:val="none" w:sz="0" w:space="0" w:color="auto"/>
            <w:bottom w:val="none" w:sz="0" w:space="0" w:color="auto"/>
            <w:right w:val="none" w:sz="0" w:space="0" w:color="auto"/>
          </w:divBdr>
        </w:div>
        <w:div w:id="1555239627">
          <w:marLeft w:val="547"/>
          <w:marRight w:val="0"/>
          <w:marTop w:val="200"/>
          <w:marBottom w:val="0"/>
          <w:divBdr>
            <w:top w:val="none" w:sz="0" w:space="0" w:color="auto"/>
            <w:left w:val="none" w:sz="0" w:space="0" w:color="auto"/>
            <w:bottom w:val="none" w:sz="0" w:space="0" w:color="auto"/>
            <w:right w:val="none" w:sz="0" w:space="0" w:color="auto"/>
          </w:divBdr>
        </w:div>
        <w:div w:id="117451376">
          <w:marLeft w:val="1166"/>
          <w:marRight w:val="0"/>
          <w:marTop w:val="200"/>
          <w:marBottom w:val="0"/>
          <w:divBdr>
            <w:top w:val="none" w:sz="0" w:space="0" w:color="auto"/>
            <w:left w:val="none" w:sz="0" w:space="0" w:color="auto"/>
            <w:bottom w:val="none" w:sz="0" w:space="0" w:color="auto"/>
            <w:right w:val="none" w:sz="0" w:space="0" w:color="auto"/>
          </w:divBdr>
        </w:div>
        <w:div w:id="317923669">
          <w:marLeft w:val="1166"/>
          <w:marRight w:val="0"/>
          <w:marTop w:val="200"/>
          <w:marBottom w:val="0"/>
          <w:divBdr>
            <w:top w:val="none" w:sz="0" w:space="0" w:color="auto"/>
            <w:left w:val="none" w:sz="0" w:space="0" w:color="auto"/>
            <w:bottom w:val="none" w:sz="0" w:space="0" w:color="auto"/>
            <w:right w:val="none" w:sz="0" w:space="0" w:color="auto"/>
          </w:divBdr>
        </w:div>
      </w:divsChild>
    </w:div>
    <w:div w:id="1014651755">
      <w:bodyDiv w:val="1"/>
      <w:marLeft w:val="0"/>
      <w:marRight w:val="0"/>
      <w:marTop w:val="0"/>
      <w:marBottom w:val="0"/>
      <w:divBdr>
        <w:top w:val="none" w:sz="0" w:space="0" w:color="auto"/>
        <w:left w:val="none" w:sz="0" w:space="0" w:color="auto"/>
        <w:bottom w:val="none" w:sz="0" w:space="0" w:color="auto"/>
        <w:right w:val="none" w:sz="0" w:space="0" w:color="auto"/>
      </w:divBdr>
    </w:div>
    <w:div w:id="1028724758">
      <w:bodyDiv w:val="1"/>
      <w:marLeft w:val="0"/>
      <w:marRight w:val="0"/>
      <w:marTop w:val="0"/>
      <w:marBottom w:val="0"/>
      <w:divBdr>
        <w:top w:val="none" w:sz="0" w:space="0" w:color="auto"/>
        <w:left w:val="none" w:sz="0" w:space="0" w:color="auto"/>
        <w:bottom w:val="none" w:sz="0" w:space="0" w:color="auto"/>
        <w:right w:val="none" w:sz="0" w:space="0" w:color="auto"/>
      </w:divBdr>
    </w:div>
    <w:div w:id="1036806559">
      <w:bodyDiv w:val="1"/>
      <w:marLeft w:val="0"/>
      <w:marRight w:val="0"/>
      <w:marTop w:val="0"/>
      <w:marBottom w:val="0"/>
      <w:divBdr>
        <w:top w:val="none" w:sz="0" w:space="0" w:color="auto"/>
        <w:left w:val="none" w:sz="0" w:space="0" w:color="auto"/>
        <w:bottom w:val="none" w:sz="0" w:space="0" w:color="auto"/>
        <w:right w:val="none" w:sz="0" w:space="0" w:color="auto"/>
      </w:divBdr>
    </w:div>
    <w:div w:id="1060396998">
      <w:bodyDiv w:val="1"/>
      <w:marLeft w:val="0"/>
      <w:marRight w:val="0"/>
      <w:marTop w:val="0"/>
      <w:marBottom w:val="0"/>
      <w:divBdr>
        <w:top w:val="none" w:sz="0" w:space="0" w:color="auto"/>
        <w:left w:val="none" w:sz="0" w:space="0" w:color="auto"/>
        <w:bottom w:val="none" w:sz="0" w:space="0" w:color="auto"/>
        <w:right w:val="none" w:sz="0" w:space="0" w:color="auto"/>
      </w:divBdr>
      <w:divsChild>
        <w:div w:id="1617716612">
          <w:marLeft w:val="547"/>
          <w:marRight w:val="0"/>
          <w:marTop w:val="200"/>
          <w:marBottom w:val="0"/>
          <w:divBdr>
            <w:top w:val="none" w:sz="0" w:space="0" w:color="auto"/>
            <w:left w:val="none" w:sz="0" w:space="0" w:color="auto"/>
            <w:bottom w:val="none" w:sz="0" w:space="0" w:color="auto"/>
            <w:right w:val="none" w:sz="0" w:space="0" w:color="auto"/>
          </w:divBdr>
        </w:div>
        <w:div w:id="1519540221">
          <w:marLeft w:val="547"/>
          <w:marRight w:val="0"/>
          <w:marTop w:val="200"/>
          <w:marBottom w:val="0"/>
          <w:divBdr>
            <w:top w:val="none" w:sz="0" w:space="0" w:color="auto"/>
            <w:left w:val="none" w:sz="0" w:space="0" w:color="auto"/>
            <w:bottom w:val="none" w:sz="0" w:space="0" w:color="auto"/>
            <w:right w:val="none" w:sz="0" w:space="0" w:color="auto"/>
          </w:divBdr>
        </w:div>
        <w:div w:id="915020381">
          <w:marLeft w:val="547"/>
          <w:marRight w:val="0"/>
          <w:marTop w:val="200"/>
          <w:marBottom w:val="0"/>
          <w:divBdr>
            <w:top w:val="none" w:sz="0" w:space="0" w:color="auto"/>
            <w:left w:val="none" w:sz="0" w:space="0" w:color="auto"/>
            <w:bottom w:val="none" w:sz="0" w:space="0" w:color="auto"/>
            <w:right w:val="none" w:sz="0" w:space="0" w:color="auto"/>
          </w:divBdr>
        </w:div>
        <w:div w:id="1036585482">
          <w:marLeft w:val="547"/>
          <w:marRight w:val="0"/>
          <w:marTop w:val="200"/>
          <w:marBottom w:val="0"/>
          <w:divBdr>
            <w:top w:val="none" w:sz="0" w:space="0" w:color="auto"/>
            <w:left w:val="none" w:sz="0" w:space="0" w:color="auto"/>
            <w:bottom w:val="none" w:sz="0" w:space="0" w:color="auto"/>
            <w:right w:val="none" w:sz="0" w:space="0" w:color="auto"/>
          </w:divBdr>
        </w:div>
      </w:divsChild>
    </w:div>
    <w:div w:id="1090346318">
      <w:bodyDiv w:val="1"/>
      <w:marLeft w:val="0"/>
      <w:marRight w:val="0"/>
      <w:marTop w:val="0"/>
      <w:marBottom w:val="0"/>
      <w:divBdr>
        <w:top w:val="none" w:sz="0" w:space="0" w:color="auto"/>
        <w:left w:val="none" w:sz="0" w:space="0" w:color="auto"/>
        <w:bottom w:val="none" w:sz="0" w:space="0" w:color="auto"/>
        <w:right w:val="none" w:sz="0" w:space="0" w:color="auto"/>
      </w:divBdr>
      <w:divsChild>
        <w:div w:id="1821724878">
          <w:marLeft w:val="547"/>
          <w:marRight w:val="0"/>
          <w:marTop w:val="200"/>
          <w:marBottom w:val="0"/>
          <w:divBdr>
            <w:top w:val="none" w:sz="0" w:space="0" w:color="auto"/>
            <w:left w:val="none" w:sz="0" w:space="0" w:color="auto"/>
            <w:bottom w:val="none" w:sz="0" w:space="0" w:color="auto"/>
            <w:right w:val="none" w:sz="0" w:space="0" w:color="auto"/>
          </w:divBdr>
        </w:div>
        <w:div w:id="1419327451">
          <w:marLeft w:val="1166"/>
          <w:marRight w:val="0"/>
          <w:marTop w:val="200"/>
          <w:marBottom w:val="0"/>
          <w:divBdr>
            <w:top w:val="none" w:sz="0" w:space="0" w:color="auto"/>
            <w:left w:val="none" w:sz="0" w:space="0" w:color="auto"/>
            <w:bottom w:val="none" w:sz="0" w:space="0" w:color="auto"/>
            <w:right w:val="none" w:sz="0" w:space="0" w:color="auto"/>
          </w:divBdr>
        </w:div>
        <w:div w:id="992218771">
          <w:marLeft w:val="1166"/>
          <w:marRight w:val="0"/>
          <w:marTop w:val="200"/>
          <w:marBottom w:val="0"/>
          <w:divBdr>
            <w:top w:val="none" w:sz="0" w:space="0" w:color="auto"/>
            <w:left w:val="none" w:sz="0" w:space="0" w:color="auto"/>
            <w:bottom w:val="none" w:sz="0" w:space="0" w:color="auto"/>
            <w:right w:val="none" w:sz="0" w:space="0" w:color="auto"/>
          </w:divBdr>
        </w:div>
        <w:div w:id="1341086235">
          <w:marLeft w:val="547"/>
          <w:marRight w:val="0"/>
          <w:marTop w:val="200"/>
          <w:marBottom w:val="0"/>
          <w:divBdr>
            <w:top w:val="none" w:sz="0" w:space="0" w:color="auto"/>
            <w:left w:val="none" w:sz="0" w:space="0" w:color="auto"/>
            <w:bottom w:val="none" w:sz="0" w:space="0" w:color="auto"/>
            <w:right w:val="none" w:sz="0" w:space="0" w:color="auto"/>
          </w:divBdr>
        </w:div>
        <w:div w:id="1665282874">
          <w:marLeft w:val="1166"/>
          <w:marRight w:val="0"/>
          <w:marTop w:val="200"/>
          <w:marBottom w:val="0"/>
          <w:divBdr>
            <w:top w:val="none" w:sz="0" w:space="0" w:color="auto"/>
            <w:left w:val="none" w:sz="0" w:space="0" w:color="auto"/>
            <w:bottom w:val="none" w:sz="0" w:space="0" w:color="auto"/>
            <w:right w:val="none" w:sz="0" w:space="0" w:color="auto"/>
          </w:divBdr>
        </w:div>
        <w:div w:id="2000578947">
          <w:marLeft w:val="1166"/>
          <w:marRight w:val="0"/>
          <w:marTop w:val="200"/>
          <w:marBottom w:val="0"/>
          <w:divBdr>
            <w:top w:val="none" w:sz="0" w:space="0" w:color="auto"/>
            <w:left w:val="none" w:sz="0" w:space="0" w:color="auto"/>
            <w:bottom w:val="none" w:sz="0" w:space="0" w:color="auto"/>
            <w:right w:val="none" w:sz="0" w:space="0" w:color="auto"/>
          </w:divBdr>
        </w:div>
        <w:div w:id="919829365">
          <w:marLeft w:val="547"/>
          <w:marRight w:val="0"/>
          <w:marTop w:val="200"/>
          <w:marBottom w:val="0"/>
          <w:divBdr>
            <w:top w:val="none" w:sz="0" w:space="0" w:color="auto"/>
            <w:left w:val="none" w:sz="0" w:space="0" w:color="auto"/>
            <w:bottom w:val="none" w:sz="0" w:space="0" w:color="auto"/>
            <w:right w:val="none" w:sz="0" w:space="0" w:color="auto"/>
          </w:divBdr>
        </w:div>
        <w:div w:id="1596861553">
          <w:marLeft w:val="1166"/>
          <w:marRight w:val="0"/>
          <w:marTop w:val="200"/>
          <w:marBottom w:val="0"/>
          <w:divBdr>
            <w:top w:val="none" w:sz="0" w:space="0" w:color="auto"/>
            <w:left w:val="none" w:sz="0" w:space="0" w:color="auto"/>
            <w:bottom w:val="none" w:sz="0" w:space="0" w:color="auto"/>
            <w:right w:val="none" w:sz="0" w:space="0" w:color="auto"/>
          </w:divBdr>
        </w:div>
        <w:div w:id="161824031">
          <w:marLeft w:val="1166"/>
          <w:marRight w:val="0"/>
          <w:marTop w:val="200"/>
          <w:marBottom w:val="0"/>
          <w:divBdr>
            <w:top w:val="none" w:sz="0" w:space="0" w:color="auto"/>
            <w:left w:val="none" w:sz="0" w:space="0" w:color="auto"/>
            <w:bottom w:val="none" w:sz="0" w:space="0" w:color="auto"/>
            <w:right w:val="none" w:sz="0" w:space="0" w:color="auto"/>
          </w:divBdr>
        </w:div>
        <w:div w:id="1500579553">
          <w:marLeft w:val="1166"/>
          <w:marRight w:val="0"/>
          <w:marTop w:val="200"/>
          <w:marBottom w:val="0"/>
          <w:divBdr>
            <w:top w:val="none" w:sz="0" w:space="0" w:color="auto"/>
            <w:left w:val="none" w:sz="0" w:space="0" w:color="auto"/>
            <w:bottom w:val="none" w:sz="0" w:space="0" w:color="auto"/>
            <w:right w:val="none" w:sz="0" w:space="0" w:color="auto"/>
          </w:divBdr>
        </w:div>
        <w:div w:id="45760351">
          <w:marLeft w:val="1166"/>
          <w:marRight w:val="0"/>
          <w:marTop w:val="200"/>
          <w:marBottom w:val="0"/>
          <w:divBdr>
            <w:top w:val="none" w:sz="0" w:space="0" w:color="auto"/>
            <w:left w:val="none" w:sz="0" w:space="0" w:color="auto"/>
            <w:bottom w:val="none" w:sz="0" w:space="0" w:color="auto"/>
            <w:right w:val="none" w:sz="0" w:space="0" w:color="auto"/>
          </w:divBdr>
        </w:div>
      </w:divsChild>
    </w:div>
    <w:div w:id="1098022462">
      <w:bodyDiv w:val="1"/>
      <w:marLeft w:val="0"/>
      <w:marRight w:val="0"/>
      <w:marTop w:val="0"/>
      <w:marBottom w:val="0"/>
      <w:divBdr>
        <w:top w:val="none" w:sz="0" w:space="0" w:color="auto"/>
        <w:left w:val="none" w:sz="0" w:space="0" w:color="auto"/>
        <w:bottom w:val="none" w:sz="0" w:space="0" w:color="auto"/>
        <w:right w:val="none" w:sz="0" w:space="0" w:color="auto"/>
      </w:divBdr>
    </w:div>
    <w:div w:id="1101098152">
      <w:bodyDiv w:val="1"/>
      <w:marLeft w:val="0"/>
      <w:marRight w:val="0"/>
      <w:marTop w:val="0"/>
      <w:marBottom w:val="0"/>
      <w:divBdr>
        <w:top w:val="none" w:sz="0" w:space="0" w:color="auto"/>
        <w:left w:val="none" w:sz="0" w:space="0" w:color="auto"/>
        <w:bottom w:val="none" w:sz="0" w:space="0" w:color="auto"/>
        <w:right w:val="none" w:sz="0" w:space="0" w:color="auto"/>
      </w:divBdr>
    </w:div>
    <w:div w:id="1103111803">
      <w:bodyDiv w:val="1"/>
      <w:marLeft w:val="0"/>
      <w:marRight w:val="0"/>
      <w:marTop w:val="0"/>
      <w:marBottom w:val="0"/>
      <w:divBdr>
        <w:top w:val="none" w:sz="0" w:space="0" w:color="auto"/>
        <w:left w:val="none" w:sz="0" w:space="0" w:color="auto"/>
        <w:bottom w:val="none" w:sz="0" w:space="0" w:color="auto"/>
        <w:right w:val="none" w:sz="0" w:space="0" w:color="auto"/>
      </w:divBdr>
      <w:divsChild>
        <w:div w:id="896933130">
          <w:marLeft w:val="360"/>
          <w:marRight w:val="0"/>
          <w:marTop w:val="200"/>
          <w:marBottom w:val="0"/>
          <w:divBdr>
            <w:top w:val="none" w:sz="0" w:space="0" w:color="auto"/>
            <w:left w:val="none" w:sz="0" w:space="0" w:color="auto"/>
            <w:bottom w:val="none" w:sz="0" w:space="0" w:color="auto"/>
            <w:right w:val="none" w:sz="0" w:space="0" w:color="auto"/>
          </w:divBdr>
        </w:div>
        <w:div w:id="1414274827">
          <w:marLeft w:val="360"/>
          <w:marRight w:val="0"/>
          <w:marTop w:val="200"/>
          <w:marBottom w:val="0"/>
          <w:divBdr>
            <w:top w:val="none" w:sz="0" w:space="0" w:color="auto"/>
            <w:left w:val="none" w:sz="0" w:space="0" w:color="auto"/>
            <w:bottom w:val="none" w:sz="0" w:space="0" w:color="auto"/>
            <w:right w:val="none" w:sz="0" w:space="0" w:color="auto"/>
          </w:divBdr>
        </w:div>
        <w:div w:id="2094548502">
          <w:marLeft w:val="360"/>
          <w:marRight w:val="0"/>
          <w:marTop w:val="200"/>
          <w:marBottom w:val="0"/>
          <w:divBdr>
            <w:top w:val="none" w:sz="0" w:space="0" w:color="auto"/>
            <w:left w:val="none" w:sz="0" w:space="0" w:color="auto"/>
            <w:bottom w:val="none" w:sz="0" w:space="0" w:color="auto"/>
            <w:right w:val="none" w:sz="0" w:space="0" w:color="auto"/>
          </w:divBdr>
        </w:div>
        <w:div w:id="160826117">
          <w:marLeft w:val="360"/>
          <w:marRight w:val="0"/>
          <w:marTop w:val="200"/>
          <w:marBottom w:val="0"/>
          <w:divBdr>
            <w:top w:val="none" w:sz="0" w:space="0" w:color="auto"/>
            <w:left w:val="none" w:sz="0" w:space="0" w:color="auto"/>
            <w:bottom w:val="none" w:sz="0" w:space="0" w:color="auto"/>
            <w:right w:val="none" w:sz="0" w:space="0" w:color="auto"/>
          </w:divBdr>
        </w:div>
        <w:div w:id="218639652">
          <w:marLeft w:val="360"/>
          <w:marRight w:val="0"/>
          <w:marTop w:val="200"/>
          <w:marBottom w:val="0"/>
          <w:divBdr>
            <w:top w:val="none" w:sz="0" w:space="0" w:color="auto"/>
            <w:left w:val="none" w:sz="0" w:space="0" w:color="auto"/>
            <w:bottom w:val="none" w:sz="0" w:space="0" w:color="auto"/>
            <w:right w:val="none" w:sz="0" w:space="0" w:color="auto"/>
          </w:divBdr>
        </w:div>
      </w:divsChild>
    </w:div>
    <w:div w:id="1109936440">
      <w:bodyDiv w:val="1"/>
      <w:marLeft w:val="0"/>
      <w:marRight w:val="0"/>
      <w:marTop w:val="0"/>
      <w:marBottom w:val="0"/>
      <w:divBdr>
        <w:top w:val="none" w:sz="0" w:space="0" w:color="auto"/>
        <w:left w:val="none" w:sz="0" w:space="0" w:color="auto"/>
        <w:bottom w:val="none" w:sz="0" w:space="0" w:color="auto"/>
        <w:right w:val="none" w:sz="0" w:space="0" w:color="auto"/>
      </w:divBdr>
    </w:div>
    <w:div w:id="1113982134">
      <w:bodyDiv w:val="1"/>
      <w:marLeft w:val="0"/>
      <w:marRight w:val="0"/>
      <w:marTop w:val="0"/>
      <w:marBottom w:val="0"/>
      <w:divBdr>
        <w:top w:val="none" w:sz="0" w:space="0" w:color="auto"/>
        <w:left w:val="none" w:sz="0" w:space="0" w:color="auto"/>
        <w:bottom w:val="none" w:sz="0" w:space="0" w:color="auto"/>
        <w:right w:val="none" w:sz="0" w:space="0" w:color="auto"/>
      </w:divBdr>
    </w:div>
    <w:div w:id="1115254087">
      <w:bodyDiv w:val="1"/>
      <w:marLeft w:val="0"/>
      <w:marRight w:val="0"/>
      <w:marTop w:val="0"/>
      <w:marBottom w:val="0"/>
      <w:divBdr>
        <w:top w:val="none" w:sz="0" w:space="0" w:color="auto"/>
        <w:left w:val="none" w:sz="0" w:space="0" w:color="auto"/>
        <w:bottom w:val="none" w:sz="0" w:space="0" w:color="auto"/>
        <w:right w:val="none" w:sz="0" w:space="0" w:color="auto"/>
      </w:divBdr>
    </w:div>
    <w:div w:id="1128861424">
      <w:bodyDiv w:val="1"/>
      <w:marLeft w:val="0"/>
      <w:marRight w:val="0"/>
      <w:marTop w:val="0"/>
      <w:marBottom w:val="0"/>
      <w:divBdr>
        <w:top w:val="none" w:sz="0" w:space="0" w:color="auto"/>
        <w:left w:val="none" w:sz="0" w:space="0" w:color="auto"/>
        <w:bottom w:val="none" w:sz="0" w:space="0" w:color="auto"/>
        <w:right w:val="none" w:sz="0" w:space="0" w:color="auto"/>
      </w:divBdr>
    </w:div>
    <w:div w:id="1152210825">
      <w:bodyDiv w:val="1"/>
      <w:marLeft w:val="0"/>
      <w:marRight w:val="0"/>
      <w:marTop w:val="0"/>
      <w:marBottom w:val="0"/>
      <w:divBdr>
        <w:top w:val="none" w:sz="0" w:space="0" w:color="auto"/>
        <w:left w:val="none" w:sz="0" w:space="0" w:color="auto"/>
        <w:bottom w:val="none" w:sz="0" w:space="0" w:color="auto"/>
        <w:right w:val="none" w:sz="0" w:space="0" w:color="auto"/>
      </w:divBdr>
      <w:divsChild>
        <w:div w:id="987053357">
          <w:marLeft w:val="547"/>
          <w:marRight w:val="0"/>
          <w:marTop w:val="200"/>
          <w:marBottom w:val="0"/>
          <w:divBdr>
            <w:top w:val="none" w:sz="0" w:space="0" w:color="auto"/>
            <w:left w:val="none" w:sz="0" w:space="0" w:color="auto"/>
            <w:bottom w:val="none" w:sz="0" w:space="0" w:color="auto"/>
            <w:right w:val="none" w:sz="0" w:space="0" w:color="auto"/>
          </w:divBdr>
        </w:div>
        <w:div w:id="883366583">
          <w:marLeft w:val="1166"/>
          <w:marRight w:val="0"/>
          <w:marTop w:val="200"/>
          <w:marBottom w:val="0"/>
          <w:divBdr>
            <w:top w:val="none" w:sz="0" w:space="0" w:color="auto"/>
            <w:left w:val="none" w:sz="0" w:space="0" w:color="auto"/>
            <w:bottom w:val="none" w:sz="0" w:space="0" w:color="auto"/>
            <w:right w:val="none" w:sz="0" w:space="0" w:color="auto"/>
          </w:divBdr>
        </w:div>
        <w:div w:id="1006784232">
          <w:marLeft w:val="547"/>
          <w:marRight w:val="0"/>
          <w:marTop w:val="200"/>
          <w:marBottom w:val="0"/>
          <w:divBdr>
            <w:top w:val="none" w:sz="0" w:space="0" w:color="auto"/>
            <w:left w:val="none" w:sz="0" w:space="0" w:color="auto"/>
            <w:bottom w:val="none" w:sz="0" w:space="0" w:color="auto"/>
            <w:right w:val="none" w:sz="0" w:space="0" w:color="auto"/>
          </w:divBdr>
        </w:div>
        <w:div w:id="598220898">
          <w:marLeft w:val="1166"/>
          <w:marRight w:val="0"/>
          <w:marTop w:val="200"/>
          <w:marBottom w:val="0"/>
          <w:divBdr>
            <w:top w:val="none" w:sz="0" w:space="0" w:color="auto"/>
            <w:left w:val="none" w:sz="0" w:space="0" w:color="auto"/>
            <w:bottom w:val="none" w:sz="0" w:space="0" w:color="auto"/>
            <w:right w:val="none" w:sz="0" w:space="0" w:color="auto"/>
          </w:divBdr>
        </w:div>
        <w:div w:id="1687243427">
          <w:marLeft w:val="1166"/>
          <w:marRight w:val="0"/>
          <w:marTop w:val="200"/>
          <w:marBottom w:val="0"/>
          <w:divBdr>
            <w:top w:val="none" w:sz="0" w:space="0" w:color="auto"/>
            <w:left w:val="none" w:sz="0" w:space="0" w:color="auto"/>
            <w:bottom w:val="none" w:sz="0" w:space="0" w:color="auto"/>
            <w:right w:val="none" w:sz="0" w:space="0" w:color="auto"/>
          </w:divBdr>
        </w:div>
        <w:div w:id="316037111">
          <w:marLeft w:val="1166"/>
          <w:marRight w:val="0"/>
          <w:marTop w:val="200"/>
          <w:marBottom w:val="0"/>
          <w:divBdr>
            <w:top w:val="none" w:sz="0" w:space="0" w:color="auto"/>
            <w:left w:val="none" w:sz="0" w:space="0" w:color="auto"/>
            <w:bottom w:val="none" w:sz="0" w:space="0" w:color="auto"/>
            <w:right w:val="none" w:sz="0" w:space="0" w:color="auto"/>
          </w:divBdr>
        </w:div>
      </w:divsChild>
    </w:div>
    <w:div w:id="1159930991">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236016520">
      <w:bodyDiv w:val="1"/>
      <w:marLeft w:val="0"/>
      <w:marRight w:val="0"/>
      <w:marTop w:val="0"/>
      <w:marBottom w:val="0"/>
      <w:divBdr>
        <w:top w:val="none" w:sz="0" w:space="0" w:color="auto"/>
        <w:left w:val="none" w:sz="0" w:space="0" w:color="auto"/>
        <w:bottom w:val="none" w:sz="0" w:space="0" w:color="auto"/>
        <w:right w:val="none" w:sz="0" w:space="0" w:color="auto"/>
      </w:divBdr>
    </w:div>
    <w:div w:id="1245803721">
      <w:bodyDiv w:val="1"/>
      <w:marLeft w:val="0"/>
      <w:marRight w:val="0"/>
      <w:marTop w:val="0"/>
      <w:marBottom w:val="0"/>
      <w:divBdr>
        <w:top w:val="none" w:sz="0" w:space="0" w:color="auto"/>
        <w:left w:val="none" w:sz="0" w:space="0" w:color="auto"/>
        <w:bottom w:val="none" w:sz="0" w:space="0" w:color="auto"/>
        <w:right w:val="none" w:sz="0" w:space="0" w:color="auto"/>
      </w:divBdr>
    </w:div>
    <w:div w:id="1252739662">
      <w:bodyDiv w:val="1"/>
      <w:marLeft w:val="0"/>
      <w:marRight w:val="0"/>
      <w:marTop w:val="0"/>
      <w:marBottom w:val="0"/>
      <w:divBdr>
        <w:top w:val="none" w:sz="0" w:space="0" w:color="auto"/>
        <w:left w:val="none" w:sz="0" w:space="0" w:color="auto"/>
        <w:bottom w:val="none" w:sz="0" w:space="0" w:color="auto"/>
        <w:right w:val="none" w:sz="0" w:space="0" w:color="auto"/>
      </w:divBdr>
      <w:divsChild>
        <w:div w:id="2099019178">
          <w:marLeft w:val="360"/>
          <w:marRight w:val="0"/>
          <w:marTop w:val="200"/>
          <w:marBottom w:val="0"/>
          <w:divBdr>
            <w:top w:val="none" w:sz="0" w:space="0" w:color="auto"/>
            <w:left w:val="none" w:sz="0" w:space="0" w:color="auto"/>
            <w:bottom w:val="none" w:sz="0" w:space="0" w:color="auto"/>
            <w:right w:val="none" w:sz="0" w:space="0" w:color="auto"/>
          </w:divBdr>
        </w:div>
        <w:div w:id="961108507">
          <w:marLeft w:val="360"/>
          <w:marRight w:val="0"/>
          <w:marTop w:val="200"/>
          <w:marBottom w:val="0"/>
          <w:divBdr>
            <w:top w:val="none" w:sz="0" w:space="0" w:color="auto"/>
            <w:left w:val="none" w:sz="0" w:space="0" w:color="auto"/>
            <w:bottom w:val="none" w:sz="0" w:space="0" w:color="auto"/>
            <w:right w:val="none" w:sz="0" w:space="0" w:color="auto"/>
          </w:divBdr>
        </w:div>
        <w:div w:id="157113745">
          <w:marLeft w:val="360"/>
          <w:marRight w:val="0"/>
          <w:marTop w:val="200"/>
          <w:marBottom w:val="0"/>
          <w:divBdr>
            <w:top w:val="none" w:sz="0" w:space="0" w:color="auto"/>
            <w:left w:val="none" w:sz="0" w:space="0" w:color="auto"/>
            <w:bottom w:val="none" w:sz="0" w:space="0" w:color="auto"/>
            <w:right w:val="none" w:sz="0" w:space="0" w:color="auto"/>
          </w:divBdr>
        </w:div>
        <w:div w:id="1534075630">
          <w:marLeft w:val="360"/>
          <w:marRight w:val="0"/>
          <w:marTop w:val="200"/>
          <w:marBottom w:val="0"/>
          <w:divBdr>
            <w:top w:val="none" w:sz="0" w:space="0" w:color="auto"/>
            <w:left w:val="none" w:sz="0" w:space="0" w:color="auto"/>
            <w:bottom w:val="none" w:sz="0" w:space="0" w:color="auto"/>
            <w:right w:val="none" w:sz="0" w:space="0" w:color="auto"/>
          </w:divBdr>
        </w:div>
        <w:div w:id="953638333">
          <w:marLeft w:val="360"/>
          <w:marRight w:val="0"/>
          <w:marTop w:val="200"/>
          <w:marBottom w:val="0"/>
          <w:divBdr>
            <w:top w:val="none" w:sz="0" w:space="0" w:color="auto"/>
            <w:left w:val="none" w:sz="0" w:space="0" w:color="auto"/>
            <w:bottom w:val="none" w:sz="0" w:space="0" w:color="auto"/>
            <w:right w:val="none" w:sz="0" w:space="0" w:color="auto"/>
          </w:divBdr>
        </w:div>
      </w:divsChild>
    </w:div>
    <w:div w:id="1287351960">
      <w:bodyDiv w:val="1"/>
      <w:marLeft w:val="0"/>
      <w:marRight w:val="0"/>
      <w:marTop w:val="0"/>
      <w:marBottom w:val="0"/>
      <w:divBdr>
        <w:top w:val="none" w:sz="0" w:space="0" w:color="auto"/>
        <w:left w:val="none" w:sz="0" w:space="0" w:color="auto"/>
        <w:bottom w:val="none" w:sz="0" w:space="0" w:color="auto"/>
        <w:right w:val="none" w:sz="0" w:space="0" w:color="auto"/>
      </w:divBdr>
      <w:divsChild>
        <w:div w:id="936250067">
          <w:marLeft w:val="547"/>
          <w:marRight w:val="0"/>
          <w:marTop w:val="200"/>
          <w:marBottom w:val="0"/>
          <w:divBdr>
            <w:top w:val="none" w:sz="0" w:space="0" w:color="auto"/>
            <w:left w:val="none" w:sz="0" w:space="0" w:color="auto"/>
            <w:bottom w:val="none" w:sz="0" w:space="0" w:color="auto"/>
            <w:right w:val="none" w:sz="0" w:space="0" w:color="auto"/>
          </w:divBdr>
        </w:div>
        <w:div w:id="450055299">
          <w:marLeft w:val="1166"/>
          <w:marRight w:val="0"/>
          <w:marTop w:val="200"/>
          <w:marBottom w:val="0"/>
          <w:divBdr>
            <w:top w:val="none" w:sz="0" w:space="0" w:color="auto"/>
            <w:left w:val="none" w:sz="0" w:space="0" w:color="auto"/>
            <w:bottom w:val="none" w:sz="0" w:space="0" w:color="auto"/>
            <w:right w:val="none" w:sz="0" w:space="0" w:color="auto"/>
          </w:divBdr>
        </w:div>
        <w:div w:id="455679418">
          <w:marLeft w:val="1166"/>
          <w:marRight w:val="0"/>
          <w:marTop w:val="200"/>
          <w:marBottom w:val="0"/>
          <w:divBdr>
            <w:top w:val="none" w:sz="0" w:space="0" w:color="auto"/>
            <w:left w:val="none" w:sz="0" w:space="0" w:color="auto"/>
            <w:bottom w:val="none" w:sz="0" w:space="0" w:color="auto"/>
            <w:right w:val="none" w:sz="0" w:space="0" w:color="auto"/>
          </w:divBdr>
        </w:div>
        <w:div w:id="1973555779">
          <w:marLeft w:val="547"/>
          <w:marRight w:val="0"/>
          <w:marTop w:val="200"/>
          <w:marBottom w:val="0"/>
          <w:divBdr>
            <w:top w:val="none" w:sz="0" w:space="0" w:color="auto"/>
            <w:left w:val="none" w:sz="0" w:space="0" w:color="auto"/>
            <w:bottom w:val="none" w:sz="0" w:space="0" w:color="auto"/>
            <w:right w:val="none" w:sz="0" w:space="0" w:color="auto"/>
          </w:divBdr>
        </w:div>
        <w:div w:id="115490042">
          <w:marLeft w:val="1166"/>
          <w:marRight w:val="0"/>
          <w:marTop w:val="200"/>
          <w:marBottom w:val="0"/>
          <w:divBdr>
            <w:top w:val="none" w:sz="0" w:space="0" w:color="auto"/>
            <w:left w:val="none" w:sz="0" w:space="0" w:color="auto"/>
            <w:bottom w:val="none" w:sz="0" w:space="0" w:color="auto"/>
            <w:right w:val="none" w:sz="0" w:space="0" w:color="auto"/>
          </w:divBdr>
        </w:div>
        <w:div w:id="429929128">
          <w:marLeft w:val="1166"/>
          <w:marRight w:val="0"/>
          <w:marTop w:val="200"/>
          <w:marBottom w:val="0"/>
          <w:divBdr>
            <w:top w:val="none" w:sz="0" w:space="0" w:color="auto"/>
            <w:left w:val="none" w:sz="0" w:space="0" w:color="auto"/>
            <w:bottom w:val="none" w:sz="0" w:space="0" w:color="auto"/>
            <w:right w:val="none" w:sz="0" w:space="0" w:color="auto"/>
          </w:divBdr>
        </w:div>
        <w:div w:id="1438254537">
          <w:marLeft w:val="547"/>
          <w:marRight w:val="0"/>
          <w:marTop w:val="200"/>
          <w:marBottom w:val="0"/>
          <w:divBdr>
            <w:top w:val="none" w:sz="0" w:space="0" w:color="auto"/>
            <w:left w:val="none" w:sz="0" w:space="0" w:color="auto"/>
            <w:bottom w:val="none" w:sz="0" w:space="0" w:color="auto"/>
            <w:right w:val="none" w:sz="0" w:space="0" w:color="auto"/>
          </w:divBdr>
        </w:div>
        <w:div w:id="1954628385">
          <w:marLeft w:val="547"/>
          <w:marRight w:val="0"/>
          <w:marTop w:val="200"/>
          <w:marBottom w:val="0"/>
          <w:divBdr>
            <w:top w:val="none" w:sz="0" w:space="0" w:color="auto"/>
            <w:left w:val="none" w:sz="0" w:space="0" w:color="auto"/>
            <w:bottom w:val="none" w:sz="0" w:space="0" w:color="auto"/>
            <w:right w:val="none" w:sz="0" w:space="0" w:color="auto"/>
          </w:divBdr>
        </w:div>
        <w:div w:id="848373880">
          <w:marLeft w:val="1166"/>
          <w:marRight w:val="0"/>
          <w:marTop w:val="200"/>
          <w:marBottom w:val="0"/>
          <w:divBdr>
            <w:top w:val="none" w:sz="0" w:space="0" w:color="auto"/>
            <w:left w:val="none" w:sz="0" w:space="0" w:color="auto"/>
            <w:bottom w:val="none" w:sz="0" w:space="0" w:color="auto"/>
            <w:right w:val="none" w:sz="0" w:space="0" w:color="auto"/>
          </w:divBdr>
        </w:div>
        <w:div w:id="1468664957">
          <w:marLeft w:val="1166"/>
          <w:marRight w:val="0"/>
          <w:marTop w:val="200"/>
          <w:marBottom w:val="0"/>
          <w:divBdr>
            <w:top w:val="none" w:sz="0" w:space="0" w:color="auto"/>
            <w:left w:val="none" w:sz="0" w:space="0" w:color="auto"/>
            <w:bottom w:val="none" w:sz="0" w:space="0" w:color="auto"/>
            <w:right w:val="none" w:sz="0" w:space="0" w:color="auto"/>
          </w:divBdr>
        </w:div>
        <w:div w:id="1616449033">
          <w:marLeft w:val="1166"/>
          <w:marRight w:val="0"/>
          <w:marTop w:val="200"/>
          <w:marBottom w:val="0"/>
          <w:divBdr>
            <w:top w:val="none" w:sz="0" w:space="0" w:color="auto"/>
            <w:left w:val="none" w:sz="0" w:space="0" w:color="auto"/>
            <w:bottom w:val="none" w:sz="0" w:space="0" w:color="auto"/>
            <w:right w:val="none" w:sz="0" w:space="0" w:color="auto"/>
          </w:divBdr>
        </w:div>
        <w:div w:id="95291755">
          <w:marLeft w:val="547"/>
          <w:marRight w:val="0"/>
          <w:marTop w:val="200"/>
          <w:marBottom w:val="0"/>
          <w:divBdr>
            <w:top w:val="none" w:sz="0" w:space="0" w:color="auto"/>
            <w:left w:val="none" w:sz="0" w:space="0" w:color="auto"/>
            <w:bottom w:val="none" w:sz="0" w:space="0" w:color="auto"/>
            <w:right w:val="none" w:sz="0" w:space="0" w:color="auto"/>
          </w:divBdr>
        </w:div>
      </w:divsChild>
    </w:div>
    <w:div w:id="1296109125">
      <w:bodyDiv w:val="1"/>
      <w:marLeft w:val="0"/>
      <w:marRight w:val="0"/>
      <w:marTop w:val="0"/>
      <w:marBottom w:val="0"/>
      <w:divBdr>
        <w:top w:val="none" w:sz="0" w:space="0" w:color="auto"/>
        <w:left w:val="none" w:sz="0" w:space="0" w:color="auto"/>
        <w:bottom w:val="none" w:sz="0" w:space="0" w:color="auto"/>
        <w:right w:val="none" w:sz="0" w:space="0" w:color="auto"/>
      </w:divBdr>
    </w:div>
    <w:div w:id="1373848492">
      <w:bodyDiv w:val="1"/>
      <w:marLeft w:val="0"/>
      <w:marRight w:val="0"/>
      <w:marTop w:val="0"/>
      <w:marBottom w:val="0"/>
      <w:divBdr>
        <w:top w:val="none" w:sz="0" w:space="0" w:color="auto"/>
        <w:left w:val="none" w:sz="0" w:space="0" w:color="auto"/>
        <w:bottom w:val="none" w:sz="0" w:space="0" w:color="auto"/>
        <w:right w:val="none" w:sz="0" w:space="0" w:color="auto"/>
      </w:divBdr>
    </w:div>
    <w:div w:id="1377698854">
      <w:bodyDiv w:val="1"/>
      <w:marLeft w:val="0"/>
      <w:marRight w:val="0"/>
      <w:marTop w:val="0"/>
      <w:marBottom w:val="0"/>
      <w:divBdr>
        <w:top w:val="none" w:sz="0" w:space="0" w:color="auto"/>
        <w:left w:val="none" w:sz="0" w:space="0" w:color="auto"/>
        <w:bottom w:val="none" w:sz="0" w:space="0" w:color="auto"/>
        <w:right w:val="none" w:sz="0" w:space="0" w:color="auto"/>
      </w:divBdr>
    </w:div>
    <w:div w:id="1387795430">
      <w:bodyDiv w:val="1"/>
      <w:marLeft w:val="0"/>
      <w:marRight w:val="0"/>
      <w:marTop w:val="0"/>
      <w:marBottom w:val="0"/>
      <w:divBdr>
        <w:top w:val="none" w:sz="0" w:space="0" w:color="auto"/>
        <w:left w:val="none" w:sz="0" w:space="0" w:color="auto"/>
        <w:bottom w:val="none" w:sz="0" w:space="0" w:color="auto"/>
        <w:right w:val="none" w:sz="0" w:space="0" w:color="auto"/>
      </w:divBdr>
      <w:divsChild>
        <w:div w:id="1846549538">
          <w:marLeft w:val="547"/>
          <w:marRight w:val="0"/>
          <w:marTop w:val="200"/>
          <w:marBottom w:val="0"/>
          <w:divBdr>
            <w:top w:val="none" w:sz="0" w:space="0" w:color="auto"/>
            <w:left w:val="none" w:sz="0" w:space="0" w:color="auto"/>
            <w:bottom w:val="none" w:sz="0" w:space="0" w:color="auto"/>
            <w:right w:val="none" w:sz="0" w:space="0" w:color="auto"/>
          </w:divBdr>
        </w:div>
        <w:div w:id="584192092">
          <w:marLeft w:val="547"/>
          <w:marRight w:val="0"/>
          <w:marTop w:val="200"/>
          <w:marBottom w:val="0"/>
          <w:divBdr>
            <w:top w:val="none" w:sz="0" w:space="0" w:color="auto"/>
            <w:left w:val="none" w:sz="0" w:space="0" w:color="auto"/>
            <w:bottom w:val="none" w:sz="0" w:space="0" w:color="auto"/>
            <w:right w:val="none" w:sz="0" w:space="0" w:color="auto"/>
          </w:divBdr>
        </w:div>
        <w:div w:id="210845289">
          <w:marLeft w:val="547"/>
          <w:marRight w:val="0"/>
          <w:marTop w:val="200"/>
          <w:marBottom w:val="0"/>
          <w:divBdr>
            <w:top w:val="none" w:sz="0" w:space="0" w:color="auto"/>
            <w:left w:val="none" w:sz="0" w:space="0" w:color="auto"/>
            <w:bottom w:val="none" w:sz="0" w:space="0" w:color="auto"/>
            <w:right w:val="none" w:sz="0" w:space="0" w:color="auto"/>
          </w:divBdr>
        </w:div>
        <w:div w:id="719669802">
          <w:marLeft w:val="547"/>
          <w:marRight w:val="0"/>
          <w:marTop w:val="200"/>
          <w:marBottom w:val="0"/>
          <w:divBdr>
            <w:top w:val="none" w:sz="0" w:space="0" w:color="auto"/>
            <w:left w:val="none" w:sz="0" w:space="0" w:color="auto"/>
            <w:bottom w:val="none" w:sz="0" w:space="0" w:color="auto"/>
            <w:right w:val="none" w:sz="0" w:space="0" w:color="auto"/>
          </w:divBdr>
        </w:div>
      </w:divsChild>
    </w:div>
    <w:div w:id="1425571429">
      <w:bodyDiv w:val="1"/>
      <w:marLeft w:val="0"/>
      <w:marRight w:val="0"/>
      <w:marTop w:val="0"/>
      <w:marBottom w:val="0"/>
      <w:divBdr>
        <w:top w:val="none" w:sz="0" w:space="0" w:color="auto"/>
        <w:left w:val="none" w:sz="0" w:space="0" w:color="auto"/>
        <w:bottom w:val="none" w:sz="0" w:space="0" w:color="auto"/>
        <w:right w:val="none" w:sz="0" w:space="0" w:color="auto"/>
      </w:divBdr>
      <w:divsChild>
        <w:div w:id="41097085">
          <w:marLeft w:val="547"/>
          <w:marRight w:val="0"/>
          <w:marTop w:val="96"/>
          <w:marBottom w:val="0"/>
          <w:divBdr>
            <w:top w:val="none" w:sz="0" w:space="0" w:color="auto"/>
            <w:left w:val="none" w:sz="0" w:space="0" w:color="auto"/>
            <w:bottom w:val="none" w:sz="0" w:space="0" w:color="auto"/>
            <w:right w:val="none" w:sz="0" w:space="0" w:color="auto"/>
          </w:divBdr>
        </w:div>
        <w:div w:id="128864179">
          <w:marLeft w:val="1166"/>
          <w:marRight w:val="0"/>
          <w:marTop w:val="86"/>
          <w:marBottom w:val="0"/>
          <w:divBdr>
            <w:top w:val="none" w:sz="0" w:space="0" w:color="auto"/>
            <w:left w:val="none" w:sz="0" w:space="0" w:color="auto"/>
            <w:bottom w:val="none" w:sz="0" w:space="0" w:color="auto"/>
            <w:right w:val="none" w:sz="0" w:space="0" w:color="auto"/>
          </w:divBdr>
        </w:div>
        <w:div w:id="484467409">
          <w:marLeft w:val="1166"/>
          <w:marRight w:val="0"/>
          <w:marTop w:val="86"/>
          <w:marBottom w:val="0"/>
          <w:divBdr>
            <w:top w:val="none" w:sz="0" w:space="0" w:color="auto"/>
            <w:left w:val="none" w:sz="0" w:space="0" w:color="auto"/>
            <w:bottom w:val="none" w:sz="0" w:space="0" w:color="auto"/>
            <w:right w:val="none" w:sz="0" w:space="0" w:color="auto"/>
          </w:divBdr>
        </w:div>
        <w:div w:id="541594798">
          <w:marLeft w:val="547"/>
          <w:marRight w:val="0"/>
          <w:marTop w:val="96"/>
          <w:marBottom w:val="0"/>
          <w:divBdr>
            <w:top w:val="none" w:sz="0" w:space="0" w:color="auto"/>
            <w:left w:val="none" w:sz="0" w:space="0" w:color="auto"/>
            <w:bottom w:val="none" w:sz="0" w:space="0" w:color="auto"/>
            <w:right w:val="none" w:sz="0" w:space="0" w:color="auto"/>
          </w:divBdr>
        </w:div>
        <w:div w:id="547692620">
          <w:marLeft w:val="547"/>
          <w:marRight w:val="0"/>
          <w:marTop w:val="96"/>
          <w:marBottom w:val="0"/>
          <w:divBdr>
            <w:top w:val="none" w:sz="0" w:space="0" w:color="auto"/>
            <w:left w:val="none" w:sz="0" w:space="0" w:color="auto"/>
            <w:bottom w:val="none" w:sz="0" w:space="0" w:color="auto"/>
            <w:right w:val="none" w:sz="0" w:space="0" w:color="auto"/>
          </w:divBdr>
        </w:div>
        <w:div w:id="815729767">
          <w:marLeft w:val="547"/>
          <w:marRight w:val="0"/>
          <w:marTop w:val="96"/>
          <w:marBottom w:val="0"/>
          <w:divBdr>
            <w:top w:val="none" w:sz="0" w:space="0" w:color="auto"/>
            <w:left w:val="none" w:sz="0" w:space="0" w:color="auto"/>
            <w:bottom w:val="none" w:sz="0" w:space="0" w:color="auto"/>
            <w:right w:val="none" w:sz="0" w:space="0" w:color="auto"/>
          </w:divBdr>
        </w:div>
        <w:div w:id="819466718">
          <w:marLeft w:val="1166"/>
          <w:marRight w:val="0"/>
          <w:marTop w:val="86"/>
          <w:marBottom w:val="0"/>
          <w:divBdr>
            <w:top w:val="none" w:sz="0" w:space="0" w:color="auto"/>
            <w:left w:val="none" w:sz="0" w:space="0" w:color="auto"/>
            <w:bottom w:val="none" w:sz="0" w:space="0" w:color="auto"/>
            <w:right w:val="none" w:sz="0" w:space="0" w:color="auto"/>
          </w:divBdr>
        </w:div>
        <w:div w:id="1197893867">
          <w:marLeft w:val="1166"/>
          <w:marRight w:val="0"/>
          <w:marTop w:val="86"/>
          <w:marBottom w:val="0"/>
          <w:divBdr>
            <w:top w:val="none" w:sz="0" w:space="0" w:color="auto"/>
            <w:left w:val="none" w:sz="0" w:space="0" w:color="auto"/>
            <w:bottom w:val="none" w:sz="0" w:space="0" w:color="auto"/>
            <w:right w:val="none" w:sz="0" w:space="0" w:color="auto"/>
          </w:divBdr>
        </w:div>
        <w:div w:id="1234243555">
          <w:marLeft w:val="547"/>
          <w:marRight w:val="0"/>
          <w:marTop w:val="96"/>
          <w:marBottom w:val="0"/>
          <w:divBdr>
            <w:top w:val="none" w:sz="0" w:space="0" w:color="auto"/>
            <w:left w:val="none" w:sz="0" w:space="0" w:color="auto"/>
            <w:bottom w:val="none" w:sz="0" w:space="0" w:color="auto"/>
            <w:right w:val="none" w:sz="0" w:space="0" w:color="auto"/>
          </w:divBdr>
        </w:div>
        <w:div w:id="1236084938">
          <w:marLeft w:val="547"/>
          <w:marRight w:val="0"/>
          <w:marTop w:val="96"/>
          <w:marBottom w:val="0"/>
          <w:divBdr>
            <w:top w:val="none" w:sz="0" w:space="0" w:color="auto"/>
            <w:left w:val="none" w:sz="0" w:space="0" w:color="auto"/>
            <w:bottom w:val="none" w:sz="0" w:space="0" w:color="auto"/>
            <w:right w:val="none" w:sz="0" w:space="0" w:color="auto"/>
          </w:divBdr>
        </w:div>
        <w:div w:id="1404375853">
          <w:marLeft w:val="547"/>
          <w:marRight w:val="0"/>
          <w:marTop w:val="96"/>
          <w:marBottom w:val="0"/>
          <w:divBdr>
            <w:top w:val="none" w:sz="0" w:space="0" w:color="auto"/>
            <w:left w:val="none" w:sz="0" w:space="0" w:color="auto"/>
            <w:bottom w:val="none" w:sz="0" w:space="0" w:color="auto"/>
            <w:right w:val="none" w:sz="0" w:space="0" w:color="auto"/>
          </w:divBdr>
        </w:div>
        <w:div w:id="1700010394">
          <w:marLeft w:val="547"/>
          <w:marRight w:val="0"/>
          <w:marTop w:val="96"/>
          <w:marBottom w:val="0"/>
          <w:divBdr>
            <w:top w:val="none" w:sz="0" w:space="0" w:color="auto"/>
            <w:left w:val="none" w:sz="0" w:space="0" w:color="auto"/>
            <w:bottom w:val="none" w:sz="0" w:space="0" w:color="auto"/>
            <w:right w:val="none" w:sz="0" w:space="0" w:color="auto"/>
          </w:divBdr>
        </w:div>
        <w:div w:id="2044204231">
          <w:marLeft w:val="547"/>
          <w:marRight w:val="0"/>
          <w:marTop w:val="96"/>
          <w:marBottom w:val="0"/>
          <w:divBdr>
            <w:top w:val="none" w:sz="0" w:space="0" w:color="auto"/>
            <w:left w:val="none" w:sz="0" w:space="0" w:color="auto"/>
            <w:bottom w:val="none" w:sz="0" w:space="0" w:color="auto"/>
            <w:right w:val="none" w:sz="0" w:space="0" w:color="auto"/>
          </w:divBdr>
        </w:div>
      </w:divsChild>
    </w:div>
    <w:div w:id="1441561554">
      <w:bodyDiv w:val="1"/>
      <w:marLeft w:val="0"/>
      <w:marRight w:val="0"/>
      <w:marTop w:val="0"/>
      <w:marBottom w:val="0"/>
      <w:divBdr>
        <w:top w:val="none" w:sz="0" w:space="0" w:color="auto"/>
        <w:left w:val="none" w:sz="0" w:space="0" w:color="auto"/>
        <w:bottom w:val="none" w:sz="0" w:space="0" w:color="auto"/>
        <w:right w:val="none" w:sz="0" w:space="0" w:color="auto"/>
      </w:divBdr>
      <w:divsChild>
        <w:div w:id="622348150">
          <w:marLeft w:val="360"/>
          <w:marRight w:val="0"/>
          <w:marTop w:val="200"/>
          <w:marBottom w:val="0"/>
          <w:divBdr>
            <w:top w:val="none" w:sz="0" w:space="0" w:color="auto"/>
            <w:left w:val="none" w:sz="0" w:space="0" w:color="auto"/>
            <w:bottom w:val="none" w:sz="0" w:space="0" w:color="auto"/>
            <w:right w:val="none" w:sz="0" w:space="0" w:color="auto"/>
          </w:divBdr>
        </w:div>
        <w:div w:id="1072700673">
          <w:marLeft w:val="360"/>
          <w:marRight w:val="0"/>
          <w:marTop w:val="200"/>
          <w:marBottom w:val="0"/>
          <w:divBdr>
            <w:top w:val="none" w:sz="0" w:space="0" w:color="auto"/>
            <w:left w:val="none" w:sz="0" w:space="0" w:color="auto"/>
            <w:bottom w:val="none" w:sz="0" w:space="0" w:color="auto"/>
            <w:right w:val="none" w:sz="0" w:space="0" w:color="auto"/>
          </w:divBdr>
        </w:div>
        <w:div w:id="1159544385">
          <w:marLeft w:val="360"/>
          <w:marRight w:val="0"/>
          <w:marTop w:val="200"/>
          <w:marBottom w:val="0"/>
          <w:divBdr>
            <w:top w:val="none" w:sz="0" w:space="0" w:color="auto"/>
            <w:left w:val="none" w:sz="0" w:space="0" w:color="auto"/>
            <w:bottom w:val="none" w:sz="0" w:space="0" w:color="auto"/>
            <w:right w:val="none" w:sz="0" w:space="0" w:color="auto"/>
          </w:divBdr>
        </w:div>
        <w:div w:id="1443918220">
          <w:marLeft w:val="360"/>
          <w:marRight w:val="0"/>
          <w:marTop w:val="200"/>
          <w:marBottom w:val="0"/>
          <w:divBdr>
            <w:top w:val="none" w:sz="0" w:space="0" w:color="auto"/>
            <w:left w:val="none" w:sz="0" w:space="0" w:color="auto"/>
            <w:bottom w:val="none" w:sz="0" w:space="0" w:color="auto"/>
            <w:right w:val="none" w:sz="0" w:space="0" w:color="auto"/>
          </w:divBdr>
        </w:div>
        <w:div w:id="1615551140">
          <w:marLeft w:val="360"/>
          <w:marRight w:val="0"/>
          <w:marTop w:val="200"/>
          <w:marBottom w:val="0"/>
          <w:divBdr>
            <w:top w:val="none" w:sz="0" w:space="0" w:color="auto"/>
            <w:left w:val="none" w:sz="0" w:space="0" w:color="auto"/>
            <w:bottom w:val="none" w:sz="0" w:space="0" w:color="auto"/>
            <w:right w:val="none" w:sz="0" w:space="0" w:color="auto"/>
          </w:divBdr>
        </w:div>
        <w:div w:id="2070492242">
          <w:marLeft w:val="360"/>
          <w:marRight w:val="0"/>
          <w:marTop w:val="200"/>
          <w:marBottom w:val="0"/>
          <w:divBdr>
            <w:top w:val="none" w:sz="0" w:space="0" w:color="auto"/>
            <w:left w:val="none" w:sz="0" w:space="0" w:color="auto"/>
            <w:bottom w:val="none" w:sz="0" w:space="0" w:color="auto"/>
            <w:right w:val="none" w:sz="0" w:space="0" w:color="auto"/>
          </w:divBdr>
        </w:div>
      </w:divsChild>
    </w:div>
    <w:div w:id="1446853417">
      <w:bodyDiv w:val="1"/>
      <w:marLeft w:val="0"/>
      <w:marRight w:val="0"/>
      <w:marTop w:val="0"/>
      <w:marBottom w:val="0"/>
      <w:divBdr>
        <w:top w:val="none" w:sz="0" w:space="0" w:color="auto"/>
        <w:left w:val="none" w:sz="0" w:space="0" w:color="auto"/>
        <w:bottom w:val="none" w:sz="0" w:space="0" w:color="auto"/>
        <w:right w:val="none" w:sz="0" w:space="0" w:color="auto"/>
      </w:divBdr>
    </w:div>
    <w:div w:id="1462924338">
      <w:bodyDiv w:val="1"/>
      <w:marLeft w:val="0"/>
      <w:marRight w:val="0"/>
      <w:marTop w:val="0"/>
      <w:marBottom w:val="0"/>
      <w:divBdr>
        <w:top w:val="none" w:sz="0" w:space="0" w:color="auto"/>
        <w:left w:val="none" w:sz="0" w:space="0" w:color="auto"/>
        <w:bottom w:val="none" w:sz="0" w:space="0" w:color="auto"/>
        <w:right w:val="none" w:sz="0" w:space="0" w:color="auto"/>
      </w:divBdr>
    </w:div>
    <w:div w:id="1467891873">
      <w:bodyDiv w:val="1"/>
      <w:marLeft w:val="0"/>
      <w:marRight w:val="0"/>
      <w:marTop w:val="0"/>
      <w:marBottom w:val="0"/>
      <w:divBdr>
        <w:top w:val="none" w:sz="0" w:space="0" w:color="auto"/>
        <w:left w:val="none" w:sz="0" w:space="0" w:color="auto"/>
        <w:bottom w:val="none" w:sz="0" w:space="0" w:color="auto"/>
        <w:right w:val="none" w:sz="0" w:space="0" w:color="auto"/>
      </w:divBdr>
      <w:divsChild>
        <w:div w:id="907347060">
          <w:marLeft w:val="547"/>
          <w:marRight w:val="0"/>
          <w:marTop w:val="200"/>
          <w:marBottom w:val="0"/>
          <w:divBdr>
            <w:top w:val="none" w:sz="0" w:space="0" w:color="auto"/>
            <w:left w:val="none" w:sz="0" w:space="0" w:color="auto"/>
            <w:bottom w:val="none" w:sz="0" w:space="0" w:color="auto"/>
            <w:right w:val="none" w:sz="0" w:space="0" w:color="auto"/>
          </w:divBdr>
        </w:div>
        <w:div w:id="295722005">
          <w:marLeft w:val="547"/>
          <w:marRight w:val="0"/>
          <w:marTop w:val="200"/>
          <w:marBottom w:val="0"/>
          <w:divBdr>
            <w:top w:val="none" w:sz="0" w:space="0" w:color="auto"/>
            <w:left w:val="none" w:sz="0" w:space="0" w:color="auto"/>
            <w:bottom w:val="none" w:sz="0" w:space="0" w:color="auto"/>
            <w:right w:val="none" w:sz="0" w:space="0" w:color="auto"/>
          </w:divBdr>
        </w:div>
        <w:div w:id="1467313975">
          <w:marLeft w:val="547"/>
          <w:marRight w:val="0"/>
          <w:marTop w:val="200"/>
          <w:marBottom w:val="0"/>
          <w:divBdr>
            <w:top w:val="none" w:sz="0" w:space="0" w:color="auto"/>
            <w:left w:val="none" w:sz="0" w:space="0" w:color="auto"/>
            <w:bottom w:val="none" w:sz="0" w:space="0" w:color="auto"/>
            <w:right w:val="none" w:sz="0" w:space="0" w:color="auto"/>
          </w:divBdr>
        </w:div>
        <w:div w:id="2073430269">
          <w:marLeft w:val="547"/>
          <w:marRight w:val="0"/>
          <w:marTop w:val="200"/>
          <w:marBottom w:val="0"/>
          <w:divBdr>
            <w:top w:val="none" w:sz="0" w:space="0" w:color="auto"/>
            <w:left w:val="none" w:sz="0" w:space="0" w:color="auto"/>
            <w:bottom w:val="none" w:sz="0" w:space="0" w:color="auto"/>
            <w:right w:val="none" w:sz="0" w:space="0" w:color="auto"/>
          </w:divBdr>
        </w:div>
      </w:divsChild>
    </w:div>
    <w:div w:id="1470434906">
      <w:bodyDiv w:val="1"/>
      <w:marLeft w:val="0"/>
      <w:marRight w:val="0"/>
      <w:marTop w:val="0"/>
      <w:marBottom w:val="0"/>
      <w:divBdr>
        <w:top w:val="none" w:sz="0" w:space="0" w:color="auto"/>
        <w:left w:val="none" w:sz="0" w:space="0" w:color="auto"/>
        <w:bottom w:val="none" w:sz="0" w:space="0" w:color="auto"/>
        <w:right w:val="none" w:sz="0" w:space="0" w:color="auto"/>
      </w:divBdr>
    </w:div>
    <w:div w:id="1485124947">
      <w:bodyDiv w:val="1"/>
      <w:marLeft w:val="0"/>
      <w:marRight w:val="0"/>
      <w:marTop w:val="0"/>
      <w:marBottom w:val="0"/>
      <w:divBdr>
        <w:top w:val="none" w:sz="0" w:space="0" w:color="auto"/>
        <w:left w:val="none" w:sz="0" w:space="0" w:color="auto"/>
        <w:bottom w:val="none" w:sz="0" w:space="0" w:color="auto"/>
        <w:right w:val="none" w:sz="0" w:space="0" w:color="auto"/>
      </w:divBdr>
    </w:div>
    <w:div w:id="1487278762">
      <w:bodyDiv w:val="1"/>
      <w:marLeft w:val="0"/>
      <w:marRight w:val="0"/>
      <w:marTop w:val="0"/>
      <w:marBottom w:val="0"/>
      <w:divBdr>
        <w:top w:val="none" w:sz="0" w:space="0" w:color="auto"/>
        <w:left w:val="none" w:sz="0" w:space="0" w:color="auto"/>
        <w:bottom w:val="none" w:sz="0" w:space="0" w:color="auto"/>
        <w:right w:val="none" w:sz="0" w:space="0" w:color="auto"/>
      </w:divBdr>
    </w:div>
    <w:div w:id="1510946252">
      <w:bodyDiv w:val="1"/>
      <w:marLeft w:val="0"/>
      <w:marRight w:val="0"/>
      <w:marTop w:val="0"/>
      <w:marBottom w:val="0"/>
      <w:divBdr>
        <w:top w:val="none" w:sz="0" w:space="0" w:color="auto"/>
        <w:left w:val="none" w:sz="0" w:space="0" w:color="auto"/>
        <w:bottom w:val="none" w:sz="0" w:space="0" w:color="auto"/>
        <w:right w:val="none" w:sz="0" w:space="0" w:color="auto"/>
      </w:divBdr>
    </w:div>
    <w:div w:id="1529562295">
      <w:bodyDiv w:val="1"/>
      <w:marLeft w:val="0"/>
      <w:marRight w:val="0"/>
      <w:marTop w:val="0"/>
      <w:marBottom w:val="0"/>
      <w:divBdr>
        <w:top w:val="none" w:sz="0" w:space="0" w:color="auto"/>
        <w:left w:val="none" w:sz="0" w:space="0" w:color="auto"/>
        <w:bottom w:val="none" w:sz="0" w:space="0" w:color="auto"/>
        <w:right w:val="none" w:sz="0" w:space="0" w:color="auto"/>
      </w:divBdr>
    </w:div>
    <w:div w:id="1529879589">
      <w:bodyDiv w:val="1"/>
      <w:marLeft w:val="0"/>
      <w:marRight w:val="0"/>
      <w:marTop w:val="0"/>
      <w:marBottom w:val="0"/>
      <w:divBdr>
        <w:top w:val="none" w:sz="0" w:space="0" w:color="auto"/>
        <w:left w:val="none" w:sz="0" w:space="0" w:color="auto"/>
        <w:bottom w:val="none" w:sz="0" w:space="0" w:color="auto"/>
        <w:right w:val="none" w:sz="0" w:space="0" w:color="auto"/>
      </w:divBdr>
    </w:div>
    <w:div w:id="1537154417">
      <w:bodyDiv w:val="1"/>
      <w:marLeft w:val="0"/>
      <w:marRight w:val="0"/>
      <w:marTop w:val="0"/>
      <w:marBottom w:val="0"/>
      <w:divBdr>
        <w:top w:val="none" w:sz="0" w:space="0" w:color="auto"/>
        <w:left w:val="none" w:sz="0" w:space="0" w:color="auto"/>
        <w:bottom w:val="none" w:sz="0" w:space="0" w:color="auto"/>
        <w:right w:val="none" w:sz="0" w:space="0" w:color="auto"/>
      </w:divBdr>
    </w:div>
    <w:div w:id="1555236325">
      <w:bodyDiv w:val="1"/>
      <w:marLeft w:val="0"/>
      <w:marRight w:val="0"/>
      <w:marTop w:val="0"/>
      <w:marBottom w:val="0"/>
      <w:divBdr>
        <w:top w:val="none" w:sz="0" w:space="0" w:color="auto"/>
        <w:left w:val="none" w:sz="0" w:space="0" w:color="auto"/>
        <w:bottom w:val="none" w:sz="0" w:space="0" w:color="auto"/>
        <w:right w:val="none" w:sz="0" w:space="0" w:color="auto"/>
      </w:divBdr>
      <w:divsChild>
        <w:div w:id="1422527931">
          <w:marLeft w:val="547"/>
          <w:marRight w:val="0"/>
          <w:marTop w:val="200"/>
          <w:marBottom w:val="0"/>
          <w:divBdr>
            <w:top w:val="none" w:sz="0" w:space="0" w:color="auto"/>
            <w:left w:val="none" w:sz="0" w:space="0" w:color="auto"/>
            <w:bottom w:val="none" w:sz="0" w:space="0" w:color="auto"/>
            <w:right w:val="none" w:sz="0" w:space="0" w:color="auto"/>
          </w:divBdr>
        </w:div>
        <w:div w:id="874655412">
          <w:marLeft w:val="1166"/>
          <w:marRight w:val="0"/>
          <w:marTop w:val="200"/>
          <w:marBottom w:val="0"/>
          <w:divBdr>
            <w:top w:val="none" w:sz="0" w:space="0" w:color="auto"/>
            <w:left w:val="none" w:sz="0" w:space="0" w:color="auto"/>
            <w:bottom w:val="none" w:sz="0" w:space="0" w:color="auto"/>
            <w:right w:val="none" w:sz="0" w:space="0" w:color="auto"/>
          </w:divBdr>
        </w:div>
        <w:div w:id="2079787535">
          <w:marLeft w:val="1166"/>
          <w:marRight w:val="0"/>
          <w:marTop w:val="200"/>
          <w:marBottom w:val="0"/>
          <w:divBdr>
            <w:top w:val="none" w:sz="0" w:space="0" w:color="auto"/>
            <w:left w:val="none" w:sz="0" w:space="0" w:color="auto"/>
            <w:bottom w:val="none" w:sz="0" w:space="0" w:color="auto"/>
            <w:right w:val="none" w:sz="0" w:space="0" w:color="auto"/>
          </w:divBdr>
        </w:div>
        <w:div w:id="1642953272">
          <w:marLeft w:val="1166"/>
          <w:marRight w:val="0"/>
          <w:marTop w:val="200"/>
          <w:marBottom w:val="0"/>
          <w:divBdr>
            <w:top w:val="none" w:sz="0" w:space="0" w:color="auto"/>
            <w:left w:val="none" w:sz="0" w:space="0" w:color="auto"/>
            <w:bottom w:val="none" w:sz="0" w:space="0" w:color="auto"/>
            <w:right w:val="none" w:sz="0" w:space="0" w:color="auto"/>
          </w:divBdr>
        </w:div>
      </w:divsChild>
    </w:div>
    <w:div w:id="1586106557">
      <w:bodyDiv w:val="1"/>
      <w:marLeft w:val="0"/>
      <w:marRight w:val="0"/>
      <w:marTop w:val="0"/>
      <w:marBottom w:val="0"/>
      <w:divBdr>
        <w:top w:val="none" w:sz="0" w:space="0" w:color="auto"/>
        <w:left w:val="none" w:sz="0" w:space="0" w:color="auto"/>
        <w:bottom w:val="none" w:sz="0" w:space="0" w:color="auto"/>
        <w:right w:val="none" w:sz="0" w:space="0" w:color="auto"/>
      </w:divBdr>
      <w:divsChild>
        <w:div w:id="1482504123">
          <w:marLeft w:val="547"/>
          <w:marRight w:val="0"/>
          <w:marTop w:val="200"/>
          <w:marBottom w:val="0"/>
          <w:divBdr>
            <w:top w:val="none" w:sz="0" w:space="0" w:color="auto"/>
            <w:left w:val="none" w:sz="0" w:space="0" w:color="auto"/>
            <w:bottom w:val="none" w:sz="0" w:space="0" w:color="auto"/>
            <w:right w:val="none" w:sz="0" w:space="0" w:color="auto"/>
          </w:divBdr>
        </w:div>
        <w:div w:id="541092251">
          <w:marLeft w:val="547"/>
          <w:marRight w:val="0"/>
          <w:marTop w:val="200"/>
          <w:marBottom w:val="0"/>
          <w:divBdr>
            <w:top w:val="none" w:sz="0" w:space="0" w:color="auto"/>
            <w:left w:val="none" w:sz="0" w:space="0" w:color="auto"/>
            <w:bottom w:val="none" w:sz="0" w:space="0" w:color="auto"/>
            <w:right w:val="none" w:sz="0" w:space="0" w:color="auto"/>
          </w:divBdr>
        </w:div>
        <w:div w:id="563106113">
          <w:marLeft w:val="547"/>
          <w:marRight w:val="0"/>
          <w:marTop w:val="200"/>
          <w:marBottom w:val="0"/>
          <w:divBdr>
            <w:top w:val="none" w:sz="0" w:space="0" w:color="auto"/>
            <w:left w:val="none" w:sz="0" w:space="0" w:color="auto"/>
            <w:bottom w:val="none" w:sz="0" w:space="0" w:color="auto"/>
            <w:right w:val="none" w:sz="0" w:space="0" w:color="auto"/>
          </w:divBdr>
        </w:div>
        <w:div w:id="686447044">
          <w:marLeft w:val="547"/>
          <w:marRight w:val="0"/>
          <w:marTop w:val="200"/>
          <w:marBottom w:val="0"/>
          <w:divBdr>
            <w:top w:val="none" w:sz="0" w:space="0" w:color="auto"/>
            <w:left w:val="none" w:sz="0" w:space="0" w:color="auto"/>
            <w:bottom w:val="none" w:sz="0" w:space="0" w:color="auto"/>
            <w:right w:val="none" w:sz="0" w:space="0" w:color="auto"/>
          </w:divBdr>
        </w:div>
        <w:div w:id="2083408743">
          <w:marLeft w:val="547"/>
          <w:marRight w:val="0"/>
          <w:marTop w:val="200"/>
          <w:marBottom w:val="0"/>
          <w:divBdr>
            <w:top w:val="none" w:sz="0" w:space="0" w:color="auto"/>
            <w:left w:val="none" w:sz="0" w:space="0" w:color="auto"/>
            <w:bottom w:val="none" w:sz="0" w:space="0" w:color="auto"/>
            <w:right w:val="none" w:sz="0" w:space="0" w:color="auto"/>
          </w:divBdr>
        </w:div>
      </w:divsChild>
    </w:div>
    <w:div w:id="1635478059">
      <w:bodyDiv w:val="1"/>
      <w:marLeft w:val="0"/>
      <w:marRight w:val="0"/>
      <w:marTop w:val="0"/>
      <w:marBottom w:val="0"/>
      <w:divBdr>
        <w:top w:val="none" w:sz="0" w:space="0" w:color="auto"/>
        <w:left w:val="none" w:sz="0" w:space="0" w:color="auto"/>
        <w:bottom w:val="none" w:sz="0" w:space="0" w:color="auto"/>
        <w:right w:val="none" w:sz="0" w:space="0" w:color="auto"/>
      </w:divBdr>
    </w:div>
    <w:div w:id="1709329493">
      <w:bodyDiv w:val="1"/>
      <w:marLeft w:val="0"/>
      <w:marRight w:val="0"/>
      <w:marTop w:val="0"/>
      <w:marBottom w:val="0"/>
      <w:divBdr>
        <w:top w:val="none" w:sz="0" w:space="0" w:color="auto"/>
        <w:left w:val="none" w:sz="0" w:space="0" w:color="auto"/>
        <w:bottom w:val="none" w:sz="0" w:space="0" w:color="auto"/>
        <w:right w:val="none" w:sz="0" w:space="0" w:color="auto"/>
      </w:divBdr>
    </w:div>
    <w:div w:id="1715498742">
      <w:bodyDiv w:val="1"/>
      <w:marLeft w:val="0"/>
      <w:marRight w:val="0"/>
      <w:marTop w:val="0"/>
      <w:marBottom w:val="0"/>
      <w:divBdr>
        <w:top w:val="none" w:sz="0" w:space="0" w:color="auto"/>
        <w:left w:val="none" w:sz="0" w:space="0" w:color="auto"/>
        <w:bottom w:val="none" w:sz="0" w:space="0" w:color="auto"/>
        <w:right w:val="none" w:sz="0" w:space="0" w:color="auto"/>
      </w:divBdr>
    </w:div>
    <w:div w:id="1738824635">
      <w:bodyDiv w:val="1"/>
      <w:marLeft w:val="0"/>
      <w:marRight w:val="0"/>
      <w:marTop w:val="0"/>
      <w:marBottom w:val="0"/>
      <w:divBdr>
        <w:top w:val="none" w:sz="0" w:space="0" w:color="auto"/>
        <w:left w:val="none" w:sz="0" w:space="0" w:color="auto"/>
        <w:bottom w:val="none" w:sz="0" w:space="0" w:color="auto"/>
        <w:right w:val="none" w:sz="0" w:space="0" w:color="auto"/>
      </w:divBdr>
    </w:div>
    <w:div w:id="1747608362">
      <w:bodyDiv w:val="1"/>
      <w:marLeft w:val="0"/>
      <w:marRight w:val="0"/>
      <w:marTop w:val="0"/>
      <w:marBottom w:val="0"/>
      <w:divBdr>
        <w:top w:val="none" w:sz="0" w:space="0" w:color="auto"/>
        <w:left w:val="none" w:sz="0" w:space="0" w:color="auto"/>
        <w:bottom w:val="none" w:sz="0" w:space="0" w:color="auto"/>
        <w:right w:val="none" w:sz="0" w:space="0" w:color="auto"/>
      </w:divBdr>
      <w:divsChild>
        <w:div w:id="309796084">
          <w:marLeft w:val="0"/>
          <w:marRight w:val="0"/>
          <w:marTop w:val="0"/>
          <w:marBottom w:val="0"/>
          <w:divBdr>
            <w:top w:val="none" w:sz="0" w:space="0" w:color="auto"/>
            <w:left w:val="none" w:sz="0" w:space="0" w:color="auto"/>
            <w:bottom w:val="none" w:sz="0" w:space="0" w:color="auto"/>
            <w:right w:val="none" w:sz="0" w:space="0" w:color="auto"/>
          </w:divBdr>
        </w:div>
        <w:div w:id="1436056142">
          <w:marLeft w:val="0"/>
          <w:marRight w:val="0"/>
          <w:marTop w:val="0"/>
          <w:marBottom w:val="0"/>
          <w:divBdr>
            <w:top w:val="none" w:sz="0" w:space="0" w:color="auto"/>
            <w:left w:val="none" w:sz="0" w:space="0" w:color="auto"/>
            <w:bottom w:val="none" w:sz="0" w:space="0" w:color="auto"/>
            <w:right w:val="none" w:sz="0" w:space="0" w:color="auto"/>
          </w:divBdr>
          <w:divsChild>
            <w:div w:id="516509480">
              <w:marLeft w:val="0"/>
              <w:marRight w:val="0"/>
              <w:marTop w:val="0"/>
              <w:marBottom w:val="0"/>
              <w:divBdr>
                <w:top w:val="none" w:sz="0" w:space="0" w:color="auto"/>
                <w:left w:val="none" w:sz="0" w:space="0" w:color="auto"/>
                <w:bottom w:val="none" w:sz="0" w:space="0" w:color="auto"/>
                <w:right w:val="none" w:sz="0" w:space="0" w:color="auto"/>
              </w:divBdr>
              <w:divsChild>
                <w:div w:id="1330447568">
                  <w:marLeft w:val="0"/>
                  <w:marRight w:val="0"/>
                  <w:marTop w:val="0"/>
                  <w:marBottom w:val="0"/>
                  <w:divBdr>
                    <w:top w:val="none" w:sz="0" w:space="0" w:color="auto"/>
                    <w:left w:val="none" w:sz="0" w:space="0" w:color="auto"/>
                    <w:bottom w:val="none" w:sz="0" w:space="0" w:color="auto"/>
                    <w:right w:val="none" w:sz="0" w:space="0" w:color="auto"/>
                  </w:divBdr>
                  <w:divsChild>
                    <w:div w:id="175925834">
                      <w:marLeft w:val="0"/>
                      <w:marRight w:val="0"/>
                      <w:marTop w:val="0"/>
                      <w:marBottom w:val="0"/>
                      <w:divBdr>
                        <w:top w:val="none" w:sz="0" w:space="0" w:color="auto"/>
                        <w:left w:val="none" w:sz="0" w:space="0" w:color="auto"/>
                        <w:bottom w:val="none" w:sz="0" w:space="0" w:color="auto"/>
                        <w:right w:val="none" w:sz="0" w:space="0" w:color="auto"/>
                      </w:divBdr>
                      <w:divsChild>
                        <w:div w:id="12358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1725">
          <w:marLeft w:val="0"/>
          <w:marRight w:val="0"/>
          <w:marTop w:val="0"/>
          <w:marBottom w:val="0"/>
          <w:divBdr>
            <w:top w:val="none" w:sz="0" w:space="0" w:color="auto"/>
            <w:left w:val="none" w:sz="0" w:space="0" w:color="auto"/>
            <w:bottom w:val="none" w:sz="0" w:space="0" w:color="auto"/>
            <w:right w:val="none" w:sz="0" w:space="0" w:color="auto"/>
          </w:divBdr>
          <w:divsChild>
            <w:div w:id="1407532200">
              <w:marLeft w:val="0"/>
              <w:marRight w:val="0"/>
              <w:marTop w:val="0"/>
              <w:marBottom w:val="0"/>
              <w:divBdr>
                <w:top w:val="none" w:sz="0" w:space="0" w:color="auto"/>
                <w:left w:val="none" w:sz="0" w:space="0" w:color="auto"/>
                <w:bottom w:val="none" w:sz="0" w:space="0" w:color="auto"/>
                <w:right w:val="none" w:sz="0" w:space="0" w:color="auto"/>
              </w:divBdr>
              <w:divsChild>
                <w:div w:id="852846007">
                  <w:marLeft w:val="0"/>
                  <w:marRight w:val="0"/>
                  <w:marTop w:val="0"/>
                  <w:marBottom w:val="0"/>
                  <w:divBdr>
                    <w:top w:val="none" w:sz="0" w:space="0" w:color="auto"/>
                    <w:left w:val="none" w:sz="0" w:space="0" w:color="auto"/>
                    <w:bottom w:val="none" w:sz="0" w:space="0" w:color="auto"/>
                    <w:right w:val="none" w:sz="0" w:space="0" w:color="auto"/>
                  </w:divBdr>
                  <w:divsChild>
                    <w:div w:id="560949537">
                      <w:marLeft w:val="0"/>
                      <w:marRight w:val="0"/>
                      <w:marTop w:val="0"/>
                      <w:marBottom w:val="0"/>
                      <w:divBdr>
                        <w:top w:val="none" w:sz="0" w:space="0" w:color="auto"/>
                        <w:left w:val="none" w:sz="0" w:space="0" w:color="auto"/>
                        <w:bottom w:val="none" w:sz="0" w:space="0" w:color="auto"/>
                        <w:right w:val="none" w:sz="0" w:space="0" w:color="auto"/>
                      </w:divBdr>
                      <w:divsChild>
                        <w:div w:id="752702454">
                          <w:marLeft w:val="0"/>
                          <w:marRight w:val="0"/>
                          <w:marTop w:val="0"/>
                          <w:marBottom w:val="0"/>
                          <w:divBdr>
                            <w:top w:val="none" w:sz="0" w:space="0" w:color="auto"/>
                            <w:left w:val="none" w:sz="0" w:space="0" w:color="auto"/>
                            <w:bottom w:val="none" w:sz="0" w:space="0" w:color="auto"/>
                            <w:right w:val="none" w:sz="0" w:space="0" w:color="auto"/>
                          </w:divBdr>
                          <w:divsChild>
                            <w:div w:id="9856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477235">
      <w:bodyDiv w:val="1"/>
      <w:marLeft w:val="0"/>
      <w:marRight w:val="0"/>
      <w:marTop w:val="0"/>
      <w:marBottom w:val="0"/>
      <w:divBdr>
        <w:top w:val="none" w:sz="0" w:space="0" w:color="auto"/>
        <w:left w:val="none" w:sz="0" w:space="0" w:color="auto"/>
        <w:bottom w:val="none" w:sz="0" w:space="0" w:color="auto"/>
        <w:right w:val="none" w:sz="0" w:space="0" w:color="auto"/>
      </w:divBdr>
    </w:div>
    <w:div w:id="1763338236">
      <w:bodyDiv w:val="1"/>
      <w:marLeft w:val="0"/>
      <w:marRight w:val="0"/>
      <w:marTop w:val="0"/>
      <w:marBottom w:val="0"/>
      <w:divBdr>
        <w:top w:val="none" w:sz="0" w:space="0" w:color="auto"/>
        <w:left w:val="none" w:sz="0" w:space="0" w:color="auto"/>
        <w:bottom w:val="none" w:sz="0" w:space="0" w:color="auto"/>
        <w:right w:val="none" w:sz="0" w:space="0" w:color="auto"/>
      </w:divBdr>
    </w:div>
    <w:div w:id="1770198587">
      <w:bodyDiv w:val="1"/>
      <w:marLeft w:val="0"/>
      <w:marRight w:val="0"/>
      <w:marTop w:val="0"/>
      <w:marBottom w:val="0"/>
      <w:divBdr>
        <w:top w:val="none" w:sz="0" w:space="0" w:color="auto"/>
        <w:left w:val="none" w:sz="0" w:space="0" w:color="auto"/>
        <w:bottom w:val="none" w:sz="0" w:space="0" w:color="auto"/>
        <w:right w:val="none" w:sz="0" w:space="0" w:color="auto"/>
      </w:divBdr>
    </w:div>
    <w:div w:id="1825512802">
      <w:bodyDiv w:val="1"/>
      <w:marLeft w:val="0"/>
      <w:marRight w:val="0"/>
      <w:marTop w:val="0"/>
      <w:marBottom w:val="0"/>
      <w:divBdr>
        <w:top w:val="none" w:sz="0" w:space="0" w:color="auto"/>
        <w:left w:val="none" w:sz="0" w:space="0" w:color="auto"/>
        <w:bottom w:val="none" w:sz="0" w:space="0" w:color="auto"/>
        <w:right w:val="none" w:sz="0" w:space="0" w:color="auto"/>
      </w:divBdr>
    </w:div>
    <w:div w:id="1835296243">
      <w:bodyDiv w:val="1"/>
      <w:marLeft w:val="0"/>
      <w:marRight w:val="0"/>
      <w:marTop w:val="0"/>
      <w:marBottom w:val="0"/>
      <w:divBdr>
        <w:top w:val="none" w:sz="0" w:space="0" w:color="auto"/>
        <w:left w:val="none" w:sz="0" w:space="0" w:color="auto"/>
        <w:bottom w:val="none" w:sz="0" w:space="0" w:color="auto"/>
        <w:right w:val="none" w:sz="0" w:space="0" w:color="auto"/>
      </w:divBdr>
    </w:div>
    <w:div w:id="1860967491">
      <w:bodyDiv w:val="1"/>
      <w:marLeft w:val="0"/>
      <w:marRight w:val="0"/>
      <w:marTop w:val="0"/>
      <w:marBottom w:val="0"/>
      <w:divBdr>
        <w:top w:val="none" w:sz="0" w:space="0" w:color="auto"/>
        <w:left w:val="none" w:sz="0" w:space="0" w:color="auto"/>
        <w:bottom w:val="none" w:sz="0" w:space="0" w:color="auto"/>
        <w:right w:val="none" w:sz="0" w:space="0" w:color="auto"/>
      </w:divBdr>
    </w:div>
    <w:div w:id="1872187546">
      <w:bodyDiv w:val="1"/>
      <w:marLeft w:val="0"/>
      <w:marRight w:val="0"/>
      <w:marTop w:val="0"/>
      <w:marBottom w:val="0"/>
      <w:divBdr>
        <w:top w:val="none" w:sz="0" w:space="0" w:color="auto"/>
        <w:left w:val="none" w:sz="0" w:space="0" w:color="auto"/>
        <w:bottom w:val="none" w:sz="0" w:space="0" w:color="auto"/>
        <w:right w:val="none" w:sz="0" w:space="0" w:color="auto"/>
      </w:divBdr>
    </w:div>
    <w:div w:id="1887137015">
      <w:bodyDiv w:val="1"/>
      <w:marLeft w:val="0"/>
      <w:marRight w:val="0"/>
      <w:marTop w:val="0"/>
      <w:marBottom w:val="0"/>
      <w:divBdr>
        <w:top w:val="none" w:sz="0" w:space="0" w:color="auto"/>
        <w:left w:val="none" w:sz="0" w:space="0" w:color="auto"/>
        <w:bottom w:val="none" w:sz="0" w:space="0" w:color="auto"/>
        <w:right w:val="none" w:sz="0" w:space="0" w:color="auto"/>
      </w:divBdr>
    </w:div>
    <w:div w:id="1922444205">
      <w:bodyDiv w:val="1"/>
      <w:marLeft w:val="0"/>
      <w:marRight w:val="0"/>
      <w:marTop w:val="0"/>
      <w:marBottom w:val="0"/>
      <w:divBdr>
        <w:top w:val="none" w:sz="0" w:space="0" w:color="auto"/>
        <w:left w:val="none" w:sz="0" w:space="0" w:color="auto"/>
        <w:bottom w:val="none" w:sz="0" w:space="0" w:color="auto"/>
        <w:right w:val="none" w:sz="0" w:space="0" w:color="auto"/>
      </w:divBdr>
      <w:divsChild>
        <w:div w:id="668672926">
          <w:marLeft w:val="360"/>
          <w:marRight w:val="0"/>
          <w:marTop w:val="200"/>
          <w:marBottom w:val="0"/>
          <w:divBdr>
            <w:top w:val="none" w:sz="0" w:space="0" w:color="auto"/>
            <w:left w:val="none" w:sz="0" w:space="0" w:color="auto"/>
            <w:bottom w:val="none" w:sz="0" w:space="0" w:color="auto"/>
            <w:right w:val="none" w:sz="0" w:space="0" w:color="auto"/>
          </w:divBdr>
        </w:div>
        <w:div w:id="1053119361">
          <w:marLeft w:val="360"/>
          <w:marRight w:val="0"/>
          <w:marTop w:val="200"/>
          <w:marBottom w:val="0"/>
          <w:divBdr>
            <w:top w:val="none" w:sz="0" w:space="0" w:color="auto"/>
            <w:left w:val="none" w:sz="0" w:space="0" w:color="auto"/>
            <w:bottom w:val="none" w:sz="0" w:space="0" w:color="auto"/>
            <w:right w:val="none" w:sz="0" w:space="0" w:color="auto"/>
          </w:divBdr>
        </w:div>
        <w:div w:id="497965051">
          <w:marLeft w:val="360"/>
          <w:marRight w:val="0"/>
          <w:marTop w:val="200"/>
          <w:marBottom w:val="0"/>
          <w:divBdr>
            <w:top w:val="none" w:sz="0" w:space="0" w:color="auto"/>
            <w:left w:val="none" w:sz="0" w:space="0" w:color="auto"/>
            <w:bottom w:val="none" w:sz="0" w:space="0" w:color="auto"/>
            <w:right w:val="none" w:sz="0" w:space="0" w:color="auto"/>
          </w:divBdr>
        </w:div>
        <w:div w:id="45571440">
          <w:marLeft w:val="360"/>
          <w:marRight w:val="0"/>
          <w:marTop w:val="200"/>
          <w:marBottom w:val="0"/>
          <w:divBdr>
            <w:top w:val="none" w:sz="0" w:space="0" w:color="auto"/>
            <w:left w:val="none" w:sz="0" w:space="0" w:color="auto"/>
            <w:bottom w:val="none" w:sz="0" w:space="0" w:color="auto"/>
            <w:right w:val="none" w:sz="0" w:space="0" w:color="auto"/>
          </w:divBdr>
        </w:div>
        <w:div w:id="907768202">
          <w:marLeft w:val="360"/>
          <w:marRight w:val="0"/>
          <w:marTop w:val="200"/>
          <w:marBottom w:val="0"/>
          <w:divBdr>
            <w:top w:val="none" w:sz="0" w:space="0" w:color="auto"/>
            <w:left w:val="none" w:sz="0" w:space="0" w:color="auto"/>
            <w:bottom w:val="none" w:sz="0" w:space="0" w:color="auto"/>
            <w:right w:val="none" w:sz="0" w:space="0" w:color="auto"/>
          </w:divBdr>
        </w:div>
      </w:divsChild>
    </w:div>
    <w:div w:id="1930455656">
      <w:bodyDiv w:val="1"/>
      <w:marLeft w:val="0"/>
      <w:marRight w:val="0"/>
      <w:marTop w:val="0"/>
      <w:marBottom w:val="0"/>
      <w:divBdr>
        <w:top w:val="none" w:sz="0" w:space="0" w:color="auto"/>
        <w:left w:val="none" w:sz="0" w:space="0" w:color="auto"/>
        <w:bottom w:val="none" w:sz="0" w:space="0" w:color="auto"/>
        <w:right w:val="none" w:sz="0" w:space="0" w:color="auto"/>
      </w:divBdr>
      <w:divsChild>
        <w:div w:id="904145017">
          <w:marLeft w:val="547"/>
          <w:marRight w:val="0"/>
          <w:marTop w:val="200"/>
          <w:marBottom w:val="0"/>
          <w:divBdr>
            <w:top w:val="none" w:sz="0" w:space="0" w:color="auto"/>
            <w:left w:val="none" w:sz="0" w:space="0" w:color="auto"/>
            <w:bottom w:val="none" w:sz="0" w:space="0" w:color="auto"/>
            <w:right w:val="none" w:sz="0" w:space="0" w:color="auto"/>
          </w:divBdr>
        </w:div>
        <w:div w:id="2046563619">
          <w:marLeft w:val="547"/>
          <w:marRight w:val="0"/>
          <w:marTop w:val="200"/>
          <w:marBottom w:val="0"/>
          <w:divBdr>
            <w:top w:val="none" w:sz="0" w:space="0" w:color="auto"/>
            <w:left w:val="none" w:sz="0" w:space="0" w:color="auto"/>
            <w:bottom w:val="none" w:sz="0" w:space="0" w:color="auto"/>
            <w:right w:val="none" w:sz="0" w:space="0" w:color="auto"/>
          </w:divBdr>
        </w:div>
        <w:div w:id="1140272944">
          <w:marLeft w:val="1166"/>
          <w:marRight w:val="0"/>
          <w:marTop w:val="200"/>
          <w:marBottom w:val="0"/>
          <w:divBdr>
            <w:top w:val="none" w:sz="0" w:space="0" w:color="auto"/>
            <w:left w:val="none" w:sz="0" w:space="0" w:color="auto"/>
            <w:bottom w:val="none" w:sz="0" w:space="0" w:color="auto"/>
            <w:right w:val="none" w:sz="0" w:space="0" w:color="auto"/>
          </w:divBdr>
        </w:div>
        <w:div w:id="1872495623">
          <w:marLeft w:val="1166"/>
          <w:marRight w:val="0"/>
          <w:marTop w:val="200"/>
          <w:marBottom w:val="0"/>
          <w:divBdr>
            <w:top w:val="none" w:sz="0" w:space="0" w:color="auto"/>
            <w:left w:val="none" w:sz="0" w:space="0" w:color="auto"/>
            <w:bottom w:val="none" w:sz="0" w:space="0" w:color="auto"/>
            <w:right w:val="none" w:sz="0" w:space="0" w:color="auto"/>
          </w:divBdr>
        </w:div>
        <w:div w:id="261423792">
          <w:marLeft w:val="1166"/>
          <w:marRight w:val="0"/>
          <w:marTop w:val="200"/>
          <w:marBottom w:val="0"/>
          <w:divBdr>
            <w:top w:val="none" w:sz="0" w:space="0" w:color="auto"/>
            <w:left w:val="none" w:sz="0" w:space="0" w:color="auto"/>
            <w:bottom w:val="none" w:sz="0" w:space="0" w:color="auto"/>
            <w:right w:val="none" w:sz="0" w:space="0" w:color="auto"/>
          </w:divBdr>
        </w:div>
        <w:div w:id="544757330">
          <w:marLeft w:val="547"/>
          <w:marRight w:val="0"/>
          <w:marTop w:val="200"/>
          <w:marBottom w:val="0"/>
          <w:divBdr>
            <w:top w:val="none" w:sz="0" w:space="0" w:color="auto"/>
            <w:left w:val="none" w:sz="0" w:space="0" w:color="auto"/>
            <w:bottom w:val="none" w:sz="0" w:space="0" w:color="auto"/>
            <w:right w:val="none" w:sz="0" w:space="0" w:color="auto"/>
          </w:divBdr>
        </w:div>
        <w:div w:id="735249193">
          <w:marLeft w:val="1166"/>
          <w:marRight w:val="0"/>
          <w:marTop w:val="200"/>
          <w:marBottom w:val="0"/>
          <w:divBdr>
            <w:top w:val="none" w:sz="0" w:space="0" w:color="auto"/>
            <w:left w:val="none" w:sz="0" w:space="0" w:color="auto"/>
            <w:bottom w:val="none" w:sz="0" w:space="0" w:color="auto"/>
            <w:right w:val="none" w:sz="0" w:space="0" w:color="auto"/>
          </w:divBdr>
        </w:div>
        <w:div w:id="1940671332">
          <w:marLeft w:val="1166"/>
          <w:marRight w:val="0"/>
          <w:marTop w:val="200"/>
          <w:marBottom w:val="0"/>
          <w:divBdr>
            <w:top w:val="none" w:sz="0" w:space="0" w:color="auto"/>
            <w:left w:val="none" w:sz="0" w:space="0" w:color="auto"/>
            <w:bottom w:val="none" w:sz="0" w:space="0" w:color="auto"/>
            <w:right w:val="none" w:sz="0" w:space="0" w:color="auto"/>
          </w:divBdr>
        </w:div>
        <w:div w:id="847982221">
          <w:marLeft w:val="1166"/>
          <w:marRight w:val="0"/>
          <w:marTop w:val="200"/>
          <w:marBottom w:val="0"/>
          <w:divBdr>
            <w:top w:val="none" w:sz="0" w:space="0" w:color="auto"/>
            <w:left w:val="none" w:sz="0" w:space="0" w:color="auto"/>
            <w:bottom w:val="none" w:sz="0" w:space="0" w:color="auto"/>
            <w:right w:val="none" w:sz="0" w:space="0" w:color="auto"/>
          </w:divBdr>
        </w:div>
      </w:divsChild>
    </w:div>
    <w:div w:id="1930891176">
      <w:bodyDiv w:val="1"/>
      <w:marLeft w:val="0"/>
      <w:marRight w:val="0"/>
      <w:marTop w:val="0"/>
      <w:marBottom w:val="0"/>
      <w:divBdr>
        <w:top w:val="none" w:sz="0" w:space="0" w:color="auto"/>
        <w:left w:val="none" w:sz="0" w:space="0" w:color="auto"/>
        <w:bottom w:val="none" w:sz="0" w:space="0" w:color="auto"/>
        <w:right w:val="none" w:sz="0" w:space="0" w:color="auto"/>
      </w:divBdr>
    </w:div>
    <w:div w:id="1937639928">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7496444">
      <w:bodyDiv w:val="1"/>
      <w:marLeft w:val="0"/>
      <w:marRight w:val="0"/>
      <w:marTop w:val="0"/>
      <w:marBottom w:val="0"/>
      <w:divBdr>
        <w:top w:val="none" w:sz="0" w:space="0" w:color="auto"/>
        <w:left w:val="none" w:sz="0" w:space="0" w:color="auto"/>
        <w:bottom w:val="none" w:sz="0" w:space="0" w:color="auto"/>
        <w:right w:val="none" w:sz="0" w:space="0" w:color="auto"/>
      </w:divBdr>
    </w:div>
    <w:div w:id="1978603125">
      <w:bodyDiv w:val="1"/>
      <w:marLeft w:val="0"/>
      <w:marRight w:val="0"/>
      <w:marTop w:val="0"/>
      <w:marBottom w:val="0"/>
      <w:divBdr>
        <w:top w:val="none" w:sz="0" w:space="0" w:color="auto"/>
        <w:left w:val="none" w:sz="0" w:space="0" w:color="auto"/>
        <w:bottom w:val="none" w:sz="0" w:space="0" w:color="auto"/>
        <w:right w:val="none" w:sz="0" w:space="0" w:color="auto"/>
      </w:divBdr>
    </w:div>
    <w:div w:id="2016806395">
      <w:bodyDiv w:val="1"/>
      <w:marLeft w:val="0"/>
      <w:marRight w:val="0"/>
      <w:marTop w:val="0"/>
      <w:marBottom w:val="0"/>
      <w:divBdr>
        <w:top w:val="none" w:sz="0" w:space="0" w:color="auto"/>
        <w:left w:val="none" w:sz="0" w:space="0" w:color="auto"/>
        <w:bottom w:val="none" w:sz="0" w:space="0" w:color="auto"/>
        <w:right w:val="none" w:sz="0" w:space="0" w:color="auto"/>
      </w:divBdr>
    </w:div>
    <w:div w:id="2031829840">
      <w:bodyDiv w:val="1"/>
      <w:marLeft w:val="0"/>
      <w:marRight w:val="0"/>
      <w:marTop w:val="0"/>
      <w:marBottom w:val="0"/>
      <w:divBdr>
        <w:top w:val="none" w:sz="0" w:space="0" w:color="auto"/>
        <w:left w:val="none" w:sz="0" w:space="0" w:color="auto"/>
        <w:bottom w:val="none" w:sz="0" w:space="0" w:color="auto"/>
        <w:right w:val="none" w:sz="0" w:space="0" w:color="auto"/>
      </w:divBdr>
      <w:divsChild>
        <w:div w:id="903221461">
          <w:marLeft w:val="360"/>
          <w:marRight w:val="0"/>
          <w:marTop w:val="200"/>
          <w:marBottom w:val="0"/>
          <w:divBdr>
            <w:top w:val="none" w:sz="0" w:space="0" w:color="auto"/>
            <w:left w:val="none" w:sz="0" w:space="0" w:color="auto"/>
            <w:bottom w:val="none" w:sz="0" w:space="0" w:color="auto"/>
            <w:right w:val="none" w:sz="0" w:space="0" w:color="auto"/>
          </w:divBdr>
        </w:div>
        <w:div w:id="117065399">
          <w:marLeft w:val="360"/>
          <w:marRight w:val="0"/>
          <w:marTop w:val="200"/>
          <w:marBottom w:val="0"/>
          <w:divBdr>
            <w:top w:val="none" w:sz="0" w:space="0" w:color="auto"/>
            <w:left w:val="none" w:sz="0" w:space="0" w:color="auto"/>
            <w:bottom w:val="none" w:sz="0" w:space="0" w:color="auto"/>
            <w:right w:val="none" w:sz="0" w:space="0" w:color="auto"/>
          </w:divBdr>
        </w:div>
        <w:div w:id="1817719123">
          <w:marLeft w:val="360"/>
          <w:marRight w:val="0"/>
          <w:marTop w:val="200"/>
          <w:marBottom w:val="0"/>
          <w:divBdr>
            <w:top w:val="none" w:sz="0" w:space="0" w:color="auto"/>
            <w:left w:val="none" w:sz="0" w:space="0" w:color="auto"/>
            <w:bottom w:val="none" w:sz="0" w:space="0" w:color="auto"/>
            <w:right w:val="none" w:sz="0" w:space="0" w:color="auto"/>
          </w:divBdr>
        </w:div>
        <w:div w:id="1868566739">
          <w:marLeft w:val="360"/>
          <w:marRight w:val="0"/>
          <w:marTop w:val="200"/>
          <w:marBottom w:val="0"/>
          <w:divBdr>
            <w:top w:val="none" w:sz="0" w:space="0" w:color="auto"/>
            <w:left w:val="none" w:sz="0" w:space="0" w:color="auto"/>
            <w:bottom w:val="none" w:sz="0" w:space="0" w:color="auto"/>
            <w:right w:val="none" w:sz="0" w:space="0" w:color="auto"/>
          </w:divBdr>
        </w:div>
      </w:divsChild>
    </w:div>
    <w:div w:id="2051492260">
      <w:bodyDiv w:val="1"/>
      <w:marLeft w:val="0"/>
      <w:marRight w:val="0"/>
      <w:marTop w:val="0"/>
      <w:marBottom w:val="0"/>
      <w:divBdr>
        <w:top w:val="none" w:sz="0" w:space="0" w:color="auto"/>
        <w:left w:val="none" w:sz="0" w:space="0" w:color="auto"/>
        <w:bottom w:val="none" w:sz="0" w:space="0" w:color="auto"/>
        <w:right w:val="none" w:sz="0" w:space="0" w:color="auto"/>
      </w:divBdr>
    </w:div>
    <w:div w:id="2064911970">
      <w:bodyDiv w:val="1"/>
      <w:marLeft w:val="0"/>
      <w:marRight w:val="0"/>
      <w:marTop w:val="0"/>
      <w:marBottom w:val="0"/>
      <w:divBdr>
        <w:top w:val="none" w:sz="0" w:space="0" w:color="auto"/>
        <w:left w:val="none" w:sz="0" w:space="0" w:color="auto"/>
        <w:bottom w:val="none" w:sz="0" w:space="0" w:color="auto"/>
        <w:right w:val="none" w:sz="0" w:space="0" w:color="auto"/>
      </w:divBdr>
    </w:div>
    <w:div w:id="2093117876">
      <w:bodyDiv w:val="1"/>
      <w:marLeft w:val="0"/>
      <w:marRight w:val="0"/>
      <w:marTop w:val="0"/>
      <w:marBottom w:val="0"/>
      <w:divBdr>
        <w:top w:val="none" w:sz="0" w:space="0" w:color="auto"/>
        <w:left w:val="none" w:sz="0" w:space="0" w:color="auto"/>
        <w:bottom w:val="none" w:sz="0" w:space="0" w:color="auto"/>
        <w:right w:val="none" w:sz="0" w:space="0" w:color="auto"/>
      </w:divBdr>
    </w:div>
    <w:div w:id="2107647310">
      <w:bodyDiv w:val="1"/>
      <w:marLeft w:val="0"/>
      <w:marRight w:val="0"/>
      <w:marTop w:val="0"/>
      <w:marBottom w:val="0"/>
      <w:divBdr>
        <w:top w:val="none" w:sz="0" w:space="0" w:color="auto"/>
        <w:left w:val="none" w:sz="0" w:space="0" w:color="auto"/>
        <w:bottom w:val="none" w:sz="0" w:space="0" w:color="auto"/>
        <w:right w:val="none" w:sz="0" w:space="0" w:color="auto"/>
      </w:divBdr>
    </w:div>
    <w:div w:id="2115242187">
      <w:bodyDiv w:val="1"/>
      <w:marLeft w:val="0"/>
      <w:marRight w:val="0"/>
      <w:marTop w:val="0"/>
      <w:marBottom w:val="0"/>
      <w:divBdr>
        <w:top w:val="none" w:sz="0" w:space="0" w:color="auto"/>
        <w:left w:val="none" w:sz="0" w:space="0" w:color="auto"/>
        <w:bottom w:val="none" w:sz="0" w:space="0" w:color="auto"/>
        <w:right w:val="none" w:sz="0" w:space="0" w:color="auto"/>
      </w:divBdr>
    </w:div>
    <w:div w:id="2130464903">
      <w:bodyDiv w:val="1"/>
      <w:marLeft w:val="0"/>
      <w:marRight w:val="0"/>
      <w:marTop w:val="0"/>
      <w:marBottom w:val="0"/>
      <w:divBdr>
        <w:top w:val="none" w:sz="0" w:space="0" w:color="auto"/>
        <w:left w:val="none" w:sz="0" w:space="0" w:color="auto"/>
        <w:bottom w:val="none" w:sz="0" w:space="0" w:color="auto"/>
        <w:right w:val="none" w:sz="0" w:space="0" w:color="auto"/>
      </w:divBdr>
      <w:divsChild>
        <w:div w:id="540479735">
          <w:marLeft w:val="547"/>
          <w:marRight w:val="0"/>
          <w:marTop w:val="200"/>
          <w:marBottom w:val="0"/>
          <w:divBdr>
            <w:top w:val="none" w:sz="0" w:space="0" w:color="auto"/>
            <w:left w:val="none" w:sz="0" w:space="0" w:color="auto"/>
            <w:bottom w:val="none" w:sz="0" w:space="0" w:color="auto"/>
            <w:right w:val="none" w:sz="0" w:space="0" w:color="auto"/>
          </w:divBdr>
        </w:div>
        <w:div w:id="547380189">
          <w:marLeft w:val="547"/>
          <w:marRight w:val="0"/>
          <w:marTop w:val="200"/>
          <w:marBottom w:val="0"/>
          <w:divBdr>
            <w:top w:val="none" w:sz="0" w:space="0" w:color="auto"/>
            <w:left w:val="none" w:sz="0" w:space="0" w:color="auto"/>
            <w:bottom w:val="none" w:sz="0" w:space="0" w:color="auto"/>
            <w:right w:val="none" w:sz="0" w:space="0" w:color="auto"/>
          </w:divBdr>
        </w:div>
        <w:div w:id="848829322">
          <w:marLeft w:val="547"/>
          <w:marRight w:val="0"/>
          <w:marTop w:val="200"/>
          <w:marBottom w:val="0"/>
          <w:divBdr>
            <w:top w:val="none" w:sz="0" w:space="0" w:color="auto"/>
            <w:left w:val="none" w:sz="0" w:space="0" w:color="auto"/>
            <w:bottom w:val="none" w:sz="0" w:space="0" w:color="auto"/>
            <w:right w:val="none" w:sz="0" w:space="0" w:color="auto"/>
          </w:divBdr>
        </w:div>
        <w:div w:id="477961438">
          <w:marLeft w:val="1166"/>
          <w:marRight w:val="0"/>
          <w:marTop w:val="200"/>
          <w:marBottom w:val="0"/>
          <w:divBdr>
            <w:top w:val="none" w:sz="0" w:space="0" w:color="auto"/>
            <w:left w:val="none" w:sz="0" w:space="0" w:color="auto"/>
            <w:bottom w:val="none" w:sz="0" w:space="0" w:color="auto"/>
            <w:right w:val="none" w:sz="0" w:space="0" w:color="auto"/>
          </w:divBdr>
        </w:div>
        <w:div w:id="60450460">
          <w:marLeft w:val="1166"/>
          <w:marRight w:val="0"/>
          <w:marTop w:val="200"/>
          <w:marBottom w:val="0"/>
          <w:divBdr>
            <w:top w:val="none" w:sz="0" w:space="0" w:color="auto"/>
            <w:left w:val="none" w:sz="0" w:space="0" w:color="auto"/>
            <w:bottom w:val="none" w:sz="0" w:space="0" w:color="auto"/>
            <w:right w:val="none" w:sz="0" w:space="0" w:color="auto"/>
          </w:divBdr>
        </w:div>
        <w:div w:id="782387559">
          <w:marLeft w:val="1166"/>
          <w:marRight w:val="0"/>
          <w:marTop w:val="200"/>
          <w:marBottom w:val="0"/>
          <w:divBdr>
            <w:top w:val="none" w:sz="0" w:space="0" w:color="auto"/>
            <w:left w:val="none" w:sz="0" w:space="0" w:color="auto"/>
            <w:bottom w:val="none" w:sz="0" w:space="0" w:color="auto"/>
            <w:right w:val="none" w:sz="0" w:space="0" w:color="auto"/>
          </w:divBdr>
        </w:div>
        <w:div w:id="862522199">
          <w:marLeft w:val="547"/>
          <w:marRight w:val="0"/>
          <w:marTop w:val="200"/>
          <w:marBottom w:val="0"/>
          <w:divBdr>
            <w:top w:val="none" w:sz="0" w:space="0" w:color="auto"/>
            <w:left w:val="none" w:sz="0" w:space="0" w:color="auto"/>
            <w:bottom w:val="none" w:sz="0" w:space="0" w:color="auto"/>
            <w:right w:val="none" w:sz="0" w:space="0" w:color="auto"/>
          </w:divBdr>
        </w:div>
        <w:div w:id="184487578">
          <w:marLeft w:val="1166"/>
          <w:marRight w:val="0"/>
          <w:marTop w:val="200"/>
          <w:marBottom w:val="0"/>
          <w:divBdr>
            <w:top w:val="none" w:sz="0" w:space="0" w:color="auto"/>
            <w:left w:val="none" w:sz="0" w:space="0" w:color="auto"/>
            <w:bottom w:val="none" w:sz="0" w:space="0" w:color="auto"/>
            <w:right w:val="none" w:sz="0" w:space="0" w:color="auto"/>
          </w:divBdr>
        </w:div>
        <w:div w:id="1662389682">
          <w:marLeft w:val="1166"/>
          <w:marRight w:val="0"/>
          <w:marTop w:val="200"/>
          <w:marBottom w:val="0"/>
          <w:divBdr>
            <w:top w:val="none" w:sz="0" w:space="0" w:color="auto"/>
            <w:left w:val="none" w:sz="0" w:space="0" w:color="auto"/>
            <w:bottom w:val="none" w:sz="0" w:space="0" w:color="auto"/>
            <w:right w:val="none" w:sz="0" w:space="0" w:color="auto"/>
          </w:divBdr>
        </w:div>
        <w:div w:id="1768579177">
          <w:marLeft w:val="1166"/>
          <w:marRight w:val="0"/>
          <w:marTop w:val="200"/>
          <w:marBottom w:val="0"/>
          <w:divBdr>
            <w:top w:val="none" w:sz="0" w:space="0" w:color="auto"/>
            <w:left w:val="none" w:sz="0" w:space="0" w:color="auto"/>
            <w:bottom w:val="none" w:sz="0" w:space="0" w:color="auto"/>
            <w:right w:val="none" w:sz="0" w:space="0" w:color="auto"/>
          </w:divBdr>
        </w:div>
        <w:div w:id="1438332311">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ngahealth.org/about_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ongahealth.org/about_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IIP">
  <a:themeElements>
    <a:clrScheme name="TASP">
      <a:dk1>
        <a:sysClr val="windowText" lastClr="000000"/>
      </a:dk1>
      <a:lt1>
        <a:sysClr val="window" lastClr="FFFFFF"/>
      </a:lt1>
      <a:dk2>
        <a:srgbClr val="696464"/>
      </a:dk2>
      <a:lt2>
        <a:srgbClr val="E9E5DC"/>
      </a:lt2>
      <a:accent1>
        <a:srgbClr val="A64B63"/>
      </a:accent1>
      <a:accent2>
        <a:srgbClr val="172601"/>
      </a:accent2>
      <a:accent3>
        <a:srgbClr val="D98BA0"/>
      </a:accent3>
      <a:accent4>
        <a:srgbClr val="67733D"/>
      </a:accent4>
      <a:accent5>
        <a:srgbClr val="728C3B"/>
      </a:accent5>
      <a:accent6>
        <a:srgbClr val="855D5D"/>
      </a:accent6>
      <a:hlink>
        <a:srgbClr val="CC9900"/>
      </a:hlink>
      <a:folHlink>
        <a:srgbClr val="96A9A9"/>
      </a:folHlink>
    </a:clrScheme>
    <a:fontScheme name="KEIP Report">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db8619-7c91-432c-a441-bbad647ef7f5">
      <Terms xmlns="http://schemas.microsoft.com/office/infopath/2007/PartnerControls"/>
    </lcf76f155ced4ddcb4097134ff3c332f>
    <TaxCatchAll xmlns="b26f463d-f422-4f19-9bb2-134092ed7c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AE6CB44D99424699147158A038312C" ma:contentTypeVersion="15" ma:contentTypeDescription="Create a new document." ma:contentTypeScope="" ma:versionID="6bcdd6a85894d4c47e55eaed3475ec58">
  <xsd:schema xmlns:xsd="http://www.w3.org/2001/XMLSchema" xmlns:xs="http://www.w3.org/2001/XMLSchema" xmlns:p="http://schemas.microsoft.com/office/2006/metadata/properties" xmlns:ns2="e3db8619-7c91-432c-a441-bbad647ef7f5" xmlns:ns3="b26f463d-f422-4f19-9bb2-134092ed7cef" targetNamespace="http://schemas.microsoft.com/office/2006/metadata/properties" ma:root="true" ma:fieldsID="26cc7c7f00f5871f2293f0586938aed4" ns2:_="" ns3:_="">
    <xsd:import namespace="e3db8619-7c91-432c-a441-bbad647ef7f5"/>
    <xsd:import namespace="b26f463d-f422-4f19-9bb2-134092ed7c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b8619-7c91-432c-a441-bbad647e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856162-23be-40d6-8322-c72c21476a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f463d-f422-4f19-9bb2-134092ed7c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5e66ceb-23b4-4dd4-bfb4-479829d6a8a1}" ma:internalName="TaxCatchAll" ma:showField="CatchAllData" ma:web="b26f463d-f422-4f19-9bb2-134092ed7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E38F-121A-43C1-BCEE-3F17080D9B34}">
  <ds:schemaRefs>
    <ds:schemaRef ds:uri="http://schemas.microsoft.com/office/2006/metadata/properties"/>
    <ds:schemaRef ds:uri="e3db8619-7c91-432c-a441-bbad647ef7f5"/>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b26f463d-f422-4f19-9bb2-134092ed7ce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D9FD697-BD17-41E1-9EED-BCEB2C7E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b8619-7c91-432c-a441-bbad647ef7f5"/>
    <ds:schemaRef ds:uri="b26f463d-f422-4f19-9bb2-134092ed7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FBAAC-0B5F-469C-900C-055F24E0D376}">
  <ds:schemaRefs>
    <ds:schemaRef ds:uri="http://schemas.microsoft.com/sharepoint/v3/contenttype/forms"/>
  </ds:schemaRefs>
</ds:datastoreItem>
</file>

<file path=customXml/itemProps4.xml><?xml version="1.0" encoding="utf-8"?>
<ds:datastoreItem xmlns:ds="http://schemas.openxmlformats.org/officeDocument/2006/customXml" ds:itemID="{FB61ABD2-BB36-412C-92C0-0DC8E6DC5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19545</Words>
  <Characters>115490</Characters>
  <Application>Microsoft Office Word</Application>
  <DocSecurity>0</DocSecurity>
  <Lines>2476</Lines>
  <Paragraphs>1038</Paragraphs>
  <ScaleCrop>false</ScaleCrop>
  <HeadingPairs>
    <vt:vector size="2" baseType="variant">
      <vt:variant>
        <vt:lpstr>Title</vt:lpstr>
      </vt:variant>
      <vt:variant>
        <vt:i4>1</vt:i4>
      </vt:variant>
    </vt:vector>
  </HeadingPairs>
  <TitlesOfParts>
    <vt:vector size="1" baseType="lpstr">
      <vt:lpstr>Work Plan 2019-2020</vt:lpstr>
    </vt:vector>
  </TitlesOfParts>
  <Manager>July 2017</Manager>
  <Company>Cardno Emerging Markets</Company>
  <LinksUpToDate>false</LinksUpToDate>
  <CharactersWithSpaces>134395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Tonga Health Promotion Foundation’s Implementation of responsibilities under the National NCD Strategy</dc:title>
  <dc:subject>PARTISIPA Workplan and Budget</dc:subject>
  <dc:creator/>
  <cp:keywords>[SEC=UNOFFICIAL]</cp:keywords>
  <dc:description/>
  <cp:lastModifiedBy>Patrick Baggoley</cp:lastModifiedBy>
  <cp:revision>8</cp:revision>
  <cp:lastPrinted>2019-09-13T03:46:00Z</cp:lastPrinted>
  <dcterms:created xsi:type="dcterms:W3CDTF">2024-08-08T07:36:00Z</dcterms:created>
  <dcterms:modified xsi:type="dcterms:W3CDTF">2024-08-09T00:34:00Z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a89d0220-da54-4ae3-858b-a03b72c7c45a</vt:lpwstr>
  </property>
  <property fmtid="{D5CDD505-2E9C-101B-9397-08002B2CF9AE}" pid="3" name="SEC">
    <vt:lpwstr>UNCLASSIFIED</vt:lpwstr>
  </property>
  <property fmtid="{D5CDD505-2E9C-101B-9397-08002B2CF9AE}" pid="4" name="DLM">
    <vt:lpwstr>No DLM</vt:lpwstr>
  </property>
  <property fmtid="{D5CDD505-2E9C-101B-9397-08002B2CF9AE}" pid="5" name="PM_Namespace">
    <vt:lpwstr>gov.au</vt:lpwstr>
  </property>
  <property fmtid="{D5CDD505-2E9C-101B-9397-08002B2CF9AE}" pid="6" name="PM_Caveats_Count">
    <vt:lpwstr>0</vt:lpwstr>
  </property>
  <property fmtid="{D5CDD505-2E9C-101B-9397-08002B2CF9AE}" pid="7" name="PM_Version">
    <vt:lpwstr>2018.4</vt:lpwstr>
  </property>
  <property fmtid="{D5CDD505-2E9C-101B-9397-08002B2CF9AE}" pid="8" name="PM_Note">
    <vt:lpwstr/>
  </property>
  <property fmtid="{D5CDD505-2E9C-101B-9397-08002B2CF9AE}" pid="9" name="PMHMAC">
    <vt:lpwstr>v=2022.1;a=SHA256;h=55C4C28AAADEB0EDC5DCA0FB69E497A91A70897C4FC72B36AE9EF5123EBBCF5A</vt:lpwstr>
  </property>
  <property fmtid="{D5CDD505-2E9C-101B-9397-08002B2CF9AE}" pid="10" name="PM_Qualifier">
    <vt:lpwstr/>
  </property>
  <property fmtid="{D5CDD505-2E9C-101B-9397-08002B2CF9AE}" pid="11" name="PM_SecurityClassification">
    <vt:lpwstr>UNOFFICIAL</vt:lpwstr>
  </property>
  <property fmtid="{D5CDD505-2E9C-101B-9397-08002B2CF9AE}" pid="12" name="PM_ProtectiveMarkingValue_Header">
    <vt:lpwstr>UNOFFICIAL</vt:lpwstr>
  </property>
  <property fmtid="{D5CDD505-2E9C-101B-9397-08002B2CF9AE}" pid="13" name="PM_OriginationTimeStamp">
    <vt:lpwstr>2024-01-03T02:16:10Z</vt:lpwstr>
  </property>
  <property fmtid="{D5CDD505-2E9C-101B-9397-08002B2CF9AE}" pid="14" name="PM_Markers">
    <vt:lpwstr/>
  </property>
  <property fmtid="{D5CDD505-2E9C-101B-9397-08002B2CF9AE}" pid="15" name="PM_InsertionValue">
    <vt:lpwstr>UNOFFICIAL</vt:lpwstr>
  </property>
  <property fmtid="{D5CDD505-2E9C-101B-9397-08002B2CF9AE}" pid="16" name="PM_Originator_Hash_SHA1">
    <vt:lpwstr>E5329D78ADFF18985C404F3A4015F7B7C209C4C5</vt:lpwstr>
  </property>
  <property fmtid="{D5CDD505-2E9C-101B-9397-08002B2CF9AE}" pid="17" name="PM_DisplayValueSecClassificationWithQualifier">
    <vt:lpwstr>UNOFFICIAL</vt:lpwstr>
  </property>
  <property fmtid="{D5CDD505-2E9C-101B-9397-08002B2CF9AE}" pid="18" name="PM_Originating_FileId">
    <vt:lpwstr>972F3F8521CE4F309AEE256737D88868</vt:lpwstr>
  </property>
  <property fmtid="{D5CDD505-2E9C-101B-9397-08002B2CF9AE}" pid="19" name="PM_ProtectiveMarkingValue_Footer">
    <vt:lpwstr>UNOFFICIAL</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UNOFFICIAL</vt:lpwstr>
  </property>
  <property fmtid="{D5CDD505-2E9C-101B-9397-08002B2CF9AE}" pid="23" name="PM_OriginatorUserAccountName_SHA256">
    <vt:lpwstr>C427463A240001568B1E728057080C091949066E05DD342FA6B5B9F6FF33F8D6</vt:lpwstr>
  </property>
  <property fmtid="{D5CDD505-2E9C-101B-9397-08002B2CF9AE}" pid="24" name="PM_OriginatorDomainName_SHA256">
    <vt:lpwstr>6F3591835F3B2A8A025B00B5BA6418010DA3A17C9C26EA9C049FFD28039489A2</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PM_Hash_Salt_Prev">
    <vt:lpwstr>5CFCD0261A44029AA07E9E376BB92ADA</vt:lpwstr>
  </property>
  <property fmtid="{D5CDD505-2E9C-101B-9397-08002B2CF9AE}" pid="28" name="PM_Hash_Salt">
    <vt:lpwstr>892179E0645E490D583E51CD1F0DD9AE</vt:lpwstr>
  </property>
  <property fmtid="{D5CDD505-2E9C-101B-9397-08002B2CF9AE}" pid="29" name="PM_Hash_SHA1">
    <vt:lpwstr>F0C6FB0F34C28D96FC65F790EFA730FD2B3630F0</vt:lpwstr>
  </property>
  <property fmtid="{D5CDD505-2E9C-101B-9397-08002B2CF9AE}" pid="30" name="PM_SecurityClassification_Prev">
    <vt:lpwstr>UNOFFICIAL</vt:lpwstr>
  </property>
  <property fmtid="{D5CDD505-2E9C-101B-9397-08002B2CF9AE}" pid="31" name="PM_Qualifier_Prev">
    <vt:lpwstr/>
  </property>
  <property fmtid="{D5CDD505-2E9C-101B-9397-08002B2CF9AE}" pid="32" name="ContentTypeId">
    <vt:lpwstr>0x010100B0AE6CB44D99424699147158A038312C</vt:lpwstr>
  </property>
  <property fmtid="{D5CDD505-2E9C-101B-9397-08002B2CF9AE}" pid="33" name="MediaServiceImageTags">
    <vt:lpwstr/>
  </property>
</Properties>
</file>