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AAE2" w14:textId="7298B038" w:rsidR="00DF3001" w:rsidRDefault="00311751" w:rsidP="00311751">
      <w:pPr>
        <w:pStyle w:val="Title"/>
        <w:rPr>
          <w:sz w:val="44"/>
          <w:szCs w:val="44"/>
          <w:lang w:val="en-GB"/>
        </w:rPr>
      </w:pPr>
      <w:r w:rsidRPr="00DC55BD">
        <w:rPr>
          <w:sz w:val="44"/>
          <w:szCs w:val="44"/>
        </w:rPr>
        <w:t xml:space="preserve">Management Response </w:t>
      </w:r>
      <w:r w:rsidR="00FE4BE9" w:rsidRPr="00DC55BD">
        <w:rPr>
          <w:sz w:val="44"/>
          <w:szCs w:val="44"/>
          <w:lang w:val="en-GB"/>
        </w:rPr>
        <w:t>to the Independent Strategic Review of the INOVASI Phase 2 and UNICEF Papua Phase 3 programs (July – November 2022)</w:t>
      </w:r>
      <w:r w:rsidR="00DC55BD" w:rsidRPr="00DC55BD">
        <w:rPr>
          <w:sz w:val="44"/>
          <w:szCs w:val="44"/>
          <w:lang w:val="en-GB"/>
        </w:rPr>
        <w:t>.</w:t>
      </w:r>
    </w:p>
    <w:p w14:paraId="7EDA1645" w14:textId="0F955366" w:rsidR="00DC55BD" w:rsidRDefault="00DC55BD" w:rsidP="00DC55BD">
      <w:pPr>
        <w:rPr>
          <w:lang w:val="en-GB"/>
        </w:rPr>
      </w:pPr>
    </w:p>
    <w:p w14:paraId="6EAD2D1E" w14:textId="05097C62" w:rsidR="00DC55BD" w:rsidRDefault="00DC55BD" w:rsidP="00DC55BD">
      <w:pPr>
        <w:pStyle w:val="Heading1"/>
        <w:rPr>
          <w:lang w:val="en-GB"/>
        </w:rPr>
      </w:pPr>
      <w:r>
        <w:rPr>
          <w:lang w:val="en-GB"/>
        </w:rPr>
        <w:t>Summary of Management Response</w:t>
      </w:r>
    </w:p>
    <w:p w14:paraId="60947790" w14:textId="4D637F83" w:rsidR="007049F6" w:rsidRPr="006A69EA" w:rsidRDefault="00AE6BD9" w:rsidP="00AE6BD9">
      <w:pPr>
        <w:rPr>
          <w:sz w:val="24"/>
          <w:szCs w:val="24"/>
          <w:lang w:val="en-GB"/>
        </w:rPr>
      </w:pPr>
      <w:r w:rsidRPr="006A69EA">
        <w:rPr>
          <w:sz w:val="24"/>
          <w:szCs w:val="24"/>
          <w:lang w:val="en-GB"/>
        </w:rPr>
        <w:t xml:space="preserve">An Independent Strategic Review (ISR) of the Innovation for Indonesia’s School Children (INOVASI) Phase 2 and Rural and Remote Education Initiative in Papua Provinces (UNICEF Papua) Phase 3 programs was conducted from July to November 2022 to </w:t>
      </w:r>
      <w:r w:rsidR="00E948C7" w:rsidRPr="006A69EA">
        <w:rPr>
          <w:sz w:val="24"/>
          <w:szCs w:val="24"/>
          <w:lang w:val="en-GB"/>
        </w:rPr>
        <w:t xml:space="preserve">assess program progress and </w:t>
      </w:r>
      <w:r w:rsidRPr="006A69EA">
        <w:rPr>
          <w:sz w:val="24"/>
          <w:szCs w:val="24"/>
          <w:lang w:val="en-GB"/>
        </w:rPr>
        <w:t xml:space="preserve">inform </w:t>
      </w:r>
      <w:r w:rsidR="00E948C7" w:rsidRPr="006A69EA">
        <w:rPr>
          <w:sz w:val="24"/>
          <w:szCs w:val="24"/>
          <w:lang w:val="en-GB"/>
        </w:rPr>
        <w:t>consideration of any future</w:t>
      </w:r>
      <w:r w:rsidR="00110305" w:rsidRPr="006A69EA">
        <w:rPr>
          <w:sz w:val="24"/>
          <w:szCs w:val="24"/>
          <w:lang w:val="en-GB"/>
        </w:rPr>
        <w:t xml:space="preserve"> Australian development assistance investments in education in</w:t>
      </w:r>
      <w:r w:rsidR="00E948C7" w:rsidRPr="006A69EA">
        <w:rPr>
          <w:sz w:val="24"/>
          <w:szCs w:val="24"/>
          <w:lang w:val="en-GB"/>
        </w:rPr>
        <w:t xml:space="preserve"> Indonesia</w:t>
      </w:r>
      <w:r w:rsidRPr="006A69EA">
        <w:rPr>
          <w:sz w:val="24"/>
          <w:szCs w:val="24"/>
          <w:lang w:val="en-GB"/>
        </w:rPr>
        <w:t xml:space="preserve">. </w:t>
      </w:r>
      <w:r w:rsidR="00110305" w:rsidRPr="006A69EA">
        <w:rPr>
          <w:sz w:val="24"/>
          <w:szCs w:val="24"/>
          <w:lang w:val="en-GB"/>
        </w:rPr>
        <w:t xml:space="preserve">The </w:t>
      </w:r>
      <w:r w:rsidR="00E948C7" w:rsidRPr="006A69EA">
        <w:rPr>
          <w:sz w:val="24"/>
          <w:szCs w:val="24"/>
          <w:lang w:val="en-GB"/>
        </w:rPr>
        <w:t>ISR assessed</w:t>
      </w:r>
      <w:r w:rsidRPr="006A69EA">
        <w:rPr>
          <w:sz w:val="24"/>
          <w:szCs w:val="24"/>
          <w:lang w:val="en-GB"/>
        </w:rPr>
        <w:t xml:space="preserve">: </w:t>
      </w:r>
    </w:p>
    <w:p w14:paraId="7478404A" w14:textId="17E1BB08" w:rsidR="007049F6" w:rsidRPr="006A69EA" w:rsidRDefault="00AE6BD9" w:rsidP="004F0094">
      <w:pPr>
        <w:pStyle w:val="ListParagraph"/>
        <w:numPr>
          <w:ilvl w:val="0"/>
          <w:numId w:val="2"/>
        </w:numPr>
        <w:rPr>
          <w:sz w:val="24"/>
          <w:szCs w:val="24"/>
          <w:lang w:val="en-GB"/>
        </w:rPr>
      </w:pPr>
      <w:r w:rsidRPr="006A69EA">
        <w:rPr>
          <w:sz w:val="24"/>
          <w:szCs w:val="24"/>
          <w:lang w:val="en-GB"/>
        </w:rPr>
        <w:t xml:space="preserve">performance and effectiveness of both programs against End-of-Program-Outcomes (EOPOs), </w:t>
      </w:r>
    </w:p>
    <w:p w14:paraId="03C16074" w14:textId="49D0EBC9" w:rsidR="004F0094" w:rsidRPr="006A69EA" w:rsidRDefault="00AE6BD9" w:rsidP="004F0094">
      <w:pPr>
        <w:pStyle w:val="ListParagraph"/>
        <w:numPr>
          <w:ilvl w:val="0"/>
          <w:numId w:val="2"/>
        </w:numPr>
        <w:rPr>
          <w:sz w:val="24"/>
          <w:szCs w:val="24"/>
          <w:lang w:val="en-GB"/>
        </w:rPr>
      </w:pPr>
      <w:r w:rsidRPr="006A69EA">
        <w:rPr>
          <w:sz w:val="24"/>
          <w:szCs w:val="24"/>
          <w:lang w:val="en-GB"/>
        </w:rPr>
        <w:t>continued relevance of the programs to Government of Australia (</w:t>
      </w:r>
      <w:proofErr w:type="spellStart"/>
      <w:r w:rsidRPr="006A69EA">
        <w:rPr>
          <w:sz w:val="24"/>
          <w:szCs w:val="24"/>
          <w:lang w:val="en-GB"/>
        </w:rPr>
        <w:t>GoA</w:t>
      </w:r>
      <w:proofErr w:type="spellEnd"/>
      <w:r w:rsidRPr="006A69EA">
        <w:rPr>
          <w:sz w:val="24"/>
          <w:szCs w:val="24"/>
          <w:lang w:val="en-GB"/>
        </w:rPr>
        <w:t>/DFAT) and the Government of Indonesia (</w:t>
      </w:r>
      <w:proofErr w:type="spellStart"/>
      <w:r w:rsidRPr="006A69EA">
        <w:rPr>
          <w:sz w:val="24"/>
          <w:szCs w:val="24"/>
          <w:lang w:val="en-GB"/>
        </w:rPr>
        <w:t>GoI</w:t>
      </w:r>
      <w:proofErr w:type="spellEnd"/>
      <w:r w:rsidRPr="006A69EA">
        <w:rPr>
          <w:sz w:val="24"/>
          <w:szCs w:val="24"/>
          <w:lang w:val="en-GB"/>
        </w:rPr>
        <w:t xml:space="preserve">); and </w:t>
      </w:r>
    </w:p>
    <w:p w14:paraId="7A1E5072" w14:textId="047810D4" w:rsidR="00AE6BD9" w:rsidRPr="006A69EA" w:rsidRDefault="00AE6BD9" w:rsidP="004F0094">
      <w:pPr>
        <w:pStyle w:val="ListParagraph"/>
        <w:numPr>
          <w:ilvl w:val="0"/>
          <w:numId w:val="2"/>
        </w:numPr>
        <w:rPr>
          <w:sz w:val="24"/>
          <w:szCs w:val="24"/>
          <w:lang w:val="en-GB"/>
        </w:rPr>
      </w:pPr>
      <w:r w:rsidRPr="006A69EA">
        <w:rPr>
          <w:sz w:val="24"/>
          <w:szCs w:val="24"/>
          <w:lang w:val="en-GB"/>
        </w:rPr>
        <w:t>recommendations for future investment(s) in the education sector in Indonesia beyond 2023.</w:t>
      </w:r>
    </w:p>
    <w:p w14:paraId="3CCB75F3" w14:textId="10F80163" w:rsidR="008D1B1C" w:rsidRPr="006A69EA" w:rsidRDefault="00967333" w:rsidP="00AE6BD9">
      <w:pPr>
        <w:rPr>
          <w:sz w:val="24"/>
          <w:szCs w:val="24"/>
          <w:lang w:val="en-GB"/>
        </w:rPr>
      </w:pPr>
      <w:r w:rsidRPr="006A69EA">
        <w:rPr>
          <w:bCs/>
          <w:sz w:val="24"/>
          <w:szCs w:val="24"/>
        </w:rPr>
        <w:t xml:space="preserve">INOVASI Phase 2 </w:t>
      </w:r>
      <w:r w:rsidR="00047125" w:rsidRPr="006A69EA">
        <w:rPr>
          <w:bCs/>
          <w:sz w:val="24"/>
          <w:szCs w:val="24"/>
        </w:rPr>
        <w:t xml:space="preserve">is entering its last year of </w:t>
      </w:r>
      <w:r w:rsidR="00A83DB5" w:rsidRPr="006A69EA">
        <w:rPr>
          <w:bCs/>
          <w:sz w:val="24"/>
          <w:szCs w:val="24"/>
        </w:rPr>
        <w:t>implementation (</w:t>
      </w:r>
      <w:r w:rsidRPr="006A69EA">
        <w:rPr>
          <w:bCs/>
          <w:sz w:val="24"/>
          <w:szCs w:val="24"/>
        </w:rPr>
        <w:t xml:space="preserve">2020-2023) and UNICEF Papua Phase 3 </w:t>
      </w:r>
      <w:r w:rsidR="00047125" w:rsidRPr="006A69EA">
        <w:rPr>
          <w:bCs/>
          <w:sz w:val="24"/>
          <w:szCs w:val="24"/>
        </w:rPr>
        <w:t xml:space="preserve">is </w:t>
      </w:r>
      <w:r w:rsidR="00E948C7" w:rsidRPr="006A69EA">
        <w:rPr>
          <w:bCs/>
          <w:sz w:val="24"/>
          <w:szCs w:val="24"/>
        </w:rPr>
        <w:t xml:space="preserve">at </w:t>
      </w:r>
      <w:r w:rsidR="00047125" w:rsidRPr="006A69EA">
        <w:rPr>
          <w:bCs/>
          <w:sz w:val="24"/>
          <w:szCs w:val="24"/>
        </w:rPr>
        <w:t xml:space="preserve">the mid-point of its </w:t>
      </w:r>
      <w:r w:rsidRPr="006A69EA">
        <w:rPr>
          <w:bCs/>
          <w:sz w:val="24"/>
          <w:szCs w:val="24"/>
        </w:rPr>
        <w:t>implementation (2021-2024).</w:t>
      </w:r>
      <w:r w:rsidR="008D1B1C" w:rsidRPr="006A69EA">
        <w:rPr>
          <w:bCs/>
          <w:sz w:val="24"/>
          <w:szCs w:val="24"/>
        </w:rPr>
        <w:t xml:space="preserve"> </w:t>
      </w:r>
      <w:r w:rsidR="00AE6BD9" w:rsidRPr="006A69EA">
        <w:rPr>
          <w:sz w:val="24"/>
          <w:szCs w:val="24"/>
          <w:lang w:val="en-GB"/>
        </w:rPr>
        <w:t xml:space="preserve">The </w:t>
      </w:r>
      <w:r w:rsidR="00E948C7" w:rsidRPr="006A69EA">
        <w:rPr>
          <w:sz w:val="24"/>
          <w:szCs w:val="24"/>
          <w:lang w:val="en-GB"/>
        </w:rPr>
        <w:t xml:space="preserve">ISR </w:t>
      </w:r>
      <w:r w:rsidR="009F77EE" w:rsidRPr="006A69EA">
        <w:rPr>
          <w:sz w:val="24"/>
          <w:szCs w:val="24"/>
          <w:lang w:val="en-GB"/>
        </w:rPr>
        <w:t>concluded that</w:t>
      </w:r>
      <w:r w:rsidR="00E724BF" w:rsidRPr="006A69EA">
        <w:rPr>
          <w:sz w:val="24"/>
          <w:szCs w:val="24"/>
          <w:lang w:val="en-GB"/>
        </w:rPr>
        <w:t xml:space="preserve"> </w:t>
      </w:r>
      <w:r w:rsidR="00245D5E" w:rsidRPr="006A69EA">
        <w:rPr>
          <w:sz w:val="24"/>
          <w:szCs w:val="24"/>
          <w:lang w:val="en-GB"/>
        </w:rPr>
        <w:t>both program</w:t>
      </w:r>
      <w:r w:rsidR="00EF327E" w:rsidRPr="006A69EA">
        <w:rPr>
          <w:sz w:val="24"/>
          <w:szCs w:val="24"/>
          <w:lang w:val="en-GB"/>
        </w:rPr>
        <w:t xml:space="preserve">s </w:t>
      </w:r>
      <w:r w:rsidR="00B14AF8" w:rsidRPr="006A69EA">
        <w:rPr>
          <w:sz w:val="24"/>
          <w:szCs w:val="24"/>
          <w:lang w:val="en-GB"/>
        </w:rPr>
        <w:t>are performing effectively, tracking well against EOPOs and objectives on Gender Equality, Disability and Social Inclusion (GEDSI)</w:t>
      </w:r>
      <w:r w:rsidR="00B14AF8" w:rsidRPr="006A69EA">
        <w:rPr>
          <w:sz w:val="24"/>
          <w:szCs w:val="24"/>
        </w:rPr>
        <w:t>,</w:t>
      </w:r>
      <w:r w:rsidR="00B14AF8" w:rsidRPr="006A69EA">
        <w:rPr>
          <w:sz w:val="24"/>
          <w:szCs w:val="24"/>
          <w:lang w:val="en-GB"/>
        </w:rPr>
        <w:t xml:space="preserve"> </w:t>
      </w:r>
      <w:r w:rsidR="00B14AF8" w:rsidRPr="006A69EA">
        <w:rPr>
          <w:sz w:val="24"/>
          <w:szCs w:val="24"/>
        </w:rPr>
        <w:t xml:space="preserve">and </w:t>
      </w:r>
      <w:r w:rsidR="00B14AF8" w:rsidRPr="006A69EA">
        <w:rPr>
          <w:sz w:val="24"/>
          <w:szCs w:val="24"/>
          <w:lang w:val="en-GB"/>
        </w:rPr>
        <w:t xml:space="preserve">remain highly relevant to </w:t>
      </w:r>
      <w:proofErr w:type="spellStart"/>
      <w:r w:rsidR="00B14AF8" w:rsidRPr="006A69EA">
        <w:rPr>
          <w:sz w:val="24"/>
          <w:szCs w:val="24"/>
          <w:lang w:val="en-GB"/>
        </w:rPr>
        <w:t>GoA</w:t>
      </w:r>
      <w:proofErr w:type="spellEnd"/>
      <w:r w:rsidR="00B14AF8" w:rsidRPr="006A69EA">
        <w:rPr>
          <w:sz w:val="24"/>
          <w:szCs w:val="24"/>
          <w:lang w:val="en-GB"/>
        </w:rPr>
        <w:t xml:space="preserve"> development </w:t>
      </w:r>
      <w:r w:rsidR="00110305" w:rsidRPr="006A69EA">
        <w:rPr>
          <w:sz w:val="24"/>
          <w:szCs w:val="24"/>
          <w:lang w:val="en-GB"/>
        </w:rPr>
        <w:t xml:space="preserve">policies </w:t>
      </w:r>
      <w:r w:rsidR="00B14AF8" w:rsidRPr="006A69EA">
        <w:rPr>
          <w:sz w:val="24"/>
          <w:szCs w:val="24"/>
          <w:lang w:val="en-GB"/>
        </w:rPr>
        <w:t xml:space="preserve">and </w:t>
      </w:r>
      <w:proofErr w:type="spellStart"/>
      <w:r w:rsidR="00B14AF8" w:rsidRPr="006A69EA">
        <w:rPr>
          <w:sz w:val="24"/>
          <w:szCs w:val="24"/>
          <w:lang w:val="en-GB"/>
        </w:rPr>
        <w:t>GoI</w:t>
      </w:r>
      <w:proofErr w:type="spellEnd"/>
      <w:r w:rsidR="00B14AF8" w:rsidRPr="006A69EA">
        <w:rPr>
          <w:sz w:val="24"/>
          <w:szCs w:val="24"/>
          <w:lang w:val="en-GB"/>
        </w:rPr>
        <w:t xml:space="preserve"> reform</w:t>
      </w:r>
      <w:r w:rsidR="00E948C7" w:rsidRPr="006A69EA">
        <w:rPr>
          <w:sz w:val="24"/>
          <w:szCs w:val="24"/>
          <w:lang w:val="en-GB"/>
        </w:rPr>
        <w:t xml:space="preserve"> </w:t>
      </w:r>
      <w:r w:rsidR="00110305" w:rsidRPr="006A69EA">
        <w:rPr>
          <w:sz w:val="24"/>
          <w:szCs w:val="24"/>
          <w:lang w:val="en-GB"/>
        </w:rPr>
        <w:t>priorities</w:t>
      </w:r>
      <w:r w:rsidR="00B14AF8" w:rsidRPr="006A69EA">
        <w:rPr>
          <w:sz w:val="24"/>
          <w:szCs w:val="24"/>
          <w:lang w:val="en-GB"/>
        </w:rPr>
        <w:t xml:space="preserve">. </w:t>
      </w:r>
      <w:r w:rsidR="00E948C7" w:rsidRPr="006A69EA">
        <w:rPr>
          <w:sz w:val="24"/>
          <w:szCs w:val="24"/>
          <w:lang w:val="en-GB"/>
        </w:rPr>
        <w:t>The ISR also found that</w:t>
      </w:r>
      <w:r w:rsidR="00E948C7" w:rsidRPr="006A69EA">
        <w:rPr>
          <w:sz w:val="24"/>
          <w:szCs w:val="24"/>
        </w:rPr>
        <w:t xml:space="preserve"> the</w:t>
      </w:r>
      <w:r w:rsidR="001003D0" w:rsidRPr="006A69EA">
        <w:rPr>
          <w:sz w:val="24"/>
          <w:szCs w:val="24"/>
          <w:lang w:val="en-GB"/>
        </w:rPr>
        <w:t xml:space="preserve"> COVID-19 pandemic</w:t>
      </w:r>
      <w:r w:rsidR="00604667" w:rsidRPr="006A69EA">
        <w:rPr>
          <w:sz w:val="24"/>
          <w:szCs w:val="24"/>
          <w:lang w:val="en-GB"/>
        </w:rPr>
        <w:t xml:space="preserve"> </w:t>
      </w:r>
      <w:r w:rsidR="00110305" w:rsidRPr="006A69EA">
        <w:rPr>
          <w:sz w:val="24"/>
          <w:szCs w:val="24"/>
          <w:lang w:val="en-GB"/>
        </w:rPr>
        <w:t xml:space="preserve">had </w:t>
      </w:r>
      <w:r w:rsidR="00E948C7" w:rsidRPr="006A69EA">
        <w:rPr>
          <w:sz w:val="24"/>
          <w:szCs w:val="24"/>
          <w:lang w:val="en-GB"/>
        </w:rPr>
        <w:t xml:space="preserve">adversely impacted </w:t>
      </w:r>
      <w:r w:rsidR="00B37F5E" w:rsidRPr="006A69EA">
        <w:rPr>
          <w:sz w:val="24"/>
          <w:szCs w:val="24"/>
          <w:lang w:val="en-GB"/>
        </w:rPr>
        <w:t xml:space="preserve">on </w:t>
      </w:r>
      <w:r w:rsidR="00BD6363" w:rsidRPr="006A69EA">
        <w:rPr>
          <w:sz w:val="24"/>
          <w:szCs w:val="24"/>
          <w:lang w:val="en-GB"/>
        </w:rPr>
        <w:t xml:space="preserve">already low </w:t>
      </w:r>
      <w:r w:rsidR="00B37F5E" w:rsidRPr="006A69EA">
        <w:rPr>
          <w:sz w:val="24"/>
          <w:szCs w:val="24"/>
          <w:lang w:val="en-GB"/>
        </w:rPr>
        <w:t>learning outcome</w:t>
      </w:r>
      <w:r w:rsidR="00BD6363" w:rsidRPr="006A69EA">
        <w:rPr>
          <w:sz w:val="24"/>
          <w:szCs w:val="24"/>
          <w:lang w:val="en-GB"/>
        </w:rPr>
        <w:t>s in Indonesia</w:t>
      </w:r>
      <w:r w:rsidR="00110305" w:rsidRPr="006A69EA">
        <w:rPr>
          <w:sz w:val="24"/>
          <w:szCs w:val="24"/>
          <w:lang w:val="en-GB"/>
        </w:rPr>
        <w:t>, reducing</w:t>
      </w:r>
      <w:r w:rsidR="002E1D09" w:rsidRPr="006A69EA">
        <w:rPr>
          <w:sz w:val="24"/>
          <w:szCs w:val="24"/>
          <w:lang w:val="en-GB"/>
        </w:rPr>
        <w:t xml:space="preserve"> access to quality education</w:t>
      </w:r>
      <w:r w:rsidR="00E948C7" w:rsidRPr="006A69EA">
        <w:rPr>
          <w:sz w:val="24"/>
          <w:szCs w:val="24"/>
          <w:lang w:val="en-GB"/>
        </w:rPr>
        <w:t>,</w:t>
      </w:r>
      <w:r w:rsidR="00AA0A15" w:rsidRPr="006A69EA">
        <w:rPr>
          <w:sz w:val="24"/>
          <w:szCs w:val="24"/>
          <w:lang w:val="en-GB"/>
        </w:rPr>
        <w:t xml:space="preserve"> especially for children with disabilities and </w:t>
      </w:r>
      <w:r w:rsidR="00E948C7" w:rsidRPr="006A69EA">
        <w:rPr>
          <w:sz w:val="24"/>
          <w:szCs w:val="24"/>
          <w:lang w:val="en-GB"/>
        </w:rPr>
        <w:t xml:space="preserve">other </w:t>
      </w:r>
      <w:r w:rsidR="00AA0A15" w:rsidRPr="006A69EA">
        <w:rPr>
          <w:sz w:val="24"/>
          <w:szCs w:val="24"/>
          <w:lang w:val="en-GB"/>
        </w:rPr>
        <w:t>marginalised groups</w:t>
      </w:r>
      <w:r w:rsidR="00456945" w:rsidRPr="006A69EA">
        <w:rPr>
          <w:sz w:val="24"/>
          <w:szCs w:val="24"/>
          <w:lang w:val="en-GB"/>
        </w:rPr>
        <w:t>.</w:t>
      </w:r>
      <w:r w:rsidR="006B7224" w:rsidRPr="006A69EA">
        <w:rPr>
          <w:sz w:val="24"/>
          <w:szCs w:val="24"/>
          <w:lang w:val="en-GB"/>
        </w:rPr>
        <w:t xml:space="preserve"> </w:t>
      </w:r>
    </w:p>
    <w:p w14:paraId="6D6218BC" w14:textId="33E1F1A0" w:rsidR="00542714" w:rsidRPr="006A69EA" w:rsidRDefault="00AE6BD9" w:rsidP="00AE6BD9">
      <w:pPr>
        <w:rPr>
          <w:sz w:val="24"/>
          <w:szCs w:val="24"/>
          <w:lang w:val="en-GB"/>
        </w:rPr>
      </w:pPr>
      <w:r w:rsidRPr="006A69EA">
        <w:rPr>
          <w:sz w:val="24"/>
          <w:szCs w:val="24"/>
          <w:lang w:val="en-GB"/>
        </w:rPr>
        <w:t xml:space="preserve">In these contexts, the </w:t>
      </w:r>
      <w:r w:rsidR="001928CE" w:rsidRPr="006A69EA">
        <w:rPr>
          <w:sz w:val="24"/>
          <w:szCs w:val="24"/>
          <w:lang w:val="en-GB"/>
        </w:rPr>
        <w:t>ISR provided recommendations to</w:t>
      </w:r>
      <w:r w:rsidR="00FA50FD" w:rsidRPr="006A69EA">
        <w:rPr>
          <w:sz w:val="24"/>
          <w:szCs w:val="24"/>
        </w:rPr>
        <w:t xml:space="preserve"> improv</w:t>
      </w:r>
      <w:r w:rsidR="001928CE" w:rsidRPr="006A69EA">
        <w:rPr>
          <w:sz w:val="24"/>
          <w:szCs w:val="24"/>
        </w:rPr>
        <w:t>e</w:t>
      </w:r>
      <w:r w:rsidR="00FA50FD" w:rsidRPr="006A69EA">
        <w:rPr>
          <w:sz w:val="24"/>
          <w:szCs w:val="24"/>
        </w:rPr>
        <w:t xml:space="preserve"> the current </w:t>
      </w:r>
      <w:r w:rsidR="000F73AC" w:rsidRPr="006A69EA">
        <w:rPr>
          <w:sz w:val="24"/>
          <w:szCs w:val="24"/>
        </w:rPr>
        <w:t xml:space="preserve">program performance </w:t>
      </w:r>
      <w:proofErr w:type="gramStart"/>
      <w:r w:rsidR="000F73AC" w:rsidRPr="006A69EA">
        <w:rPr>
          <w:sz w:val="24"/>
          <w:szCs w:val="24"/>
        </w:rPr>
        <w:t>and</w:t>
      </w:r>
      <w:r w:rsidR="001928CE" w:rsidRPr="006A69EA">
        <w:rPr>
          <w:sz w:val="24"/>
          <w:szCs w:val="24"/>
        </w:rPr>
        <w:t xml:space="preserve"> also</w:t>
      </w:r>
      <w:proofErr w:type="gramEnd"/>
      <w:r w:rsidR="001928CE" w:rsidRPr="006A69EA">
        <w:rPr>
          <w:sz w:val="24"/>
          <w:szCs w:val="24"/>
        </w:rPr>
        <w:t xml:space="preserve"> presented a</w:t>
      </w:r>
      <w:r w:rsidR="000F73AC" w:rsidRPr="006A69EA">
        <w:rPr>
          <w:sz w:val="24"/>
          <w:szCs w:val="24"/>
        </w:rPr>
        <w:t xml:space="preserve"> </w:t>
      </w:r>
      <w:r w:rsidR="00D63897" w:rsidRPr="006A69EA">
        <w:rPr>
          <w:sz w:val="24"/>
          <w:szCs w:val="24"/>
        </w:rPr>
        <w:t xml:space="preserve">case for continued Australian engagement in </w:t>
      </w:r>
      <w:r w:rsidR="00A71BF4" w:rsidRPr="006A69EA">
        <w:rPr>
          <w:sz w:val="24"/>
          <w:szCs w:val="24"/>
        </w:rPr>
        <w:t xml:space="preserve">foundational skills development, inclusive basic education, teacher competencies and standards development, and expanding support to early childhood education (ECE). </w:t>
      </w:r>
    </w:p>
    <w:p w14:paraId="6DEED545" w14:textId="4B0833AD" w:rsidR="00542714" w:rsidRPr="006A69EA" w:rsidRDefault="00542714" w:rsidP="00542714">
      <w:pPr>
        <w:pStyle w:val="BodyText"/>
        <w:rPr>
          <w:b/>
          <w:bCs/>
          <w:color w:val="2F5496" w:themeColor="accent1" w:themeShade="BF"/>
          <w:sz w:val="24"/>
          <w:szCs w:val="24"/>
        </w:rPr>
      </w:pPr>
      <w:r w:rsidRPr="006A69EA">
        <w:rPr>
          <w:b/>
          <w:bCs/>
          <w:color w:val="2F5496" w:themeColor="accent1" w:themeShade="BF"/>
          <w:sz w:val="24"/>
          <w:szCs w:val="24"/>
        </w:rPr>
        <w:t xml:space="preserve">DFAT </w:t>
      </w:r>
      <w:r w:rsidR="00110305" w:rsidRPr="006A69EA">
        <w:rPr>
          <w:b/>
          <w:bCs/>
          <w:color w:val="2F5496" w:themeColor="accent1" w:themeShade="BF"/>
          <w:sz w:val="24"/>
          <w:szCs w:val="24"/>
        </w:rPr>
        <w:t>agrees with</w:t>
      </w:r>
      <w:r w:rsidR="00E948C7" w:rsidRPr="006A69EA">
        <w:rPr>
          <w:b/>
          <w:bCs/>
          <w:color w:val="2F5496" w:themeColor="accent1" w:themeShade="BF"/>
          <w:sz w:val="24"/>
          <w:szCs w:val="24"/>
        </w:rPr>
        <w:t xml:space="preserve"> recommendations that will strengthen program performance over the remainder of the investments. DFAT notes recommendations for </w:t>
      </w:r>
      <w:r w:rsidR="00B22FA5" w:rsidRPr="006A69EA">
        <w:rPr>
          <w:b/>
          <w:bCs/>
          <w:color w:val="2F5496" w:themeColor="accent1" w:themeShade="BF"/>
          <w:sz w:val="24"/>
          <w:szCs w:val="24"/>
        </w:rPr>
        <w:t>future Australian support for basic education in Indonesia, which will inform decision making.</w:t>
      </w:r>
    </w:p>
    <w:p w14:paraId="531E4B7E" w14:textId="77777777" w:rsidR="00E9733B" w:rsidRPr="00E9733B" w:rsidRDefault="00E9733B">
      <w:pPr>
        <w:rPr>
          <w:lang w:val="en-GB"/>
        </w:rPr>
      </w:pPr>
    </w:p>
    <w:p w14:paraId="00CF55CA" w14:textId="6C7491CD" w:rsidR="00B42BF0" w:rsidRPr="006A69EA" w:rsidRDefault="00B9170C" w:rsidP="006A69EA">
      <w:pPr>
        <w:rPr>
          <w:rFonts w:asciiTheme="majorHAnsi" w:eastAsiaTheme="majorEastAsia" w:hAnsiTheme="majorHAnsi" w:cstheme="majorBidi"/>
          <w:color w:val="2F5496" w:themeColor="accent1" w:themeShade="BF"/>
          <w:sz w:val="32"/>
          <w:szCs w:val="32"/>
          <w:lang w:val="en-GB"/>
        </w:rPr>
      </w:pPr>
      <w:r>
        <w:rPr>
          <w:lang w:val="en-GB"/>
        </w:rPr>
        <w:br w:type="page"/>
      </w:r>
    </w:p>
    <w:tbl>
      <w:tblPr>
        <w:tblStyle w:val="TableGrid"/>
        <w:tblW w:w="0" w:type="auto"/>
        <w:tblLook w:val="04A0" w:firstRow="1" w:lastRow="0" w:firstColumn="1" w:lastColumn="0" w:noHBand="0" w:noVBand="1"/>
        <w:tblCaption w:val="Management Response Table for the Independent Stragegic Review of INOVASI Phase 2 and UNICEF Papua Phase 3 programs."/>
        <w:tblDescription w:val="Table containg seven recommendations and responses to the findings of the Independent Strategic Review of the INOVASI Phase 2 and UNICEF Papua Phase 3 programs. "/>
      </w:tblPr>
      <w:tblGrid>
        <w:gridCol w:w="2789"/>
        <w:gridCol w:w="1601"/>
        <w:gridCol w:w="3978"/>
        <w:gridCol w:w="2790"/>
        <w:gridCol w:w="2790"/>
      </w:tblGrid>
      <w:tr w:rsidR="009545D2" w14:paraId="412C8710" w14:textId="77777777" w:rsidTr="00523FC0">
        <w:tc>
          <w:tcPr>
            <w:tcW w:w="2789" w:type="dxa"/>
          </w:tcPr>
          <w:p w14:paraId="22BC566C" w14:textId="77777777" w:rsidR="007027D1" w:rsidRPr="00523FC0" w:rsidRDefault="007027D1" w:rsidP="00390054">
            <w:pPr>
              <w:rPr>
                <w:b/>
                <w:bCs/>
                <w:sz w:val="24"/>
                <w:szCs w:val="24"/>
                <w:lang w:val="en-GB"/>
              </w:rPr>
            </w:pPr>
            <w:bookmarkStart w:id="0" w:name="Title_Recommendation"/>
            <w:r w:rsidRPr="00523FC0">
              <w:rPr>
                <w:b/>
                <w:bCs/>
                <w:sz w:val="24"/>
                <w:szCs w:val="24"/>
                <w:lang w:val="en-GB"/>
              </w:rPr>
              <w:lastRenderedPageBreak/>
              <w:t>Recommendation</w:t>
            </w:r>
            <w:bookmarkEnd w:id="0"/>
          </w:p>
        </w:tc>
        <w:tc>
          <w:tcPr>
            <w:tcW w:w="1601" w:type="dxa"/>
          </w:tcPr>
          <w:p w14:paraId="2E4C2CDA" w14:textId="77777777" w:rsidR="007027D1" w:rsidRPr="00523FC0" w:rsidRDefault="007027D1" w:rsidP="00390054">
            <w:pPr>
              <w:rPr>
                <w:b/>
                <w:bCs/>
                <w:sz w:val="24"/>
                <w:szCs w:val="24"/>
                <w:lang w:val="en-GB"/>
              </w:rPr>
            </w:pPr>
            <w:bookmarkStart w:id="1" w:name="ColumnTitle_Response"/>
            <w:r w:rsidRPr="00523FC0">
              <w:rPr>
                <w:b/>
                <w:bCs/>
                <w:sz w:val="24"/>
                <w:szCs w:val="24"/>
                <w:lang w:val="en-GB"/>
              </w:rPr>
              <w:t>Response</w:t>
            </w:r>
            <w:bookmarkEnd w:id="1"/>
          </w:p>
        </w:tc>
        <w:tc>
          <w:tcPr>
            <w:tcW w:w="3978" w:type="dxa"/>
          </w:tcPr>
          <w:p w14:paraId="3B6162D7" w14:textId="77777777" w:rsidR="007027D1" w:rsidRPr="00523FC0" w:rsidRDefault="007027D1" w:rsidP="00390054">
            <w:pPr>
              <w:rPr>
                <w:b/>
                <w:bCs/>
                <w:sz w:val="24"/>
                <w:szCs w:val="24"/>
                <w:lang w:val="en-GB"/>
              </w:rPr>
            </w:pPr>
            <w:bookmarkStart w:id="2" w:name="ColumnTitle_Explanation"/>
            <w:r w:rsidRPr="00523FC0">
              <w:rPr>
                <w:b/>
                <w:bCs/>
                <w:sz w:val="24"/>
                <w:szCs w:val="24"/>
                <w:lang w:val="en-GB"/>
              </w:rPr>
              <w:t>Explanation</w:t>
            </w:r>
            <w:bookmarkEnd w:id="2"/>
          </w:p>
        </w:tc>
        <w:tc>
          <w:tcPr>
            <w:tcW w:w="2790" w:type="dxa"/>
          </w:tcPr>
          <w:p w14:paraId="22199C10" w14:textId="77777777" w:rsidR="007027D1" w:rsidRPr="00523FC0" w:rsidRDefault="007027D1" w:rsidP="00390054">
            <w:pPr>
              <w:rPr>
                <w:b/>
                <w:bCs/>
                <w:sz w:val="24"/>
                <w:szCs w:val="24"/>
                <w:lang w:val="en-GB"/>
              </w:rPr>
            </w:pPr>
            <w:bookmarkStart w:id="3" w:name="ColumnTitle_ActionPlan"/>
            <w:r w:rsidRPr="00523FC0">
              <w:rPr>
                <w:b/>
                <w:bCs/>
                <w:sz w:val="24"/>
                <w:szCs w:val="24"/>
                <w:lang w:val="en-GB"/>
              </w:rPr>
              <w:t>Action Plan</w:t>
            </w:r>
            <w:bookmarkEnd w:id="3"/>
          </w:p>
        </w:tc>
        <w:tc>
          <w:tcPr>
            <w:tcW w:w="2790" w:type="dxa"/>
          </w:tcPr>
          <w:p w14:paraId="4B84D001" w14:textId="77777777" w:rsidR="007027D1" w:rsidRPr="00523FC0" w:rsidRDefault="007027D1" w:rsidP="00390054">
            <w:pPr>
              <w:rPr>
                <w:b/>
                <w:bCs/>
                <w:sz w:val="24"/>
                <w:szCs w:val="24"/>
                <w:lang w:val="en-GB"/>
              </w:rPr>
            </w:pPr>
            <w:bookmarkStart w:id="4" w:name="ColumnTitle_TimePlan"/>
            <w:r w:rsidRPr="00523FC0">
              <w:rPr>
                <w:b/>
                <w:bCs/>
                <w:sz w:val="24"/>
                <w:szCs w:val="24"/>
                <w:lang w:val="en-GB"/>
              </w:rPr>
              <w:t>Timeframe</w:t>
            </w:r>
            <w:bookmarkEnd w:id="4"/>
          </w:p>
        </w:tc>
      </w:tr>
      <w:tr w:rsidR="006A69EA" w:rsidRPr="00A71BF4" w14:paraId="63CD8087" w14:textId="77777777" w:rsidTr="00523FC0">
        <w:tc>
          <w:tcPr>
            <w:tcW w:w="2789" w:type="dxa"/>
          </w:tcPr>
          <w:p w14:paraId="64463C57" w14:textId="77777777" w:rsidR="007027D1" w:rsidRPr="00613F14" w:rsidRDefault="007027D1" w:rsidP="00390054">
            <w:pPr>
              <w:rPr>
                <w:rFonts w:cstheme="minorHAnsi"/>
                <w:b/>
                <w:bCs/>
                <w:lang w:val="en-GB"/>
              </w:rPr>
            </w:pPr>
            <w:bookmarkStart w:id="5" w:name="RowTitle_Recommendation1"/>
            <w:r w:rsidRPr="00613F14">
              <w:rPr>
                <w:rFonts w:cstheme="minorHAnsi"/>
                <w:lang w:val="en-GB"/>
              </w:rPr>
              <w:t>Recommendation 1</w:t>
            </w:r>
          </w:p>
          <w:bookmarkEnd w:id="5"/>
          <w:p w14:paraId="74E2478B" w14:textId="4216D161" w:rsidR="005D5A1B" w:rsidRPr="00613F14" w:rsidRDefault="005D5A1B" w:rsidP="00390054">
            <w:pPr>
              <w:rPr>
                <w:rFonts w:cstheme="minorHAnsi"/>
                <w:b/>
                <w:bCs/>
                <w:lang w:val="en-GB"/>
              </w:rPr>
            </w:pPr>
          </w:p>
          <w:p w14:paraId="4AB3157E" w14:textId="10824F00" w:rsidR="00CC57FB" w:rsidRPr="00613F14" w:rsidRDefault="00CC57FB" w:rsidP="00CC57FB">
            <w:pPr>
              <w:rPr>
                <w:rFonts w:cstheme="minorHAnsi"/>
                <w:b/>
                <w:bCs/>
                <w:lang w:val="en-GB"/>
              </w:rPr>
            </w:pPr>
            <w:r w:rsidRPr="00613F14">
              <w:rPr>
                <w:rFonts w:cstheme="minorHAnsi"/>
                <w:lang w:val="en-GB"/>
              </w:rPr>
              <w:t xml:space="preserve">Strengthen INOVASI outcomes reporting to better capture program progress. </w:t>
            </w:r>
          </w:p>
          <w:p w14:paraId="7585B30A" w14:textId="64589C5E" w:rsidR="007027D1" w:rsidRPr="00613F14" w:rsidRDefault="007027D1" w:rsidP="00390054">
            <w:pPr>
              <w:rPr>
                <w:rFonts w:cstheme="minorHAnsi"/>
                <w:b/>
                <w:bCs/>
                <w:lang w:val="en-GB"/>
              </w:rPr>
            </w:pPr>
          </w:p>
        </w:tc>
        <w:tc>
          <w:tcPr>
            <w:tcW w:w="1601" w:type="dxa"/>
          </w:tcPr>
          <w:p w14:paraId="253273E1" w14:textId="77777777" w:rsidR="007027D1" w:rsidRPr="00613F14" w:rsidRDefault="007027D1" w:rsidP="00390054">
            <w:pPr>
              <w:rPr>
                <w:rFonts w:cstheme="minorHAnsi"/>
                <w:lang w:val="en-GB"/>
              </w:rPr>
            </w:pPr>
            <w:r w:rsidRPr="00613F14">
              <w:rPr>
                <w:rFonts w:cstheme="minorHAnsi"/>
                <w:lang w:val="en-GB"/>
              </w:rPr>
              <w:t>Agree</w:t>
            </w:r>
          </w:p>
        </w:tc>
        <w:tc>
          <w:tcPr>
            <w:tcW w:w="3978" w:type="dxa"/>
          </w:tcPr>
          <w:p w14:paraId="767C8A93" w14:textId="5E15A4E1" w:rsidR="005B0784" w:rsidRPr="00613F14" w:rsidRDefault="005B0784" w:rsidP="005B0784">
            <w:pPr>
              <w:rPr>
                <w:rFonts w:cstheme="minorHAnsi"/>
                <w:lang w:val="en-GB"/>
              </w:rPr>
            </w:pPr>
            <w:r w:rsidRPr="00613F14">
              <w:rPr>
                <w:rFonts w:cstheme="minorHAnsi"/>
                <w:lang w:val="en-GB"/>
              </w:rPr>
              <w:t>Improve INOVASI End of Program Outcome</w:t>
            </w:r>
            <w:r w:rsidR="00445C51" w:rsidRPr="00613F14">
              <w:rPr>
                <w:rFonts w:cstheme="minorHAnsi"/>
                <w:lang w:val="en-GB"/>
              </w:rPr>
              <w:t>s</w:t>
            </w:r>
            <w:r w:rsidRPr="00613F14">
              <w:rPr>
                <w:rFonts w:cstheme="minorHAnsi"/>
                <w:lang w:val="en-GB"/>
              </w:rPr>
              <w:t xml:space="preserve"> reporting by:</w:t>
            </w:r>
          </w:p>
          <w:p w14:paraId="22DD2F14" w14:textId="0A5F9A21" w:rsidR="005B0784" w:rsidRPr="00613F14" w:rsidRDefault="005B0784" w:rsidP="00B340D1">
            <w:pPr>
              <w:numPr>
                <w:ilvl w:val="0"/>
                <w:numId w:val="33"/>
              </w:numPr>
              <w:ind w:left="360"/>
              <w:rPr>
                <w:rFonts w:cstheme="minorHAnsi"/>
                <w:lang w:val="en-GB"/>
              </w:rPr>
            </w:pPr>
            <w:r w:rsidRPr="00613F14">
              <w:rPr>
                <w:rFonts w:cstheme="minorHAnsi"/>
                <w:lang w:val="en-GB"/>
              </w:rPr>
              <w:t>Sharpening performance analysis and claims regarding</w:t>
            </w:r>
            <w:r w:rsidR="00B22FA5" w:rsidRPr="00613F14">
              <w:rPr>
                <w:rFonts w:cstheme="minorHAnsi"/>
                <w:lang w:val="en-GB"/>
              </w:rPr>
              <w:t xml:space="preserve"> both</w:t>
            </w:r>
            <w:r w:rsidRPr="00613F14">
              <w:rPr>
                <w:rFonts w:cstheme="minorHAnsi"/>
                <w:lang w:val="en-GB"/>
              </w:rPr>
              <w:t xml:space="preserve"> challenges of ‘scale out’, and</w:t>
            </w:r>
            <w:r w:rsidR="00B22FA5" w:rsidRPr="00613F14">
              <w:rPr>
                <w:rFonts w:cstheme="minorHAnsi"/>
                <w:lang w:val="en-GB"/>
              </w:rPr>
              <w:t xml:space="preserve"> program</w:t>
            </w:r>
            <w:r w:rsidRPr="00613F14">
              <w:rPr>
                <w:rFonts w:cstheme="minorHAnsi"/>
                <w:lang w:val="en-GB"/>
              </w:rPr>
              <w:t xml:space="preserve"> impact on learning outcomes and inclusion</w:t>
            </w:r>
            <w:r w:rsidR="00005C84" w:rsidRPr="00613F14">
              <w:rPr>
                <w:rFonts w:cstheme="minorHAnsi"/>
                <w:lang w:val="en-GB"/>
              </w:rPr>
              <w:t>.</w:t>
            </w:r>
          </w:p>
          <w:p w14:paraId="04326D83" w14:textId="77777777" w:rsidR="005B0784" w:rsidRPr="00613F14" w:rsidRDefault="005B0784" w:rsidP="005B0784">
            <w:pPr>
              <w:rPr>
                <w:rFonts w:cstheme="minorHAnsi"/>
                <w:lang w:val="en-GB"/>
              </w:rPr>
            </w:pPr>
          </w:p>
          <w:p w14:paraId="1A63C78B" w14:textId="7F63408C" w:rsidR="005B0784" w:rsidRPr="00613F14" w:rsidRDefault="005B0784" w:rsidP="005B0784">
            <w:pPr>
              <w:rPr>
                <w:rFonts w:cstheme="minorHAnsi"/>
                <w:b/>
                <w:bCs/>
                <w:lang w:val="en-GB"/>
              </w:rPr>
            </w:pPr>
            <w:r w:rsidRPr="00613F14">
              <w:rPr>
                <w:rFonts w:cstheme="minorHAnsi"/>
                <w:lang w:val="en-GB"/>
              </w:rPr>
              <w:t>Strengthen INOVASI Intermediate Outcome</w:t>
            </w:r>
            <w:r w:rsidR="00445C51" w:rsidRPr="00613F14">
              <w:rPr>
                <w:rFonts w:cstheme="minorHAnsi"/>
                <w:lang w:val="en-GB"/>
              </w:rPr>
              <w:t>s</w:t>
            </w:r>
            <w:r w:rsidRPr="00613F14">
              <w:rPr>
                <w:rFonts w:cstheme="minorHAnsi"/>
                <w:lang w:val="en-GB"/>
              </w:rPr>
              <w:t xml:space="preserve"> reporting by:</w:t>
            </w:r>
          </w:p>
          <w:p w14:paraId="00EAD898" w14:textId="07AA1F74" w:rsidR="005B0784" w:rsidRPr="00613F14" w:rsidRDefault="005B0784" w:rsidP="00B340D1">
            <w:pPr>
              <w:numPr>
                <w:ilvl w:val="0"/>
                <w:numId w:val="34"/>
              </w:numPr>
              <w:ind w:left="360"/>
              <w:rPr>
                <w:rFonts w:cstheme="minorHAnsi"/>
                <w:b/>
                <w:bCs/>
                <w:lang w:val="en-GB"/>
              </w:rPr>
            </w:pPr>
            <w:r w:rsidRPr="00613F14">
              <w:rPr>
                <w:rFonts w:cstheme="minorHAnsi"/>
                <w:lang w:val="en-GB"/>
              </w:rPr>
              <w:t>More clearly defining ‘scale out’ of education delivery approaches in foundational skills</w:t>
            </w:r>
            <w:r w:rsidR="00005C84" w:rsidRPr="00613F14">
              <w:rPr>
                <w:rFonts w:cstheme="minorHAnsi"/>
                <w:lang w:val="en-GB"/>
              </w:rPr>
              <w:t>, and</w:t>
            </w:r>
          </w:p>
          <w:p w14:paraId="4C84026E" w14:textId="77777777" w:rsidR="005B0784" w:rsidRPr="00613F14" w:rsidRDefault="005B0784" w:rsidP="00B340D1">
            <w:pPr>
              <w:numPr>
                <w:ilvl w:val="0"/>
                <w:numId w:val="34"/>
              </w:numPr>
              <w:ind w:left="360"/>
              <w:rPr>
                <w:rFonts w:cstheme="minorHAnsi"/>
                <w:b/>
                <w:bCs/>
                <w:lang w:val="en-GB"/>
              </w:rPr>
            </w:pPr>
            <w:r w:rsidRPr="00613F14">
              <w:rPr>
                <w:rFonts w:cstheme="minorHAnsi"/>
                <w:lang w:val="en-GB"/>
              </w:rPr>
              <w:t>Improving monitoring and evaluation (M&amp;E) of provincial and district activities.</w:t>
            </w:r>
          </w:p>
          <w:p w14:paraId="2425824E" w14:textId="4DE85B7B" w:rsidR="007027D1" w:rsidRPr="00613F14" w:rsidRDefault="007027D1" w:rsidP="00867C08">
            <w:pPr>
              <w:pStyle w:val="ListParagraph"/>
              <w:rPr>
                <w:rFonts w:cstheme="minorHAnsi"/>
                <w:lang w:val="en-GB"/>
              </w:rPr>
            </w:pPr>
          </w:p>
        </w:tc>
        <w:tc>
          <w:tcPr>
            <w:tcW w:w="2790" w:type="dxa"/>
          </w:tcPr>
          <w:p w14:paraId="0A1FB0BF" w14:textId="77777777" w:rsidR="00C30CDA" w:rsidRPr="00613F14" w:rsidRDefault="00C30CDA" w:rsidP="00C30CDA">
            <w:pPr>
              <w:rPr>
                <w:rFonts w:cstheme="minorHAnsi"/>
              </w:rPr>
            </w:pPr>
            <w:r w:rsidRPr="00613F14">
              <w:rPr>
                <w:rFonts w:cstheme="minorHAnsi"/>
              </w:rPr>
              <w:t>DFAT will work with INOVASI to:</w:t>
            </w:r>
          </w:p>
          <w:p w14:paraId="7CCC3B84" w14:textId="24856462" w:rsidR="00C30CDA" w:rsidRPr="00613F14" w:rsidRDefault="00C30CDA" w:rsidP="00B340D1">
            <w:pPr>
              <w:numPr>
                <w:ilvl w:val="0"/>
                <w:numId w:val="34"/>
              </w:numPr>
              <w:ind w:left="360"/>
              <w:rPr>
                <w:rFonts w:cstheme="minorHAnsi"/>
                <w:lang w:val="en-GB"/>
              </w:rPr>
            </w:pPr>
            <w:r w:rsidRPr="00613F14">
              <w:rPr>
                <w:rFonts w:cstheme="minorHAnsi"/>
                <w:lang w:val="en-GB"/>
              </w:rPr>
              <w:t>Assess progress against INOVASI’s Sustainability and Scale Out Strategy</w:t>
            </w:r>
            <w:r w:rsidR="00005C84" w:rsidRPr="00613F14">
              <w:rPr>
                <w:rFonts w:cstheme="minorHAnsi"/>
                <w:lang w:val="en-GB"/>
              </w:rPr>
              <w:t>,</w:t>
            </w:r>
          </w:p>
          <w:p w14:paraId="421436A2" w14:textId="2C68D9C3" w:rsidR="00C30CDA" w:rsidRPr="00613F14" w:rsidRDefault="00C30CDA" w:rsidP="00B340D1">
            <w:pPr>
              <w:numPr>
                <w:ilvl w:val="0"/>
                <w:numId w:val="34"/>
              </w:numPr>
              <w:ind w:left="360"/>
              <w:rPr>
                <w:rFonts w:cstheme="minorHAnsi"/>
                <w:lang w:val="en-GB"/>
              </w:rPr>
            </w:pPr>
            <w:r w:rsidRPr="00613F14">
              <w:rPr>
                <w:rFonts w:cstheme="minorHAnsi"/>
                <w:lang w:val="en-GB"/>
              </w:rPr>
              <w:t>Review evaluative reporting in Six-Monthly Progress Reports (SMPR)</w:t>
            </w:r>
            <w:r w:rsidR="00005C84" w:rsidRPr="00613F14">
              <w:rPr>
                <w:rFonts w:cstheme="minorHAnsi"/>
                <w:lang w:val="en-GB"/>
              </w:rPr>
              <w:t>,</w:t>
            </w:r>
            <w:r w:rsidRPr="00613F14">
              <w:rPr>
                <w:rFonts w:cstheme="minorHAnsi"/>
                <w:lang w:val="en-GB"/>
              </w:rPr>
              <w:t xml:space="preserve"> </w:t>
            </w:r>
          </w:p>
          <w:p w14:paraId="1C80AC1C" w14:textId="5A090928" w:rsidR="00C30CDA" w:rsidRPr="00613F14" w:rsidRDefault="00C30CDA" w:rsidP="00B340D1">
            <w:pPr>
              <w:numPr>
                <w:ilvl w:val="0"/>
                <w:numId w:val="34"/>
              </w:numPr>
              <w:ind w:left="360"/>
              <w:rPr>
                <w:rFonts w:cstheme="minorHAnsi"/>
                <w:lang w:val="en-GB"/>
              </w:rPr>
            </w:pPr>
            <w:r w:rsidRPr="00613F14">
              <w:rPr>
                <w:rFonts w:cstheme="minorHAnsi"/>
                <w:lang w:val="en-GB"/>
              </w:rPr>
              <w:t>Draft an Exit Strategy that prioritises activities that will ensure sustainability</w:t>
            </w:r>
            <w:r w:rsidR="00005C84" w:rsidRPr="00613F14">
              <w:rPr>
                <w:rFonts w:cstheme="minorHAnsi"/>
                <w:lang w:val="en-GB"/>
              </w:rPr>
              <w:t>, and</w:t>
            </w:r>
          </w:p>
          <w:p w14:paraId="4E049E43" w14:textId="115459F8" w:rsidR="00112959" w:rsidRPr="00613F14" w:rsidRDefault="00C30CDA" w:rsidP="00390054">
            <w:pPr>
              <w:numPr>
                <w:ilvl w:val="0"/>
                <w:numId w:val="34"/>
              </w:numPr>
              <w:ind w:left="360"/>
              <w:rPr>
                <w:rFonts w:cstheme="minorHAnsi"/>
                <w:lang w:val="en-GB"/>
              </w:rPr>
            </w:pPr>
            <w:r w:rsidRPr="00613F14">
              <w:rPr>
                <w:rFonts w:cstheme="minorHAnsi"/>
                <w:lang w:val="en-GB"/>
              </w:rPr>
              <w:t xml:space="preserve">Prepare </w:t>
            </w:r>
            <w:r w:rsidR="00B22FA5" w:rsidRPr="00613F14">
              <w:rPr>
                <w:rFonts w:cstheme="minorHAnsi"/>
                <w:lang w:val="en-GB"/>
              </w:rPr>
              <w:t xml:space="preserve">an </w:t>
            </w:r>
            <w:r w:rsidRPr="00613F14">
              <w:rPr>
                <w:rFonts w:cstheme="minorHAnsi"/>
                <w:lang w:val="en-GB"/>
              </w:rPr>
              <w:t>Activity Completion Report that tracks outcome</w:t>
            </w:r>
            <w:r w:rsidR="00985343" w:rsidRPr="00613F14">
              <w:rPr>
                <w:rFonts w:cstheme="minorHAnsi"/>
                <w:lang w:val="en-GB"/>
              </w:rPr>
              <w:t>s</w:t>
            </w:r>
            <w:r w:rsidRPr="00613F14">
              <w:rPr>
                <w:rFonts w:cstheme="minorHAnsi"/>
                <w:lang w:val="en-GB"/>
              </w:rPr>
              <w:t xml:space="preserve"> progress against </w:t>
            </w:r>
            <w:proofErr w:type="gramStart"/>
            <w:r w:rsidRPr="00613F14">
              <w:rPr>
                <w:rFonts w:cstheme="minorHAnsi"/>
                <w:lang w:val="en-GB"/>
              </w:rPr>
              <w:t>baselines, and</w:t>
            </w:r>
            <w:proofErr w:type="gramEnd"/>
            <w:r w:rsidRPr="00613F14">
              <w:rPr>
                <w:rFonts w:cstheme="minorHAnsi"/>
                <w:lang w:val="en-GB"/>
              </w:rPr>
              <w:t xml:space="preserve"> identifies opportunities for any future investment to support continued progress or sustainability of INOVASI outcomes</w:t>
            </w:r>
            <w:r w:rsidR="00985343" w:rsidRPr="00613F14">
              <w:rPr>
                <w:rFonts w:cstheme="minorHAnsi"/>
                <w:lang w:val="en-GB"/>
              </w:rPr>
              <w:t>.</w:t>
            </w:r>
          </w:p>
        </w:tc>
        <w:tc>
          <w:tcPr>
            <w:tcW w:w="2790" w:type="dxa"/>
          </w:tcPr>
          <w:p w14:paraId="506C3587" w14:textId="77777777" w:rsidR="009B3637" w:rsidRPr="00613F14" w:rsidRDefault="009B3637" w:rsidP="009B3637">
            <w:pPr>
              <w:numPr>
                <w:ilvl w:val="0"/>
                <w:numId w:val="53"/>
              </w:numPr>
              <w:ind w:left="360" w:hanging="284"/>
              <w:rPr>
                <w:rFonts w:cstheme="minorHAnsi"/>
                <w:lang w:val="en-GB"/>
              </w:rPr>
            </w:pPr>
            <w:r w:rsidRPr="00613F14">
              <w:rPr>
                <w:rFonts w:cstheme="minorHAnsi"/>
                <w:lang w:val="en-GB"/>
              </w:rPr>
              <w:t>31</w:t>
            </w:r>
            <w:r w:rsidRPr="00613F14">
              <w:rPr>
                <w:rFonts w:cstheme="minorHAnsi"/>
                <w:vertAlign w:val="superscript"/>
                <w:lang w:val="en-GB"/>
              </w:rPr>
              <w:t>st</w:t>
            </w:r>
            <w:r w:rsidRPr="00613F14">
              <w:rPr>
                <w:rFonts w:cstheme="minorHAnsi"/>
                <w:lang w:val="en-GB"/>
              </w:rPr>
              <w:t xml:space="preserve"> July 2023 – Finalise assessment of program progress against Sustainability and Scale Out Strategy.</w:t>
            </w:r>
          </w:p>
          <w:p w14:paraId="624E6025" w14:textId="77777777" w:rsidR="009B3637" w:rsidRPr="00613F14" w:rsidRDefault="009B3637" w:rsidP="009B3637">
            <w:pPr>
              <w:numPr>
                <w:ilvl w:val="0"/>
                <w:numId w:val="53"/>
              </w:numPr>
              <w:ind w:left="360" w:hanging="284"/>
              <w:rPr>
                <w:rFonts w:cstheme="minorHAnsi"/>
                <w:lang w:val="en-GB"/>
              </w:rPr>
            </w:pPr>
            <w:r w:rsidRPr="00613F14">
              <w:rPr>
                <w:rFonts w:cstheme="minorHAnsi"/>
                <w:lang w:val="en-GB"/>
              </w:rPr>
              <w:t>31</w:t>
            </w:r>
            <w:r w:rsidRPr="00613F14">
              <w:rPr>
                <w:rFonts w:cstheme="minorHAnsi"/>
                <w:vertAlign w:val="superscript"/>
                <w:lang w:val="en-GB"/>
              </w:rPr>
              <w:t>st</w:t>
            </w:r>
            <w:r w:rsidRPr="00613F14">
              <w:rPr>
                <w:rFonts w:cstheme="minorHAnsi"/>
                <w:lang w:val="en-GB"/>
              </w:rPr>
              <w:t xml:space="preserve"> January 2023 – Complete review June-December 2022 SMPR.</w:t>
            </w:r>
          </w:p>
          <w:p w14:paraId="73CB5F0E" w14:textId="77777777" w:rsidR="009B3637" w:rsidRPr="00613F14" w:rsidRDefault="009B3637" w:rsidP="009B3637">
            <w:pPr>
              <w:numPr>
                <w:ilvl w:val="0"/>
                <w:numId w:val="53"/>
              </w:numPr>
              <w:ind w:left="360" w:hanging="284"/>
              <w:rPr>
                <w:rFonts w:cstheme="minorHAnsi"/>
                <w:lang w:val="en-GB"/>
              </w:rPr>
            </w:pPr>
            <w:r w:rsidRPr="00613F14">
              <w:rPr>
                <w:rFonts w:cstheme="minorHAnsi"/>
                <w:lang w:val="en-GB"/>
              </w:rPr>
              <w:t>31</w:t>
            </w:r>
            <w:r w:rsidRPr="00613F14">
              <w:rPr>
                <w:rFonts w:cstheme="minorHAnsi"/>
                <w:vertAlign w:val="superscript"/>
                <w:lang w:val="en-GB"/>
              </w:rPr>
              <w:t>st</w:t>
            </w:r>
            <w:r w:rsidRPr="00613F14">
              <w:rPr>
                <w:rFonts w:cstheme="minorHAnsi"/>
                <w:lang w:val="en-GB"/>
              </w:rPr>
              <w:t xml:space="preserve"> July 2023 – Complete review of January-June 2023 SMPR.</w:t>
            </w:r>
          </w:p>
          <w:p w14:paraId="5C0A8057" w14:textId="77777777" w:rsidR="009B3637" w:rsidRPr="00613F14" w:rsidRDefault="009B3637" w:rsidP="009B3637">
            <w:pPr>
              <w:numPr>
                <w:ilvl w:val="0"/>
                <w:numId w:val="53"/>
              </w:numPr>
              <w:ind w:left="360" w:hanging="284"/>
              <w:rPr>
                <w:rFonts w:cstheme="minorHAnsi"/>
                <w:lang w:val="en-GB"/>
              </w:rPr>
            </w:pPr>
            <w:r w:rsidRPr="00613F14">
              <w:rPr>
                <w:rFonts w:cstheme="minorHAnsi"/>
                <w:lang w:val="en-GB"/>
              </w:rPr>
              <w:t>30 June 2023 – Finalise Exit Strategy.</w:t>
            </w:r>
          </w:p>
          <w:p w14:paraId="19EA64F2" w14:textId="77777777" w:rsidR="009B3637" w:rsidRPr="00613F14" w:rsidRDefault="009B3637" w:rsidP="009B3637">
            <w:pPr>
              <w:numPr>
                <w:ilvl w:val="0"/>
                <w:numId w:val="53"/>
              </w:numPr>
              <w:ind w:left="360" w:hanging="284"/>
              <w:rPr>
                <w:rFonts w:cstheme="minorHAnsi"/>
                <w:lang w:val="en-GB"/>
              </w:rPr>
            </w:pPr>
            <w:r w:rsidRPr="00613F14">
              <w:rPr>
                <w:rFonts w:cstheme="minorHAnsi"/>
                <w:lang w:val="en-GB"/>
              </w:rPr>
              <w:t>30</w:t>
            </w:r>
            <w:r w:rsidRPr="00613F14">
              <w:rPr>
                <w:rFonts w:cstheme="minorHAnsi"/>
                <w:vertAlign w:val="superscript"/>
                <w:lang w:val="en-GB"/>
              </w:rPr>
              <w:t>th</w:t>
            </w:r>
            <w:r w:rsidRPr="00613F14">
              <w:rPr>
                <w:rFonts w:cstheme="minorHAnsi"/>
                <w:lang w:val="en-GB"/>
              </w:rPr>
              <w:t xml:space="preserve"> November 2023 – Finalise Activity Completion Report, which also includes </w:t>
            </w:r>
            <w:r w:rsidRPr="00613F14">
              <w:rPr>
                <w:rFonts w:cstheme="minorHAnsi"/>
              </w:rPr>
              <w:t>reporting of progress from July-December 2023, as per contract milestone.</w:t>
            </w:r>
            <w:r w:rsidRPr="00613F14">
              <w:rPr>
                <w:rFonts w:cstheme="minorHAnsi"/>
                <w:lang w:val="en-GB"/>
              </w:rPr>
              <w:t xml:space="preserve"> </w:t>
            </w:r>
          </w:p>
          <w:p w14:paraId="7831BC7A" w14:textId="77777777" w:rsidR="00675EAE" w:rsidRPr="00613F14" w:rsidRDefault="00675EAE" w:rsidP="00390054">
            <w:pPr>
              <w:rPr>
                <w:rFonts w:cstheme="minorHAnsi"/>
              </w:rPr>
            </w:pPr>
          </w:p>
          <w:p w14:paraId="22384576" w14:textId="29AC6813" w:rsidR="00FF5DBE" w:rsidRPr="00613F14" w:rsidRDefault="00FF5DBE">
            <w:pPr>
              <w:rPr>
                <w:rFonts w:cstheme="minorHAnsi"/>
              </w:rPr>
            </w:pPr>
          </w:p>
        </w:tc>
      </w:tr>
      <w:tr w:rsidR="009545D2" w14:paraId="4F29AE17" w14:textId="77777777" w:rsidTr="00523FC0">
        <w:tc>
          <w:tcPr>
            <w:tcW w:w="2789" w:type="dxa"/>
          </w:tcPr>
          <w:p w14:paraId="5DC8B1E1" w14:textId="77777777" w:rsidR="007027D1" w:rsidRPr="00613F14" w:rsidRDefault="007027D1" w:rsidP="00390054">
            <w:pPr>
              <w:rPr>
                <w:rFonts w:cstheme="minorHAnsi"/>
                <w:lang w:val="en-GB"/>
              </w:rPr>
            </w:pPr>
            <w:bookmarkStart w:id="6" w:name="RowTitle_Recommendation2"/>
            <w:r w:rsidRPr="00613F14">
              <w:rPr>
                <w:rFonts w:cstheme="minorHAnsi"/>
                <w:lang w:val="en-GB"/>
              </w:rPr>
              <w:t>Recommendation 2</w:t>
            </w:r>
          </w:p>
          <w:bookmarkEnd w:id="6"/>
          <w:p w14:paraId="2A19DEEE" w14:textId="77777777" w:rsidR="005D5A1B" w:rsidRPr="00613F14" w:rsidRDefault="005D5A1B" w:rsidP="009C5391">
            <w:pPr>
              <w:rPr>
                <w:rFonts w:cstheme="minorHAnsi"/>
                <w:b/>
                <w:bCs/>
                <w:lang w:val="en-GB"/>
              </w:rPr>
            </w:pPr>
          </w:p>
          <w:p w14:paraId="31AC6A80" w14:textId="6264D53C" w:rsidR="006830DE" w:rsidRPr="00613F14" w:rsidRDefault="006830DE" w:rsidP="006830DE">
            <w:pPr>
              <w:rPr>
                <w:rFonts w:cstheme="minorHAnsi"/>
                <w:b/>
                <w:bCs/>
                <w:lang w:val="en-GB"/>
              </w:rPr>
            </w:pPr>
            <w:r w:rsidRPr="00613F14">
              <w:rPr>
                <w:rFonts w:cstheme="minorHAnsi"/>
                <w:lang w:val="en-GB"/>
              </w:rPr>
              <w:t>Increase focus on sustaining successful models, practices</w:t>
            </w:r>
            <w:r w:rsidR="004C1F13" w:rsidRPr="00613F14">
              <w:rPr>
                <w:rFonts w:cstheme="minorHAnsi"/>
                <w:lang w:val="en-GB"/>
              </w:rPr>
              <w:t>,</w:t>
            </w:r>
            <w:r w:rsidRPr="00613F14">
              <w:rPr>
                <w:rFonts w:cstheme="minorHAnsi"/>
                <w:lang w:val="en-GB"/>
              </w:rPr>
              <w:t xml:space="preserve"> and approaches beyond the life of the programs.</w:t>
            </w:r>
          </w:p>
          <w:p w14:paraId="775CE1B9" w14:textId="2852BF7E" w:rsidR="007027D1" w:rsidRPr="00613F14" w:rsidRDefault="007027D1" w:rsidP="00F1277A">
            <w:pPr>
              <w:rPr>
                <w:rFonts w:cstheme="minorHAnsi"/>
                <w:lang w:val="id-ID"/>
              </w:rPr>
            </w:pPr>
          </w:p>
        </w:tc>
        <w:tc>
          <w:tcPr>
            <w:tcW w:w="1601" w:type="dxa"/>
          </w:tcPr>
          <w:p w14:paraId="414C6002" w14:textId="77777777" w:rsidR="007027D1" w:rsidRPr="00613F14" w:rsidRDefault="007027D1" w:rsidP="00390054">
            <w:pPr>
              <w:rPr>
                <w:rFonts w:cstheme="minorHAnsi"/>
                <w:lang w:val="en-GB"/>
              </w:rPr>
            </w:pPr>
            <w:r w:rsidRPr="00613F14">
              <w:rPr>
                <w:rFonts w:cstheme="minorHAnsi"/>
                <w:lang w:val="en-GB"/>
              </w:rPr>
              <w:t>Agree</w:t>
            </w:r>
          </w:p>
        </w:tc>
        <w:tc>
          <w:tcPr>
            <w:tcW w:w="3978" w:type="dxa"/>
          </w:tcPr>
          <w:p w14:paraId="2EF203D0" w14:textId="5E60BD3A" w:rsidR="00F53F09" w:rsidRPr="00613F14" w:rsidRDefault="00F53F09" w:rsidP="00F53F09">
            <w:pPr>
              <w:rPr>
                <w:rFonts w:cstheme="minorHAnsi"/>
                <w:b/>
                <w:bCs/>
                <w:lang w:val="en-GB"/>
              </w:rPr>
            </w:pPr>
            <w:r w:rsidRPr="00613F14">
              <w:rPr>
                <w:rFonts w:cstheme="minorHAnsi"/>
                <w:lang w:val="en-GB"/>
              </w:rPr>
              <w:t>Strengthen INOVASI’s approach to sustainability</w:t>
            </w:r>
            <w:r w:rsidR="008E4293" w:rsidRPr="00613F14">
              <w:rPr>
                <w:rFonts w:cstheme="minorHAnsi"/>
                <w:lang w:val="en-GB"/>
              </w:rPr>
              <w:t xml:space="preserve"> </w:t>
            </w:r>
            <w:r w:rsidRPr="00613F14">
              <w:rPr>
                <w:rFonts w:cstheme="minorHAnsi"/>
                <w:lang w:val="en-GB"/>
              </w:rPr>
              <w:t xml:space="preserve">by: </w:t>
            </w:r>
          </w:p>
          <w:p w14:paraId="158904BA" w14:textId="56854B9E" w:rsidR="00F53F09" w:rsidRPr="00613F14" w:rsidRDefault="00F53F09" w:rsidP="00B340D1">
            <w:pPr>
              <w:numPr>
                <w:ilvl w:val="0"/>
                <w:numId w:val="37"/>
              </w:numPr>
              <w:ind w:left="360"/>
              <w:rPr>
                <w:rFonts w:cstheme="minorHAnsi"/>
                <w:lang w:val="en-GB"/>
              </w:rPr>
            </w:pPr>
            <w:r w:rsidRPr="00613F14">
              <w:rPr>
                <w:rFonts w:cstheme="minorHAnsi"/>
                <w:lang w:val="en-GB"/>
              </w:rPr>
              <w:t xml:space="preserve">Assessing training delivery </w:t>
            </w:r>
            <w:r w:rsidR="008E4293" w:rsidRPr="00613F14">
              <w:rPr>
                <w:rFonts w:cstheme="minorHAnsi"/>
                <w:lang w:val="en-GB"/>
              </w:rPr>
              <w:t xml:space="preserve">models, to increase </w:t>
            </w:r>
            <w:r w:rsidRPr="00613F14">
              <w:rPr>
                <w:rFonts w:cstheme="minorHAnsi"/>
                <w:lang w:val="en-GB"/>
              </w:rPr>
              <w:t>transfer of knowledge to counterparts</w:t>
            </w:r>
            <w:r w:rsidR="001B1585" w:rsidRPr="00613F14">
              <w:rPr>
                <w:rFonts w:cstheme="minorHAnsi"/>
                <w:lang w:val="en-GB"/>
              </w:rPr>
              <w:t>,</w:t>
            </w:r>
          </w:p>
          <w:p w14:paraId="448715F5" w14:textId="13503B43" w:rsidR="00F53F09" w:rsidRPr="00613F14" w:rsidRDefault="00F53F09" w:rsidP="00B340D1">
            <w:pPr>
              <w:numPr>
                <w:ilvl w:val="0"/>
                <w:numId w:val="37"/>
              </w:numPr>
              <w:ind w:left="360"/>
              <w:rPr>
                <w:rFonts w:cstheme="minorHAnsi"/>
                <w:b/>
                <w:bCs/>
                <w:lang w:val="en-GB"/>
              </w:rPr>
            </w:pPr>
            <w:r w:rsidRPr="00613F14">
              <w:rPr>
                <w:rFonts w:cstheme="minorHAnsi"/>
                <w:lang w:val="en-GB"/>
              </w:rPr>
              <w:t>Producing case studies for Indonesian Government use on effective coalition building and budgeting</w:t>
            </w:r>
            <w:r w:rsidR="001B1585" w:rsidRPr="00613F14">
              <w:rPr>
                <w:rFonts w:cstheme="minorHAnsi"/>
                <w:lang w:val="en-GB"/>
              </w:rPr>
              <w:t>, and</w:t>
            </w:r>
          </w:p>
          <w:p w14:paraId="0D622F4C" w14:textId="77777777" w:rsidR="00F53F09" w:rsidRPr="00613F14" w:rsidRDefault="00F53F09" w:rsidP="00B340D1">
            <w:pPr>
              <w:numPr>
                <w:ilvl w:val="0"/>
                <w:numId w:val="37"/>
              </w:numPr>
              <w:ind w:left="360"/>
              <w:rPr>
                <w:rFonts w:cstheme="minorHAnsi"/>
                <w:b/>
                <w:bCs/>
                <w:lang w:val="en-GB"/>
              </w:rPr>
            </w:pPr>
            <w:r w:rsidRPr="00613F14">
              <w:rPr>
                <w:rFonts w:cstheme="minorHAnsi"/>
                <w:lang w:val="en-GB"/>
              </w:rPr>
              <w:lastRenderedPageBreak/>
              <w:t>Increasing reporting on progress towards sustainability, including identifying priorities to support sustainability over the remainder of the program.</w:t>
            </w:r>
          </w:p>
          <w:p w14:paraId="0ABD418B" w14:textId="77777777" w:rsidR="00F53F09" w:rsidRPr="00613F14" w:rsidRDefault="00F53F09" w:rsidP="00F53F09">
            <w:pPr>
              <w:rPr>
                <w:rFonts w:cstheme="minorHAnsi"/>
                <w:b/>
                <w:bCs/>
                <w:lang w:val="en-GB"/>
              </w:rPr>
            </w:pPr>
          </w:p>
          <w:p w14:paraId="19881730" w14:textId="77777777" w:rsidR="00F53F09" w:rsidRPr="00613F14" w:rsidRDefault="00F53F09" w:rsidP="00F53F09">
            <w:pPr>
              <w:rPr>
                <w:rFonts w:cstheme="minorHAnsi"/>
                <w:lang w:val="en-GB"/>
              </w:rPr>
            </w:pPr>
            <w:r w:rsidRPr="00613F14">
              <w:rPr>
                <w:rFonts w:cstheme="minorHAnsi"/>
                <w:lang w:val="en-GB"/>
              </w:rPr>
              <w:t>Increase sustainability and long-term impact of UNICEF Papua activities by:</w:t>
            </w:r>
          </w:p>
          <w:p w14:paraId="14EE4DEE" w14:textId="57A22A7B" w:rsidR="00F53F09" w:rsidRPr="00613F14" w:rsidRDefault="00F53F09" w:rsidP="00B340D1">
            <w:pPr>
              <w:numPr>
                <w:ilvl w:val="0"/>
                <w:numId w:val="34"/>
              </w:numPr>
              <w:ind w:left="303"/>
              <w:rPr>
                <w:rFonts w:cstheme="minorHAnsi"/>
                <w:lang w:val="en-GB"/>
              </w:rPr>
            </w:pPr>
            <w:r w:rsidRPr="00613F14">
              <w:rPr>
                <w:rFonts w:cstheme="minorHAnsi"/>
                <w:lang w:val="en-GB"/>
              </w:rPr>
              <w:t>Ensuring that implementing partners are confident in training materials and methods</w:t>
            </w:r>
            <w:r w:rsidR="001B1585" w:rsidRPr="00613F14">
              <w:rPr>
                <w:rFonts w:cstheme="minorHAnsi"/>
                <w:lang w:val="en-GB"/>
              </w:rPr>
              <w:t>,</w:t>
            </w:r>
          </w:p>
          <w:p w14:paraId="15304D80" w14:textId="48363B92" w:rsidR="00F53F09" w:rsidRPr="00613F14" w:rsidRDefault="00F53F09" w:rsidP="00B340D1">
            <w:pPr>
              <w:numPr>
                <w:ilvl w:val="0"/>
                <w:numId w:val="34"/>
              </w:numPr>
              <w:ind w:left="303"/>
              <w:rPr>
                <w:rFonts w:cstheme="minorHAnsi"/>
                <w:lang w:val="en-GB"/>
              </w:rPr>
            </w:pPr>
            <w:r w:rsidRPr="00613F14">
              <w:rPr>
                <w:rFonts w:cstheme="minorHAnsi"/>
                <w:lang w:val="en-GB"/>
              </w:rPr>
              <w:t>Tracking longer-term progress to increase principal and teacher skills and capabilities on education delivery</w:t>
            </w:r>
            <w:r w:rsidR="001B1585" w:rsidRPr="00613F14">
              <w:rPr>
                <w:rFonts w:cstheme="minorHAnsi"/>
                <w:lang w:val="en-GB"/>
              </w:rPr>
              <w:t>, and</w:t>
            </w:r>
          </w:p>
          <w:p w14:paraId="7919D727" w14:textId="3D1F9209" w:rsidR="00F53F09" w:rsidRPr="00613F14" w:rsidRDefault="00F53F09" w:rsidP="00B340D1">
            <w:pPr>
              <w:numPr>
                <w:ilvl w:val="0"/>
                <w:numId w:val="34"/>
              </w:numPr>
              <w:ind w:left="303"/>
              <w:rPr>
                <w:rFonts w:cstheme="minorHAnsi"/>
                <w:lang w:val="en-GB"/>
              </w:rPr>
            </w:pPr>
            <w:r w:rsidRPr="00613F14">
              <w:rPr>
                <w:rFonts w:cstheme="minorHAnsi"/>
                <w:lang w:val="en-GB"/>
              </w:rPr>
              <w:t>Assess</w:t>
            </w:r>
            <w:r w:rsidR="00B22FA5" w:rsidRPr="00613F14">
              <w:rPr>
                <w:rFonts w:cstheme="minorHAnsi"/>
                <w:lang w:val="en-GB"/>
              </w:rPr>
              <w:t>ing</w:t>
            </w:r>
            <w:r w:rsidRPr="00613F14">
              <w:rPr>
                <w:rFonts w:cstheme="minorHAnsi"/>
                <w:lang w:val="en-GB"/>
              </w:rPr>
              <w:t xml:space="preserve"> impact of support to improve sub-national government staff skills and capabilities on budget planning and management</w:t>
            </w:r>
            <w:r w:rsidR="001B1585" w:rsidRPr="00613F14">
              <w:rPr>
                <w:rFonts w:cstheme="minorHAnsi"/>
                <w:lang w:val="en-GB"/>
              </w:rPr>
              <w:t>.</w:t>
            </w:r>
            <w:r w:rsidRPr="00613F14">
              <w:rPr>
                <w:rFonts w:cstheme="minorHAnsi"/>
                <w:lang w:val="en-GB"/>
              </w:rPr>
              <w:t xml:space="preserve">  </w:t>
            </w:r>
          </w:p>
          <w:p w14:paraId="6F5FE116" w14:textId="77777777" w:rsidR="00F53F09" w:rsidRPr="00613F14" w:rsidRDefault="00F53F09" w:rsidP="00F53F09">
            <w:pPr>
              <w:rPr>
                <w:rFonts w:cstheme="minorHAnsi"/>
                <w:b/>
                <w:bCs/>
                <w:lang w:val="en-GB"/>
              </w:rPr>
            </w:pPr>
          </w:p>
          <w:p w14:paraId="6BF21D41" w14:textId="77777777" w:rsidR="0070009C" w:rsidRPr="00613F14" w:rsidRDefault="0070009C" w:rsidP="00390054">
            <w:pPr>
              <w:rPr>
                <w:rFonts w:cstheme="minorHAnsi"/>
              </w:rPr>
            </w:pPr>
          </w:p>
          <w:p w14:paraId="2A0BF27D" w14:textId="672095A3" w:rsidR="007027D1" w:rsidRPr="00613F14" w:rsidRDefault="007027D1" w:rsidP="00390054">
            <w:pPr>
              <w:rPr>
                <w:rFonts w:cstheme="minorHAnsi"/>
              </w:rPr>
            </w:pPr>
          </w:p>
        </w:tc>
        <w:tc>
          <w:tcPr>
            <w:tcW w:w="2790" w:type="dxa"/>
          </w:tcPr>
          <w:p w14:paraId="06A3E77D" w14:textId="77777777" w:rsidR="00F2635C" w:rsidRPr="00613F14" w:rsidRDefault="00F2635C" w:rsidP="00F2635C">
            <w:pPr>
              <w:rPr>
                <w:rFonts w:cstheme="minorHAnsi"/>
              </w:rPr>
            </w:pPr>
            <w:r w:rsidRPr="00613F14">
              <w:rPr>
                <w:rFonts w:cstheme="minorHAnsi"/>
              </w:rPr>
              <w:lastRenderedPageBreak/>
              <w:t>DFAT will work with INOVASI to:</w:t>
            </w:r>
          </w:p>
          <w:p w14:paraId="58F45038" w14:textId="0253C8C5" w:rsidR="00F2635C" w:rsidRPr="00613F14" w:rsidRDefault="00F2635C" w:rsidP="00B340D1">
            <w:pPr>
              <w:pStyle w:val="ListParagraph"/>
              <w:numPr>
                <w:ilvl w:val="0"/>
                <w:numId w:val="38"/>
              </w:numPr>
              <w:ind w:left="360"/>
              <w:rPr>
                <w:rFonts w:cstheme="minorHAnsi"/>
                <w:lang w:val="en-GB"/>
              </w:rPr>
            </w:pPr>
            <w:r w:rsidRPr="00613F14">
              <w:rPr>
                <w:rFonts w:cstheme="minorHAnsi"/>
                <w:lang w:val="en-GB"/>
              </w:rPr>
              <w:t>Review approaches to training delivery</w:t>
            </w:r>
            <w:r w:rsidR="001B1585" w:rsidRPr="00613F14">
              <w:rPr>
                <w:rFonts w:cstheme="minorHAnsi"/>
                <w:lang w:val="en-GB"/>
              </w:rPr>
              <w:t>,</w:t>
            </w:r>
          </w:p>
          <w:p w14:paraId="2FB65BD2" w14:textId="50C3967D" w:rsidR="00F2635C" w:rsidRPr="00613F14" w:rsidRDefault="00F2635C" w:rsidP="00B340D1">
            <w:pPr>
              <w:pStyle w:val="ListParagraph"/>
              <w:numPr>
                <w:ilvl w:val="0"/>
                <w:numId w:val="38"/>
              </w:numPr>
              <w:ind w:left="360"/>
              <w:rPr>
                <w:rFonts w:cstheme="minorHAnsi"/>
                <w:lang w:val="en-GB"/>
              </w:rPr>
            </w:pPr>
            <w:r w:rsidRPr="00613F14">
              <w:rPr>
                <w:rFonts w:cstheme="minorHAnsi"/>
                <w:lang w:val="en-GB"/>
              </w:rPr>
              <w:t>Provide case studies on successful sustainability approaches</w:t>
            </w:r>
            <w:r w:rsidR="001B1585" w:rsidRPr="00613F14">
              <w:rPr>
                <w:rFonts w:cstheme="minorHAnsi"/>
                <w:lang w:val="en-GB"/>
              </w:rPr>
              <w:t>,</w:t>
            </w:r>
            <w:r w:rsidR="004C1F13" w:rsidRPr="00613F14">
              <w:rPr>
                <w:rFonts w:cstheme="minorHAnsi"/>
                <w:lang w:val="en-GB"/>
              </w:rPr>
              <w:t xml:space="preserve"> and</w:t>
            </w:r>
          </w:p>
          <w:p w14:paraId="01ED5B36" w14:textId="25477153" w:rsidR="00F2635C" w:rsidRPr="00613F14" w:rsidRDefault="00F2635C" w:rsidP="00B340D1">
            <w:pPr>
              <w:pStyle w:val="ListParagraph"/>
              <w:numPr>
                <w:ilvl w:val="0"/>
                <w:numId w:val="38"/>
              </w:numPr>
              <w:ind w:left="360"/>
              <w:rPr>
                <w:rFonts w:cstheme="minorHAnsi"/>
                <w:lang w:val="en-GB"/>
              </w:rPr>
            </w:pPr>
            <w:r w:rsidRPr="00613F14">
              <w:rPr>
                <w:rFonts w:cstheme="minorHAnsi"/>
                <w:lang w:val="en-GB"/>
              </w:rPr>
              <w:lastRenderedPageBreak/>
              <w:t xml:space="preserve">Ensure that regular reporting reflects on sustainability progress, </w:t>
            </w:r>
            <w:proofErr w:type="gramStart"/>
            <w:r w:rsidRPr="00613F14">
              <w:rPr>
                <w:rFonts w:cstheme="minorHAnsi"/>
                <w:lang w:val="en-GB"/>
              </w:rPr>
              <w:t>opportunities</w:t>
            </w:r>
            <w:proofErr w:type="gramEnd"/>
            <w:r w:rsidRPr="00613F14">
              <w:rPr>
                <w:rFonts w:cstheme="minorHAnsi"/>
                <w:lang w:val="en-GB"/>
              </w:rPr>
              <w:t xml:space="preserve"> and priorities</w:t>
            </w:r>
            <w:r w:rsidR="001B1585" w:rsidRPr="00613F14">
              <w:rPr>
                <w:rFonts w:cstheme="minorHAnsi"/>
                <w:lang w:val="en-GB"/>
              </w:rPr>
              <w:t>.</w:t>
            </w:r>
          </w:p>
          <w:p w14:paraId="09D0EAE1" w14:textId="77777777" w:rsidR="00F2635C" w:rsidRPr="00613F14" w:rsidRDefault="00F2635C" w:rsidP="00F2635C">
            <w:pPr>
              <w:pStyle w:val="ListParagraph"/>
              <w:ind w:left="360"/>
              <w:rPr>
                <w:rFonts w:cstheme="minorHAnsi"/>
                <w:lang w:val="en-GB"/>
              </w:rPr>
            </w:pPr>
          </w:p>
          <w:p w14:paraId="2ECF7F6D" w14:textId="77777777" w:rsidR="00F2635C" w:rsidRPr="00613F14" w:rsidRDefault="00F2635C" w:rsidP="008D489B">
            <w:pPr>
              <w:rPr>
                <w:rFonts w:cstheme="minorHAnsi"/>
              </w:rPr>
            </w:pPr>
            <w:r w:rsidRPr="00613F14">
              <w:rPr>
                <w:rFonts w:cstheme="minorHAnsi"/>
              </w:rPr>
              <w:t>DFAT will work with UNICEF to:</w:t>
            </w:r>
          </w:p>
          <w:p w14:paraId="69584038" w14:textId="52B2E050" w:rsidR="00F2635C" w:rsidRPr="00613F14" w:rsidRDefault="005B7D34" w:rsidP="00B340D1">
            <w:pPr>
              <w:pStyle w:val="ListParagraph"/>
              <w:numPr>
                <w:ilvl w:val="0"/>
                <w:numId w:val="41"/>
              </w:numPr>
              <w:ind w:left="360"/>
              <w:rPr>
                <w:rFonts w:cstheme="minorHAnsi"/>
                <w:lang w:val="en-GB"/>
              </w:rPr>
            </w:pPr>
            <w:r w:rsidRPr="00613F14">
              <w:rPr>
                <w:rFonts w:cstheme="minorHAnsi"/>
                <w:lang w:val="en-GB"/>
              </w:rPr>
              <w:t>Assess the challenges and gaps</w:t>
            </w:r>
            <w:r w:rsidR="00C765BE" w:rsidRPr="00613F14">
              <w:rPr>
                <w:rFonts w:cstheme="minorHAnsi"/>
              </w:rPr>
              <w:t xml:space="preserve"> regarding uptake of training materials and methods and consolidate approaches that can address these</w:t>
            </w:r>
            <w:r w:rsidR="00F61E36" w:rsidRPr="00613F14">
              <w:rPr>
                <w:rFonts w:cstheme="minorHAnsi"/>
              </w:rPr>
              <w:t xml:space="preserve">, </w:t>
            </w:r>
          </w:p>
          <w:p w14:paraId="332B15F0" w14:textId="3640EF43" w:rsidR="00E26A19" w:rsidRPr="00613F14" w:rsidRDefault="00A032DC" w:rsidP="00B340D1">
            <w:pPr>
              <w:pStyle w:val="ListParagraph"/>
              <w:numPr>
                <w:ilvl w:val="0"/>
                <w:numId w:val="41"/>
              </w:numPr>
              <w:ind w:left="360"/>
              <w:rPr>
                <w:rFonts w:cstheme="minorHAnsi"/>
                <w:lang w:val="en-GB"/>
              </w:rPr>
            </w:pPr>
            <w:r w:rsidRPr="00613F14">
              <w:rPr>
                <w:rFonts w:cstheme="minorHAnsi"/>
                <w:lang w:val="en-GB"/>
              </w:rPr>
              <w:t>Track and c</w:t>
            </w:r>
            <w:r w:rsidR="00862E82" w:rsidRPr="00613F14">
              <w:rPr>
                <w:rFonts w:cstheme="minorHAnsi"/>
                <w:lang w:val="en-GB"/>
              </w:rPr>
              <w:t>onsolidate lessons</w:t>
            </w:r>
            <w:r w:rsidR="00EF7760" w:rsidRPr="00613F14">
              <w:rPr>
                <w:rFonts w:cstheme="minorHAnsi"/>
                <w:lang w:val="en-GB"/>
              </w:rPr>
              <w:t xml:space="preserve"> </w:t>
            </w:r>
            <w:r w:rsidR="00862E82" w:rsidRPr="00613F14">
              <w:rPr>
                <w:rFonts w:cstheme="minorHAnsi"/>
                <w:lang w:val="en-GB"/>
              </w:rPr>
              <w:t xml:space="preserve">learned </w:t>
            </w:r>
            <w:r w:rsidR="001F11E2" w:rsidRPr="00613F14">
              <w:rPr>
                <w:rFonts w:cstheme="minorHAnsi"/>
                <w:lang w:val="en-GB"/>
              </w:rPr>
              <w:t>on</w:t>
            </w:r>
            <w:r w:rsidR="00AD552F" w:rsidRPr="00613F14">
              <w:rPr>
                <w:rFonts w:cstheme="minorHAnsi"/>
                <w:lang w:val="en-GB"/>
              </w:rPr>
              <w:t xml:space="preserve"> education delivery</w:t>
            </w:r>
            <w:r w:rsidRPr="00613F14">
              <w:rPr>
                <w:rFonts w:cstheme="minorHAnsi"/>
                <w:lang w:val="en-GB"/>
              </w:rPr>
              <w:t xml:space="preserve"> progress</w:t>
            </w:r>
            <w:r w:rsidR="00AD552F" w:rsidRPr="00613F14">
              <w:rPr>
                <w:rFonts w:cstheme="minorHAnsi"/>
                <w:lang w:val="en-GB"/>
              </w:rPr>
              <w:t xml:space="preserve"> </w:t>
            </w:r>
            <w:r w:rsidR="00D03D94" w:rsidRPr="00613F14">
              <w:rPr>
                <w:rFonts w:cstheme="minorHAnsi"/>
                <w:lang w:val="en-GB"/>
              </w:rPr>
              <w:t xml:space="preserve">in partner </w:t>
            </w:r>
            <w:r w:rsidR="00A852BE" w:rsidRPr="00613F14">
              <w:rPr>
                <w:rFonts w:cstheme="minorHAnsi"/>
                <w:lang w:val="en-GB"/>
              </w:rPr>
              <w:t>districts</w:t>
            </w:r>
            <w:r w:rsidR="00F61E36" w:rsidRPr="00613F14">
              <w:rPr>
                <w:rFonts w:cstheme="minorHAnsi"/>
                <w:lang w:val="en-GB"/>
              </w:rPr>
              <w:t>, and</w:t>
            </w:r>
          </w:p>
          <w:p w14:paraId="27625D02" w14:textId="46C2557E" w:rsidR="005460C2" w:rsidRPr="00613F14" w:rsidRDefault="00E9500C" w:rsidP="00E22ECB">
            <w:pPr>
              <w:pStyle w:val="ListParagraph"/>
              <w:numPr>
                <w:ilvl w:val="0"/>
                <w:numId w:val="41"/>
              </w:numPr>
              <w:ind w:left="360"/>
              <w:rPr>
                <w:rFonts w:cstheme="minorHAnsi"/>
                <w:lang w:val="en-GB"/>
              </w:rPr>
            </w:pPr>
            <w:r w:rsidRPr="00613F14">
              <w:rPr>
                <w:rFonts w:cstheme="minorHAnsi"/>
                <w:lang w:val="en-GB"/>
              </w:rPr>
              <w:t xml:space="preserve">Consolidate </w:t>
            </w:r>
            <w:r w:rsidR="00B22FA5" w:rsidRPr="00613F14">
              <w:rPr>
                <w:rFonts w:cstheme="minorHAnsi"/>
                <w:lang w:val="en-GB"/>
              </w:rPr>
              <w:t xml:space="preserve">lessons </w:t>
            </w:r>
            <w:r w:rsidRPr="00613F14">
              <w:rPr>
                <w:rFonts w:cstheme="minorHAnsi"/>
                <w:lang w:val="en-GB"/>
              </w:rPr>
              <w:t xml:space="preserve">on what </w:t>
            </w:r>
            <w:r w:rsidR="00D92A49" w:rsidRPr="00613F14">
              <w:rPr>
                <w:rFonts w:cstheme="minorHAnsi"/>
                <w:lang w:val="en-GB"/>
              </w:rPr>
              <w:t xml:space="preserve">enabling </w:t>
            </w:r>
            <w:r w:rsidR="0089062D" w:rsidRPr="00613F14">
              <w:rPr>
                <w:rFonts w:cstheme="minorHAnsi"/>
                <w:lang w:val="en-GB"/>
              </w:rPr>
              <w:t xml:space="preserve">factors </w:t>
            </w:r>
            <w:proofErr w:type="gramStart"/>
            <w:r w:rsidR="00B22FA5" w:rsidRPr="00613F14">
              <w:rPr>
                <w:rFonts w:cstheme="minorHAnsi"/>
                <w:lang w:val="en-GB"/>
              </w:rPr>
              <w:t>have</w:t>
            </w:r>
            <w:proofErr w:type="gramEnd"/>
            <w:r w:rsidR="00B22FA5" w:rsidRPr="00613F14">
              <w:rPr>
                <w:rFonts w:cstheme="minorHAnsi"/>
                <w:lang w:val="en-GB"/>
              </w:rPr>
              <w:t xml:space="preserve"> </w:t>
            </w:r>
            <w:r w:rsidR="00774738" w:rsidRPr="00613F14">
              <w:rPr>
                <w:rFonts w:cstheme="minorHAnsi"/>
                <w:lang w:val="en-GB"/>
              </w:rPr>
              <w:t>improved</w:t>
            </w:r>
            <w:r w:rsidR="00BC797F" w:rsidRPr="00613F14">
              <w:rPr>
                <w:rFonts w:cstheme="minorHAnsi"/>
                <w:lang w:val="en-GB"/>
              </w:rPr>
              <w:t xml:space="preserve"> </w:t>
            </w:r>
            <w:r w:rsidR="00D11392" w:rsidRPr="00613F14">
              <w:rPr>
                <w:rFonts w:cstheme="minorHAnsi"/>
                <w:lang w:val="en-GB"/>
              </w:rPr>
              <w:t>subnational government bud</w:t>
            </w:r>
            <w:r w:rsidR="0089062D" w:rsidRPr="00613F14">
              <w:rPr>
                <w:rFonts w:cstheme="minorHAnsi"/>
                <w:lang w:val="en-GB"/>
              </w:rPr>
              <w:t>get planning and management skills</w:t>
            </w:r>
            <w:r w:rsidR="00393CF8" w:rsidRPr="00613F14">
              <w:rPr>
                <w:rFonts w:cstheme="minorHAnsi"/>
                <w:lang w:val="en-GB"/>
              </w:rPr>
              <w:t xml:space="preserve">. </w:t>
            </w:r>
            <w:r w:rsidR="0089062D" w:rsidRPr="00613F14">
              <w:rPr>
                <w:rFonts w:cstheme="minorHAnsi"/>
                <w:lang w:val="en-GB"/>
              </w:rPr>
              <w:t xml:space="preserve"> </w:t>
            </w:r>
          </w:p>
        </w:tc>
        <w:tc>
          <w:tcPr>
            <w:tcW w:w="2790" w:type="dxa"/>
          </w:tcPr>
          <w:p w14:paraId="514B6D3A" w14:textId="77777777" w:rsidR="00B2508F" w:rsidRPr="00613F14" w:rsidRDefault="00B2508F" w:rsidP="00B2508F">
            <w:pPr>
              <w:rPr>
                <w:rFonts w:cstheme="minorHAnsi"/>
                <w:lang w:val="en-GB"/>
              </w:rPr>
            </w:pPr>
            <w:r w:rsidRPr="00613F14">
              <w:rPr>
                <w:rFonts w:cstheme="minorHAnsi"/>
                <w:lang w:val="en-GB"/>
              </w:rPr>
              <w:lastRenderedPageBreak/>
              <w:t>INOVASI:</w:t>
            </w:r>
          </w:p>
          <w:p w14:paraId="55AA209D" w14:textId="77777777" w:rsidR="00B2508F" w:rsidRPr="00613F14" w:rsidRDefault="00B2508F" w:rsidP="00B2508F">
            <w:pPr>
              <w:pStyle w:val="ListParagraph"/>
              <w:numPr>
                <w:ilvl w:val="0"/>
                <w:numId w:val="54"/>
              </w:numPr>
              <w:spacing w:line="256" w:lineRule="auto"/>
              <w:ind w:left="360"/>
              <w:rPr>
                <w:rFonts w:cstheme="minorHAnsi"/>
                <w:lang w:val="en-GB"/>
              </w:rPr>
            </w:pPr>
            <w:r w:rsidRPr="00613F14">
              <w:rPr>
                <w:rFonts w:cstheme="minorHAnsi"/>
                <w:lang w:val="en-GB"/>
              </w:rPr>
              <w:t>31</w:t>
            </w:r>
            <w:r w:rsidRPr="00613F14">
              <w:rPr>
                <w:rFonts w:cstheme="minorHAnsi"/>
                <w:vertAlign w:val="superscript"/>
                <w:lang w:val="en-GB"/>
              </w:rPr>
              <w:t>st</w:t>
            </w:r>
            <w:r w:rsidRPr="00613F14">
              <w:rPr>
                <w:rFonts w:cstheme="minorHAnsi"/>
                <w:lang w:val="en-GB"/>
              </w:rPr>
              <w:t xml:space="preserve"> July 2023 – Finalise review of training delivery.</w:t>
            </w:r>
          </w:p>
          <w:p w14:paraId="7AB1F901" w14:textId="77777777" w:rsidR="00B2508F" w:rsidRPr="00613F14" w:rsidRDefault="00B2508F" w:rsidP="00B2508F">
            <w:pPr>
              <w:pStyle w:val="ListParagraph"/>
              <w:numPr>
                <w:ilvl w:val="0"/>
                <w:numId w:val="54"/>
              </w:numPr>
              <w:spacing w:line="256" w:lineRule="auto"/>
              <w:ind w:left="360"/>
              <w:rPr>
                <w:rFonts w:cstheme="minorHAnsi"/>
                <w:lang w:val="en-GB"/>
              </w:rPr>
            </w:pPr>
            <w:r w:rsidRPr="00613F14">
              <w:rPr>
                <w:rFonts w:cstheme="minorHAnsi"/>
                <w:lang w:val="en-GB"/>
              </w:rPr>
              <w:t>31</w:t>
            </w:r>
            <w:r w:rsidRPr="00613F14">
              <w:rPr>
                <w:rFonts w:cstheme="minorHAnsi"/>
                <w:vertAlign w:val="superscript"/>
                <w:lang w:val="en-GB"/>
              </w:rPr>
              <w:t>st</w:t>
            </w:r>
            <w:r w:rsidRPr="00613F14">
              <w:rPr>
                <w:rFonts w:cstheme="minorHAnsi"/>
                <w:lang w:val="en-GB"/>
              </w:rPr>
              <w:t xml:space="preserve"> July – Complete review of case studies.</w:t>
            </w:r>
          </w:p>
          <w:p w14:paraId="18AA90A1" w14:textId="77777777" w:rsidR="00B2508F" w:rsidRPr="00613F14" w:rsidRDefault="00B2508F" w:rsidP="00B2508F">
            <w:pPr>
              <w:pStyle w:val="ListParagraph"/>
              <w:numPr>
                <w:ilvl w:val="0"/>
                <w:numId w:val="54"/>
              </w:numPr>
              <w:spacing w:line="256" w:lineRule="auto"/>
              <w:ind w:left="360"/>
              <w:rPr>
                <w:rFonts w:cstheme="minorHAnsi"/>
                <w:lang w:val="en-GB"/>
              </w:rPr>
            </w:pPr>
            <w:r w:rsidRPr="00613F14">
              <w:rPr>
                <w:rFonts w:cstheme="minorHAnsi"/>
                <w:lang w:val="en-GB"/>
              </w:rPr>
              <w:lastRenderedPageBreak/>
              <w:t>31</w:t>
            </w:r>
            <w:r w:rsidRPr="00613F14">
              <w:rPr>
                <w:rFonts w:cstheme="minorHAnsi"/>
                <w:vertAlign w:val="superscript"/>
                <w:lang w:val="en-GB"/>
              </w:rPr>
              <w:t>st</w:t>
            </w:r>
            <w:r w:rsidRPr="00613F14">
              <w:rPr>
                <w:rFonts w:cstheme="minorHAnsi"/>
                <w:lang w:val="en-GB"/>
              </w:rPr>
              <w:t xml:space="preserve"> July 2023 – Complete review of January-June 2023 SMPR.</w:t>
            </w:r>
          </w:p>
          <w:p w14:paraId="627B2E4D" w14:textId="77777777" w:rsidR="00B2508F" w:rsidRPr="00613F14" w:rsidRDefault="00B2508F" w:rsidP="00B2508F">
            <w:pPr>
              <w:rPr>
                <w:rFonts w:cstheme="minorHAnsi"/>
                <w:lang w:val="en-GB"/>
              </w:rPr>
            </w:pPr>
          </w:p>
          <w:p w14:paraId="2AAC3A8F" w14:textId="77777777" w:rsidR="00B2508F" w:rsidRPr="00613F14" w:rsidRDefault="00B2508F" w:rsidP="00B2508F">
            <w:pPr>
              <w:rPr>
                <w:rFonts w:cstheme="minorHAnsi"/>
                <w:lang w:val="en-GB"/>
              </w:rPr>
            </w:pPr>
            <w:r w:rsidRPr="00613F14">
              <w:rPr>
                <w:rFonts w:cstheme="minorHAnsi"/>
                <w:lang w:val="en-GB"/>
              </w:rPr>
              <w:t>UNICEF:</w:t>
            </w:r>
          </w:p>
          <w:p w14:paraId="2C4F39B8" w14:textId="77777777" w:rsidR="00B2508F" w:rsidRPr="00613F14" w:rsidRDefault="00B2508F" w:rsidP="00B2508F">
            <w:pPr>
              <w:pStyle w:val="ListParagraph"/>
              <w:numPr>
                <w:ilvl w:val="0"/>
                <w:numId w:val="55"/>
              </w:numPr>
              <w:spacing w:line="256" w:lineRule="auto"/>
              <w:ind w:left="360"/>
              <w:rPr>
                <w:rFonts w:cstheme="minorHAnsi"/>
                <w:lang w:val="en-GB"/>
              </w:rPr>
            </w:pPr>
            <w:r w:rsidRPr="00613F14">
              <w:rPr>
                <w:rFonts w:cstheme="minorHAnsi"/>
              </w:rPr>
              <w:t xml:space="preserve">31st March 2023 – Finalise the review of the Annual Progress Report for 2022. </w:t>
            </w:r>
          </w:p>
          <w:p w14:paraId="0396E707" w14:textId="76662367" w:rsidR="004825A4" w:rsidRPr="00613F14" w:rsidRDefault="00B2508F" w:rsidP="00B2508F">
            <w:pPr>
              <w:pStyle w:val="ListParagraph"/>
              <w:numPr>
                <w:ilvl w:val="0"/>
                <w:numId w:val="43"/>
              </w:numPr>
              <w:ind w:left="360"/>
              <w:rPr>
                <w:rFonts w:cstheme="minorHAnsi"/>
                <w:lang w:val="en-GB"/>
              </w:rPr>
            </w:pPr>
            <w:r w:rsidRPr="00613F14">
              <w:rPr>
                <w:rFonts w:cstheme="minorHAnsi"/>
                <w:lang w:val="en-GB"/>
              </w:rPr>
              <w:t>28</w:t>
            </w:r>
            <w:r w:rsidRPr="00613F14">
              <w:rPr>
                <w:rFonts w:cstheme="minorHAnsi"/>
                <w:vertAlign w:val="superscript"/>
                <w:lang w:val="en-GB"/>
              </w:rPr>
              <w:t>th</w:t>
            </w:r>
            <w:r w:rsidRPr="00613F14">
              <w:rPr>
                <w:rFonts w:cstheme="minorHAnsi"/>
                <w:lang w:val="en-GB"/>
              </w:rPr>
              <w:t xml:space="preserve"> February 2024 – Finalise Review of Final Annual Report which will include consolidated reflections from the 3 years of the program period.</w:t>
            </w:r>
          </w:p>
        </w:tc>
      </w:tr>
      <w:tr w:rsidR="006A69EA" w14:paraId="5358AFD5" w14:textId="77777777" w:rsidTr="00523FC0">
        <w:tc>
          <w:tcPr>
            <w:tcW w:w="2789" w:type="dxa"/>
          </w:tcPr>
          <w:p w14:paraId="649A0AEB" w14:textId="5582B213" w:rsidR="00B1002B" w:rsidRPr="00613F14" w:rsidRDefault="00B1002B" w:rsidP="00390054">
            <w:pPr>
              <w:rPr>
                <w:rFonts w:cstheme="minorHAnsi"/>
                <w:lang w:val="en-GB"/>
              </w:rPr>
            </w:pPr>
            <w:bookmarkStart w:id="7" w:name="RowTitle_Recommendation3"/>
            <w:r w:rsidRPr="00613F14">
              <w:rPr>
                <w:rFonts w:cstheme="minorHAnsi"/>
                <w:lang w:val="en-GB"/>
              </w:rPr>
              <w:lastRenderedPageBreak/>
              <w:t>Recommendation 3</w:t>
            </w:r>
          </w:p>
          <w:bookmarkEnd w:id="7"/>
          <w:p w14:paraId="11F66450" w14:textId="77777777" w:rsidR="00B1002B" w:rsidRPr="00613F14" w:rsidRDefault="00B1002B" w:rsidP="00390054">
            <w:pPr>
              <w:rPr>
                <w:rFonts w:cstheme="minorHAnsi"/>
                <w:b/>
                <w:bCs/>
                <w:lang w:val="en-GB"/>
              </w:rPr>
            </w:pPr>
          </w:p>
          <w:p w14:paraId="5839E3BE" w14:textId="4C48D4E0" w:rsidR="005939E1" w:rsidRPr="00613F14" w:rsidRDefault="005939E1" w:rsidP="005939E1">
            <w:pPr>
              <w:rPr>
                <w:rFonts w:cstheme="minorHAnsi"/>
                <w:b/>
                <w:bCs/>
                <w:lang w:val="en-GB"/>
              </w:rPr>
            </w:pPr>
            <w:r w:rsidRPr="00613F14">
              <w:rPr>
                <w:rFonts w:cstheme="minorHAnsi"/>
                <w:lang w:val="en-GB"/>
              </w:rPr>
              <w:t xml:space="preserve">Support further progress against gender equality, </w:t>
            </w:r>
            <w:proofErr w:type="gramStart"/>
            <w:r w:rsidRPr="00613F14">
              <w:rPr>
                <w:rFonts w:cstheme="minorHAnsi"/>
                <w:lang w:val="en-GB"/>
              </w:rPr>
              <w:t>disability</w:t>
            </w:r>
            <w:proofErr w:type="gramEnd"/>
            <w:r w:rsidRPr="00613F14">
              <w:rPr>
                <w:rFonts w:cstheme="minorHAnsi"/>
                <w:lang w:val="en-GB"/>
              </w:rPr>
              <w:t xml:space="preserve"> and social inclusion outcomes.</w:t>
            </w:r>
          </w:p>
          <w:p w14:paraId="289C83D5" w14:textId="0CAA19A8" w:rsidR="002C1339" w:rsidRPr="00613F14" w:rsidRDefault="002C1339" w:rsidP="00390054">
            <w:pPr>
              <w:rPr>
                <w:rFonts w:cstheme="minorHAnsi"/>
                <w:b/>
                <w:bCs/>
                <w:lang w:val="en-GB"/>
              </w:rPr>
            </w:pPr>
          </w:p>
          <w:p w14:paraId="74A6FFC5" w14:textId="77777777" w:rsidR="002C1339" w:rsidRPr="00613F14" w:rsidRDefault="002C1339" w:rsidP="00390054">
            <w:pPr>
              <w:rPr>
                <w:rFonts w:cstheme="minorHAnsi"/>
                <w:lang w:val="en-GB"/>
              </w:rPr>
            </w:pPr>
          </w:p>
          <w:p w14:paraId="4BB227B5" w14:textId="77777777" w:rsidR="002C1339" w:rsidRPr="00613F14" w:rsidRDefault="002C1339" w:rsidP="00390054">
            <w:pPr>
              <w:rPr>
                <w:rFonts w:cstheme="minorHAnsi"/>
                <w:lang w:val="en-GB"/>
              </w:rPr>
            </w:pPr>
          </w:p>
          <w:p w14:paraId="129E59C1" w14:textId="575FBED2" w:rsidR="00AE580F" w:rsidRPr="00613F14" w:rsidRDefault="00AE580F" w:rsidP="008D489B">
            <w:pPr>
              <w:rPr>
                <w:rFonts w:cstheme="minorHAnsi"/>
                <w:b/>
                <w:bCs/>
                <w:lang w:val="en-GB"/>
              </w:rPr>
            </w:pPr>
          </w:p>
        </w:tc>
        <w:tc>
          <w:tcPr>
            <w:tcW w:w="1601" w:type="dxa"/>
          </w:tcPr>
          <w:p w14:paraId="5FE60872" w14:textId="140D7B9C" w:rsidR="0070009C" w:rsidRPr="00613F14" w:rsidRDefault="00F91DDB" w:rsidP="00390054">
            <w:pPr>
              <w:rPr>
                <w:rFonts w:cstheme="minorHAnsi"/>
                <w:lang w:val="en-GB"/>
              </w:rPr>
            </w:pPr>
            <w:r w:rsidRPr="00613F14">
              <w:rPr>
                <w:rFonts w:cstheme="minorHAnsi"/>
                <w:lang w:val="en-GB"/>
              </w:rPr>
              <w:lastRenderedPageBreak/>
              <w:t>Agree</w:t>
            </w:r>
          </w:p>
        </w:tc>
        <w:tc>
          <w:tcPr>
            <w:tcW w:w="3978" w:type="dxa"/>
          </w:tcPr>
          <w:p w14:paraId="0FB56024" w14:textId="77777777" w:rsidR="006350CF" w:rsidRPr="00613F14" w:rsidRDefault="006350CF" w:rsidP="006350CF">
            <w:pPr>
              <w:rPr>
                <w:rFonts w:cstheme="minorHAnsi"/>
                <w:bCs/>
                <w:iCs/>
                <w:lang w:val="en-GB"/>
              </w:rPr>
            </w:pPr>
            <w:r w:rsidRPr="00613F14">
              <w:rPr>
                <w:rFonts w:cstheme="minorHAnsi"/>
                <w:bCs/>
                <w:iCs/>
                <w:lang w:val="en-GB"/>
              </w:rPr>
              <w:t>Build on INOVASI’s successful gender equality, disability and social inclusion approaches and activities by:</w:t>
            </w:r>
          </w:p>
          <w:p w14:paraId="3C361075" w14:textId="17FD4B39" w:rsidR="006350CF" w:rsidRPr="00613F14" w:rsidRDefault="006350CF" w:rsidP="00B340D1">
            <w:pPr>
              <w:numPr>
                <w:ilvl w:val="0"/>
                <w:numId w:val="34"/>
              </w:numPr>
              <w:ind w:left="360"/>
              <w:rPr>
                <w:rFonts w:cstheme="minorHAnsi"/>
                <w:bCs/>
                <w:iCs/>
                <w:lang w:val="en-GB"/>
              </w:rPr>
            </w:pPr>
            <w:r w:rsidRPr="00613F14">
              <w:rPr>
                <w:rFonts w:cstheme="minorHAnsi"/>
                <w:bCs/>
                <w:iCs/>
                <w:lang w:val="en-GB"/>
              </w:rPr>
              <w:t>Identifying remaining gaps in policy maker</w:t>
            </w:r>
            <w:r w:rsidR="00D63C3A" w:rsidRPr="00613F14">
              <w:rPr>
                <w:rFonts w:cstheme="minorHAnsi"/>
                <w:bCs/>
                <w:iCs/>
                <w:lang w:val="en-GB"/>
              </w:rPr>
              <w:t>s</w:t>
            </w:r>
            <w:r w:rsidR="00C10A42" w:rsidRPr="00613F14">
              <w:rPr>
                <w:rFonts w:cstheme="minorHAnsi"/>
                <w:bCs/>
                <w:iCs/>
                <w:lang w:val="en-GB"/>
              </w:rPr>
              <w:t>’</w:t>
            </w:r>
            <w:r w:rsidRPr="00613F14">
              <w:rPr>
                <w:rFonts w:cstheme="minorHAnsi"/>
                <w:bCs/>
                <w:iCs/>
                <w:lang w:val="en-GB"/>
              </w:rPr>
              <w:t>, principal</w:t>
            </w:r>
            <w:r w:rsidR="00D63C3A" w:rsidRPr="00613F14">
              <w:rPr>
                <w:rFonts w:cstheme="minorHAnsi"/>
                <w:bCs/>
                <w:iCs/>
                <w:lang w:val="en-GB"/>
              </w:rPr>
              <w:t>s</w:t>
            </w:r>
            <w:r w:rsidR="00C10A42" w:rsidRPr="00613F14">
              <w:rPr>
                <w:rFonts w:cstheme="minorHAnsi"/>
                <w:bCs/>
                <w:iCs/>
                <w:lang w:val="en-GB"/>
              </w:rPr>
              <w:t>’</w:t>
            </w:r>
            <w:r w:rsidRPr="00613F14">
              <w:rPr>
                <w:rFonts w:cstheme="minorHAnsi"/>
                <w:bCs/>
                <w:iCs/>
                <w:lang w:val="en-GB"/>
              </w:rPr>
              <w:t xml:space="preserve"> and teacher</w:t>
            </w:r>
            <w:r w:rsidR="00D63C3A" w:rsidRPr="00613F14">
              <w:rPr>
                <w:rFonts w:cstheme="minorHAnsi"/>
                <w:bCs/>
                <w:iCs/>
                <w:lang w:val="en-GB"/>
              </w:rPr>
              <w:t>s’</w:t>
            </w:r>
            <w:r w:rsidRPr="00613F14">
              <w:rPr>
                <w:rFonts w:cstheme="minorHAnsi"/>
                <w:bCs/>
                <w:iCs/>
                <w:lang w:val="en-GB"/>
              </w:rPr>
              <w:t xml:space="preserve"> understanding of GEDSI standards and approaches</w:t>
            </w:r>
            <w:r w:rsidR="00D63C3A" w:rsidRPr="00613F14">
              <w:rPr>
                <w:rFonts w:cstheme="minorHAnsi"/>
                <w:bCs/>
                <w:iCs/>
                <w:lang w:val="en-GB"/>
              </w:rPr>
              <w:t>,</w:t>
            </w:r>
          </w:p>
          <w:p w14:paraId="01222802" w14:textId="27D98E99" w:rsidR="006350CF" w:rsidRPr="00613F14" w:rsidRDefault="006350CF" w:rsidP="00B340D1">
            <w:pPr>
              <w:numPr>
                <w:ilvl w:val="0"/>
                <w:numId w:val="34"/>
              </w:numPr>
              <w:ind w:left="360"/>
              <w:rPr>
                <w:rFonts w:cstheme="minorHAnsi"/>
                <w:bCs/>
                <w:iCs/>
                <w:lang w:val="en-GB"/>
              </w:rPr>
            </w:pPr>
            <w:r w:rsidRPr="00613F14">
              <w:rPr>
                <w:rFonts w:cstheme="minorHAnsi"/>
                <w:bCs/>
                <w:iCs/>
                <w:lang w:val="en-GB"/>
              </w:rPr>
              <w:lastRenderedPageBreak/>
              <w:t>Develop</w:t>
            </w:r>
            <w:r w:rsidR="00AF793D" w:rsidRPr="00613F14">
              <w:rPr>
                <w:rFonts w:cstheme="minorHAnsi"/>
                <w:bCs/>
                <w:iCs/>
                <w:lang w:val="en-GB"/>
              </w:rPr>
              <w:t>ing</w:t>
            </w:r>
            <w:r w:rsidRPr="00613F14">
              <w:rPr>
                <w:rFonts w:cstheme="minorHAnsi"/>
                <w:bCs/>
                <w:iCs/>
                <w:lang w:val="en-GB"/>
              </w:rPr>
              <w:t xml:space="preserve"> practical tools for principals and teachers to apply gender and disability responsive </w:t>
            </w:r>
            <w:r w:rsidR="008874AE" w:rsidRPr="00613F14">
              <w:rPr>
                <w:rFonts w:cstheme="minorHAnsi"/>
                <w:bCs/>
                <w:iCs/>
                <w:lang w:val="en-GB"/>
              </w:rPr>
              <w:t xml:space="preserve">teaching and </w:t>
            </w:r>
            <w:r w:rsidRPr="00613F14">
              <w:rPr>
                <w:rFonts w:cstheme="minorHAnsi"/>
                <w:bCs/>
                <w:iCs/>
                <w:lang w:val="en-GB"/>
              </w:rPr>
              <w:t>learning</w:t>
            </w:r>
            <w:r w:rsidR="00D63C3A" w:rsidRPr="00613F14">
              <w:rPr>
                <w:rFonts w:cstheme="minorHAnsi"/>
                <w:bCs/>
                <w:iCs/>
                <w:lang w:val="en-GB"/>
              </w:rPr>
              <w:t>,</w:t>
            </w:r>
            <w:r w:rsidR="008874AE" w:rsidRPr="00613F14">
              <w:rPr>
                <w:rFonts w:cstheme="minorHAnsi"/>
                <w:bCs/>
                <w:iCs/>
                <w:lang w:val="en-GB"/>
              </w:rPr>
              <w:t xml:space="preserve"> and</w:t>
            </w:r>
          </w:p>
          <w:p w14:paraId="16657D7E" w14:textId="2C68D17A" w:rsidR="006350CF" w:rsidRPr="00613F14" w:rsidRDefault="006350CF" w:rsidP="00B340D1">
            <w:pPr>
              <w:numPr>
                <w:ilvl w:val="0"/>
                <w:numId w:val="34"/>
              </w:numPr>
              <w:ind w:left="360"/>
              <w:rPr>
                <w:rFonts w:cstheme="minorHAnsi"/>
                <w:bCs/>
                <w:iCs/>
                <w:lang w:val="en-GB"/>
              </w:rPr>
            </w:pPr>
            <w:r w:rsidRPr="00613F14">
              <w:rPr>
                <w:rFonts w:cstheme="minorHAnsi"/>
                <w:bCs/>
                <w:iCs/>
                <w:lang w:val="en-GB"/>
              </w:rPr>
              <w:t>Increas</w:t>
            </w:r>
            <w:r w:rsidR="00AF793D" w:rsidRPr="00613F14">
              <w:rPr>
                <w:rFonts w:cstheme="minorHAnsi"/>
                <w:bCs/>
                <w:iCs/>
                <w:lang w:val="en-GB"/>
              </w:rPr>
              <w:t>ing</w:t>
            </w:r>
            <w:r w:rsidRPr="00613F14">
              <w:rPr>
                <w:rFonts w:cstheme="minorHAnsi"/>
                <w:bCs/>
                <w:iCs/>
                <w:lang w:val="en-GB"/>
              </w:rPr>
              <w:t xml:space="preserve"> policy maker</w:t>
            </w:r>
            <w:r w:rsidR="009829F1" w:rsidRPr="00613F14">
              <w:rPr>
                <w:rFonts w:cstheme="minorHAnsi"/>
                <w:bCs/>
                <w:iCs/>
                <w:lang w:val="en-GB"/>
              </w:rPr>
              <w:t>s’</w:t>
            </w:r>
            <w:r w:rsidRPr="00613F14">
              <w:rPr>
                <w:rFonts w:cstheme="minorHAnsi"/>
                <w:bCs/>
                <w:iCs/>
                <w:lang w:val="en-GB"/>
              </w:rPr>
              <w:t xml:space="preserve"> access to information about successful approaches to multi-grade teaching at remote or small schools</w:t>
            </w:r>
            <w:r w:rsidR="008874AE" w:rsidRPr="00613F14">
              <w:rPr>
                <w:rFonts w:cstheme="minorHAnsi"/>
                <w:bCs/>
                <w:iCs/>
                <w:lang w:val="en-GB"/>
              </w:rPr>
              <w:t>.</w:t>
            </w:r>
            <w:r w:rsidRPr="00613F14">
              <w:rPr>
                <w:rFonts w:cstheme="minorHAnsi"/>
                <w:bCs/>
                <w:iCs/>
                <w:lang w:val="en-GB"/>
              </w:rPr>
              <w:t xml:space="preserve"> </w:t>
            </w:r>
          </w:p>
          <w:p w14:paraId="4E8BF70F" w14:textId="77777777" w:rsidR="006350CF" w:rsidRPr="00613F14" w:rsidRDefault="006350CF" w:rsidP="006350CF">
            <w:pPr>
              <w:rPr>
                <w:rFonts w:cstheme="minorHAnsi"/>
                <w:bCs/>
                <w:iCs/>
                <w:lang w:val="en-GB"/>
              </w:rPr>
            </w:pPr>
          </w:p>
          <w:p w14:paraId="6A91C6D6" w14:textId="77777777" w:rsidR="006350CF" w:rsidRPr="00613F14" w:rsidRDefault="006350CF" w:rsidP="006350CF">
            <w:pPr>
              <w:rPr>
                <w:rFonts w:cstheme="minorHAnsi"/>
                <w:bCs/>
                <w:iCs/>
                <w:lang w:val="en-GB"/>
              </w:rPr>
            </w:pPr>
            <w:r w:rsidRPr="00613F14">
              <w:rPr>
                <w:rFonts w:cstheme="minorHAnsi"/>
                <w:bCs/>
                <w:iCs/>
                <w:lang w:val="en-GB"/>
              </w:rPr>
              <w:t xml:space="preserve">Strengthen UNICEF Papua’s approach to gender equality, </w:t>
            </w:r>
            <w:proofErr w:type="gramStart"/>
            <w:r w:rsidRPr="00613F14">
              <w:rPr>
                <w:rFonts w:cstheme="minorHAnsi"/>
                <w:bCs/>
                <w:iCs/>
                <w:lang w:val="en-GB"/>
              </w:rPr>
              <w:t>disability</w:t>
            </w:r>
            <w:proofErr w:type="gramEnd"/>
            <w:r w:rsidRPr="00613F14">
              <w:rPr>
                <w:rFonts w:cstheme="minorHAnsi"/>
                <w:bCs/>
                <w:iCs/>
                <w:lang w:val="en-GB"/>
              </w:rPr>
              <w:t xml:space="preserve"> and social inclusion by:</w:t>
            </w:r>
          </w:p>
          <w:p w14:paraId="7585F3BA" w14:textId="50766FC7" w:rsidR="006350CF" w:rsidRPr="00613F14" w:rsidRDefault="006350CF" w:rsidP="00B340D1">
            <w:pPr>
              <w:numPr>
                <w:ilvl w:val="0"/>
                <w:numId w:val="34"/>
              </w:numPr>
              <w:ind w:left="360"/>
              <w:rPr>
                <w:rFonts w:cstheme="minorHAnsi"/>
                <w:bCs/>
                <w:iCs/>
                <w:lang w:val="en-GB"/>
              </w:rPr>
            </w:pPr>
            <w:r w:rsidRPr="00613F14">
              <w:rPr>
                <w:rFonts w:cstheme="minorHAnsi"/>
                <w:bCs/>
                <w:iCs/>
                <w:lang w:val="en-GB"/>
              </w:rPr>
              <w:t>Expanding UNICEF Papua’s GEDSI collaboration with relevant Indonesian government civil society counterparts</w:t>
            </w:r>
            <w:r w:rsidR="007C64EB" w:rsidRPr="00613F14">
              <w:rPr>
                <w:rFonts w:cstheme="minorHAnsi"/>
                <w:bCs/>
                <w:iCs/>
                <w:lang w:val="en-GB"/>
              </w:rPr>
              <w:t>,</w:t>
            </w:r>
          </w:p>
          <w:p w14:paraId="2EE42DAB" w14:textId="016D7A1C" w:rsidR="006350CF" w:rsidRPr="00613F14" w:rsidRDefault="006350CF" w:rsidP="00B340D1">
            <w:pPr>
              <w:numPr>
                <w:ilvl w:val="0"/>
                <w:numId w:val="34"/>
              </w:numPr>
              <w:ind w:left="360"/>
              <w:rPr>
                <w:rFonts w:cstheme="minorHAnsi"/>
                <w:bCs/>
                <w:iCs/>
                <w:lang w:val="en-GB"/>
              </w:rPr>
            </w:pPr>
            <w:r w:rsidRPr="00613F14">
              <w:rPr>
                <w:rFonts w:cstheme="minorHAnsi"/>
                <w:bCs/>
                <w:iCs/>
                <w:lang w:val="en-GB"/>
              </w:rPr>
              <w:t>Mainstreaming GEDSI approaches across UNICEF Papua activities</w:t>
            </w:r>
            <w:r w:rsidR="007C64EB" w:rsidRPr="00613F14">
              <w:rPr>
                <w:rFonts w:cstheme="minorHAnsi"/>
                <w:bCs/>
                <w:iCs/>
                <w:lang w:val="en-GB"/>
              </w:rPr>
              <w:t>, and</w:t>
            </w:r>
          </w:p>
          <w:p w14:paraId="02B8BFC8" w14:textId="3B2A829F" w:rsidR="006350CF" w:rsidRPr="00613F14" w:rsidRDefault="006350CF" w:rsidP="00B340D1">
            <w:pPr>
              <w:numPr>
                <w:ilvl w:val="0"/>
                <w:numId w:val="34"/>
              </w:numPr>
              <w:ind w:left="360"/>
              <w:rPr>
                <w:rFonts w:cstheme="minorHAnsi"/>
                <w:bCs/>
                <w:iCs/>
                <w:lang w:val="en-GB"/>
              </w:rPr>
            </w:pPr>
            <w:r w:rsidRPr="00613F14">
              <w:rPr>
                <w:rFonts w:cstheme="minorHAnsi"/>
                <w:bCs/>
                <w:iCs/>
                <w:lang w:val="en-GB"/>
              </w:rPr>
              <w:t>Strengthening UNICEF Papua reporting on GEDSI outcomes, including through use of disaggregated data</w:t>
            </w:r>
            <w:r w:rsidR="007C64EB" w:rsidRPr="00613F14">
              <w:rPr>
                <w:rFonts w:cstheme="minorHAnsi"/>
                <w:bCs/>
                <w:iCs/>
                <w:lang w:val="en-GB"/>
              </w:rPr>
              <w:t>.</w:t>
            </w:r>
            <w:r w:rsidRPr="00613F14">
              <w:rPr>
                <w:rFonts w:cstheme="minorHAnsi"/>
                <w:bCs/>
                <w:iCs/>
                <w:lang w:val="en-GB"/>
              </w:rPr>
              <w:t xml:space="preserve"> </w:t>
            </w:r>
          </w:p>
          <w:p w14:paraId="6960EAD9" w14:textId="77777777" w:rsidR="005939E1" w:rsidRPr="00613F14" w:rsidRDefault="005939E1" w:rsidP="003966AE">
            <w:pPr>
              <w:rPr>
                <w:rFonts w:cstheme="minorHAnsi"/>
                <w:bCs/>
                <w:iCs/>
                <w:lang w:val="en-GB"/>
              </w:rPr>
            </w:pPr>
          </w:p>
          <w:p w14:paraId="17BCE928" w14:textId="77777777" w:rsidR="005939E1" w:rsidRPr="00613F14" w:rsidRDefault="005939E1" w:rsidP="003966AE">
            <w:pPr>
              <w:rPr>
                <w:rFonts w:cstheme="minorHAnsi"/>
                <w:bCs/>
                <w:iCs/>
                <w:lang w:val="en-GB"/>
              </w:rPr>
            </w:pPr>
          </w:p>
          <w:p w14:paraId="16DED442" w14:textId="77777777" w:rsidR="0070009C" w:rsidRPr="00613F14" w:rsidRDefault="0070009C" w:rsidP="000D5257">
            <w:pPr>
              <w:rPr>
                <w:rFonts w:cstheme="minorHAnsi"/>
                <w:lang w:val="en-GB"/>
              </w:rPr>
            </w:pPr>
          </w:p>
        </w:tc>
        <w:tc>
          <w:tcPr>
            <w:tcW w:w="2790" w:type="dxa"/>
          </w:tcPr>
          <w:p w14:paraId="294F5A6A" w14:textId="5F0D6C47" w:rsidR="00D94298" w:rsidRPr="00613F14" w:rsidRDefault="00E94F2B" w:rsidP="00B44A5D">
            <w:pPr>
              <w:rPr>
                <w:rFonts w:cstheme="minorHAnsi"/>
                <w:bCs/>
                <w:iCs/>
              </w:rPr>
            </w:pPr>
            <w:r w:rsidRPr="00613F14">
              <w:rPr>
                <w:rFonts w:cstheme="minorHAnsi"/>
                <w:bCs/>
                <w:iCs/>
              </w:rPr>
              <w:lastRenderedPageBreak/>
              <w:t>DFAT will work with INOVASI to:</w:t>
            </w:r>
          </w:p>
          <w:p w14:paraId="4E36D8EC" w14:textId="523F16A5" w:rsidR="00D51CFC" w:rsidRPr="00613F14" w:rsidRDefault="00B22FA5" w:rsidP="00B340D1">
            <w:pPr>
              <w:numPr>
                <w:ilvl w:val="0"/>
                <w:numId w:val="49"/>
              </w:numPr>
              <w:ind w:left="360"/>
              <w:rPr>
                <w:rFonts w:cstheme="minorHAnsi"/>
                <w:bCs/>
                <w:iCs/>
              </w:rPr>
            </w:pPr>
            <w:r w:rsidRPr="00613F14">
              <w:rPr>
                <w:rFonts w:cstheme="minorHAnsi"/>
                <w:bCs/>
                <w:iCs/>
              </w:rPr>
              <w:t>Share lessons</w:t>
            </w:r>
            <w:r w:rsidR="00B35700" w:rsidRPr="00613F14">
              <w:rPr>
                <w:rFonts w:cstheme="minorHAnsi"/>
                <w:bCs/>
                <w:iCs/>
              </w:rPr>
              <w:t xml:space="preserve"> on</w:t>
            </w:r>
            <w:r w:rsidRPr="00613F14">
              <w:rPr>
                <w:rFonts w:cstheme="minorHAnsi"/>
                <w:bCs/>
                <w:iCs/>
              </w:rPr>
              <w:t xml:space="preserve"> effective</w:t>
            </w:r>
            <w:r w:rsidR="001F11E2" w:rsidRPr="00613F14">
              <w:rPr>
                <w:rFonts w:cstheme="minorHAnsi"/>
                <w:bCs/>
                <w:iCs/>
              </w:rPr>
              <w:t xml:space="preserve"> approaches for</w:t>
            </w:r>
            <w:r w:rsidRPr="00613F14">
              <w:rPr>
                <w:rFonts w:cstheme="minorHAnsi"/>
                <w:bCs/>
                <w:iCs/>
              </w:rPr>
              <w:t xml:space="preserve"> increasing</w:t>
            </w:r>
            <w:r w:rsidR="009545D2" w:rsidRPr="00613F14">
              <w:rPr>
                <w:rFonts w:cstheme="minorHAnsi"/>
                <w:bCs/>
                <w:iCs/>
              </w:rPr>
              <w:t xml:space="preserve"> understanding of GEDSI </w:t>
            </w:r>
            <w:r w:rsidR="009545D2" w:rsidRPr="00613F14">
              <w:rPr>
                <w:rFonts w:cstheme="minorHAnsi"/>
                <w:bCs/>
                <w:iCs/>
              </w:rPr>
              <w:lastRenderedPageBreak/>
              <w:t>standards and approaches,</w:t>
            </w:r>
          </w:p>
          <w:p w14:paraId="5837242F" w14:textId="06312181" w:rsidR="001450C3" w:rsidRPr="00613F14" w:rsidRDefault="00E82CE7" w:rsidP="00B340D1">
            <w:pPr>
              <w:numPr>
                <w:ilvl w:val="0"/>
                <w:numId w:val="49"/>
              </w:numPr>
              <w:ind w:left="360"/>
              <w:rPr>
                <w:rFonts w:cstheme="minorHAnsi"/>
                <w:bCs/>
                <w:iCs/>
              </w:rPr>
            </w:pPr>
            <w:r w:rsidRPr="00613F14">
              <w:rPr>
                <w:rFonts w:cstheme="minorHAnsi"/>
                <w:bCs/>
                <w:iCs/>
              </w:rPr>
              <w:t>Produce</w:t>
            </w:r>
            <w:r w:rsidR="004C6EED" w:rsidRPr="00613F14">
              <w:rPr>
                <w:rFonts w:cstheme="minorHAnsi"/>
                <w:bCs/>
                <w:iCs/>
              </w:rPr>
              <w:t xml:space="preserve"> </w:t>
            </w:r>
            <w:r w:rsidR="00B22FA5" w:rsidRPr="00613F14">
              <w:rPr>
                <w:rFonts w:cstheme="minorHAnsi"/>
                <w:bCs/>
                <w:iCs/>
              </w:rPr>
              <w:t>examples</w:t>
            </w:r>
            <w:r w:rsidR="001450C3" w:rsidRPr="00613F14">
              <w:rPr>
                <w:rFonts w:cstheme="minorHAnsi"/>
                <w:bCs/>
                <w:iCs/>
              </w:rPr>
              <w:t xml:space="preserve"> and tools</w:t>
            </w:r>
            <w:r w:rsidR="00B56DE0" w:rsidRPr="00613F14">
              <w:rPr>
                <w:rFonts w:cstheme="minorHAnsi"/>
                <w:bCs/>
                <w:iCs/>
              </w:rPr>
              <w:t xml:space="preserve"> on GEDSI </w:t>
            </w:r>
            <w:r w:rsidR="00596B2E" w:rsidRPr="00613F14">
              <w:rPr>
                <w:rFonts w:cstheme="minorHAnsi"/>
                <w:bCs/>
                <w:iCs/>
              </w:rPr>
              <w:t xml:space="preserve">responsive </w:t>
            </w:r>
            <w:r w:rsidR="004C6EED" w:rsidRPr="00613F14">
              <w:rPr>
                <w:rFonts w:cstheme="minorHAnsi"/>
                <w:bCs/>
                <w:iCs/>
              </w:rPr>
              <w:t>teaching and learning</w:t>
            </w:r>
            <w:r w:rsidR="00A30AD3" w:rsidRPr="00613F14">
              <w:rPr>
                <w:rFonts w:cstheme="minorHAnsi"/>
                <w:bCs/>
                <w:iCs/>
              </w:rPr>
              <w:t xml:space="preserve"> </w:t>
            </w:r>
            <w:r w:rsidR="001F11E2" w:rsidRPr="00613F14">
              <w:rPr>
                <w:rFonts w:cstheme="minorHAnsi"/>
                <w:bCs/>
                <w:iCs/>
              </w:rPr>
              <w:t>for</w:t>
            </w:r>
            <w:r w:rsidR="00A30AD3" w:rsidRPr="00613F14">
              <w:rPr>
                <w:rFonts w:cstheme="minorHAnsi"/>
                <w:bCs/>
                <w:iCs/>
              </w:rPr>
              <w:t xml:space="preserve"> </w:t>
            </w:r>
            <w:r w:rsidR="00AC64EB" w:rsidRPr="00613F14">
              <w:rPr>
                <w:rFonts w:cstheme="minorHAnsi"/>
                <w:bCs/>
                <w:iCs/>
              </w:rPr>
              <w:t xml:space="preserve">counterparts and </w:t>
            </w:r>
            <w:r w:rsidR="00804B72" w:rsidRPr="00613F14">
              <w:rPr>
                <w:rFonts w:cstheme="minorHAnsi"/>
                <w:bCs/>
                <w:iCs/>
              </w:rPr>
              <w:t xml:space="preserve">education </w:t>
            </w:r>
            <w:r w:rsidR="00A30AD3" w:rsidRPr="00613F14">
              <w:rPr>
                <w:rFonts w:cstheme="minorHAnsi"/>
                <w:bCs/>
                <w:iCs/>
              </w:rPr>
              <w:t>practi</w:t>
            </w:r>
            <w:r w:rsidR="00046003" w:rsidRPr="00613F14">
              <w:rPr>
                <w:rFonts w:cstheme="minorHAnsi"/>
                <w:bCs/>
                <w:iCs/>
              </w:rPr>
              <w:t>tioners</w:t>
            </w:r>
            <w:r w:rsidR="004C6EED" w:rsidRPr="00613F14">
              <w:rPr>
                <w:rFonts w:cstheme="minorHAnsi"/>
                <w:bCs/>
                <w:iCs/>
              </w:rPr>
              <w:t>, and</w:t>
            </w:r>
          </w:p>
          <w:p w14:paraId="5A041EED" w14:textId="1FC7A435" w:rsidR="004C6EED" w:rsidRPr="00613F14" w:rsidRDefault="00D20644" w:rsidP="00B340D1">
            <w:pPr>
              <w:numPr>
                <w:ilvl w:val="0"/>
                <w:numId w:val="49"/>
              </w:numPr>
              <w:ind w:left="360"/>
              <w:rPr>
                <w:rFonts w:cstheme="minorHAnsi"/>
                <w:bCs/>
                <w:iCs/>
              </w:rPr>
            </w:pPr>
            <w:r w:rsidRPr="00613F14">
              <w:rPr>
                <w:rFonts w:cstheme="minorHAnsi"/>
                <w:bCs/>
                <w:iCs/>
              </w:rPr>
              <w:t xml:space="preserve">Further </w:t>
            </w:r>
            <w:r w:rsidR="00FD5618" w:rsidRPr="00613F14">
              <w:rPr>
                <w:rFonts w:cstheme="minorHAnsi"/>
                <w:bCs/>
                <w:iCs/>
              </w:rPr>
              <w:t>circulate</w:t>
            </w:r>
            <w:r w:rsidR="00C97712" w:rsidRPr="00613F14">
              <w:rPr>
                <w:rFonts w:cstheme="minorHAnsi"/>
                <w:bCs/>
                <w:iCs/>
              </w:rPr>
              <w:t xml:space="preserve"> </w:t>
            </w:r>
            <w:r w:rsidR="00B22FA5" w:rsidRPr="00613F14">
              <w:rPr>
                <w:rFonts w:cstheme="minorHAnsi"/>
                <w:bCs/>
                <w:iCs/>
              </w:rPr>
              <w:t xml:space="preserve">lessons </w:t>
            </w:r>
            <w:r w:rsidR="009B526C" w:rsidRPr="00613F14">
              <w:rPr>
                <w:rFonts w:cstheme="minorHAnsi"/>
                <w:bCs/>
                <w:iCs/>
              </w:rPr>
              <w:t xml:space="preserve">on multi-grade teaching to relevant stakeholders and partners for </w:t>
            </w:r>
            <w:r w:rsidR="00227FCE" w:rsidRPr="00613F14">
              <w:rPr>
                <w:rFonts w:cstheme="minorHAnsi"/>
                <w:bCs/>
                <w:iCs/>
              </w:rPr>
              <w:t xml:space="preserve">wider </w:t>
            </w:r>
            <w:r w:rsidR="009B526C" w:rsidRPr="00613F14">
              <w:rPr>
                <w:rFonts w:cstheme="minorHAnsi"/>
                <w:bCs/>
                <w:iCs/>
              </w:rPr>
              <w:t xml:space="preserve">uptake. </w:t>
            </w:r>
          </w:p>
          <w:p w14:paraId="65A73A29" w14:textId="6E8F8E9E" w:rsidR="00E94F2B" w:rsidRPr="00613F14" w:rsidRDefault="00E94F2B" w:rsidP="00B340D1">
            <w:pPr>
              <w:ind w:left="360"/>
              <w:rPr>
                <w:rFonts w:cstheme="minorHAnsi"/>
                <w:bCs/>
                <w:iCs/>
              </w:rPr>
            </w:pPr>
          </w:p>
          <w:p w14:paraId="145F3572" w14:textId="37917DA4" w:rsidR="002C00D4" w:rsidRPr="00613F14" w:rsidRDefault="002C00D4" w:rsidP="00AC64EB">
            <w:pPr>
              <w:rPr>
                <w:rFonts w:cstheme="minorHAnsi"/>
                <w:bCs/>
                <w:iCs/>
              </w:rPr>
            </w:pPr>
            <w:r w:rsidRPr="00613F14">
              <w:rPr>
                <w:rFonts w:cstheme="minorHAnsi"/>
                <w:bCs/>
                <w:iCs/>
              </w:rPr>
              <w:t>DFAT will work with UNICEF to:</w:t>
            </w:r>
          </w:p>
          <w:p w14:paraId="0A2C4572" w14:textId="5F3E685D" w:rsidR="00D72729" w:rsidRPr="00613F14" w:rsidRDefault="00AC64EB" w:rsidP="00B340D1">
            <w:pPr>
              <w:pStyle w:val="ListParagraph"/>
              <w:numPr>
                <w:ilvl w:val="0"/>
                <w:numId w:val="49"/>
              </w:numPr>
              <w:ind w:left="360"/>
              <w:rPr>
                <w:rFonts w:cstheme="minorHAnsi"/>
                <w:bCs/>
                <w:iCs/>
              </w:rPr>
            </w:pPr>
            <w:r w:rsidRPr="00613F14">
              <w:rPr>
                <w:rFonts w:cstheme="minorHAnsi"/>
                <w:bCs/>
                <w:iCs/>
              </w:rPr>
              <w:t>M</w:t>
            </w:r>
            <w:r w:rsidR="00FD5496" w:rsidRPr="00613F14">
              <w:rPr>
                <w:rFonts w:cstheme="minorHAnsi"/>
                <w:bCs/>
                <w:iCs/>
              </w:rPr>
              <w:t xml:space="preserve">ainstream </w:t>
            </w:r>
            <w:r w:rsidR="00E335AB" w:rsidRPr="00613F14">
              <w:rPr>
                <w:rFonts w:cstheme="minorHAnsi"/>
                <w:bCs/>
                <w:iCs/>
              </w:rPr>
              <w:t>GEDSI</w:t>
            </w:r>
            <w:r w:rsidR="007635D6" w:rsidRPr="00613F14">
              <w:rPr>
                <w:rFonts w:cstheme="minorHAnsi"/>
                <w:bCs/>
                <w:iCs/>
              </w:rPr>
              <w:t xml:space="preserve"> awareness raising for </w:t>
            </w:r>
            <w:r w:rsidR="00067EF7" w:rsidRPr="00613F14">
              <w:rPr>
                <w:rFonts w:cstheme="minorHAnsi"/>
                <w:bCs/>
                <w:iCs/>
              </w:rPr>
              <w:t xml:space="preserve">partner </w:t>
            </w:r>
            <w:r w:rsidR="007635D6" w:rsidRPr="00613F14">
              <w:rPr>
                <w:rFonts w:cstheme="minorHAnsi"/>
                <w:bCs/>
                <w:iCs/>
              </w:rPr>
              <w:t xml:space="preserve">government officials and build common understanding on why </w:t>
            </w:r>
            <w:r w:rsidR="00E335AB" w:rsidRPr="00613F14">
              <w:rPr>
                <w:rFonts w:cstheme="minorHAnsi"/>
                <w:bCs/>
                <w:iCs/>
              </w:rPr>
              <w:t>GEDSI</w:t>
            </w:r>
            <w:r w:rsidR="007635D6" w:rsidRPr="00613F14">
              <w:rPr>
                <w:rFonts w:cstheme="minorHAnsi"/>
                <w:bCs/>
                <w:iCs/>
              </w:rPr>
              <w:t xml:space="preserve"> matters in the implementation of </w:t>
            </w:r>
            <w:r w:rsidR="001F11E2" w:rsidRPr="00613F14">
              <w:rPr>
                <w:rFonts w:cstheme="minorHAnsi"/>
                <w:bCs/>
                <w:iCs/>
              </w:rPr>
              <w:t>UNICEF Papua’s</w:t>
            </w:r>
            <w:r w:rsidR="007635D6" w:rsidRPr="00613F14">
              <w:rPr>
                <w:rFonts w:cstheme="minorHAnsi"/>
                <w:bCs/>
                <w:iCs/>
              </w:rPr>
              <w:t xml:space="preserve"> Scalability Roadmap </w:t>
            </w:r>
            <w:r w:rsidR="001154D3" w:rsidRPr="00613F14">
              <w:rPr>
                <w:rFonts w:cstheme="minorHAnsi"/>
                <w:bCs/>
                <w:iCs/>
              </w:rPr>
              <w:t>s</w:t>
            </w:r>
            <w:r w:rsidR="007635D6" w:rsidRPr="00613F14">
              <w:rPr>
                <w:rFonts w:cstheme="minorHAnsi"/>
                <w:bCs/>
                <w:iCs/>
              </w:rPr>
              <w:t xml:space="preserve">trategies and </w:t>
            </w:r>
            <w:r w:rsidR="001154D3" w:rsidRPr="00613F14">
              <w:rPr>
                <w:rFonts w:cstheme="minorHAnsi"/>
                <w:bCs/>
                <w:iCs/>
              </w:rPr>
              <w:t>m</w:t>
            </w:r>
            <w:r w:rsidR="007635D6" w:rsidRPr="00613F14">
              <w:rPr>
                <w:rFonts w:cstheme="minorHAnsi"/>
                <w:bCs/>
                <w:iCs/>
              </w:rPr>
              <w:t>ilestones.</w:t>
            </w:r>
          </w:p>
          <w:p w14:paraId="49CEDCB9" w14:textId="3E405305" w:rsidR="00806D06" w:rsidRPr="00613F14" w:rsidRDefault="00A10F9E" w:rsidP="00B340D1">
            <w:pPr>
              <w:pStyle w:val="ListParagraph"/>
              <w:numPr>
                <w:ilvl w:val="0"/>
                <w:numId w:val="49"/>
              </w:numPr>
              <w:ind w:left="360"/>
              <w:rPr>
                <w:rFonts w:cstheme="minorHAnsi"/>
                <w:bCs/>
                <w:iCs/>
              </w:rPr>
            </w:pPr>
            <w:r w:rsidRPr="00613F14">
              <w:rPr>
                <w:rFonts w:cstheme="minorHAnsi"/>
                <w:bCs/>
                <w:iCs/>
              </w:rPr>
              <w:t>Optimise use of disaggregated data for better M&amp;E reporting</w:t>
            </w:r>
            <w:r w:rsidR="00AC64EB" w:rsidRPr="00613F14">
              <w:rPr>
                <w:rFonts w:cstheme="minorHAnsi"/>
                <w:bCs/>
                <w:iCs/>
              </w:rPr>
              <w:t>.</w:t>
            </w:r>
          </w:p>
          <w:p w14:paraId="7D81AF74" w14:textId="3138BB87" w:rsidR="009848F4" w:rsidRPr="00613F14" w:rsidRDefault="009848F4" w:rsidP="00B340D1">
            <w:pPr>
              <w:ind w:left="360"/>
              <w:rPr>
                <w:rFonts w:cstheme="minorHAnsi"/>
                <w:bCs/>
                <w:iCs/>
              </w:rPr>
            </w:pPr>
          </w:p>
        </w:tc>
        <w:tc>
          <w:tcPr>
            <w:tcW w:w="2790" w:type="dxa"/>
          </w:tcPr>
          <w:p w14:paraId="73121F85" w14:textId="3B90624D" w:rsidR="002C00D4" w:rsidRPr="00613F14" w:rsidRDefault="002C00D4" w:rsidP="00390054">
            <w:pPr>
              <w:rPr>
                <w:rFonts w:cstheme="minorHAnsi"/>
              </w:rPr>
            </w:pPr>
            <w:r w:rsidRPr="00613F14">
              <w:rPr>
                <w:rFonts w:cstheme="minorHAnsi"/>
              </w:rPr>
              <w:lastRenderedPageBreak/>
              <w:t>INOVASI:</w:t>
            </w:r>
          </w:p>
          <w:p w14:paraId="73829F6B" w14:textId="696660F8" w:rsidR="00983CD8" w:rsidRPr="00613F14" w:rsidRDefault="00983CD8" w:rsidP="00390054">
            <w:pPr>
              <w:rPr>
                <w:rFonts w:cstheme="minorHAnsi"/>
              </w:rPr>
            </w:pPr>
            <w:r w:rsidRPr="00613F14">
              <w:rPr>
                <w:rFonts w:cstheme="minorHAnsi"/>
              </w:rPr>
              <w:t>2023 – During program implementation.</w:t>
            </w:r>
          </w:p>
          <w:p w14:paraId="17A2FD43" w14:textId="62DAADC8" w:rsidR="009A2292" w:rsidRPr="00613F14" w:rsidRDefault="009A2292" w:rsidP="00390054">
            <w:pPr>
              <w:rPr>
                <w:rFonts w:cstheme="minorHAnsi"/>
              </w:rPr>
            </w:pPr>
          </w:p>
          <w:p w14:paraId="7A49C591" w14:textId="5C11EC27" w:rsidR="009A2292" w:rsidRPr="00613F14" w:rsidRDefault="009A2292" w:rsidP="00390054">
            <w:pPr>
              <w:rPr>
                <w:rFonts w:cstheme="minorHAnsi"/>
              </w:rPr>
            </w:pPr>
            <w:r w:rsidRPr="00613F14">
              <w:rPr>
                <w:rFonts w:cstheme="minorHAnsi"/>
              </w:rPr>
              <w:t>UNICEF:</w:t>
            </w:r>
          </w:p>
          <w:p w14:paraId="369D8922" w14:textId="11E99FD5" w:rsidR="009A2292" w:rsidRPr="00613F14" w:rsidRDefault="009A2292" w:rsidP="00390054">
            <w:pPr>
              <w:rPr>
                <w:rFonts w:cstheme="minorHAnsi"/>
              </w:rPr>
            </w:pPr>
            <w:r w:rsidRPr="00613F14">
              <w:rPr>
                <w:rFonts w:cstheme="minorHAnsi"/>
              </w:rPr>
              <w:t xml:space="preserve">2023 – During program implementation. </w:t>
            </w:r>
          </w:p>
          <w:p w14:paraId="4AA55A70" w14:textId="77777777" w:rsidR="009A2292" w:rsidRPr="00613F14" w:rsidRDefault="009A2292" w:rsidP="00390054">
            <w:pPr>
              <w:rPr>
                <w:rFonts w:cstheme="minorHAnsi"/>
              </w:rPr>
            </w:pPr>
          </w:p>
          <w:p w14:paraId="73350048" w14:textId="79330C86" w:rsidR="002C00D4" w:rsidRPr="00613F14" w:rsidRDefault="002C00D4" w:rsidP="00B340D1">
            <w:pPr>
              <w:pStyle w:val="ListParagraph"/>
              <w:ind w:left="360"/>
              <w:rPr>
                <w:rFonts w:cstheme="minorHAnsi"/>
                <w:lang w:val="en-GB"/>
              </w:rPr>
            </w:pPr>
          </w:p>
        </w:tc>
      </w:tr>
      <w:tr w:rsidR="009545D2" w14:paraId="26C9367C" w14:textId="77777777" w:rsidTr="00523FC0">
        <w:tc>
          <w:tcPr>
            <w:tcW w:w="2789" w:type="dxa"/>
          </w:tcPr>
          <w:p w14:paraId="5E7FF8C7" w14:textId="4A9BB41A" w:rsidR="00760EEC" w:rsidRPr="00613F14" w:rsidRDefault="00760EEC" w:rsidP="00760EEC">
            <w:pPr>
              <w:rPr>
                <w:rFonts w:cstheme="minorHAnsi"/>
                <w:lang w:val="en-GB"/>
              </w:rPr>
            </w:pPr>
            <w:bookmarkStart w:id="8" w:name="RowTitle_Recommendation4"/>
            <w:r w:rsidRPr="00613F14">
              <w:rPr>
                <w:rFonts w:cstheme="minorHAnsi"/>
                <w:lang w:val="en-GB"/>
              </w:rPr>
              <w:lastRenderedPageBreak/>
              <w:t xml:space="preserve">Recommendation </w:t>
            </w:r>
            <w:r w:rsidR="00D072AD" w:rsidRPr="00613F14">
              <w:rPr>
                <w:rFonts w:cstheme="minorHAnsi"/>
                <w:lang w:val="en-GB"/>
              </w:rPr>
              <w:t>4</w:t>
            </w:r>
          </w:p>
          <w:bookmarkEnd w:id="8"/>
          <w:p w14:paraId="0815CB34" w14:textId="77777777" w:rsidR="00760EEC" w:rsidRPr="00613F14" w:rsidRDefault="00760EEC" w:rsidP="00760EEC">
            <w:pPr>
              <w:rPr>
                <w:rFonts w:cstheme="minorHAnsi"/>
                <w:b/>
                <w:bCs/>
                <w:lang w:val="en-GB"/>
              </w:rPr>
            </w:pPr>
          </w:p>
          <w:p w14:paraId="67550423" w14:textId="26D45E44" w:rsidR="00760EEC" w:rsidRPr="00613F14" w:rsidRDefault="00760EEC" w:rsidP="00760EEC">
            <w:pPr>
              <w:rPr>
                <w:rFonts w:cstheme="minorHAnsi"/>
                <w:b/>
                <w:bCs/>
                <w:lang w:val="en-GB"/>
              </w:rPr>
            </w:pPr>
            <w:r w:rsidRPr="00613F14">
              <w:rPr>
                <w:rFonts w:cstheme="minorHAnsi"/>
                <w:lang w:val="en-GB"/>
              </w:rPr>
              <w:t xml:space="preserve">Australia is well-placed to continue </w:t>
            </w:r>
            <w:r w:rsidR="00F3710A" w:rsidRPr="00613F14">
              <w:rPr>
                <w:rFonts w:cstheme="minorHAnsi"/>
                <w:lang w:val="en-GB"/>
              </w:rPr>
              <w:t xml:space="preserve">to </w:t>
            </w:r>
            <w:r w:rsidRPr="00613F14">
              <w:rPr>
                <w:rFonts w:cstheme="minorHAnsi"/>
                <w:lang w:val="en-GB"/>
              </w:rPr>
              <w:t>support effective basic education improvement and reform in Indonesia, particularly on foundational skills development.</w:t>
            </w:r>
          </w:p>
          <w:p w14:paraId="2B4DE29D" w14:textId="7DA613DD" w:rsidR="00760EEC" w:rsidRPr="00613F14" w:rsidRDefault="00760EEC" w:rsidP="00760EEC">
            <w:pPr>
              <w:rPr>
                <w:rFonts w:cstheme="minorHAnsi"/>
                <w:b/>
                <w:bCs/>
                <w:lang w:val="en-GB"/>
              </w:rPr>
            </w:pPr>
          </w:p>
          <w:p w14:paraId="1CEB0447" w14:textId="77777777" w:rsidR="00724B49" w:rsidRPr="00613F14" w:rsidRDefault="00724B49" w:rsidP="00390054">
            <w:pPr>
              <w:rPr>
                <w:rFonts w:cstheme="minorHAnsi"/>
                <w:lang w:val="en-GB"/>
              </w:rPr>
            </w:pPr>
          </w:p>
        </w:tc>
        <w:tc>
          <w:tcPr>
            <w:tcW w:w="1601" w:type="dxa"/>
          </w:tcPr>
          <w:p w14:paraId="7F0FD109" w14:textId="277B7D03" w:rsidR="00724B49" w:rsidRPr="00613F14" w:rsidRDefault="0079763C" w:rsidP="00390054">
            <w:pPr>
              <w:rPr>
                <w:rFonts w:cstheme="minorHAnsi"/>
                <w:lang w:val="en-GB"/>
              </w:rPr>
            </w:pPr>
            <w:r w:rsidRPr="00613F14">
              <w:rPr>
                <w:rFonts w:cstheme="minorHAnsi"/>
                <w:lang w:val="en-GB"/>
              </w:rPr>
              <w:t>Noted</w:t>
            </w:r>
          </w:p>
        </w:tc>
        <w:tc>
          <w:tcPr>
            <w:tcW w:w="3978" w:type="dxa"/>
          </w:tcPr>
          <w:p w14:paraId="22CC920A" w14:textId="0BAA604A" w:rsidR="00F6433D" w:rsidRPr="00613F14" w:rsidRDefault="00F6433D" w:rsidP="00B340D1">
            <w:pPr>
              <w:pStyle w:val="ListParagraph"/>
              <w:numPr>
                <w:ilvl w:val="0"/>
                <w:numId w:val="50"/>
              </w:numPr>
              <w:ind w:left="360"/>
              <w:rPr>
                <w:rFonts w:cstheme="minorHAnsi"/>
                <w:bCs/>
                <w:iCs/>
              </w:rPr>
            </w:pPr>
            <w:r w:rsidRPr="00613F14">
              <w:rPr>
                <w:rFonts w:cstheme="minorHAnsi"/>
                <w:bCs/>
                <w:iCs/>
              </w:rPr>
              <w:t>Learning recovery will remain an ongoing challenge due to inequality challenges, already low learning outcomes and COVID-19 pandemic</w:t>
            </w:r>
            <w:r w:rsidR="00AC64EB" w:rsidRPr="00613F14">
              <w:rPr>
                <w:rFonts w:cstheme="minorHAnsi"/>
                <w:bCs/>
                <w:iCs/>
              </w:rPr>
              <w:t xml:space="preserve"> impacts</w:t>
            </w:r>
            <w:r w:rsidRPr="00613F14">
              <w:rPr>
                <w:rFonts w:cstheme="minorHAnsi"/>
                <w:bCs/>
                <w:iCs/>
              </w:rPr>
              <w:t xml:space="preserve">. </w:t>
            </w:r>
          </w:p>
          <w:p w14:paraId="1D0B4A99" w14:textId="2FD5B8FB" w:rsidR="00F6433D" w:rsidRPr="00613F14" w:rsidRDefault="00AC64EB" w:rsidP="00B340D1">
            <w:pPr>
              <w:pStyle w:val="ListParagraph"/>
              <w:numPr>
                <w:ilvl w:val="0"/>
                <w:numId w:val="50"/>
              </w:numPr>
              <w:ind w:left="360"/>
              <w:rPr>
                <w:rFonts w:cstheme="minorHAnsi"/>
                <w:bCs/>
                <w:iCs/>
              </w:rPr>
            </w:pPr>
            <w:r w:rsidRPr="00613F14">
              <w:rPr>
                <w:rFonts w:cstheme="minorHAnsi"/>
                <w:bCs/>
                <w:iCs/>
              </w:rPr>
              <w:t>Australia has a</w:t>
            </w:r>
            <w:r w:rsidR="00F6433D" w:rsidRPr="00613F14">
              <w:rPr>
                <w:rFonts w:cstheme="minorHAnsi"/>
                <w:bCs/>
                <w:iCs/>
              </w:rPr>
              <w:t xml:space="preserve"> comparative advantage as the only bilateral donor supporting </w:t>
            </w:r>
            <w:proofErr w:type="spellStart"/>
            <w:r w:rsidR="00F6433D" w:rsidRPr="00613F14">
              <w:rPr>
                <w:rFonts w:cstheme="minorHAnsi"/>
                <w:bCs/>
                <w:iCs/>
              </w:rPr>
              <w:t>GoI</w:t>
            </w:r>
            <w:proofErr w:type="spellEnd"/>
            <w:r w:rsidR="00F6433D" w:rsidRPr="00613F14">
              <w:rPr>
                <w:rFonts w:cstheme="minorHAnsi"/>
                <w:bCs/>
                <w:iCs/>
              </w:rPr>
              <w:t xml:space="preserve"> in basic education</w:t>
            </w:r>
            <w:r w:rsidR="008E4293" w:rsidRPr="00613F14">
              <w:rPr>
                <w:rFonts w:cstheme="minorHAnsi"/>
                <w:bCs/>
                <w:iCs/>
              </w:rPr>
              <w:t>,</w:t>
            </w:r>
            <w:r w:rsidR="00F6433D" w:rsidRPr="00613F14">
              <w:rPr>
                <w:rFonts w:cstheme="minorHAnsi"/>
                <w:bCs/>
                <w:iCs/>
              </w:rPr>
              <w:t xml:space="preserve"> with experience and long-term relationships</w:t>
            </w:r>
            <w:r w:rsidRPr="00613F14">
              <w:rPr>
                <w:rFonts w:cstheme="minorHAnsi"/>
                <w:bCs/>
                <w:iCs/>
              </w:rPr>
              <w:t>.</w:t>
            </w:r>
            <w:r w:rsidR="00F6433D" w:rsidRPr="00613F14">
              <w:rPr>
                <w:rFonts w:cstheme="minorHAnsi"/>
                <w:bCs/>
                <w:iCs/>
              </w:rPr>
              <w:t xml:space="preserve">  </w:t>
            </w:r>
            <w:r w:rsidR="008E4293" w:rsidRPr="00613F14">
              <w:rPr>
                <w:rFonts w:cstheme="minorHAnsi"/>
                <w:bCs/>
                <w:iCs/>
              </w:rPr>
              <w:t xml:space="preserve">Further investment would increase opportunities for </w:t>
            </w:r>
            <w:r w:rsidR="006551BF" w:rsidRPr="00613F14">
              <w:rPr>
                <w:rFonts w:cstheme="minorHAnsi"/>
                <w:bCs/>
                <w:iCs/>
              </w:rPr>
              <w:t>government-to-government</w:t>
            </w:r>
            <w:r w:rsidR="008E4293" w:rsidRPr="00613F14">
              <w:rPr>
                <w:rFonts w:cstheme="minorHAnsi"/>
                <w:bCs/>
                <w:iCs/>
              </w:rPr>
              <w:t xml:space="preserve"> strategic engagement, including following national elections in 2024.</w:t>
            </w:r>
          </w:p>
          <w:p w14:paraId="55399590" w14:textId="15297229" w:rsidR="00F6433D" w:rsidRPr="00613F14" w:rsidRDefault="00AC64EB" w:rsidP="00B340D1">
            <w:pPr>
              <w:pStyle w:val="ListParagraph"/>
              <w:numPr>
                <w:ilvl w:val="0"/>
                <w:numId w:val="50"/>
              </w:numPr>
              <w:ind w:left="360"/>
              <w:rPr>
                <w:rFonts w:cstheme="minorHAnsi"/>
                <w:bCs/>
                <w:iCs/>
              </w:rPr>
            </w:pPr>
            <w:r w:rsidRPr="00613F14">
              <w:rPr>
                <w:rFonts w:cstheme="minorHAnsi"/>
                <w:bCs/>
                <w:iCs/>
              </w:rPr>
              <w:t>In</w:t>
            </w:r>
            <w:r w:rsidR="00F6433D" w:rsidRPr="00613F14">
              <w:rPr>
                <w:rFonts w:cstheme="minorHAnsi"/>
                <w:bCs/>
                <w:iCs/>
              </w:rPr>
              <w:t xml:space="preserve"> highly challenging operating environments such as </w:t>
            </w:r>
            <w:r w:rsidR="00EE2E89" w:rsidRPr="00613F14">
              <w:rPr>
                <w:rFonts w:cstheme="minorHAnsi"/>
                <w:bCs/>
                <w:iCs/>
              </w:rPr>
              <w:t xml:space="preserve">the provinces of </w:t>
            </w:r>
            <w:r w:rsidR="00F6433D" w:rsidRPr="00613F14">
              <w:rPr>
                <w:rFonts w:cstheme="minorHAnsi"/>
                <w:bCs/>
                <w:iCs/>
              </w:rPr>
              <w:t xml:space="preserve">West Papua and Papua, long-term engagement is essential and necessary. </w:t>
            </w:r>
          </w:p>
          <w:p w14:paraId="1CD33DC8" w14:textId="77777777" w:rsidR="00724B49" w:rsidRPr="00613F14" w:rsidRDefault="00724B49" w:rsidP="006350CF">
            <w:pPr>
              <w:rPr>
                <w:rFonts w:cstheme="minorHAnsi"/>
                <w:bCs/>
                <w:iCs/>
                <w:lang w:val="en-GB"/>
              </w:rPr>
            </w:pPr>
          </w:p>
        </w:tc>
        <w:tc>
          <w:tcPr>
            <w:tcW w:w="2790" w:type="dxa"/>
          </w:tcPr>
          <w:p w14:paraId="1763727D" w14:textId="268F2DD5" w:rsidR="00C944D9" w:rsidRPr="00613F14" w:rsidRDefault="00C944D9" w:rsidP="00B340D1">
            <w:pPr>
              <w:numPr>
                <w:ilvl w:val="0"/>
                <w:numId w:val="49"/>
              </w:numPr>
              <w:ind w:left="360"/>
              <w:rPr>
                <w:rFonts w:cstheme="minorHAnsi"/>
                <w:bCs/>
                <w:iCs/>
              </w:rPr>
            </w:pPr>
            <w:r w:rsidRPr="00613F14">
              <w:rPr>
                <w:rFonts w:cstheme="minorHAnsi"/>
                <w:bCs/>
                <w:iCs/>
              </w:rPr>
              <w:t xml:space="preserve">DFAT will </w:t>
            </w:r>
            <w:r w:rsidR="008E4293" w:rsidRPr="00613F14">
              <w:rPr>
                <w:rFonts w:cstheme="minorHAnsi"/>
                <w:bCs/>
                <w:iCs/>
              </w:rPr>
              <w:t xml:space="preserve">start consideration of </w:t>
            </w:r>
            <w:r w:rsidRPr="00613F14">
              <w:rPr>
                <w:rFonts w:cstheme="minorHAnsi"/>
                <w:bCs/>
                <w:iCs/>
              </w:rPr>
              <w:t xml:space="preserve">a new investment that will build on the work of </w:t>
            </w:r>
            <w:proofErr w:type="gramStart"/>
            <w:r w:rsidRPr="00613F14">
              <w:rPr>
                <w:rFonts w:cstheme="minorHAnsi"/>
                <w:bCs/>
                <w:iCs/>
              </w:rPr>
              <w:t>INOVASI, and</w:t>
            </w:r>
            <w:proofErr w:type="gramEnd"/>
            <w:r w:rsidRPr="00613F14">
              <w:rPr>
                <w:rFonts w:cstheme="minorHAnsi"/>
                <w:bCs/>
                <w:iCs/>
              </w:rPr>
              <w:t xml:space="preserve"> will </w:t>
            </w:r>
            <w:r w:rsidR="008E4293" w:rsidRPr="00613F14">
              <w:rPr>
                <w:rFonts w:cstheme="minorHAnsi"/>
                <w:bCs/>
                <w:iCs/>
              </w:rPr>
              <w:t xml:space="preserve">commence </w:t>
            </w:r>
            <w:r w:rsidRPr="00613F14">
              <w:rPr>
                <w:rFonts w:cstheme="minorHAnsi"/>
                <w:bCs/>
                <w:iCs/>
              </w:rPr>
              <w:t xml:space="preserve">discussions with UNICEF in mid-2023 </w:t>
            </w:r>
            <w:r w:rsidR="00B9170C" w:rsidRPr="00613F14">
              <w:rPr>
                <w:rFonts w:cstheme="minorHAnsi"/>
                <w:bCs/>
                <w:iCs/>
              </w:rPr>
              <w:t>on possible extension</w:t>
            </w:r>
            <w:r w:rsidRPr="00613F14">
              <w:rPr>
                <w:rFonts w:cstheme="minorHAnsi"/>
                <w:bCs/>
                <w:iCs/>
              </w:rPr>
              <w:t xml:space="preserve"> </w:t>
            </w:r>
            <w:r w:rsidR="008D6D11" w:rsidRPr="00613F14">
              <w:rPr>
                <w:rFonts w:cstheme="minorHAnsi"/>
                <w:bCs/>
                <w:iCs/>
              </w:rPr>
              <w:t xml:space="preserve">of </w:t>
            </w:r>
            <w:r w:rsidRPr="00613F14">
              <w:rPr>
                <w:rFonts w:cstheme="minorHAnsi"/>
                <w:bCs/>
                <w:iCs/>
              </w:rPr>
              <w:t>the UNICEF Papua program.</w:t>
            </w:r>
          </w:p>
          <w:p w14:paraId="6EF5F0B4" w14:textId="24DDB06F" w:rsidR="00724B49" w:rsidRPr="00613F14" w:rsidRDefault="00C944D9" w:rsidP="00B340D1">
            <w:pPr>
              <w:numPr>
                <w:ilvl w:val="0"/>
                <w:numId w:val="49"/>
              </w:numPr>
              <w:ind w:left="360"/>
              <w:rPr>
                <w:rFonts w:cstheme="minorHAnsi"/>
                <w:bCs/>
                <w:iCs/>
              </w:rPr>
            </w:pPr>
            <w:r w:rsidRPr="00613F14">
              <w:rPr>
                <w:rFonts w:cstheme="minorHAnsi"/>
                <w:bCs/>
                <w:iCs/>
              </w:rPr>
              <w:t>During these processes, DFAT will consult with counterparts to map future priorities and needs in basic education, while cementing achievements that have been proven to work.</w:t>
            </w:r>
          </w:p>
        </w:tc>
        <w:tc>
          <w:tcPr>
            <w:tcW w:w="2790" w:type="dxa"/>
          </w:tcPr>
          <w:p w14:paraId="1E4FA19C" w14:textId="7F92BC1D" w:rsidR="008E4293" w:rsidRPr="00613F14" w:rsidRDefault="008E4293" w:rsidP="008E4293">
            <w:pPr>
              <w:pStyle w:val="ListParagraph"/>
              <w:numPr>
                <w:ilvl w:val="0"/>
                <w:numId w:val="42"/>
              </w:numPr>
              <w:ind w:left="360"/>
              <w:rPr>
                <w:rFonts w:cstheme="minorHAnsi"/>
              </w:rPr>
            </w:pPr>
            <w:r w:rsidRPr="00613F14">
              <w:rPr>
                <w:rFonts w:cstheme="minorHAnsi"/>
              </w:rPr>
              <w:t>2023 – Consider future investment options</w:t>
            </w:r>
            <w:r w:rsidR="006A610A" w:rsidRPr="00613F14">
              <w:rPr>
                <w:rFonts w:cstheme="minorHAnsi"/>
              </w:rPr>
              <w:t>.</w:t>
            </w:r>
          </w:p>
          <w:p w14:paraId="6C201B6E" w14:textId="1A714868" w:rsidR="00724B49" w:rsidRPr="00613F14" w:rsidRDefault="00724B49" w:rsidP="00B340D1">
            <w:pPr>
              <w:pStyle w:val="ListParagraph"/>
              <w:ind w:left="360"/>
              <w:rPr>
                <w:rFonts w:cstheme="minorHAnsi"/>
              </w:rPr>
            </w:pPr>
          </w:p>
        </w:tc>
      </w:tr>
      <w:tr w:rsidR="006A69EA" w14:paraId="015BB151" w14:textId="77777777" w:rsidTr="00523FC0">
        <w:tc>
          <w:tcPr>
            <w:tcW w:w="2789" w:type="dxa"/>
          </w:tcPr>
          <w:p w14:paraId="44D84487" w14:textId="77777777" w:rsidR="00D20FDB" w:rsidRPr="00613F14" w:rsidRDefault="00024637" w:rsidP="00D20FDB">
            <w:pPr>
              <w:rPr>
                <w:rFonts w:cstheme="minorHAnsi"/>
                <w:lang w:val="en-GB"/>
              </w:rPr>
            </w:pPr>
            <w:bookmarkStart w:id="9" w:name="RowTitle_Recommendation5"/>
            <w:r w:rsidRPr="00613F14">
              <w:rPr>
                <w:rFonts w:cstheme="minorHAnsi"/>
                <w:lang w:val="en-GB"/>
              </w:rPr>
              <w:t>Recommendation 5</w:t>
            </w:r>
            <w:r w:rsidR="00D20FDB" w:rsidRPr="00613F14">
              <w:rPr>
                <w:rFonts w:cstheme="minorHAnsi"/>
                <w:lang w:val="en-GB"/>
              </w:rPr>
              <w:t xml:space="preserve"> </w:t>
            </w:r>
          </w:p>
          <w:bookmarkEnd w:id="9"/>
          <w:p w14:paraId="54124D6D" w14:textId="77777777" w:rsidR="00D20FDB" w:rsidRPr="00613F14" w:rsidRDefault="00D20FDB" w:rsidP="00D20FDB">
            <w:pPr>
              <w:rPr>
                <w:rFonts w:cstheme="minorHAnsi"/>
                <w:lang w:val="en-GB"/>
              </w:rPr>
            </w:pPr>
          </w:p>
          <w:p w14:paraId="2670DBEB" w14:textId="715B0F00" w:rsidR="00D20FDB" w:rsidRPr="00613F14" w:rsidRDefault="00D20FDB" w:rsidP="00D20FDB">
            <w:pPr>
              <w:rPr>
                <w:rFonts w:cstheme="minorHAnsi"/>
                <w:b/>
                <w:bCs/>
                <w:lang w:val="en-GB"/>
              </w:rPr>
            </w:pPr>
            <w:r w:rsidRPr="00613F14">
              <w:rPr>
                <w:rFonts w:cstheme="minorHAnsi"/>
                <w:lang w:val="en-GB"/>
              </w:rPr>
              <w:t>Australia’s approach of providing national policy development support and subnational policy and practice implementation assistance remains effective</w:t>
            </w:r>
            <w:r w:rsidR="0044744E" w:rsidRPr="00613F14">
              <w:rPr>
                <w:rFonts w:cstheme="minorHAnsi"/>
                <w:lang w:val="en-GB"/>
              </w:rPr>
              <w:t xml:space="preserve"> and should be continued.</w:t>
            </w:r>
          </w:p>
          <w:p w14:paraId="3574245C" w14:textId="52B1974B" w:rsidR="00024637" w:rsidRPr="00613F14" w:rsidRDefault="00024637" w:rsidP="00760EEC">
            <w:pPr>
              <w:rPr>
                <w:rFonts w:cstheme="minorHAnsi"/>
                <w:lang w:val="en-GB"/>
              </w:rPr>
            </w:pPr>
          </w:p>
        </w:tc>
        <w:tc>
          <w:tcPr>
            <w:tcW w:w="1601" w:type="dxa"/>
          </w:tcPr>
          <w:p w14:paraId="43A3BCF5" w14:textId="06F37FDF" w:rsidR="00024637" w:rsidRPr="00613F14" w:rsidRDefault="008E4293" w:rsidP="00390054">
            <w:pPr>
              <w:rPr>
                <w:rFonts w:cstheme="minorHAnsi"/>
                <w:lang w:val="en-GB"/>
              </w:rPr>
            </w:pPr>
            <w:r w:rsidRPr="00613F14">
              <w:rPr>
                <w:rFonts w:cstheme="minorHAnsi"/>
                <w:lang w:val="en-GB"/>
              </w:rPr>
              <w:t>Noted</w:t>
            </w:r>
          </w:p>
        </w:tc>
        <w:tc>
          <w:tcPr>
            <w:tcW w:w="3978" w:type="dxa"/>
          </w:tcPr>
          <w:p w14:paraId="5AFD6ACC" w14:textId="76A93DDC" w:rsidR="0008075D" w:rsidRPr="00613F14" w:rsidRDefault="0008075D" w:rsidP="00B340D1">
            <w:pPr>
              <w:pStyle w:val="ListParagraph"/>
              <w:numPr>
                <w:ilvl w:val="0"/>
                <w:numId w:val="50"/>
              </w:numPr>
              <w:ind w:left="360"/>
              <w:rPr>
                <w:rFonts w:cstheme="minorHAnsi"/>
                <w:bCs/>
                <w:iCs/>
              </w:rPr>
            </w:pPr>
            <w:r w:rsidRPr="00613F14">
              <w:rPr>
                <w:rFonts w:cstheme="minorHAnsi"/>
                <w:bCs/>
                <w:iCs/>
              </w:rPr>
              <w:t xml:space="preserve">The review </w:t>
            </w:r>
            <w:r w:rsidR="00B9170C" w:rsidRPr="00613F14">
              <w:rPr>
                <w:rFonts w:cstheme="minorHAnsi"/>
                <w:bCs/>
                <w:iCs/>
              </w:rPr>
              <w:t xml:space="preserve">found </w:t>
            </w:r>
            <w:r w:rsidRPr="00613F14">
              <w:rPr>
                <w:rFonts w:cstheme="minorHAnsi"/>
                <w:bCs/>
                <w:iCs/>
              </w:rPr>
              <w:t xml:space="preserve">that there are benefits in working </w:t>
            </w:r>
            <w:r w:rsidR="00B9170C" w:rsidRPr="00613F14">
              <w:rPr>
                <w:rFonts w:cstheme="minorHAnsi"/>
                <w:bCs/>
                <w:iCs/>
              </w:rPr>
              <w:t>both nationally and locally</w:t>
            </w:r>
            <w:r w:rsidRPr="00613F14">
              <w:rPr>
                <w:rFonts w:cstheme="minorHAnsi"/>
                <w:bCs/>
                <w:iCs/>
              </w:rPr>
              <w:t xml:space="preserve">. INOVASI’s demand-led approach and local ownership </w:t>
            </w:r>
            <w:r w:rsidR="00B9170C" w:rsidRPr="00613F14">
              <w:rPr>
                <w:rFonts w:cstheme="minorHAnsi"/>
                <w:bCs/>
                <w:iCs/>
              </w:rPr>
              <w:t>has helped national policy and practice be implemented effectively locally</w:t>
            </w:r>
            <w:r w:rsidRPr="00613F14">
              <w:rPr>
                <w:rFonts w:cstheme="minorHAnsi"/>
                <w:bCs/>
                <w:iCs/>
              </w:rPr>
              <w:t xml:space="preserve">.  </w:t>
            </w:r>
          </w:p>
          <w:p w14:paraId="142ED50B" w14:textId="0EE97598" w:rsidR="0072101A" w:rsidRPr="00613F14" w:rsidRDefault="0072101A" w:rsidP="00B340D1">
            <w:pPr>
              <w:pStyle w:val="ListParagraph"/>
              <w:numPr>
                <w:ilvl w:val="0"/>
                <w:numId w:val="50"/>
              </w:numPr>
              <w:ind w:left="360"/>
              <w:rPr>
                <w:rFonts w:cstheme="minorHAnsi"/>
                <w:bCs/>
                <w:iCs/>
              </w:rPr>
            </w:pPr>
            <w:r w:rsidRPr="00613F14">
              <w:rPr>
                <w:rFonts w:cstheme="minorHAnsi"/>
                <w:bCs/>
                <w:iCs/>
              </w:rPr>
              <w:t xml:space="preserve">UNICEF Papua’s </w:t>
            </w:r>
            <w:r w:rsidR="00B9170C" w:rsidRPr="00613F14">
              <w:rPr>
                <w:rFonts w:cstheme="minorHAnsi"/>
                <w:bCs/>
                <w:iCs/>
              </w:rPr>
              <w:t>national engagement</w:t>
            </w:r>
            <w:r w:rsidRPr="00613F14">
              <w:rPr>
                <w:rFonts w:cstheme="minorHAnsi"/>
                <w:bCs/>
                <w:iCs/>
              </w:rPr>
              <w:t>, especially with the Ministry of Home Affairs (</w:t>
            </w:r>
            <w:proofErr w:type="spellStart"/>
            <w:r w:rsidRPr="00613F14">
              <w:rPr>
                <w:rFonts w:cstheme="minorHAnsi"/>
                <w:bCs/>
                <w:iCs/>
              </w:rPr>
              <w:t>MoHA</w:t>
            </w:r>
            <w:proofErr w:type="spellEnd"/>
            <w:r w:rsidRPr="00613F14">
              <w:rPr>
                <w:rFonts w:cstheme="minorHAnsi"/>
                <w:bCs/>
                <w:iCs/>
              </w:rPr>
              <w:t xml:space="preserve">), Teacher Training Institutes (TTIs), and district authorities and CSO implementing partners </w:t>
            </w:r>
            <w:r w:rsidR="00B9170C" w:rsidRPr="00613F14">
              <w:rPr>
                <w:rFonts w:cstheme="minorHAnsi"/>
                <w:bCs/>
                <w:iCs/>
              </w:rPr>
              <w:t>ensure</w:t>
            </w:r>
            <w:r w:rsidR="008E4293" w:rsidRPr="00613F14">
              <w:rPr>
                <w:rFonts w:cstheme="minorHAnsi"/>
                <w:bCs/>
                <w:iCs/>
              </w:rPr>
              <w:t>s</w:t>
            </w:r>
            <w:r w:rsidR="00B9170C" w:rsidRPr="00613F14">
              <w:rPr>
                <w:rFonts w:cstheme="minorHAnsi"/>
                <w:bCs/>
                <w:iCs/>
              </w:rPr>
              <w:t xml:space="preserve"> </w:t>
            </w:r>
            <w:r w:rsidR="00B9170C" w:rsidRPr="00613F14">
              <w:rPr>
                <w:rFonts w:cstheme="minorHAnsi"/>
                <w:bCs/>
                <w:iCs/>
              </w:rPr>
              <w:lastRenderedPageBreak/>
              <w:t>s</w:t>
            </w:r>
            <w:r w:rsidRPr="00613F14">
              <w:rPr>
                <w:rFonts w:cstheme="minorHAnsi"/>
                <w:bCs/>
                <w:iCs/>
              </w:rPr>
              <w:t>tronger</w:t>
            </w:r>
            <w:r w:rsidR="008E4293" w:rsidRPr="00613F14">
              <w:rPr>
                <w:rFonts w:cstheme="minorHAnsi"/>
                <w:bCs/>
                <w:iCs/>
              </w:rPr>
              <w:t xml:space="preserve"> program</w:t>
            </w:r>
            <w:r w:rsidRPr="00613F14">
              <w:rPr>
                <w:rFonts w:cstheme="minorHAnsi"/>
                <w:bCs/>
                <w:iCs/>
              </w:rPr>
              <w:t xml:space="preserve"> sustainability and </w:t>
            </w:r>
            <w:r w:rsidR="00B9170C" w:rsidRPr="00613F14">
              <w:rPr>
                <w:rFonts w:cstheme="minorHAnsi"/>
                <w:bCs/>
                <w:iCs/>
              </w:rPr>
              <w:t>uptake of lessons and models</w:t>
            </w:r>
            <w:r w:rsidRPr="00613F14">
              <w:rPr>
                <w:rFonts w:cstheme="minorHAnsi"/>
                <w:bCs/>
                <w:iCs/>
              </w:rPr>
              <w:t>.</w:t>
            </w:r>
          </w:p>
          <w:p w14:paraId="7B94CD2E" w14:textId="3D25EF27" w:rsidR="00024637" w:rsidRPr="00613F14" w:rsidRDefault="00024637" w:rsidP="001F11E2">
            <w:pPr>
              <w:rPr>
                <w:rFonts w:cstheme="minorHAnsi"/>
                <w:bCs/>
                <w:iCs/>
              </w:rPr>
            </w:pPr>
          </w:p>
        </w:tc>
        <w:tc>
          <w:tcPr>
            <w:tcW w:w="2790" w:type="dxa"/>
          </w:tcPr>
          <w:p w14:paraId="4503C5FD" w14:textId="172FB75A" w:rsidR="002931B1" w:rsidRPr="00613F14" w:rsidRDefault="00973DD1" w:rsidP="00B340D1">
            <w:pPr>
              <w:pStyle w:val="ListParagraph"/>
              <w:numPr>
                <w:ilvl w:val="0"/>
                <w:numId w:val="52"/>
              </w:numPr>
              <w:ind w:left="360"/>
              <w:rPr>
                <w:rFonts w:cstheme="minorHAnsi"/>
              </w:rPr>
            </w:pPr>
            <w:r w:rsidRPr="00613F14">
              <w:rPr>
                <w:rFonts w:cstheme="minorHAnsi"/>
              </w:rPr>
              <w:lastRenderedPageBreak/>
              <w:t>DFAT will consider</w:t>
            </w:r>
            <w:r w:rsidR="00B9170C" w:rsidRPr="00613F14">
              <w:rPr>
                <w:rFonts w:cstheme="minorHAnsi"/>
              </w:rPr>
              <w:t xml:space="preserve"> review recommendations as future investment options are planned.</w:t>
            </w:r>
            <w:r w:rsidRPr="00613F14">
              <w:rPr>
                <w:rFonts w:cstheme="minorHAnsi"/>
              </w:rPr>
              <w:t xml:space="preserve"> </w:t>
            </w:r>
          </w:p>
          <w:p w14:paraId="1690572C" w14:textId="77777777" w:rsidR="00024637" w:rsidRPr="00613F14" w:rsidRDefault="00024637" w:rsidP="005A6A45">
            <w:pPr>
              <w:rPr>
                <w:rFonts w:cstheme="minorHAnsi"/>
              </w:rPr>
            </w:pPr>
          </w:p>
        </w:tc>
        <w:tc>
          <w:tcPr>
            <w:tcW w:w="2790" w:type="dxa"/>
          </w:tcPr>
          <w:p w14:paraId="53E98F44" w14:textId="19FC4FEB" w:rsidR="008A2A1E" w:rsidRPr="00613F14" w:rsidRDefault="00B9170C" w:rsidP="00B340D1">
            <w:pPr>
              <w:pStyle w:val="ListParagraph"/>
              <w:numPr>
                <w:ilvl w:val="0"/>
                <w:numId w:val="42"/>
              </w:numPr>
              <w:ind w:left="360"/>
              <w:rPr>
                <w:rFonts w:cstheme="minorHAnsi"/>
              </w:rPr>
            </w:pPr>
            <w:r w:rsidRPr="00613F14">
              <w:rPr>
                <w:rFonts w:cstheme="minorHAnsi"/>
              </w:rPr>
              <w:t>2023 – Consider future investment options</w:t>
            </w:r>
            <w:r w:rsidR="006A610A" w:rsidRPr="00613F14">
              <w:rPr>
                <w:rFonts w:cstheme="minorHAnsi"/>
              </w:rPr>
              <w:t>.</w:t>
            </w:r>
          </w:p>
          <w:p w14:paraId="3A6CF765" w14:textId="77777777" w:rsidR="00024637" w:rsidRPr="00613F14" w:rsidRDefault="00024637" w:rsidP="00B340D1">
            <w:pPr>
              <w:pStyle w:val="ListParagraph"/>
              <w:ind w:left="360"/>
              <w:rPr>
                <w:rFonts w:cstheme="minorHAnsi"/>
              </w:rPr>
            </w:pPr>
          </w:p>
        </w:tc>
      </w:tr>
      <w:tr w:rsidR="009545D2" w14:paraId="7DC3F3B3" w14:textId="77777777" w:rsidTr="00523FC0">
        <w:tc>
          <w:tcPr>
            <w:tcW w:w="2789" w:type="dxa"/>
          </w:tcPr>
          <w:p w14:paraId="7331CB66" w14:textId="75157B7C" w:rsidR="004E7A70" w:rsidRPr="00613F14" w:rsidRDefault="004E7A70" w:rsidP="004E7A70">
            <w:pPr>
              <w:rPr>
                <w:rFonts w:cstheme="minorHAnsi"/>
                <w:lang w:val="en-GB"/>
              </w:rPr>
            </w:pPr>
            <w:bookmarkStart w:id="10" w:name="RowTitle_Recommendation6"/>
            <w:r w:rsidRPr="00613F14">
              <w:rPr>
                <w:rFonts w:cstheme="minorHAnsi"/>
                <w:lang w:val="en-GB"/>
              </w:rPr>
              <w:t>Recommendation 6</w:t>
            </w:r>
          </w:p>
          <w:bookmarkEnd w:id="10"/>
          <w:p w14:paraId="4E02E223" w14:textId="77777777" w:rsidR="004E7A70" w:rsidRPr="00613F14" w:rsidRDefault="004E7A70" w:rsidP="004E7A70">
            <w:pPr>
              <w:rPr>
                <w:rFonts w:cstheme="minorHAnsi"/>
                <w:b/>
                <w:bCs/>
                <w:lang w:val="en-GB"/>
              </w:rPr>
            </w:pPr>
          </w:p>
          <w:p w14:paraId="04DE42B9" w14:textId="542F2CA5" w:rsidR="004E7A70" w:rsidRPr="00613F14" w:rsidRDefault="004E7A70" w:rsidP="004E7A70">
            <w:pPr>
              <w:rPr>
                <w:rFonts w:cstheme="minorHAnsi"/>
                <w:b/>
                <w:bCs/>
                <w:lang w:val="en-GB"/>
              </w:rPr>
            </w:pPr>
            <w:r w:rsidRPr="00613F14">
              <w:rPr>
                <w:rFonts w:cstheme="minorHAnsi"/>
                <w:lang w:val="en-GB"/>
              </w:rPr>
              <w:t xml:space="preserve">Future basic education investments should expand support to early childhood education. </w:t>
            </w:r>
          </w:p>
          <w:p w14:paraId="22804F6A" w14:textId="77777777" w:rsidR="00024637" w:rsidRPr="00613F14" w:rsidRDefault="00024637">
            <w:pPr>
              <w:rPr>
                <w:rFonts w:cstheme="minorHAnsi"/>
                <w:lang w:val="en-GB"/>
              </w:rPr>
            </w:pPr>
          </w:p>
        </w:tc>
        <w:tc>
          <w:tcPr>
            <w:tcW w:w="1601" w:type="dxa"/>
          </w:tcPr>
          <w:p w14:paraId="2F734D55" w14:textId="33DFA3E6" w:rsidR="00024637" w:rsidRPr="00613F14" w:rsidRDefault="0096710F" w:rsidP="00390054">
            <w:pPr>
              <w:rPr>
                <w:rFonts w:cstheme="minorHAnsi"/>
                <w:lang w:val="en-GB"/>
              </w:rPr>
            </w:pPr>
            <w:r w:rsidRPr="00613F14">
              <w:rPr>
                <w:rFonts w:cstheme="minorHAnsi"/>
                <w:lang w:val="en-GB"/>
              </w:rPr>
              <w:t>Noted</w:t>
            </w:r>
          </w:p>
        </w:tc>
        <w:tc>
          <w:tcPr>
            <w:tcW w:w="3978" w:type="dxa"/>
          </w:tcPr>
          <w:p w14:paraId="756A75B7" w14:textId="65F27986" w:rsidR="00024637" w:rsidRPr="00613F14" w:rsidRDefault="00123828" w:rsidP="006350CF">
            <w:pPr>
              <w:rPr>
                <w:rFonts w:cstheme="minorHAnsi"/>
                <w:bCs/>
                <w:iCs/>
                <w:lang w:val="en-GB"/>
              </w:rPr>
            </w:pPr>
            <w:r w:rsidRPr="00613F14">
              <w:rPr>
                <w:rFonts w:cstheme="minorHAnsi"/>
                <w:bCs/>
                <w:iCs/>
                <w:lang w:val="en-GB"/>
              </w:rPr>
              <w:t>Early childhood education (ECE) contribution to effective primary school learning is profound. Australia’s existing education programs have relevant experience and relationships to draw from to contribute to improved ECE. Future education investments should consider how they can contribute to strengthening ECE outcomes to improve longer-term learning results.</w:t>
            </w:r>
          </w:p>
        </w:tc>
        <w:tc>
          <w:tcPr>
            <w:tcW w:w="2790" w:type="dxa"/>
          </w:tcPr>
          <w:p w14:paraId="1032E465" w14:textId="350F1AC4" w:rsidR="00024637" w:rsidRPr="00613F14" w:rsidRDefault="0096710F" w:rsidP="005A6A45">
            <w:pPr>
              <w:rPr>
                <w:rFonts w:cstheme="minorHAnsi"/>
              </w:rPr>
            </w:pPr>
            <w:r w:rsidRPr="00613F14">
              <w:rPr>
                <w:rFonts w:cstheme="minorHAnsi"/>
                <w:lang w:val="en-GB"/>
              </w:rPr>
              <w:t>DFAT will consider broadening future basic education assistance to include support for ECE, in close consultation with a broad range of Indonesian stakeholders, including government, the education sector, other development partners and civil society organisations. This consultation will also draw from INOVASI and UNI</w:t>
            </w:r>
            <w:r w:rsidR="00B9170C" w:rsidRPr="00613F14">
              <w:rPr>
                <w:rFonts w:cstheme="minorHAnsi"/>
                <w:lang w:val="en-GB"/>
              </w:rPr>
              <w:t>C</w:t>
            </w:r>
            <w:r w:rsidRPr="00613F14">
              <w:rPr>
                <w:rFonts w:cstheme="minorHAnsi"/>
                <w:lang w:val="en-GB"/>
              </w:rPr>
              <w:t xml:space="preserve">EF Papua program experience to identify where Australia could provide targeted, </w:t>
            </w:r>
            <w:proofErr w:type="gramStart"/>
            <w:r w:rsidRPr="00613F14">
              <w:rPr>
                <w:rFonts w:cstheme="minorHAnsi"/>
                <w:lang w:val="en-GB"/>
              </w:rPr>
              <w:t>effective</w:t>
            </w:r>
            <w:proofErr w:type="gramEnd"/>
            <w:r w:rsidRPr="00613F14">
              <w:rPr>
                <w:rFonts w:cstheme="minorHAnsi"/>
                <w:lang w:val="en-GB"/>
              </w:rPr>
              <w:t xml:space="preserve"> and relevant ECE support.</w:t>
            </w:r>
          </w:p>
        </w:tc>
        <w:tc>
          <w:tcPr>
            <w:tcW w:w="2790" w:type="dxa"/>
          </w:tcPr>
          <w:p w14:paraId="23522952" w14:textId="7970CE82" w:rsidR="00B9170C" w:rsidRPr="00613F14" w:rsidRDefault="00B9170C" w:rsidP="00B9170C">
            <w:pPr>
              <w:pStyle w:val="ListParagraph"/>
              <w:numPr>
                <w:ilvl w:val="0"/>
                <w:numId w:val="42"/>
              </w:numPr>
              <w:ind w:left="360"/>
              <w:rPr>
                <w:rFonts w:cstheme="minorHAnsi"/>
              </w:rPr>
            </w:pPr>
            <w:r w:rsidRPr="00613F14">
              <w:rPr>
                <w:rFonts w:cstheme="minorHAnsi"/>
              </w:rPr>
              <w:t>2023 – Consider future investment options</w:t>
            </w:r>
            <w:r w:rsidR="006A610A" w:rsidRPr="00613F14">
              <w:rPr>
                <w:rFonts w:cstheme="minorHAnsi"/>
              </w:rPr>
              <w:t>.</w:t>
            </w:r>
          </w:p>
          <w:p w14:paraId="0B70B45C" w14:textId="77777777" w:rsidR="00024637" w:rsidRPr="00613F14" w:rsidRDefault="00024637" w:rsidP="00B340D1">
            <w:pPr>
              <w:pStyle w:val="ListParagraph"/>
              <w:rPr>
                <w:rFonts w:cstheme="minorHAnsi"/>
              </w:rPr>
            </w:pPr>
          </w:p>
        </w:tc>
      </w:tr>
      <w:tr w:rsidR="006A69EA" w14:paraId="67FAA1A9" w14:textId="77777777" w:rsidTr="00523FC0">
        <w:tc>
          <w:tcPr>
            <w:tcW w:w="2789" w:type="dxa"/>
          </w:tcPr>
          <w:p w14:paraId="6FBA60C8" w14:textId="4D8FD914" w:rsidR="004E7A70" w:rsidRPr="00613F14" w:rsidRDefault="004E7A70" w:rsidP="004E7A70">
            <w:pPr>
              <w:rPr>
                <w:rFonts w:cstheme="minorHAnsi"/>
                <w:lang w:val="en-GB"/>
              </w:rPr>
            </w:pPr>
            <w:bookmarkStart w:id="11" w:name="RowTitle_Recommendation7"/>
            <w:r w:rsidRPr="00613F14">
              <w:rPr>
                <w:rFonts w:cstheme="minorHAnsi"/>
                <w:lang w:val="en-GB"/>
              </w:rPr>
              <w:t>Recommendation 7</w:t>
            </w:r>
          </w:p>
          <w:bookmarkEnd w:id="11"/>
          <w:p w14:paraId="4B122943" w14:textId="77777777" w:rsidR="004E7A70" w:rsidRPr="00613F14" w:rsidRDefault="004E7A70" w:rsidP="004E7A70">
            <w:pPr>
              <w:rPr>
                <w:rFonts w:cstheme="minorHAnsi"/>
                <w:b/>
                <w:lang w:val="en-GB"/>
              </w:rPr>
            </w:pPr>
          </w:p>
          <w:p w14:paraId="3160BD05" w14:textId="4C9B9025" w:rsidR="00D65217" w:rsidRPr="00613F14" w:rsidRDefault="00D65217" w:rsidP="00D65217">
            <w:pPr>
              <w:rPr>
                <w:rFonts w:cstheme="minorHAnsi"/>
                <w:b/>
                <w:bCs/>
                <w:lang w:val="en-GB"/>
              </w:rPr>
            </w:pPr>
            <w:r w:rsidRPr="00613F14">
              <w:rPr>
                <w:rFonts w:cstheme="minorHAnsi"/>
                <w:lang w:val="en-GB"/>
              </w:rPr>
              <w:t xml:space="preserve">Future investments should continue to focus on inclusive basic education. </w:t>
            </w:r>
          </w:p>
          <w:p w14:paraId="2D85589F" w14:textId="15B3E4E4" w:rsidR="00AB5CB4" w:rsidRPr="00613F14" w:rsidRDefault="00AB5CB4" w:rsidP="00AB5CB4">
            <w:pPr>
              <w:rPr>
                <w:rFonts w:cstheme="minorHAnsi"/>
                <w:b/>
                <w:bCs/>
                <w:lang w:val="en-GB"/>
              </w:rPr>
            </w:pPr>
          </w:p>
          <w:p w14:paraId="4E9C41D7" w14:textId="2287B407" w:rsidR="004E7A70" w:rsidRPr="00613F14" w:rsidRDefault="004E7A70" w:rsidP="004E7A70">
            <w:pPr>
              <w:rPr>
                <w:rFonts w:cstheme="minorHAnsi"/>
                <w:bCs/>
                <w:lang w:val="en-GB"/>
              </w:rPr>
            </w:pPr>
          </w:p>
        </w:tc>
        <w:tc>
          <w:tcPr>
            <w:tcW w:w="1601" w:type="dxa"/>
          </w:tcPr>
          <w:p w14:paraId="5B96BFE0" w14:textId="1BEB019A" w:rsidR="004E7A70" w:rsidRPr="00613F14" w:rsidRDefault="008E4293" w:rsidP="00390054">
            <w:pPr>
              <w:rPr>
                <w:rFonts w:cstheme="minorHAnsi"/>
                <w:lang w:val="en-GB"/>
              </w:rPr>
            </w:pPr>
            <w:r w:rsidRPr="00613F14">
              <w:rPr>
                <w:rFonts w:cstheme="minorHAnsi"/>
                <w:lang w:val="en-GB"/>
              </w:rPr>
              <w:t>Noted</w:t>
            </w:r>
          </w:p>
        </w:tc>
        <w:tc>
          <w:tcPr>
            <w:tcW w:w="3978" w:type="dxa"/>
          </w:tcPr>
          <w:p w14:paraId="7A20CA12" w14:textId="77777777" w:rsidR="004820BE" w:rsidRPr="00613F14" w:rsidRDefault="004820BE" w:rsidP="004820BE">
            <w:pPr>
              <w:rPr>
                <w:rFonts w:cstheme="minorHAnsi"/>
                <w:bCs/>
                <w:iCs/>
                <w:lang w:val="en-GB"/>
              </w:rPr>
            </w:pPr>
            <w:r w:rsidRPr="00613F14">
              <w:rPr>
                <w:rFonts w:cstheme="minorHAnsi"/>
                <w:bCs/>
                <w:iCs/>
                <w:lang w:val="en-GB"/>
              </w:rPr>
              <w:t xml:space="preserve">There is a need to continue to support implementation of inclusive education policies and practices in Indonesia, to ensure that all children have equal access to quality education. Australia has relevant experience, expertise and relationships that should be used in future programs to progress this agenda. </w:t>
            </w:r>
          </w:p>
          <w:p w14:paraId="414BEE5C" w14:textId="77777777" w:rsidR="004E7A70" w:rsidRPr="00613F14" w:rsidRDefault="004E7A70" w:rsidP="006350CF">
            <w:pPr>
              <w:rPr>
                <w:rFonts w:cstheme="minorHAnsi"/>
                <w:bCs/>
                <w:iCs/>
                <w:lang w:val="en-GB"/>
              </w:rPr>
            </w:pPr>
          </w:p>
        </w:tc>
        <w:tc>
          <w:tcPr>
            <w:tcW w:w="2790" w:type="dxa"/>
          </w:tcPr>
          <w:p w14:paraId="19040E2D" w14:textId="457DD865" w:rsidR="004E7A70" w:rsidRPr="00613F14" w:rsidRDefault="008B0B98" w:rsidP="005A6A45">
            <w:pPr>
              <w:rPr>
                <w:rFonts w:cstheme="minorHAnsi"/>
                <w:bCs/>
              </w:rPr>
            </w:pPr>
            <w:r w:rsidRPr="00613F14">
              <w:rPr>
                <w:rFonts w:cstheme="minorHAnsi"/>
                <w:bCs/>
                <w:lang w:val="en-GB"/>
              </w:rPr>
              <w:t>DFAT will prioritise inclusive education and a GEDSI-focused approach to basic education service delivery in any future assistance, including in developing future program design.</w:t>
            </w:r>
          </w:p>
        </w:tc>
        <w:tc>
          <w:tcPr>
            <w:tcW w:w="2790" w:type="dxa"/>
          </w:tcPr>
          <w:p w14:paraId="2CE9C8F9" w14:textId="77AF4523" w:rsidR="00B9170C" w:rsidRPr="00613F14" w:rsidRDefault="00B9170C" w:rsidP="00B9170C">
            <w:pPr>
              <w:pStyle w:val="ListParagraph"/>
              <w:numPr>
                <w:ilvl w:val="0"/>
                <w:numId w:val="42"/>
              </w:numPr>
              <w:ind w:left="360"/>
              <w:rPr>
                <w:rFonts w:cstheme="minorHAnsi"/>
              </w:rPr>
            </w:pPr>
            <w:r w:rsidRPr="00613F14">
              <w:rPr>
                <w:rFonts w:cstheme="minorHAnsi"/>
              </w:rPr>
              <w:t>2023 – Consider future investment options</w:t>
            </w:r>
            <w:r w:rsidR="006A610A" w:rsidRPr="00613F14">
              <w:rPr>
                <w:rFonts w:cstheme="minorHAnsi"/>
              </w:rPr>
              <w:t>.</w:t>
            </w:r>
          </w:p>
          <w:p w14:paraId="4BA08427" w14:textId="77777777" w:rsidR="004E7A70" w:rsidRPr="00613F14" w:rsidRDefault="004E7A70" w:rsidP="00390054">
            <w:pPr>
              <w:rPr>
                <w:rFonts w:cstheme="minorHAnsi"/>
              </w:rPr>
            </w:pPr>
          </w:p>
        </w:tc>
      </w:tr>
    </w:tbl>
    <w:p w14:paraId="57F5766B" w14:textId="058769A2" w:rsidR="00DC55BD" w:rsidRPr="00DC55BD" w:rsidRDefault="00DC55BD">
      <w:pPr>
        <w:rPr>
          <w:lang w:val="en-GB"/>
        </w:rPr>
      </w:pPr>
    </w:p>
    <w:sectPr w:rsidR="00DC55BD" w:rsidRPr="00DC55BD" w:rsidSect="00523FC0">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DD5E" w14:textId="77777777" w:rsidR="00EE442F" w:rsidRDefault="00EE442F" w:rsidP="00F11FF1">
      <w:pPr>
        <w:spacing w:after="0" w:line="240" w:lineRule="auto"/>
      </w:pPr>
      <w:r>
        <w:separator/>
      </w:r>
    </w:p>
  </w:endnote>
  <w:endnote w:type="continuationSeparator" w:id="0">
    <w:p w14:paraId="401C6677" w14:textId="77777777" w:rsidR="00EE442F" w:rsidRDefault="00EE442F" w:rsidP="00F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32960"/>
      <w:docPartObj>
        <w:docPartGallery w:val="Page Numbers (Bottom of Page)"/>
        <w:docPartUnique/>
      </w:docPartObj>
    </w:sdtPr>
    <w:sdtEndPr>
      <w:rPr>
        <w:noProof/>
      </w:rPr>
    </w:sdtEndPr>
    <w:sdtContent>
      <w:p w14:paraId="0179EE06" w14:textId="307E3164" w:rsidR="00F11FF1" w:rsidRDefault="00F11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D787C" w14:textId="77777777" w:rsidR="00F11FF1" w:rsidRDefault="00F11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C6E3" w14:textId="77777777" w:rsidR="00EE442F" w:rsidRDefault="00EE442F" w:rsidP="00F11FF1">
      <w:pPr>
        <w:spacing w:after="0" w:line="240" w:lineRule="auto"/>
      </w:pPr>
      <w:r>
        <w:separator/>
      </w:r>
    </w:p>
  </w:footnote>
  <w:footnote w:type="continuationSeparator" w:id="0">
    <w:p w14:paraId="0C429F41" w14:textId="77777777" w:rsidR="00EE442F" w:rsidRDefault="00EE442F" w:rsidP="00F1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525"/>
    <w:multiLevelType w:val="hybridMultilevel"/>
    <w:tmpl w:val="D804A826"/>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DF28D3"/>
    <w:multiLevelType w:val="hybridMultilevel"/>
    <w:tmpl w:val="D76E369A"/>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D677C"/>
    <w:multiLevelType w:val="hybridMultilevel"/>
    <w:tmpl w:val="9474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21424"/>
    <w:multiLevelType w:val="hybridMultilevel"/>
    <w:tmpl w:val="A5BEEC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E523BA"/>
    <w:multiLevelType w:val="hybridMultilevel"/>
    <w:tmpl w:val="C40C869C"/>
    <w:lvl w:ilvl="0" w:tplc="1B64218E">
      <w:start w:val="1"/>
      <w:numFmt w:val="lowerRoman"/>
      <w:lvlText w:val="(%1)"/>
      <w:lvlJc w:val="left"/>
      <w:pPr>
        <w:ind w:left="840" w:hanging="48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52521"/>
    <w:multiLevelType w:val="hybridMultilevel"/>
    <w:tmpl w:val="2A1CC68C"/>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32102"/>
    <w:multiLevelType w:val="hybridMultilevel"/>
    <w:tmpl w:val="E0C6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8679C"/>
    <w:multiLevelType w:val="hybridMultilevel"/>
    <w:tmpl w:val="540C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6E6A9F"/>
    <w:multiLevelType w:val="hybridMultilevel"/>
    <w:tmpl w:val="5E94CA76"/>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7F6E9B"/>
    <w:multiLevelType w:val="hybridMultilevel"/>
    <w:tmpl w:val="E46A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9149A"/>
    <w:multiLevelType w:val="hybridMultilevel"/>
    <w:tmpl w:val="0392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253C3"/>
    <w:multiLevelType w:val="hybridMultilevel"/>
    <w:tmpl w:val="7124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CB4CFA"/>
    <w:multiLevelType w:val="hybridMultilevel"/>
    <w:tmpl w:val="BADAACAA"/>
    <w:lvl w:ilvl="0" w:tplc="59B6ED6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023B0"/>
    <w:multiLevelType w:val="hybridMultilevel"/>
    <w:tmpl w:val="83609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8168A2"/>
    <w:multiLevelType w:val="hybridMultilevel"/>
    <w:tmpl w:val="B364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E6299"/>
    <w:multiLevelType w:val="hybridMultilevel"/>
    <w:tmpl w:val="8DCC7160"/>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177634"/>
    <w:multiLevelType w:val="hybridMultilevel"/>
    <w:tmpl w:val="FBA0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A56DB0"/>
    <w:multiLevelType w:val="hybridMultilevel"/>
    <w:tmpl w:val="8104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25C80"/>
    <w:multiLevelType w:val="hybridMultilevel"/>
    <w:tmpl w:val="BBDECFEC"/>
    <w:lvl w:ilvl="0" w:tplc="7D222172">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9" w15:restartNumberingAfterBreak="0">
    <w:nsid w:val="39E41220"/>
    <w:multiLevelType w:val="hybridMultilevel"/>
    <w:tmpl w:val="27741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06285"/>
    <w:multiLevelType w:val="hybridMultilevel"/>
    <w:tmpl w:val="BDF019EA"/>
    <w:lvl w:ilvl="0" w:tplc="94FC360A">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1" w15:restartNumberingAfterBreak="0">
    <w:nsid w:val="3B34090C"/>
    <w:multiLevelType w:val="hybridMultilevel"/>
    <w:tmpl w:val="A2261170"/>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22134F"/>
    <w:multiLevelType w:val="hybridMultilevel"/>
    <w:tmpl w:val="F044E5B8"/>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D60412"/>
    <w:multiLevelType w:val="hybridMultilevel"/>
    <w:tmpl w:val="AB72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603226"/>
    <w:multiLevelType w:val="hybridMultilevel"/>
    <w:tmpl w:val="E312C594"/>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180DCB"/>
    <w:multiLevelType w:val="hybridMultilevel"/>
    <w:tmpl w:val="A3C2EFA4"/>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B20D10"/>
    <w:multiLevelType w:val="hybridMultilevel"/>
    <w:tmpl w:val="7CB0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BE20A9"/>
    <w:multiLevelType w:val="hybridMultilevel"/>
    <w:tmpl w:val="66AE76BC"/>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F53794"/>
    <w:multiLevelType w:val="hybridMultilevel"/>
    <w:tmpl w:val="DEC85C7A"/>
    <w:lvl w:ilvl="0" w:tplc="59B6ED68">
      <w:start w:val="1"/>
      <w:numFmt w:val="lowerRoman"/>
      <w:lvlText w:val="(%1)"/>
      <w:lvlJc w:val="left"/>
      <w:pPr>
        <w:ind w:left="815" w:hanging="36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29" w15:restartNumberingAfterBreak="0">
    <w:nsid w:val="47FD749C"/>
    <w:multiLevelType w:val="hybridMultilevel"/>
    <w:tmpl w:val="94B0B2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0372A4"/>
    <w:multiLevelType w:val="hybridMultilevel"/>
    <w:tmpl w:val="C22C98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DD1E4A"/>
    <w:multiLevelType w:val="hybridMultilevel"/>
    <w:tmpl w:val="6576BD38"/>
    <w:lvl w:ilvl="0" w:tplc="59B6ED68">
      <w:start w:val="1"/>
      <w:numFmt w:val="lowerRoman"/>
      <w:lvlText w:val="(%1)"/>
      <w:lvlJc w:val="left"/>
      <w:pPr>
        <w:ind w:left="815" w:hanging="36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32" w15:restartNumberingAfterBreak="0">
    <w:nsid w:val="4BEB3C2A"/>
    <w:multiLevelType w:val="multilevel"/>
    <w:tmpl w:val="AD40F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7F75AF"/>
    <w:multiLevelType w:val="hybridMultilevel"/>
    <w:tmpl w:val="230E5748"/>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4" w15:restartNumberingAfterBreak="0">
    <w:nsid w:val="4DD06D84"/>
    <w:multiLevelType w:val="hybridMultilevel"/>
    <w:tmpl w:val="58E80E22"/>
    <w:lvl w:ilvl="0" w:tplc="59B6ED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EA6E52"/>
    <w:multiLevelType w:val="hybridMultilevel"/>
    <w:tmpl w:val="1BFE2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F9600F"/>
    <w:multiLevelType w:val="hybridMultilevel"/>
    <w:tmpl w:val="BA1E8D4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7" w15:restartNumberingAfterBreak="0">
    <w:nsid w:val="53867E26"/>
    <w:multiLevelType w:val="hybridMultilevel"/>
    <w:tmpl w:val="9A4A931C"/>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8" w15:restartNumberingAfterBreak="0">
    <w:nsid w:val="546626EC"/>
    <w:multiLevelType w:val="hybridMultilevel"/>
    <w:tmpl w:val="AC4C4AB6"/>
    <w:lvl w:ilvl="0" w:tplc="59B6ED68">
      <w:start w:val="1"/>
      <w:numFmt w:val="lowerRoman"/>
      <w:lvlText w:val="(%1)"/>
      <w:lvlJc w:val="left"/>
      <w:pPr>
        <w:ind w:left="825" w:hanging="360"/>
      </w:pPr>
      <w:rPr>
        <w:rFont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9" w15:restartNumberingAfterBreak="0">
    <w:nsid w:val="5AF65653"/>
    <w:multiLevelType w:val="hybridMultilevel"/>
    <w:tmpl w:val="EDDEFD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1359FC"/>
    <w:multiLevelType w:val="hybridMultilevel"/>
    <w:tmpl w:val="C4D0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3E2D6F"/>
    <w:multiLevelType w:val="hybridMultilevel"/>
    <w:tmpl w:val="DD3A8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0B5AC2"/>
    <w:multiLevelType w:val="hybridMultilevel"/>
    <w:tmpl w:val="0DFE1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3F1460"/>
    <w:multiLevelType w:val="hybridMultilevel"/>
    <w:tmpl w:val="A64C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EB4D94"/>
    <w:multiLevelType w:val="hybridMultilevel"/>
    <w:tmpl w:val="AFB2B872"/>
    <w:lvl w:ilvl="0" w:tplc="CEFEA71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A563786"/>
    <w:multiLevelType w:val="hybridMultilevel"/>
    <w:tmpl w:val="8F10E2DA"/>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08430D"/>
    <w:multiLevelType w:val="hybridMultilevel"/>
    <w:tmpl w:val="FDC4E0BE"/>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52F64BC"/>
    <w:multiLevelType w:val="hybridMultilevel"/>
    <w:tmpl w:val="AC4C4B02"/>
    <w:lvl w:ilvl="0" w:tplc="59B6ED68">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8" w15:restartNumberingAfterBreak="0">
    <w:nsid w:val="75AA5287"/>
    <w:multiLevelType w:val="hybridMultilevel"/>
    <w:tmpl w:val="A848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EC0119"/>
    <w:multiLevelType w:val="hybridMultilevel"/>
    <w:tmpl w:val="7592F5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A67B02"/>
    <w:multiLevelType w:val="hybridMultilevel"/>
    <w:tmpl w:val="9FD2C1EA"/>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51" w15:restartNumberingAfterBreak="0">
    <w:nsid w:val="799C25D2"/>
    <w:multiLevelType w:val="hybridMultilevel"/>
    <w:tmpl w:val="43A0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34"/>
  </w:num>
  <w:num w:numId="4">
    <w:abstractNumId w:val="13"/>
  </w:num>
  <w:num w:numId="5">
    <w:abstractNumId w:val="32"/>
  </w:num>
  <w:num w:numId="6">
    <w:abstractNumId w:val="43"/>
  </w:num>
  <w:num w:numId="7">
    <w:abstractNumId w:val="14"/>
  </w:num>
  <w:num w:numId="8">
    <w:abstractNumId w:val="42"/>
  </w:num>
  <w:num w:numId="9">
    <w:abstractNumId w:val="11"/>
  </w:num>
  <w:num w:numId="10">
    <w:abstractNumId w:val="26"/>
  </w:num>
  <w:num w:numId="11">
    <w:abstractNumId w:val="36"/>
  </w:num>
  <w:num w:numId="12">
    <w:abstractNumId w:val="8"/>
  </w:num>
  <w:num w:numId="13">
    <w:abstractNumId w:val="24"/>
  </w:num>
  <w:num w:numId="14">
    <w:abstractNumId w:val="12"/>
  </w:num>
  <w:num w:numId="15">
    <w:abstractNumId w:val="38"/>
  </w:num>
  <w:num w:numId="16">
    <w:abstractNumId w:val="45"/>
  </w:num>
  <w:num w:numId="17">
    <w:abstractNumId w:val="47"/>
  </w:num>
  <w:num w:numId="18">
    <w:abstractNumId w:val="27"/>
  </w:num>
  <w:num w:numId="19">
    <w:abstractNumId w:val="28"/>
  </w:num>
  <w:num w:numId="20">
    <w:abstractNumId w:val="1"/>
  </w:num>
  <w:num w:numId="21">
    <w:abstractNumId w:val="31"/>
  </w:num>
  <w:num w:numId="22">
    <w:abstractNumId w:val="21"/>
  </w:num>
  <w:num w:numId="23">
    <w:abstractNumId w:val="15"/>
  </w:num>
  <w:num w:numId="24">
    <w:abstractNumId w:val="5"/>
  </w:num>
  <w:num w:numId="25">
    <w:abstractNumId w:val="20"/>
  </w:num>
  <w:num w:numId="26">
    <w:abstractNumId w:val="18"/>
  </w:num>
  <w:num w:numId="27">
    <w:abstractNumId w:val="6"/>
  </w:num>
  <w:num w:numId="28">
    <w:abstractNumId w:val="22"/>
  </w:num>
  <w:num w:numId="29">
    <w:abstractNumId w:val="44"/>
  </w:num>
  <w:num w:numId="30">
    <w:abstractNumId w:val="25"/>
  </w:num>
  <w:num w:numId="31">
    <w:abstractNumId w:val="0"/>
  </w:num>
  <w:num w:numId="32">
    <w:abstractNumId w:val="4"/>
  </w:num>
  <w:num w:numId="33">
    <w:abstractNumId w:val="29"/>
  </w:num>
  <w:num w:numId="34">
    <w:abstractNumId w:val="49"/>
  </w:num>
  <w:num w:numId="35">
    <w:abstractNumId w:val="51"/>
  </w:num>
  <w:num w:numId="36">
    <w:abstractNumId w:val="46"/>
  </w:num>
  <w:num w:numId="37">
    <w:abstractNumId w:val="17"/>
  </w:num>
  <w:num w:numId="38">
    <w:abstractNumId w:val="16"/>
  </w:num>
  <w:num w:numId="39">
    <w:abstractNumId w:val="35"/>
  </w:num>
  <w:num w:numId="40">
    <w:abstractNumId w:val="3"/>
  </w:num>
  <w:num w:numId="41">
    <w:abstractNumId w:val="2"/>
  </w:num>
  <w:num w:numId="42">
    <w:abstractNumId w:val="41"/>
  </w:num>
  <w:num w:numId="43">
    <w:abstractNumId w:val="9"/>
  </w:num>
  <w:num w:numId="44">
    <w:abstractNumId w:val="7"/>
  </w:num>
  <w:num w:numId="45">
    <w:abstractNumId w:val="33"/>
  </w:num>
  <w:num w:numId="46">
    <w:abstractNumId w:val="37"/>
  </w:num>
  <w:num w:numId="47">
    <w:abstractNumId w:val="50"/>
  </w:num>
  <w:num w:numId="48">
    <w:abstractNumId w:val="48"/>
  </w:num>
  <w:num w:numId="49">
    <w:abstractNumId w:val="19"/>
  </w:num>
  <w:num w:numId="50">
    <w:abstractNumId w:val="23"/>
  </w:num>
  <w:num w:numId="51">
    <w:abstractNumId w:val="10"/>
  </w:num>
  <w:num w:numId="52">
    <w:abstractNumId w:val="40"/>
  </w:num>
  <w:num w:numId="5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F1"/>
    <w:rsid w:val="000052EC"/>
    <w:rsid w:val="00005C84"/>
    <w:rsid w:val="0001317D"/>
    <w:rsid w:val="00013EBB"/>
    <w:rsid w:val="00020442"/>
    <w:rsid w:val="00020539"/>
    <w:rsid w:val="0002304A"/>
    <w:rsid w:val="000235E9"/>
    <w:rsid w:val="00024637"/>
    <w:rsid w:val="00025BF0"/>
    <w:rsid w:val="00031366"/>
    <w:rsid w:val="00035BF0"/>
    <w:rsid w:val="00035D74"/>
    <w:rsid w:val="00036FE0"/>
    <w:rsid w:val="000374D4"/>
    <w:rsid w:val="00042625"/>
    <w:rsid w:val="000458CE"/>
    <w:rsid w:val="00045EF7"/>
    <w:rsid w:val="00046003"/>
    <w:rsid w:val="00046961"/>
    <w:rsid w:val="00047125"/>
    <w:rsid w:val="00052E85"/>
    <w:rsid w:val="00053BF5"/>
    <w:rsid w:val="0005516E"/>
    <w:rsid w:val="00055568"/>
    <w:rsid w:val="00062A37"/>
    <w:rsid w:val="00063243"/>
    <w:rsid w:val="000639C1"/>
    <w:rsid w:val="00067B76"/>
    <w:rsid w:val="00067D43"/>
    <w:rsid w:val="00067EF7"/>
    <w:rsid w:val="00070202"/>
    <w:rsid w:val="000746A8"/>
    <w:rsid w:val="00074B04"/>
    <w:rsid w:val="0007695F"/>
    <w:rsid w:val="00076A90"/>
    <w:rsid w:val="0008075D"/>
    <w:rsid w:val="00080EB3"/>
    <w:rsid w:val="000835A4"/>
    <w:rsid w:val="000924DB"/>
    <w:rsid w:val="00093BA4"/>
    <w:rsid w:val="000A2628"/>
    <w:rsid w:val="000A616E"/>
    <w:rsid w:val="000A6414"/>
    <w:rsid w:val="000B128C"/>
    <w:rsid w:val="000B1574"/>
    <w:rsid w:val="000B5352"/>
    <w:rsid w:val="000C0A33"/>
    <w:rsid w:val="000C2D24"/>
    <w:rsid w:val="000D1344"/>
    <w:rsid w:val="000D15BF"/>
    <w:rsid w:val="000D173A"/>
    <w:rsid w:val="000D1F8A"/>
    <w:rsid w:val="000D314F"/>
    <w:rsid w:val="000D5257"/>
    <w:rsid w:val="000D5EB1"/>
    <w:rsid w:val="000D6C67"/>
    <w:rsid w:val="000E4DD8"/>
    <w:rsid w:val="000E56B0"/>
    <w:rsid w:val="000F1E2D"/>
    <w:rsid w:val="000F73AC"/>
    <w:rsid w:val="001003D0"/>
    <w:rsid w:val="00103024"/>
    <w:rsid w:val="00103781"/>
    <w:rsid w:val="001061F3"/>
    <w:rsid w:val="00106DFF"/>
    <w:rsid w:val="0011004B"/>
    <w:rsid w:val="00110305"/>
    <w:rsid w:val="00110B84"/>
    <w:rsid w:val="00111C8E"/>
    <w:rsid w:val="00112959"/>
    <w:rsid w:val="0011392B"/>
    <w:rsid w:val="00113F8F"/>
    <w:rsid w:val="00114698"/>
    <w:rsid w:val="001154D3"/>
    <w:rsid w:val="00122C9C"/>
    <w:rsid w:val="00123828"/>
    <w:rsid w:val="00123843"/>
    <w:rsid w:val="001312CD"/>
    <w:rsid w:val="00132B6F"/>
    <w:rsid w:val="00133922"/>
    <w:rsid w:val="00135907"/>
    <w:rsid w:val="0013645C"/>
    <w:rsid w:val="00142083"/>
    <w:rsid w:val="001431A5"/>
    <w:rsid w:val="00143716"/>
    <w:rsid w:val="001439E3"/>
    <w:rsid w:val="001450C3"/>
    <w:rsid w:val="00145390"/>
    <w:rsid w:val="0014607B"/>
    <w:rsid w:val="00146D19"/>
    <w:rsid w:val="001514FF"/>
    <w:rsid w:val="001515D4"/>
    <w:rsid w:val="00155DEE"/>
    <w:rsid w:val="00157710"/>
    <w:rsid w:val="00164DCE"/>
    <w:rsid w:val="0016635A"/>
    <w:rsid w:val="00173186"/>
    <w:rsid w:val="0017338D"/>
    <w:rsid w:val="001760AB"/>
    <w:rsid w:val="001774A2"/>
    <w:rsid w:val="0018312A"/>
    <w:rsid w:val="00183844"/>
    <w:rsid w:val="00184AEC"/>
    <w:rsid w:val="00184D4C"/>
    <w:rsid w:val="00185C39"/>
    <w:rsid w:val="00185CAB"/>
    <w:rsid w:val="0018712F"/>
    <w:rsid w:val="00190FFE"/>
    <w:rsid w:val="001928CE"/>
    <w:rsid w:val="0019296B"/>
    <w:rsid w:val="00193571"/>
    <w:rsid w:val="001937D9"/>
    <w:rsid w:val="00194155"/>
    <w:rsid w:val="00195E35"/>
    <w:rsid w:val="001970C3"/>
    <w:rsid w:val="001A07F8"/>
    <w:rsid w:val="001A18AE"/>
    <w:rsid w:val="001A2B66"/>
    <w:rsid w:val="001A2E04"/>
    <w:rsid w:val="001A3158"/>
    <w:rsid w:val="001A4B42"/>
    <w:rsid w:val="001A76F4"/>
    <w:rsid w:val="001A78F5"/>
    <w:rsid w:val="001A7E59"/>
    <w:rsid w:val="001B1585"/>
    <w:rsid w:val="001B26D5"/>
    <w:rsid w:val="001C0527"/>
    <w:rsid w:val="001C2EAC"/>
    <w:rsid w:val="001C327A"/>
    <w:rsid w:val="001D0BF8"/>
    <w:rsid w:val="001D152D"/>
    <w:rsid w:val="001D35AE"/>
    <w:rsid w:val="001D5B70"/>
    <w:rsid w:val="001D5D2A"/>
    <w:rsid w:val="001E63A2"/>
    <w:rsid w:val="001E7FCA"/>
    <w:rsid w:val="001F057A"/>
    <w:rsid w:val="001F11E2"/>
    <w:rsid w:val="001F29B4"/>
    <w:rsid w:val="001F7274"/>
    <w:rsid w:val="001F7728"/>
    <w:rsid w:val="001F79F6"/>
    <w:rsid w:val="002013C7"/>
    <w:rsid w:val="00201FD0"/>
    <w:rsid w:val="00203314"/>
    <w:rsid w:val="0020392C"/>
    <w:rsid w:val="00204EF8"/>
    <w:rsid w:val="0020649A"/>
    <w:rsid w:val="00217937"/>
    <w:rsid w:val="00224D32"/>
    <w:rsid w:val="0022697A"/>
    <w:rsid w:val="00227FCE"/>
    <w:rsid w:val="002316A6"/>
    <w:rsid w:val="00231726"/>
    <w:rsid w:val="00231DC8"/>
    <w:rsid w:val="002363F8"/>
    <w:rsid w:val="00236DF8"/>
    <w:rsid w:val="00240940"/>
    <w:rsid w:val="0024348E"/>
    <w:rsid w:val="002459E7"/>
    <w:rsid w:val="00245D5E"/>
    <w:rsid w:val="00246606"/>
    <w:rsid w:val="002466B6"/>
    <w:rsid w:val="00250423"/>
    <w:rsid w:val="00251E45"/>
    <w:rsid w:val="00261AD1"/>
    <w:rsid w:val="00261E69"/>
    <w:rsid w:val="002632FB"/>
    <w:rsid w:val="00264C59"/>
    <w:rsid w:val="00275C35"/>
    <w:rsid w:val="00276B06"/>
    <w:rsid w:val="002772E0"/>
    <w:rsid w:val="0027792F"/>
    <w:rsid w:val="0028236A"/>
    <w:rsid w:val="00284148"/>
    <w:rsid w:val="002851F1"/>
    <w:rsid w:val="0028693C"/>
    <w:rsid w:val="002920FE"/>
    <w:rsid w:val="002931B1"/>
    <w:rsid w:val="0029663D"/>
    <w:rsid w:val="00297A64"/>
    <w:rsid w:val="002A4408"/>
    <w:rsid w:val="002B177A"/>
    <w:rsid w:val="002B3D76"/>
    <w:rsid w:val="002B4942"/>
    <w:rsid w:val="002C00D4"/>
    <w:rsid w:val="002C07F3"/>
    <w:rsid w:val="002C1339"/>
    <w:rsid w:val="002C2816"/>
    <w:rsid w:val="002C2EB3"/>
    <w:rsid w:val="002C694F"/>
    <w:rsid w:val="002D36F4"/>
    <w:rsid w:val="002D6260"/>
    <w:rsid w:val="002D692F"/>
    <w:rsid w:val="002D7443"/>
    <w:rsid w:val="002E1975"/>
    <w:rsid w:val="002E1D09"/>
    <w:rsid w:val="002E2791"/>
    <w:rsid w:val="002E35EF"/>
    <w:rsid w:val="002E60D3"/>
    <w:rsid w:val="002E67AD"/>
    <w:rsid w:val="002E7F73"/>
    <w:rsid w:val="003112EA"/>
    <w:rsid w:val="00311751"/>
    <w:rsid w:val="00312282"/>
    <w:rsid w:val="00312675"/>
    <w:rsid w:val="003144DD"/>
    <w:rsid w:val="00314DAD"/>
    <w:rsid w:val="003155DD"/>
    <w:rsid w:val="003167BA"/>
    <w:rsid w:val="0032481A"/>
    <w:rsid w:val="003263A7"/>
    <w:rsid w:val="003268E8"/>
    <w:rsid w:val="0032770A"/>
    <w:rsid w:val="00330FEA"/>
    <w:rsid w:val="003314CB"/>
    <w:rsid w:val="00336018"/>
    <w:rsid w:val="00341340"/>
    <w:rsid w:val="00341E6C"/>
    <w:rsid w:val="00345D90"/>
    <w:rsid w:val="003470C2"/>
    <w:rsid w:val="00347661"/>
    <w:rsid w:val="0035187D"/>
    <w:rsid w:val="00352B09"/>
    <w:rsid w:val="00357528"/>
    <w:rsid w:val="00357C9D"/>
    <w:rsid w:val="0036200D"/>
    <w:rsid w:val="00363049"/>
    <w:rsid w:val="003640F6"/>
    <w:rsid w:val="0037327C"/>
    <w:rsid w:val="00374D66"/>
    <w:rsid w:val="00377416"/>
    <w:rsid w:val="00380EF9"/>
    <w:rsid w:val="00381F75"/>
    <w:rsid w:val="003932B7"/>
    <w:rsid w:val="00393422"/>
    <w:rsid w:val="00393508"/>
    <w:rsid w:val="00393CF8"/>
    <w:rsid w:val="00394DDE"/>
    <w:rsid w:val="00395B33"/>
    <w:rsid w:val="003966AE"/>
    <w:rsid w:val="003A270D"/>
    <w:rsid w:val="003B4F1B"/>
    <w:rsid w:val="003B5574"/>
    <w:rsid w:val="003B6BF0"/>
    <w:rsid w:val="003B6E30"/>
    <w:rsid w:val="003C43B2"/>
    <w:rsid w:val="003C6043"/>
    <w:rsid w:val="003D050E"/>
    <w:rsid w:val="003D3888"/>
    <w:rsid w:val="003D72B7"/>
    <w:rsid w:val="003E3879"/>
    <w:rsid w:val="003E4BEF"/>
    <w:rsid w:val="003F4B61"/>
    <w:rsid w:val="003F6A64"/>
    <w:rsid w:val="003F7859"/>
    <w:rsid w:val="003F7A86"/>
    <w:rsid w:val="00407112"/>
    <w:rsid w:val="00407EAD"/>
    <w:rsid w:val="004162F8"/>
    <w:rsid w:val="00416920"/>
    <w:rsid w:val="004218EE"/>
    <w:rsid w:val="0042195E"/>
    <w:rsid w:val="00422F40"/>
    <w:rsid w:val="0042612E"/>
    <w:rsid w:val="0042668C"/>
    <w:rsid w:val="0042680D"/>
    <w:rsid w:val="004317B0"/>
    <w:rsid w:val="00440C97"/>
    <w:rsid w:val="004412C9"/>
    <w:rsid w:val="004416EB"/>
    <w:rsid w:val="00445C51"/>
    <w:rsid w:val="00446449"/>
    <w:rsid w:val="00446B75"/>
    <w:rsid w:val="0044744E"/>
    <w:rsid w:val="00447BBB"/>
    <w:rsid w:val="00451423"/>
    <w:rsid w:val="0045171C"/>
    <w:rsid w:val="00454AA4"/>
    <w:rsid w:val="00455658"/>
    <w:rsid w:val="00456945"/>
    <w:rsid w:val="0045697E"/>
    <w:rsid w:val="004571A4"/>
    <w:rsid w:val="004706EE"/>
    <w:rsid w:val="004707FB"/>
    <w:rsid w:val="004717A5"/>
    <w:rsid w:val="004743D0"/>
    <w:rsid w:val="0047502D"/>
    <w:rsid w:val="00475FDF"/>
    <w:rsid w:val="00476C13"/>
    <w:rsid w:val="004801AC"/>
    <w:rsid w:val="004820BE"/>
    <w:rsid w:val="004825A4"/>
    <w:rsid w:val="0048556C"/>
    <w:rsid w:val="004860FE"/>
    <w:rsid w:val="00486A16"/>
    <w:rsid w:val="004870FC"/>
    <w:rsid w:val="0048734F"/>
    <w:rsid w:val="004905C8"/>
    <w:rsid w:val="004917FB"/>
    <w:rsid w:val="004A1786"/>
    <w:rsid w:val="004A550C"/>
    <w:rsid w:val="004A7CE1"/>
    <w:rsid w:val="004B1FB2"/>
    <w:rsid w:val="004B2267"/>
    <w:rsid w:val="004B6894"/>
    <w:rsid w:val="004C0A05"/>
    <w:rsid w:val="004C16A1"/>
    <w:rsid w:val="004C1F13"/>
    <w:rsid w:val="004C33A8"/>
    <w:rsid w:val="004C6B8D"/>
    <w:rsid w:val="004C6EED"/>
    <w:rsid w:val="004D0DA1"/>
    <w:rsid w:val="004D1723"/>
    <w:rsid w:val="004D315E"/>
    <w:rsid w:val="004D3DD2"/>
    <w:rsid w:val="004D3E33"/>
    <w:rsid w:val="004D42BE"/>
    <w:rsid w:val="004D7C69"/>
    <w:rsid w:val="004E12FE"/>
    <w:rsid w:val="004E224A"/>
    <w:rsid w:val="004E6CF0"/>
    <w:rsid w:val="004E7A70"/>
    <w:rsid w:val="004F0094"/>
    <w:rsid w:val="004F1C8E"/>
    <w:rsid w:val="004F2922"/>
    <w:rsid w:val="004F4864"/>
    <w:rsid w:val="0050055F"/>
    <w:rsid w:val="00500D8D"/>
    <w:rsid w:val="0050114B"/>
    <w:rsid w:val="0050247F"/>
    <w:rsid w:val="00504DEF"/>
    <w:rsid w:val="00513092"/>
    <w:rsid w:val="00516084"/>
    <w:rsid w:val="005161F4"/>
    <w:rsid w:val="00520985"/>
    <w:rsid w:val="00521D21"/>
    <w:rsid w:val="00522066"/>
    <w:rsid w:val="00522601"/>
    <w:rsid w:val="00523FC0"/>
    <w:rsid w:val="005270CB"/>
    <w:rsid w:val="00531063"/>
    <w:rsid w:val="00531293"/>
    <w:rsid w:val="00533508"/>
    <w:rsid w:val="005377D5"/>
    <w:rsid w:val="005409FE"/>
    <w:rsid w:val="005415AA"/>
    <w:rsid w:val="005424F7"/>
    <w:rsid w:val="00542714"/>
    <w:rsid w:val="00544D5A"/>
    <w:rsid w:val="00545D0F"/>
    <w:rsid w:val="005460C2"/>
    <w:rsid w:val="00547C21"/>
    <w:rsid w:val="00551B7F"/>
    <w:rsid w:val="00552BEC"/>
    <w:rsid w:val="00552D7F"/>
    <w:rsid w:val="0056369F"/>
    <w:rsid w:val="00566161"/>
    <w:rsid w:val="0057377B"/>
    <w:rsid w:val="005751FC"/>
    <w:rsid w:val="0057593C"/>
    <w:rsid w:val="00580CA2"/>
    <w:rsid w:val="0058106D"/>
    <w:rsid w:val="005842E6"/>
    <w:rsid w:val="00584D9E"/>
    <w:rsid w:val="00587C72"/>
    <w:rsid w:val="0059097D"/>
    <w:rsid w:val="00593701"/>
    <w:rsid w:val="005939E1"/>
    <w:rsid w:val="00596B2E"/>
    <w:rsid w:val="005A61B9"/>
    <w:rsid w:val="005A6A45"/>
    <w:rsid w:val="005A715E"/>
    <w:rsid w:val="005A733A"/>
    <w:rsid w:val="005A7DF8"/>
    <w:rsid w:val="005B03C7"/>
    <w:rsid w:val="005B0784"/>
    <w:rsid w:val="005B0CF0"/>
    <w:rsid w:val="005B0F83"/>
    <w:rsid w:val="005B152F"/>
    <w:rsid w:val="005B1C14"/>
    <w:rsid w:val="005B1D33"/>
    <w:rsid w:val="005B239E"/>
    <w:rsid w:val="005B2994"/>
    <w:rsid w:val="005B33D6"/>
    <w:rsid w:val="005B3B21"/>
    <w:rsid w:val="005B409E"/>
    <w:rsid w:val="005B42B4"/>
    <w:rsid w:val="005B6E19"/>
    <w:rsid w:val="005B7D34"/>
    <w:rsid w:val="005C00DC"/>
    <w:rsid w:val="005C2563"/>
    <w:rsid w:val="005C336E"/>
    <w:rsid w:val="005C4034"/>
    <w:rsid w:val="005C4574"/>
    <w:rsid w:val="005C5233"/>
    <w:rsid w:val="005C55FF"/>
    <w:rsid w:val="005C6220"/>
    <w:rsid w:val="005C62DC"/>
    <w:rsid w:val="005C7E9A"/>
    <w:rsid w:val="005D19D5"/>
    <w:rsid w:val="005D5A1B"/>
    <w:rsid w:val="005D6EBE"/>
    <w:rsid w:val="005E157E"/>
    <w:rsid w:val="005F04DE"/>
    <w:rsid w:val="005F1E90"/>
    <w:rsid w:val="005F55AD"/>
    <w:rsid w:val="005F6254"/>
    <w:rsid w:val="006007DB"/>
    <w:rsid w:val="00601AA1"/>
    <w:rsid w:val="006033CD"/>
    <w:rsid w:val="00604667"/>
    <w:rsid w:val="00606E5A"/>
    <w:rsid w:val="00607F42"/>
    <w:rsid w:val="00610702"/>
    <w:rsid w:val="00612141"/>
    <w:rsid w:val="0061293E"/>
    <w:rsid w:val="00613A59"/>
    <w:rsid w:val="00613F14"/>
    <w:rsid w:val="00615916"/>
    <w:rsid w:val="00616A67"/>
    <w:rsid w:val="00617765"/>
    <w:rsid w:val="00622676"/>
    <w:rsid w:val="006226BF"/>
    <w:rsid w:val="00623EE7"/>
    <w:rsid w:val="00625836"/>
    <w:rsid w:val="006269A1"/>
    <w:rsid w:val="006308C1"/>
    <w:rsid w:val="00634704"/>
    <w:rsid w:val="0063498F"/>
    <w:rsid w:val="006350CF"/>
    <w:rsid w:val="006374BC"/>
    <w:rsid w:val="00642421"/>
    <w:rsid w:val="006429F1"/>
    <w:rsid w:val="0064314F"/>
    <w:rsid w:val="00645955"/>
    <w:rsid w:val="00645D67"/>
    <w:rsid w:val="00646C56"/>
    <w:rsid w:val="00646D97"/>
    <w:rsid w:val="00651B9B"/>
    <w:rsid w:val="00652C2B"/>
    <w:rsid w:val="00655147"/>
    <w:rsid w:val="006551BF"/>
    <w:rsid w:val="00655D82"/>
    <w:rsid w:val="0066341B"/>
    <w:rsid w:val="0066381B"/>
    <w:rsid w:val="00663AF1"/>
    <w:rsid w:val="00665F80"/>
    <w:rsid w:val="006666ED"/>
    <w:rsid w:val="006758D5"/>
    <w:rsid w:val="00675EAE"/>
    <w:rsid w:val="00680FCA"/>
    <w:rsid w:val="006830DE"/>
    <w:rsid w:val="006851B6"/>
    <w:rsid w:val="00691319"/>
    <w:rsid w:val="00694061"/>
    <w:rsid w:val="006952EB"/>
    <w:rsid w:val="00696589"/>
    <w:rsid w:val="006A0643"/>
    <w:rsid w:val="006A610A"/>
    <w:rsid w:val="006A69EA"/>
    <w:rsid w:val="006A7960"/>
    <w:rsid w:val="006B1886"/>
    <w:rsid w:val="006B254F"/>
    <w:rsid w:val="006B481E"/>
    <w:rsid w:val="006B7224"/>
    <w:rsid w:val="006B7FAF"/>
    <w:rsid w:val="006C0943"/>
    <w:rsid w:val="006C1D1B"/>
    <w:rsid w:val="006C3661"/>
    <w:rsid w:val="006C5D87"/>
    <w:rsid w:val="006D2A97"/>
    <w:rsid w:val="006D4ADE"/>
    <w:rsid w:val="006D4F7E"/>
    <w:rsid w:val="006D6660"/>
    <w:rsid w:val="006D70EC"/>
    <w:rsid w:val="006D751A"/>
    <w:rsid w:val="006E2676"/>
    <w:rsid w:val="006E3DE8"/>
    <w:rsid w:val="006E428C"/>
    <w:rsid w:val="006E5083"/>
    <w:rsid w:val="006E6281"/>
    <w:rsid w:val="006E6545"/>
    <w:rsid w:val="006F187E"/>
    <w:rsid w:val="006F2AE3"/>
    <w:rsid w:val="006F382C"/>
    <w:rsid w:val="006F4EC5"/>
    <w:rsid w:val="006F6BD3"/>
    <w:rsid w:val="0070009C"/>
    <w:rsid w:val="007016B4"/>
    <w:rsid w:val="00701BCE"/>
    <w:rsid w:val="007027D1"/>
    <w:rsid w:val="007049F6"/>
    <w:rsid w:val="00706570"/>
    <w:rsid w:val="007072A0"/>
    <w:rsid w:val="00714A50"/>
    <w:rsid w:val="007169AB"/>
    <w:rsid w:val="00717DAC"/>
    <w:rsid w:val="0072101A"/>
    <w:rsid w:val="00721094"/>
    <w:rsid w:val="007228ED"/>
    <w:rsid w:val="00724181"/>
    <w:rsid w:val="00724B49"/>
    <w:rsid w:val="00725AC4"/>
    <w:rsid w:val="0072662E"/>
    <w:rsid w:val="00731685"/>
    <w:rsid w:val="00731A9B"/>
    <w:rsid w:val="00733759"/>
    <w:rsid w:val="00734002"/>
    <w:rsid w:val="007357C6"/>
    <w:rsid w:val="00742D71"/>
    <w:rsid w:val="00744318"/>
    <w:rsid w:val="00750324"/>
    <w:rsid w:val="00750486"/>
    <w:rsid w:val="00757382"/>
    <w:rsid w:val="00760EEC"/>
    <w:rsid w:val="00761F03"/>
    <w:rsid w:val="007631BB"/>
    <w:rsid w:val="007635D6"/>
    <w:rsid w:val="007653DB"/>
    <w:rsid w:val="00771315"/>
    <w:rsid w:val="0077335A"/>
    <w:rsid w:val="00774738"/>
    <w:rsid w:val="00774837"/>
    <w:rsid w:val="00774E38"/>
    <w:rsid w:val="00781405"/>
    <w:rsid w:val="00781BF1"/>
    <w:rsid w:val="00782AFB"/>
    <w:rsid w:val="007869EC"/>
    <w:rsid w:val="007870E1"/>
    <w:rsid w:val="00790D76"/>
    <w:rsid w:val="0079270C"/>
    <w:rsid w:val="00793FED"/>
    <w:rsid w:val="00797483"/>
    <w:rsid w:val="0079763C"/>
    <w:rsid w:val="00797B68"/>
    <w:rsid w:val="007A121F"/>
    <w:rsid w:val="007A2A65"/>
    <w:rsid w:val="007A4B30"/>
    <w:rsid w:val="007B0ADF"/>
    <w:rsid w:val="007B0EA8"/>
    <w:rsid w:val="007B1B40"/>
    <w:rsid w:val="007C045A"/>
    <w:rsid w:val="007C4202"/>
    <w:rsid w:val="007C43C4"/>
    <w:rsid w:val="007C5C78"/>
    <w:rsid w:val="007C61B5"/>
    <w:rsid w:val="007C64EB"/>
    <w:rsid w:val="007D1825"/>
    <w:rsid w:val="007E2582"/>
    <w:rsid w:val="007E544B"/>
    <w:rsid w:val="007E5D37"/>
    <w:rsid w:val="007E72AF"/>
    <w:rsid w:val="007E78AA"/>
    <w:rsid w:val="007F0334"/>
    <w:rsid w:val="007F2B50"/>
    <w:rsid w:val="007F3CFA"/>
    <w:rsid w:val="00804697"/>
    <w:rsid w:val="00804B72"/>
    <w:rsid w:val="0080579D"/>
    <w:rsid w:val="00805F3B"/>
    <w:rsid w:val="00806D06"/>
    <w:rsid w:val="0080765A"/>
    <w:rsid w:val="00810659"/>
    <w:rsid w:val="00812F44"/>
    <w:rsid w:val="00813022"/>
    <w:rsid w:val="00817D28"/>
    <w:rsid w:val="008215B1"/>
    <w:rsid w:val="0082208D"/>
    <w:rsid w:val="00822DCF"/>
    <w:rsid w:val="00823413"/>
    <w:rsid w:val="00823B8F"/>
    <w:rsid w:val="00824108"/>
    <w:rsid w:val="00825533"/>
    <w:rsid w:val="008263B2"/>
    <w:rsid w:val="0082649D"/>
    <w:rsid w:val="008305B1"/>
    <w:rsid w:val="008314FD"/>
    <w:rsid w:val="0083384C"/>
    <w:rsid w:val="00834743"/>
    <w:rsid w:val="00834AD3"/>
    <w:rsid w:val="00835CD5"/>
    <w:rsid w:val="00841BB7"/>
    <w:rsid w:val="008449B2"/>
    <w:rsid w:val="00845F0E"/>
    <w:rsid w:val="008477F6"/>
    <w:rsid w:val="00847B1D"/>
    <w:rsid w:val="00850468"/>
    <w:rsid w:val="00850BFA"/>
    <w:rsid w:val="00852630"/>
    <w:rsid w:val="00853E36"/>
    <w:rsid w:val="00854B8A"/>
    <w:rsid w:val="008570FC"/>
    <w:rsid w:val="00862E82"/>
    <w:rsid w:val="00864A70"/>
    <w:rsid w:val="00864EA4"/>
    <w:rsid w:val="00867C08"/>
    <w:rsid w:val="00876D23"/>
    <w:rsid w:val="00884365"/>
    <w:rsid w:val="0088527F"/>
    <w:rsid w:val="00885E7D"/>
    <w:rsid w:val="008874AE"/>
    <w:rsid w:val="00887F67"/>
    <w:rsid w:val="008900E5"/>
    <w:rsid w:val="0089062D"/>
    <w:rsid w:val="008917A5"/>
    <w:rsid w:val="0089564E"/>
    <w:rsid w:val="008977D5"/>
    <w:rsid w:val="008A2A1E"/>
    <w:rsid w:val="008A36AE"/>
    <w:rsid w:val="008A3CED"/>
    <w:rsid w:val="008A40B5"/>
    <w:rsid w:val="008A5A6A"/>
    <w:rsid w:val="008A5E81"/>
    <w:rsid w:val="008A651C"/>
    <w:rsid w:val="008A6B39"/>
    <w:rsid w:val="008A6FE6"/>
    <w:rsid w:val="008B0B98"/>
    <w:rsid w:val="008B26A7"/>
    <w:rsid w:val="008B30A7"/>
    <w:rsid w:val="008B4B5F"/>
    <w:rsid w:val="008C0048"/>
    <w:rsid w:val="008C3631"/>
    <w:rsid w:val="008C40B0"/>
    <w:rsid w:val="008C5E11"/>
    <w:rsid w:val="008C647A"/>
    <w:rsid w:val="008D1B1C"/>
    <w:rsid w:val="008D489B"/>
    <w:rsid w:val="008D523A"/>
    <w:rsid w:val="008D69A5"/>
    <w:rsid w:val="008D6D11"/>
    <w:rsid w:val="008E1D97"/>
    <w:rsid w:val="008E25B0"/>
    <w:rsid w:val="008E4293"/>
    <w:rsid w:val="008E4B25"/>
    <w:rsid w:val="008E4FB4"/>
    <w:rsid w:val="008E7377"/>
    <w:rsid w:val="008E7AFA"/>
    <w:rsid w:val="008F090E"/>
    <w:rsid w:val="008F124D"/>
    <w:rsid w:val="008F3E44"/>
    <w:rsid w:val="008F66CD"/>
    <w:rsid w:val="00902845"/>
    <w:rsid w:val="00905300"/>
    <w:rsid w:val="00905711"/>
    <w:rsid w:val="00905EAB"/>
    <w:rsid w:val="0090652D"/>
    <w:rsid w:val="00906963"/>
    <w:rsid w:val="00911B22"/>
    <w:rsid w:val="00917CCA"/>
    <w:rsid w:val="00920579"/>
    <w:rsid w:val="00921657"/>
    <w:rsid w:val="00922B86"/>
    <w:rsid w:val="00922D10"/>
    <w:rsid w:val="00924979"/>
    <w:rsid w:val="00926084"/>
    <w:rsid w:val="0093144C"/>
    <w:rsid w:val="00932B50"/>
    <w:rsid w:val="009338E5"/>
    <w:rsid w:val="00935B60"/>
    <w:rsid w:val="00946F61"/>
    <w:rsid w:val="0095293F"/>
    <w:rsid w:val="00954013"/>
    <w:rsid w:val="009541C8"/>
    <w:rsid w:val="009545D2"/>
    <w:rsid w:val="00954B43"/>
    <w:rsid w:val="00954C15"/>
    <w:rsid w:val="0095565C"/>
    <w:rsid w:val="00955F82"/>
    <w:rsid w:val="009574D0"/>
    <w:rsid w:val="0096111A"/>
    <w:rsid w:val="00962E57"/>
    <w:rsid w:val="00962ED6"/>
    <w:rsid w:val="00962EE8"/>
    <w:rsid w:val="0096381E"/>
    <w:rsid w:val="00963A1C"/>
    <w:rsid w:val="00965BE6"/>
    <w:rsid w:val="00966D43"/>
    <w:rsid w:val="0096710F"/>
    <w:rsid w:val="00967333"/>
    <w:rsid w:val="00973081"/>
    <w:rsid w:val="00973AD6"/>
    <w:rsid w:val="00973DD1"/>
    <w:rsid w:val="00975E3A"/>
    <w:rsid w:val="009763B4"/>
    <w:rsid w:val="00976C55"/>
    <w:rsid w:val="00976D86"/>
    <w:rsid w:val="009829F1"/>
    <w:rsid w:val="00983B29"/>
    <w:rsid w:val="00983CD0"/>
    <w:rsid w:val="00983CD8"/>
    <w:rsid w:val="009848F4"/>
    <w:rsid w:val="00985343"/>
    <w:rsid w:val="0098542D"/>
    <w:rsid w:val="00991A08"/>
    <w:rsid w:val="00995FE7"/>
    <w:rsid w:val="009966F7"/>
    <w:rsid w:val="009A1CF6"/>
    <w:rsid w:val="009A2292"/>
    <w:rsid w:val="009A3F36"/>
    <w:rsid w:val="009B06F8"/>
    <w:rsid w:val="009B2CB8"/>
    <w:rsid w:val="009B3637"/>
    <w:rsid w:val="009B3E10"/>
    <w:rsid w:val="009B526C"/>
    <w:rsid w:val="009B7A4F"/>
    <w:rsid w:val="009C11F0"/>
    <w:rsid w:val="009C39E2"/>
    <w:rsid w:val="009C4E12"/>
    <w:rsid w:val="009C5391"/>
    <w:rsid w:val="009D1155"/>
    <w:rsid w:val="009D1EA9"/>
    <w:rsid w:val="009D3540"/>
    <w:rsid w:val="009E115C"/>
    <w:rsid w:val="009E2D0D"/>
    <w:rsid w:val="009E507D"/>
    <w:rsid w:val="009E59D0"/>
    <w:rsid w:val="009E66D6"/>
    <w:rsid w:val="009F05CA"/>
    <w:rsid w:val="009F07ED"/>
    <w:rsid w:val="009F08E7"/>
    <w:rsid w:val="009F1CE4"/>
    <w:rsid w:val="009F77EE"/>
    <w:rsid w:val="00A00267"/>
    <w:rsid w:val="00A011EB"/>
    <w:rsid w:val="00A02401"/>
    <w:rsid w:val="00A032DC"/>
    <w:rsid w:val="00A05A7A"/>
    <w:rsid w:val="00A07C98"/>
    <w:rsid w:val="00A10F9E"/>
    <w:rsid w:val="00A1237E"/>
    <w:rsid w:val="00A1749D"/>
    <w:rsid w:val="00A17CAE"/>
    <w:rsid w:val="00A21DFE"/>
    <w:rsid w:val="00A21E9A"/>
    <w:rsid w:val="00A26C68"/>
    <w:rsid w:val="00A27675"/>
    <w:rsid w:val="00A30AD3"/>
    <w:rsid w:val="00A34A65"/>
    <w:rsid w:val="00A354FF"/>
    <w:rsid w:val="00A46649"/>
    <w:rsid w:val="00A540DC"/>
    <w:rsid w:val="00A5759F"/>
    <w:rsid w:val="00A576E9"/>
    <w:rsid w:val="00A61721"/>
    <w:rsid w:val="00A61CFB"/>
    <w:rsid w:val="00A63A27"/>
    <w:rsid w:val="00A63E4E"/>
    <w:rsid w:val="00A64361"/>
    <w:rsid w:val="00A708AD"/>
    <w:rsid w:val="00A70A0F"/>
    <w:rsid w:val="00A710A1"/>
    <w:rsid w:val="00A71BF4"/>
    <w:rsid w:val="00A766E3"/>
    <w:rsid w:val="00A77A36"/>
    <w:rsid w:val="00A8064C"/>
    <w:rsid w:val="00A83DB5"/>
    <w:rsid w:val="00A84741"/>
    <w:rsid w:val="00A852BE"/>
    <w:rsid w:val="00A87D24"/>
    <w:rsid w:val="00A90C7D"/>
    <w:rsid w:val="00A91658"/>
    <w:rsid w:val="00A96F9E"/>
    <w:rsid w:val="00AA0469"/>
    <w:rsid w:val="00AA0A15"/>
    <w:rsid w:val="00AA27FA"/>
    <w:rsid w:val="00AA349D"/>
    <w:rsid w:val="00AA3824"/>
    <w:rsid w:val="00AA4023"/>
    <w:rsid w:val="00AA4210"/>
    <w:rsid w:val="00AA7B82"/>
    <w:rsid w:val="00AB0E2C"/>
    <w:rsid w:val="00AB36CF"/>
    <w:rsid w:val="00AB5CB4"/>
    <w:rsid w:val="00AC2B40"/>
    <w:rsid w:val="00AC55B4"/>
    <w:rsid w:val="00AC5937"/>
    <w:rsid w:val="00AC64EB"/>
    <w:rsid w:val="00AC6739"/>
    <w:rsid w:val="00AC6D04"/>
    <w:rsid w:val="00AD025B"/>
    <w:rsid w:val="00AD0854"/>
    <w:rsid w:val="00AD2F76"/>
    <w:rsid w:val="00AD33E9"/>
    <w:rsid w:val="00AD3446"/>
    <w:rsid w:val="00AD4DAC"/>
    <w:rsid w:val="00AD4FDA"/>
    <w:rsid w:val="00AD5202"/>
    <w:rsid w:val="00AD552F"/>
    <w:rsid w:val="00AD7A84"/>
    <w:rsid w:val="00AE1199"/>
    <w:rsid w:val="00AE3E49"/>
    <w:rsid w:val="00AE580F"/>
    <w:rsid w:val="00AE6BD9"/>
    <w:rsid w:val="00AE78F7"/>
    <w:rsid w:val="00AF1BB2"/>
    <w:rsid w:val="00AF1D28"/>
    <w:rsid w:val="00AF263D"/>
    <w:rsid w:val="00AF3127"/>
    <w:rsid w:val="00AF343E"/>
    <w:rsid w:val="00AF793D"/>
    <w:rsid w:val="00B0401E"/>
    <w:rsid w:val="00B1002B"/>
    <w:rsid w:val="00B10B18"/>
    <w:rsid w:val="00B10CB2"/>
    <w:rsid w:val="00B11D45"/>
    <w:rsid w:val="00B11EC7"/>
    <w:rsid w:val="00B13CF2"/>
    <w:rsid w:val="00B14AF8"/>
    <w:rsid w:val="00B1606E"/>
    <w:rsid w:val="00B1631F"/>
    <w:rsid w:val="00B1646E"/>
    <w:rsid w:val="00B20D51"/>
    <w:rsid w:val="00B22FA5"/>
    <w:rsid w:val="00B2508F"/>
    <w:rsid w:val="00B30324"/>
    <w:rsid w:val="00B30BAD"/>
    <w:rsid w:val="00B340D1"/>
    <w:rsid w:val="00B35700"/>
    <w:rsid w:val="00B35BCC"/>
    <w:rsid w:val="00B36167"/>
    <w:rsid w:val="00B37F5E"/>
    <w:rsid w:val="00B41BC9"/>
    <w:rsid w:val="00B42BF0"/>
    <w:rsid w:val="00B44694"/>
    <w:rsid w:val="00B44A5D"/>
    <w:rsid w:val="00B44D5E"/>
    <w:rsid w:val="00B470DD"/>
    <w:rsid w:val="00B53A67"/>
    <w:rsid w:val="00B56DE0"/>
    <w:rsid w:val="00B57428"/>
    <w:rsid w:val="00B65DB1"/>
    <w:rsid w:val="00B674DF"/>
    <w:rsid w:val="00B74405"/>
    <w:rsid w:val="00B74598"/>
    <w:rsid w:val="00B74B0B"/>
    <w:rsid w:val="00B810C4"/>
    <w:rsid w:val="00B81666"/>
    <w:rsid w:val="00B8181B"/>
    <w:rsid w:val="00B823DE"/>
    <w:rsid w:val="00B833C0"/>
    <w:rsid w:val="00B834AB"/>
    <w:rsid w:val="00B84B3D"/>
    <w:rsid w:val="00B9170C"/>
    <w:rsid w:val="00B955FA"/>
    <w:rsid w:val="00B96F37"/>
    <w:rsid w:val="00B9796E"/>
    <w:rsid w:val="00BA3429"/>
    <w:rsid w:val="00BA419A"/>
    <w:rsid w:val="00BA5B6B"/>
    <w:rsid w:val="00BA6FE8"/>
    <w:rsid w:val="00BB0408"/>
    <w:rsid w:val="00BB11B9"/>
    <w:rsid w:val="00BB14E9"/>
    <w:rsid w:val="00BB5864"/>
    <w:rsid w:val="00BC00AD"/>
    <w:rsid w:val="00BC0837"/>
    <w:rsid w:val="00BC3678"/>
    <w:rsid w:val="00BC4DE1"/>
    <w:rsid w:val="00BC5B9C"/>
    <w:rsid w:val="00BC797F"/>
    <w:rsid w:val="00BD12E1"/>
    <w:rsid w:val="00BD3099"/>
    <w:rsid w:val="00BD501A"/>
    <w:rsid w:val="00BD6363"/>
    <w:rsid w:val="00BD6D35"/>
    <w:rsid w:val="00BE58FA"/>
    <w:rsid w:val="00BF13C7"/>
    <w:rsid w:val="00BF158B"/>
    <w:rsid w:val="00BF32F1"/>
    <w:rsid w:val="00BF4CC3"/>
    <w:rsid w:val="00BF5A94"/>
    <w:rsid w:val="00BF664F"/>
    <w:rsid w:val="00C020D3"/>
    <w:rsid w:val="00C02282"/>
    <w:rsid w:val="00C02EAF"/>
    <w:rsid w:val="00C045B1"/>
    <w:rsid w:val="00C049FF"/>
    <w:rsid w:val="00C06548"/>
    <w:rsid w:val="00C07C5E"/>
    <w:rsid w:val="00C07E62"/>
    <w:rsid w:val="00C10650"/>
    <w:rsid w:val="00C10A42"/>
    <w:rsid w:val="00C110FA"/>
    <w:rsid w:val="00C13CF9"/>
    <w:rsid w:val="00C13FA0"/>
    <w:rsid w:val="00C15026"/>
    <w:rsid w:val="00C1789A"/>
    <w:rsid w:val="00C217EB"/>
    <w:rsid w:val="00C3046C"/>
    <w:rsid w:val="00C30CDA"/>
    <w:rsid w:val="00C319B7"/>
    <w:rsid w:val="00C31B2E"/>
    <w:rsid w:val="00C330AF"/>
    <w:rsid w:val="00C36FC7"/>
    <w:rsid w:val="00C419DA"/>
    <w:rsid w:val="00C44262"/>
    <w:rsid w:val="00C45642"/>
    <w:rsid w:val="00C5058A"/>
    <w:rsid w:val="00C57CA5"/>
    <w:rsid w:val="00C57EF3"/>
    <w:rsid w:val="00C63CB5"/>
    <w:rsid w:val="00C64506"/>
    <w:rsid w:val="00C66B09"/>
    <w:rsid w:val="00C765BE"/>
    <w:rsid w:val="00C76F9B"/>
    <w:rsid w:val="00C944D9"/>
    <w:rsid w:val="00C94555"/>
    <w:rsid w:val="00C97712"/>
    <w:rsid w:val="00CA38ED"/>
    <w:rsid w:val="00CA3F53"/>
    <w:rsid w:val="00CA4760"/>
    <w:rsid w:val="00CA7146"/>
    <w:rsid w:val="00CB1C2E"/>
    <w:rsid w:val="00CC0393"/>
    <w:rsid w:val="00CC2960"/>
    <w:rsid w:val="00CC4384"/>
    <w:rsid w:val="00CC480A"/>
    <w:rsid w:val="00CC57FB"/>
    <w:rsid w:val="00CC59A5"/>
    <w:rsid w:val="00CC617E"/>
    <w:rsid w:val="00CD149E"/>
    <w:rsid w:val="00CE08F8"/>
    <w:rsid w:val="00CE67C0"/>
    <w:rsid w:val="00CE6CA0"/>
    <w:rsid w:val="00CE76AF"/>
    <w:rsid w:val="00CF4344"/>
    <w:rsid w:val="00CF4FC2"/>
    <w:rsid w:val="00CF609A"/>
    <w:rsid w:val="00D00AE9"/>
    <w:rsid w:val="00D03D94"/>
    <w:rsid w:val="00D05E3C"/>
    <w:rsid w:val="00D072AD"/>
    <w:rsid w:val="00D07F8E"/>
    <w:rsid w:val="00D11392"/>
    <w:rsid w:val="00D11F87"/>
    <w:rsid w:val="00D12FAE"/>
    <w:rsid w:val="00D15187"/>
    <w:rsid w:val="00D154FD"/>
    <w:rsid w:val="00D2014F"/>
    <w:rsid w:val="00D20644"/>
    <w:rsid w:val="00D20FDB"/>
    <w:rsid w:val="00D2102B"/>
    <w:rsid w:val="00D2656A"/>
    <w:rsid w:val="00D26DC7"/>
    <w:rsid w:val="00D309A9"/>
    <w:rsid w:val="00D32639"/>
    <w:rsid w:val="00D34519"/>
    <w:rsid w:val="00D34E68"/>
    <w:rsid w:val="00D3516C"/>
    <w:rsid w:val="00D355B1"/>
    <w:rsid w:val="00D3727E"/>
    <w:rsid w:val="00D41249"/>
    <w:rsid w:val="00D41985"/>
    <w:rsid w:val="00D51CFC"/>
    <w:rsid w:val="00D51E5A"/>
    <w:rsid w:val="00D51F83"/>
    <w:rsid w:val="00D53CE1"/>
    <w:rsid w:val="00D540A2"/>
    <w:rsid w:val="00D54564"/>
    <w:rsid w:val="00D56BD6"/>
    <w:rsid w:val="00D63897"/>
    <w:rsid w:val="00D63C3A"/>
    <w:rsid w:val="00D65206"/>
    <w:rsid w:val="00D65217"/>
    <w:rsid w:val="00D72729"/>
    <w:rsid w:val="00D769B4"/>
    <w:rsid w:val="00D773E9"/>
    <w:rsid w:val="00D7784F"/>
    <w:rsid w:val="00D81772"/>
    <w:rsid w:val="00D840C7"/>
    <w:rsid w:val="00D92A27"/>
    <w:rsid w:val="00D92A49"/>
    <w:rsid w:val="00D9373F"/>
    <w:rsid w:val="00D93D3A"/>
    <w:rsid w:val="00D94298"/>
    <w:rsid w:val="00D94CE0"/>
    <w:rsid w:val="00D958E1"/>
    <w:rsid w:val="00D95B90"/>
    <w:rsid w:val="00DA0133"/>
    <w:rsid w:val="00DA3C80"/>
    <w:rsid w:val="00DA4000"/>
    <w:rsid w:val="00DA44B6"/>
    <w:rsid w:val="00DB3CB2"/>
    <w:rsid w:val="00DC01FC"/>
    <w:rsid w:val="00DC05C6"/>
    <w:rsid w:val="00DC313B"/>
    <w:rsid w:val="00DC37F4"/>
    <w:rsid w:val="00DC3CE0"/>
    <w:rsid w:val="00DC55BD"/>
    <w:rsid w:val="00DC5792"/>
    <w:rsid w:val="00DD3426"/>
    <w:rsid w:val="00DD610F"/>
    <w:rsid w:val="00DD7302"/>
    <w:rsid w:val="00DE0C56"/>
    <w:rsid w:val="00DE12DB"/>
    <w:rsid w:val="00DE4360"/>
    <w:rsid w:val="00DE4BAB"/>
    <w:rsid w:val="00DE5A27"/>
    <w:rsid w:val="00DE660E"/>
    <w:rsid w:val="00DE6F6D"/>
    <w:rsid w:val="00DF16CF"/>
    <w:rsid w:val="00DF229B"/>
    <w:rsid w:val="00DF5F15"/>
    <w:rsid w:val="00DF6D16"/>
    <w:rsid w:val="00DF7219"/>
    <w:rsid w:val="00E01171"/>
    <w:rsid w:val="00E012A9"/>
    <w:rsid w:val="00E024BA"/>
    <w:rsid w:val="00E02F6A"/>
    <w:rsid w:val="00E03523"/>
    <w:rsid w:val="00E0472B"/>
    <w:rsid w:val="00E06C7C"/>
    <w:rsid w:val="00E075FD"/>
    <w:rsid w:val="00E10389"/>
    <w:rsid w:val="00E11C55"/>
    <w:rsid w:val="00E120D8"/>
    <w:rsid w:val="00E15175"/>
    <w:rsid w:val="00E20A50"/>
    <w:rsid w:val="00E22ECB"/>
    <w:rsid w:val="00E24EE6"/>
    <w:rsid w:val="00E25976"/>
    <w:rsid w:val="00E25B15"/>
    <w:rsid w:val="00E25BFF"/>
    <w:rsid w:val="00E25E83"/>
    <w:rsid w:val="00E26A19"/>
    <w:rsid w:val="00E27639"/>
    <w:rsid w:val="00E27A1A"/>
    <w:rsid w:val="00E3070D"/>
    <w:rsid w:val="00E30F8E"/>
    <w:rsid w:val="00E3243B"/>
    <w:rsid w:val="00E3282E"/>
    <w:rsid w:val="00E3359C"/>
    <w:rsid w:val="00E335AB"/>
    <w:rsid w:val="00E3373B"/>
    <w:rsid w:val="00E34A10"/>
    <w:rsid w:val="00E3602D"/>
    <w:rsid w:val="00E36434"/>
    <w:rsid w:val="00E36CC0"/>
    <w:rsid w:val="00E42024"/>
    <w:rsid w:val="00E42281"/>
    <w:rsid w:val="00E576F5"/>
    <w:rsid w:val="00E6041D"/>
    <w:rsid w:val="00E60CC7"/>
    <w:rsid w:val="00E62196"/>
    <w:rsid w:val="00E636C4"/>
    <w:rsid w:val="00E66948"/>
    <w:rsid w:val="00E71342"/>
    <w:rsid w:val="00E724BF"/>
    <w:rsid w:val="00E77D94"/>
    <w:rsid w:val="00E81068"/>
    <w:rsid w:val="00E82CE7"/>
    <w:rsid w:val="00E83FA6"/>
    <w:rsid w:val="00E840A5"/>
    <w:rsid w:val="00E84C26"/>
    <w:rsid w:val="00E84E2F"/>
    <w:rsid w:val="00E86DAC"/>
    <w:rsid w:val="00E8771A"/>
    <w:rsid w:val="00E905AC"/>
    <w:rsid w:val="00E909D6"/>
    <w:rsid w:val="00E948C7"/>
    <w:rsid w:val="00E94F2B"/>
    <w:rsid w:val="00E9500C"/>
    <w:rsid w:val="00E95CC9"/>
    <w:rsid w:val="00E96B9D"/>
    <w:rsid w:val="00E9733B"/>
    <w:rsid w:val="00EA1D60"/>
    <w:rsid w:val="00EA2D0F"/>
    <w:rsid w:val="00EA7032"/>
    <w:rsid w:val="00EB24C9"/>
    <w:rsid w:val="00EB50C7"/>
    <w:rsid w:val="00EB6AA6"/>
    <w:rsid w:val="00EB716A"/>
    <w:rsid w:val="00EC19E2"/>
    <w:rsid w:val="00EC359D"/>
    <w:rsid w:val="00EC64B9"/>
    <w:rsid w:val="00EC737A"/>
    <w:rsid w:val="00EC76CA"/>
    <w:rsid w:val="00ED27C9"/>
    <w:rsid w:val="00ED3482"/>
    <w:rsid w:val="00ED36D9"/>
    <w:rsid w:val="00ED4BEA"/>
    <w:rsid w:val="00EE0852"/>
    <w:rsid w:val="00EE2D7B"/>
    <w:rsid w:val="00EE2E89"/>
    <w:rsid w:val="00EE399A"/>
    <w:rsid w:val="00EE442F"/>
    <w:rsid w:val="00EE6FF5"/>
    <w:rsid w:val="00EF07DC"/>
    <w:rsid w:val="00EF0E5D"/>
    <w:rsid w:val="00EF26DD"/>
    <w:rsid w:val="00EF327E"/>
    <w:rsid w:val="00EF493B"/>
    <w:rsid w:val="00EF7760"/>
    <w:rsid w:val="00F007BD"/>
    <w:rsid w:val="00F03B8E"/>
    <w:rsid w:val="00F114FA"/>
    <w:rsid w:val="00F11FF1"/>
    <w:rsid w:val="00F123A6"/>
    <w:rsid w:val="00F12659"/>
    <w:rsid w:val="00F1277A"/>
    <w:rsid w:val="00F14F68"/>
    <w:rsid w:val="00F17761"/>
    <w:rsid w:val="00F207D4"/>
    <w:rsid w:val="00F24213"/>
    <w:rsid w:val="00F2457C"/>
    <w:rsid w:val="00F25DEE"/>
    <w:rsid w:val="00F2635C"/>
    <w:rsid w:val="00F2640B"/>
    <w:rsid w:val="00F27A8A"/>
    <w:rsid w:val="00F27F91"/>
    <w:rsid w:val="00F32312"/>
    <w:rsid w:val="00F33F29"/>
    <w:rsid w:val="00F3478F"/>
    <w:rsid w:val="00F3710A"/>
    <w:rsid w:val="00F41014"/>
    <w:rsid w:val="00F4209C"/>
    <w:rsid w:val="00F43540"/>
    <w:rsid w:val="00F45702"/>
    <w:rsid w:val="00F4688E"/>
    <w:rsid w:val="00F478C7"/>
    <w:rsid w:val="00F50105"/>
    <w:rsid w:val="00F52EE6"/>
    <w:rsid w:val="00F53F09"/>
    <w:rsid w:val="00F61E36"/>
    <w:rsid w:val="00F639AB"/>
    <w:rsid w:val="00F6433D"/>
    <w:rsid w:val="00F6652F"/>
    <w:rsid w:val="00F6738F"/>
    <w:rsid w:val="00F67876"/>
    <w:rsid w:val="00F67B8D"/>
    <w:rsid w:val="00F703A5"/>
    <w:rsid w:val="00F70C75"/>
    <w:rsid w:val="00F769F1"/>
    <w:rsid w:val="00F77A12"/>
    <w:rsid w:val="00F84C07"/>
    <w:rsid w:val="00F85909"/>
    <w:rsid w:val="00F865E8"/>
    <w:rsid w:val="00F87C24"/>
    <w:rsid w:val="00F91763"/>
    <w:rsid w:val="00F91895"/>
    <w:rsid w:val="00F91DDB"/>
    <w:rsid w:val="00F92A14"/>
    <w:rsid w:val="00FA0C3E"/>
    <w:rsid w:val="00FA3EFE"/>
    <w:rsid w:val="00FA50FD"/>
    <w:rsid w:val="00FB19DF"/>
    <w:rsid w:val="00FB2731"/>
    <w:rsid w:val="00FB470B"/>
    <w:rsid w:val="00FC18C8"/>
    <w:rsid w:val="00FC2492"/>
    <w:rsid w:val="00FC3180"/>
    <w:rsid w:val="00FC3BF4"/>
    <w:rsid w:val="00FC7C44"/>
    <w:rsid w:val="00FD14FF"/>
    <w:rsid w:val="00FD5496"/>
    <w:rsid w:val="00FD5618"/>
    <w:rsid w:val="00FD599A"/>
    <w:rsid w:val="00FD5A0F"/>
    <w:rsid w:val="00FD5ABC"/>
    <w:rsid w:val="00FD75C7"/>
    <w:rsid w:val="00FE1212"/>
    <w:rsid w:val="00FE2369"/>
    <w:rsid w:val="00FE27C2"/>
    <w:rsid w:val="00FE3ABC"/>
    <w:rsid w:val="00FE4B46"/>
    <w:rsid w:val="00FE4BE9"/>
    <w:rsid w:val="00FE5E6C"/>
    <w:rsid w:val="00FE7F74"/>
    <w:rsid w:val="00FF1A50"/>
    <w:rsid w:val="00FF3F2E"/>
    <w:rsid w:val="00FF4685"/>
    <w:rsid w:val="00FF4DC6"/>
    <w:rsid w:val="00FF5DBE"/>
    <w:rsid w:val="00FF61B0"/>
    <w:rsid w:val="00FF62BF"/>
    <w:rsid w:val="00FF6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F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7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F1"/>
  </w:style>
  <w:style w:type="paragraph" w:styleId="Footer">
    <w:name w:val="footer"/>
    <w:basedOn w:val="Normal"/>
    <w:link w:val="FooterChar"/>
    <w:uiPriority w:val="99"/>
    <w:unhideWhenUsed/>
    <w:rsid w:val="00F1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F1"/>
  </w:style>
  <w:style w:type="paragraph" w:styleId="Title">
    <w:name w:val="Title"/>
    <w:basedOn w:val="Normal"/>
    <w:next w:val="Normal"/>
    <w:link w:val="TitleChar"/>
    <w:uiPriority w:val="10"/>
    <w:qFormat/>
    <w:rsid w:val="003117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7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55B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E6BD9"/>
    <w:rPr>
      <w:sz w:val="16"/>
      <w:szCs w:val="16"/>
    </w:rPr>
  </w:style>
  <w:style w:type="paragraph" w:styleId="CommentText">
    <w:name w:val="annotation text"/>
    <w:basedOn w:val="Normal"/>
    <w:link w:val="CommentTextChar"/>
    <w:uiPriority w:val="99"/>
    <w:semiHidden/>
    <w:unhideWhenUsed/>
    <w:rsid w:val="00AE6BD9"/>
    <w:pPr>
      <w:suppressAutoHyphens/>
      <w:spacing w:before="120" w:after="60" w:line="240" w:lineRule="auto"/>
    </w:pPr>
    <w:rPr>
      <w:color w:val="44546A" w:themeColor="text2"/>
      <w:sz w:val="20"/>
      <w:szCs w:val="20"/>
      <w:lang w:val="en-GB"/>
    </w:rPr>
  </w:style>
  <w:style w:type="character" w:customStyle="1" w:styleId="CommentTextChar">
    <w:name w:val="Comment Text Char"/>
    <w:basedOn w:val="DefaultParagraphFont"/>
    <w:link w:val="CommentText"/>
    <w:uiPriority w:val="99"/>
    <w:semiHidden/>
    <w:rsid w:val="00AE6BD9"/>
    <w:rPr>
      <w:color w:val="44546A" w:themeColor="text2"/>
      <w:sz w:val="20"/>
      <w:szCs w:val="20"/>
      <w:lang w:val="en-GB"/>
    </w:rPr>
  </w:style>
  <w:style w:type="paragraph" w:styleId="BodyText">
    <w:name w:val="Body Text"/>
    <w:basedOn w:val="Normal"/>
    <w:link w:val="BodyTextChar"/>
    <w:uiPriority w:val="99"/>
    <w:unhideWhenUsed/>
    <w:qFormat/>
    <w:rsid w:val="00542714"/>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542714"/>
    <w:rPr>
      <w:color w:val="44546A" w:themeColor="text2"/>
      <w:lang w:val="en-GB"/>
    </w:rPr>
  </w:style>
  <w:style w:type="table" w:styleId="TableGrid">
    <w:name w:val="Table Grid"/>
    <w:basedOn w:val="TableNormal"/>
    <w:uiPriority w:val="39"/>
    <w:rsid w:val="00542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E66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列"/>
    <w:basedOn w:val="Normal"/>
    <w:link w:val="ListParagraphChar"/>
    <w:uiPriority w:val="34"/>
    <w:qFormat/>
    <w:rsid w:val="004F0094"/>
    <w:pPr>
      <w:ind w:left="720"/>
      <w:contextualSpacing/>
    </w:p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列 Char"/>
    <w:basedOn w:val="DefaultParagraphFont"/>
    <w:link w:val="ListParagraph"/>
    <w:uiPriority w:val="34"/>
    <w:qFormat/>
    <w:locked/>
    <w:rsid w:val="00F703A5"/>
  </w:style>
  <w:style w:type="paragraph" w:styleId="CommentSubject">
    <w:name w:val="annotation subject"/>
    <w:basedOn w:val="CommentText"/>
    <w:next w:val="CommentText"/>
    <w:link w:val="CommentSubjectChar"/>
    <w:uiPriority w:val="99"/>
    <w:semiHidden/>
    <w:unhideWhenUsed/>
    <w:rsid w:val="00A83DB5"/>
    <w:pPr>
      <w:suppressAutoHyphens w:val="0"/>
      <w:spacing w:before="0" w:after="160"/>
    </w:pPr>
    <w:rPr>
      <w:b/>
      <w:bCs/>
      <w:color w:val="auto"/>
      <w:lang w:val="en-AU"/>
    </w:rPr>
  </w:style>
  <w:style w:type="character" w:customStyle="1" w:styleId="CommentSubjectChar">
    <w:name w:val="Comment Subject Char"/>
    <w:basedOn w:val="CommentTextChar"/>
    <w:link w:val="CommentSubject"/>
    <w:uiPriority w:val="99"/>
    <w:semiHidden/>
    <w:rsid w:val="00A83DB5"/>
    <w:rPr>
      <w:b/>
      <w:bCs/>
      <w:color w:val="44546A" w:themeColor="text2"/>
      <w:sz w:val="20"/>
      <w:szCs w:val="20"/>
      <w:lang w:val="en-GB"/>
    </w:rPr>
  </w:style>
  <w:style w:type="character" w:customStyle="1" w:styleId="Heading2Char">
    <w:name w:val="Heading 2 Char"/>
    <w:basedOn w:val="DefaultParagraphFont"/>
    <w:link w:val="Heading2"/>
    <w:uiPriority w:val="9"/>
    <w:rsid w:val="007027D1"/>
    <w:rPr>
      <w:rFonts w:asciiTheme="majorHAnsi" w:eastAsiaTheme="majorEastAsia" w:hAnsiTheme="majorHAnsi" w:cstheme="majorBidi"/>
      <w:color w:val="2F5496" w:themeColor="accent1" w:themeShade="BF"/>
      <w:sz w:val="26"/>
      <w:szCs w:val="26"/>
    </w:rPr>
  </w:style>
  <w:style w:type="paragraph" w:styleId="FootnoteText">
    <w:name w:val="footnote text"/>
    <w:aliases w:val="IOD PARC Footnote Text,poznppMV,Testo nota a pi_ di pagina Carattere Carattere Carattere Carattere,Texto nota pie Car,FOOTNOTES,fn,single space,ALTS FOOTNOTE,footnote text,Footnote Text Char2 Char,Footnote Text Char1 Char Char"/>
    <w:basedOn w:val="Normal"/>
    <w:link w:val="FootnoteTextChar"/>
    <w:uiPriority w:val="99"/>
    <w:unhideWhenUsed/>
    <w:qFormat/>
    <w:rsid w:val="00F45702"/>
    <w:pPr>
      <w:spacing w:after="0" w:line="240" w:lineRule="auto"/>
    </w:pPr>
    <w:rPr>
      <w:sz w:val="20"/>
      <w:szCs w:val="20"/>
    </w:rPr>
  </w:style>
  <w:style w:type="character" w:customStyle="1" w:styleId="FootnoteTextChar">
    <w:name w:val="Footnote Text Char"/>
    <w:aliases w:val="IOD PARC Footnote Text Char,poznppMV Char,Testo nota a pi_ di pagina Carattere Carattere Carattere Carattere Char,Texto nota pie Car Char,FOOTNOTES Char,fn Char,single space Char,ALTS FOOTNOTE Char,footnote text Char"/>
    <w:basedOn w:val="DefaultParagraphFont"/>
    <w:link w:val="FootnoteText"/>
    <w:uiPriority w:val="99"/>
    <w:rsid w:val="00F45702"/>
    <w:rPr>
      <w:sz w:val="20"/>
      <w:szCs w:val="20"/>
    </w:rPr>
  </w:style>
  <w:style w:type="character" w:styleId="FootnoteReference">
    <w:name w:val="footnote reference"/>
    <w:basedOn w:val="DefaultParagraphFont"/>
    <w:uiPriority w:val="99"/>
    <w:semiHidden/>
    <w:unhideWhenUsed/>
    <w:rsid w:val="00F45702"/>
    <w:rPr>
      <w:vertAlign w:val="superscript"/>
    </w:rPr>
  </w:style>
  <w:style w:type="paragraph" w:styleId="Revision">
    <w:name w:val="Revision"/>
    <w:hidden/>
    <w:uiPriority w:val="99"/>
    <w:semiHidden/>
    <w:rsid w:val="009E115C"/>
    <w:pPr>
      <w:spacing w:after="0" w:line="240" w:lineRule="auto"/>
    </w:pPr>
  </w:style>
  <w:style w:type="table" w:styleId="GridTable5Dark-Accent1">
    <w:name w:val="Grid Table 5 Dark Accent 1"/>
    <w:basedOn w:val="TableNormal"/>
    <w:uiPriority w:val="50"/>
    <w:rsid w:val="00B13C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Light">
    <w:name w:val="Grid Table Light"/>
    <w:basedOn w:val="TableNormal"/>
    <w:uiPriority w:val="40"/>
    <w:rsid w:val="00D51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51E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E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0386">
      <w:bodyDiv w:val="1"/>
      <w:marLeft w:val="0"/>
      <w:marRight w:val="0"/>
      <w:marTop w:val="0"/>
      <w:marBottom w:val="0"/>
      <w:divBdr>
        <w:top w:val="none" w:sz="0" w:space="0" w:color="auto"/>
        <w:left w:val="none" w:sz="0" w:space="0" w:color="auto"/>
        <w:bottom w:val="none" w:sz="0" w:space="0" w:color="auto"/>
        <w:right w:val="none" w:sz="0" w:space="0" w:color="auto"/>
      </w:divBdr>
    </w:div>
    <w:div w:id="781918948">
      <w:bodyDiv w:val="1"/>
      <w:marLeft w:val="0"/>
      <w:marRight w:val="0"/>
      <w:marTop w:val="0"/>
      <w:marBottom w:val="0"/>
      <w:divBdr>
        <w:top w:val="none" w:sz="0" w:space="0" w:color="auto"/>
        <w:left w:val="none" w:sz="0" w:space="0" w:color="auto"/>
        <w:bottom w:val="none" w:sz="0" w:space="0" w:color="auto"/>
        <w:right w:val="none" w:sz="0" w:space="0" w:color="auto"/>
      </w:divBdr>
    </w:div>
    <w:div w:id="8116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8902-5777-49EE-8D76-271E0F0E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1443</Words>
  <Characters>9322</Characters>
  <Application>Microsoft Office Word</Application>
  <DocSecurity>0</DocSecurity>
  <Lines>438</Lines>
  <Paragraphs>108</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INOVASI Phase 2 and UNICEF Papua Phase 3 Programs Independent Strategic Review – Management Response</dc:title>
  <dc:subject/>
  <dc:creator/>
  <cp:keywords>[SEC=OFFICIAL]</cp:keywords>
  <dc:description/>
  <cp:lastModifiedBy/>
  <cp:revision>1</cp:revision>
  <dcterms:created xsi:type="dcterms:W3CDTF">2023-01-03T03:46:00Z</dcterms:created>
  <dcterms:modified xsi:type="dcterms:W3CDTF">2023-01-03T03:46:00Z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147BDA1C70C086A9F81A77E6FE179F82ED42EC5D</vt:lpwstr>
  </property>
  <property fmtid="{D5CDD505-2E9C-101B-9397-08002B2CF9AE}" pid="9" name="PM_Originating_FileId">
    <vt:lpwstr>9EAA31C5A3F9402D88DDBF4AD25084D5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2023-01-03T03:46:36Z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DB3AE0EAC32E046C87C58FBE588E345D</vt:lpwstr>
  </property>
  <property fmtid="{D5CDD505-2E9C-101B-9397-08002B2CF9AE}" pid="21" name="PM_Hash_Salt">
    <vt:lpwstr>221612F773601608C0A230F8C0F41787</vt:lpwstr>
  </property>
  <property fmtid="{D5CDD505-2E9C-101B-9397-08002B2CF9AE}" pid="22" name="PM_Hash_SHA1">
    <vt:lpwstr>5DDA28FB48EF63F26494A6642936C24FA4B59693</vt:lpwstr>
  </property>
  <property fmtid="{D5CDD505-2E9C-101B-9397-08002B2CF9AE}" pid="23" name="PM_OriginatorUserAccountName_SHA256">
    <vt:lpwstr>61DF37F305778EEFEC3DEF440A7A7FE067A7817CEFD90AC3C27908DBA8611FA7</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