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E93F" w14:textId="77777777" w:rsidR="006142F0" w:rsidRDefault="006142F0" w:rsidP="006142F0">
      <w:pPr>
        <w:pStyle w:val="Heading1"/>
        <w:jc w:val="center"/>
        <w:rPr>
          <w:sz w:val="44"/>
          <w:szCs w:val="44"/>
        </w:rPr>
      </w:pPr>
    </w:p>
    <w:p w14:paraId="5E9C98E0" w14:textId="77777777" w:rsidR="006142F0" w:rsidRDefault="006142F0" w:rsidP="006142F0">
      <w:pPr>
        <w:pStyle w:val="Heading1"/>
        <w:jc w:val="center"/>
        <w:rPr>
          <w:sz w:val="44"/>
          <w:szCs w:val="44"/>
        </w:rPr>
      </w:pPr>
    </w:p>
    <w:p w14:paraId="3012B7B5" w14:textId="77777777" w:rsidR="006142F0" w:rsidRDefault="006142F0" w:rsidP="006142F0">
      <w:pPr>
        <w:pStyle w:val="Heading1"/>
        <w:jc w:val="center"/>
        <w:rPr>
          <w:sz w:val="44"/>
          <w:szCs w:val="44"/>
        </w:rPr>
      </w:pPr>
    </w:p>
    <w:p w14:paraId="00631D48" w14:textId="77777777" w:rsidR="006142F0" w:rsidRDefault="006142F0" w:rsidP="006142F0">
      <w:pPr>
        <w:pStyle w:val="Heading1"/>
        <w:jc w:val="center"/>
        <w:rPr>
          <w:sz w:val="44"/>
          <w:szCs w:val="44"/>
        </w:rPr>
      </w:pPr>
    </w:p>
    <w:p w14:paraId="0E3F51F7" w14:textId="77777777" w:rsidR="006142F0" w:rsidRDefault="006142F0" w:rsidP="006142F0">
      <w:pPr>
        <w:pStyle w:val="Heading1"/>
        <w:jc w:val="center"/>
        <w:rPr>
          <w:sz w:val="44"/>
          <w:szCs w:val="44"/>
        </w:rPr>
      </w:pPr>
    </w:p>
    <w:p w14:paraId="3C75840B" w14:textId="77777777" w:rsidR="006142F0" w:rsidRDefault="006142F0" w:rsidP="006142F0">
      <w:pPr>
        <w:pStyle w:val="Heading1"/>
        <w:jc w:val="center"/>
        <w:rPr>
          <w:sz w:val="44"/>
          <w:szCs w:val="44"/>
        </w:rPr>
      </w:pPr>
    </w:p>
    <w:p w14:paraId="60824FAD" w14:textId="2E382F26" w:rsidR="006142F0" w:rsidRDefault="006142F0" w:rsidP="006142F0">
      <w:pPr>
        <w:pStyle w:val="Heading1"/>
        <w:jc w:val="center"/>
        <w:rPr>
          <w:sz w:val="44"/>
          <w:szCs w:val="44"/>
        </w:rPr>
      </w:pPr>
      <w:r>
        <w:rPr>
          <w:sz w:val="44"/>
          <w:szCs w:val="44"/>
        </w:rPr>
        <w:t>INDO-PACIFIC</w:t>
      </w:r>
      <w:r w:rsidRPr="008F6BBF">
        <w:rPr>
          <w:sz w:val="44"/>
          <w:szCs w:val="44"/>
        </w:rPr>
        <w:t xml:space="preserve"> BROADCASTING </w:t>
      </w:r>
      <w:r>
        <w:rPr>
          <w:sz w:val="44"/>
          <w:szCs w:val="44"/>
        </w:rPr>
        <w:t>STRATEGY</w:t>
      </w:r>
    </w:p>
    <w:p w14:paraId="0237884D" w14:textId="77777777" w:rsidR="006142F0" w:rsidRDefault="006142F0" w:rsidP="006142F0"/>
    <w:p w14:paraId="2774AD65" w14:textId="77777777" w:rsidR="006142F0" w:rsidRDefault="006142F0" w:rsidP="006142F0">
      <w:pPr>
        <w:jc w:val="center"/>
      </w:pPr>
      <w:r>
        <w:t>COMPELLING CONTENT</w:t>
      </w:r>
      <w:r>
        <w:tab/>
        <w:t>| TRUSTED NEWS | CONNECTIONS AND SUPPORT</w:t>
      </w:r>
    </w:p>
    <w:p w14:paraId="793DF347" w14:textId="03577F87" w:rsidR="006142F0" w:rsidRDefault="006142F0">
      <w:r>
        <w:br w:type="page"/>
      </w:r>
    </w:p>
    <w:p w14:paraId="3506AD90" w14:textId="77777777" w:rsidR="006142F0" w:rsidRDefault="006142F0" w:rsidP="006142F0">
      <w:pPr>
        <w:pStyle w:val="Heading2"/>
      </w:pPr>
      <w:r>
        <w:rPr>
          <w:w w:val="95"/>
        </w:rPr>
        <w:lastRenderedPageBreak/>
        <w:t>Purpose</w:t>
      </w:r>
    </w:p>
    <w:p w14:paraId="5C3D3AC9" w14:textId="7E373F8B" w:rsidR="006142F0" w:rsidRPr="006142F0" w:rsidRDefault="006142F0" w:rsidP="006142F0">
      <w:pPr>
        <w:pStyle w:val="BodyText"/>
        <w:spacing w:before="152" w:line="196" w:lineRule="auto"/>
        <w:ind w:right="520"/>
      </w:pPr>
      <w:r w:rsidRPr="006142F0">
        <w:t>Australia’s Indo-Pacific Broadcasting Strategy (the Strategy) provides a framework for expanding Australian broadcasting</w:t>
      </w:r>
      <w:r w:rsidRPr="006142F0">
        <w:rPr>
          <w:spacing w:val="-7"/>
        </w:rPr>
        <w:t xml:space="preserve"> </w:t>
      </w:r>
      <w:r w:rsidRPr="006142F0">
        <w:t>and</w:t>
      </w:r>
      <w:r w:rsidRPr="006142F0">
        <w:rPr>
          <w:spacing w:val="-7"/>
        </w:rPr>
        <w:t xml:space="preserve"> </w:t>
      </w:r>
      <w:r w:rsidRPr="006142F0">
        <w:t>media</w:t>
      </w:r>
      <w:r w:rsidRPr="006142F0">
        <w:rPr>
          <w:spacing w:val="-7"/>
        </w:rPr>
        <w:t xml:space="preserve"> </w:t>
      </w:r>
      <w:r w:rsidRPr="006142F0">
        <w:t>sector</w:t>
      </w:r>
      <w:r w:rsidRPr="006142F0">
        <w:rPr>
          <w:spacing w:val="-7"/>
        </w:rPr>
        <w:t xml:space="preserve"> </w:t>
      </w:r>
      <w:r w:rsidRPr="006142F0">
        <w:t>engagement</w:t>
      </w:r>
      <w:r w:rsidRPr="006142F0">
        <w:rPr>
          <w:spacing w:val="-7"/>
        </w:rPr>
        <w:t xml:space="preserve"> </w:t>
      </w:r>
      <w:r w:rsidRPr="006142F0">
        <w:t>across</w:t>
      </w:r>
      <w:r w:rsidRPr="006142F0">
        <w:rPr>
          <w:spacing w:val="-7"/>
        </w:rPr>
        <w:t xml:space="preserve"> </w:t>
      </w:r>
      <w:r w:rsidRPr="006142F0">
        <w:t>the</w:t>
      </w:r>
      <w:r w:rsidRPr="006142F0">
        <w:rPr>
          <w:spacing w:val="-8"/>
        </w:rPr>
        <w:t xml:space="preserve"> </w:t>
      </w:r>
      <w:r w:rsidRPr="006142F0">
        <w:t>Indo-Pacific</w:t>
      </w:r>
      <w:r w:rsidRPr="006142F0">
        <w:rPr>
          <w:spacing w:val="-8"/>
        </w:rPr>
        <w:t xml:space="preserve"> </w:t>
      </w:r>
      <w:r w:rsidRPr="006142F0">
        <w:t>region.</w:t>
      </w:r>
      <w:r w:rsidRPr="006142F0">
        <w:rPr>
          <w:spacing w:val="-7"/>
        </w:rPr>
        <w:t xml:space="preserve"> </w:t>
      </w:r>
      <w:r w:rsidRPr="006142F0">
        <w:t>To</w:t>
      </w:r>
      <w:r w:rsidRPr="006142F0">
        <w:rPr>
          <w:spacing w:val="-8"/>
        </w:rPr>
        <w:t xml:space="preserve"> </w:t>
      </w:r>
      <w:r w:rsidRPr="006142F0">
        <w:t>reflect</w:t>
      </w:r>
      <w:r w:rsidRPr="006142F0">
        <w:rPr>
          <w:spacing w:val="-7"/>
        </w:rPr>
        <w:t xml:space="preserve"> </w:t>
      </w:r>
      <w:r w:rsidRPr="006142F0">
        <w:t>the</w:t>
      </w:r>
      <w:r w:rsidRPr="006142F0">
        <w:rPr>
          <w:spacing w:val="-8"/>
        </w:rPr>
        <w:t xml:space="preserve"> </w:t>
      </w:r>
      <w:r w:rsidRPr="006142F0">
        <w:t>varied</w:t>
      </w:r>
      <w:r w:rsidRPr="006142F0">
        <w:rPr>
          <w:spacing w:val="-7"/>
        </w:rPr>
        <w:t xml:space="preserve"> </w:t>
      </w:r>
      <w:r w:rsidRPr="006142F0">
        <w:t>media</w:t>
      </w:r>
      <w:r w:rsidRPr="006142F0">
        <w:rPr>
          <w:spacing w:val="-7"/>
        </w:rPr>
        <w:t xml:space="preserve"> </w:t>
      </w:r>
      <w:r w:rsidRPr="006142F0">
        <w:t>sectors</w:t>
      </w:r>
      <w:r w:rsidRPr="006142F0">
        <w:rPr>
          <w:spacing w:val="-7"/>
        </w:rPr>
        <w:t xml:space="preserve"> </w:t>
      </w:r>
      <w:r w:rsidRPr="006142F0">
        <w:t>and Australia’s diverse relationships across the region, the Strategy is accompanied by</w:t>
      </w:r>
      <w:r w:rsidR="1659D1AF" w:rsidRPr="006142F0">
        <w:t xml:space="preserve"> the</w:t>
      </w:r>
      <w:r w:rsidRPr="006142F0">
        <w:t>:</w:t>
      </w:r>
    </w:p>
    <w:p w14:paraId="34052A2E" w14:textId="77777777" w:rsidR="006142F0" w:rsidRPr="006142F0" w:rsidRDefault="006142F0" w:rsidP="006142F0">
      <w:pPr>
        <w:pStyle w:val="BodyText"/>
        <w:spacing w:before="5"/>
        <w:rPr>
          <w:sz w:val="21"/>
        </w:rPr>
      </w:pPr>
    </w:p>
    <w:p w14:paraId="452FF589" w14:textId="77777777" w:rsidR="006142F0" w:rsidRPr="00415BED" w:rsidRDefault="006142F0" w:rsidP="00415BED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415BED">
        <w:rPr>
          <w:rFonts w:ascii="Calibri Light" w:eastAsia="Calibri Light" w:hAnsi="Calibri Light" w:cs="Calibri Light"/>
        </w:rPr>
        <w:t>Australia-Pacific Media and Broadcasting Partnership</w:t>
      </w:r>
    </w:p>
    <w:p w14:paraId="5BEB65E7" w14:textId="77777777" w:rsidR="006142F0" w:rsidRPr="00415BED" w:rsidRDefault="006142F0" w:rsidP="00415BED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415BED">
        <w:rPr>
          <w:rFonts w:ascii="Calibri Light" w:eastAsia="Calibri Light" w:hAnsi="Calibri Light" w:cs="Calibri Light"/>
        </w:rPr>
        <w:t>Australia-Southeast Asia Media and Broadcasting Initiative</w:t>
      </w:r>
    </w:p>
    <w:p w14:paraId="70B146A7" w14:textId="77777777" w:rsidR="006142F0" w:rsidRPr="00415BED" w:rsidRDefault="006142F0" w:rsidP="00415BED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415BED">
        <w:rPr>
          <w:rFonts w:ascii="Calibri Light" w:eastAsia="Calibri Light" w:hAnsi="Calibri Light" w:cs="Calibri Light"/>
        </w:rPr>
        <w:t>Australia-South Asia Media and Broadcasting Initiative</w:t>
      </w:r>
    </w:p>
    <w:p w14:paraId="5BF0588C" w14:textId="77777777" w:rsidR="006142F0" w:rsidRPr="006142F0" w:rsidRDefault="006142F0" w:rsidP="006142F0">
      <w:pPr>
        <w:pStyle w:val="BodyText"/>
        <w:spacing w:before="1"/>
        <w:rPr>
          <w:sz w:val="17"/>
        </w:rPr>
      </w:pPr>
    </w:p>
    <w:p w14:paraId="16EE0554" w14:textId="77777777" w:rsidR="006142F0" w:rsidRDefault="006142F0" w:rsidP="006142F0">
      <w:pPr>
        <w:pStyle w:val="BodyText"/>
        <w:spacing w:before="1" w:line="196" w:lineRule="auto"/>
        <w:ind w:right="520"/>
      </w:pPr>
    </w:p>
    <w:p w14:paraId="2E81D1A5" w14:textId="466B216C" w:rsidR="006142F0" w:rsidRPr="006142F0" w:rsidRDefault="006142F0" w:rsidP="006142F0">
      <w:pPr>
        <w:pStyle w:val="BodyText"/>
        <w:spacing w:before="1" w:line="196" w:lineRule="auto"/>
        <w:ind w:right="520"/>
      </w:pPr>
      <w:r w:rsidRPr="006142F0">
        <w:t>The</w:t>
      </w:r>
      <w:r w:rsidRPr="006142F0">
        <w:rPr>
          <w:spacing w:val="-7"/>
        </w:rPr>
        <w:t xml:space="preserve"> </w:t>
      </w:r>
      <w:r w:rsidRPr="006142F0">
        <w:t>Strategy</w:t>
      </w:r>
      <w:r w:rsidRPr="006142F0">
        <w:rPr>
          <w:spacing w:val="-6"/>
        </w:rPr>
        <w:t xml:space="preserve"> </w:t>
      </w:r>
      <w:r w:rsidRPr="006142F0">
        <w:t>aims</w:t>
      </w:r>
      <w:r w:rsidRPr="006142F0">
        <w:rPr>
          <w:spacing w:val="-6"/>
        </w:rPr>
        <w:t xml:space="preserve"> </w:t>
      </w:r>
      <w:r w:rsidRPr="006142F0">
        <w:t>to</w:t>
      </w:r>
      <w:r w:rsidRPr="006142F0">
        <w:rPr>
          <w:spacing w:val="-7"/>
        </w:rPr>
        <w:t xml:space="preserve"> </w:t>
      </w:r>
      <w:r w:rsidRPr="006142F0">
        <w:t>boost</w:t>
      </w:r>
      <w:r w:rsidRPr="006142F0">
        <w:rPr>
          <w:spacing w:val="-6"/>
        </w:rPr>
        <w:t xml:space="preserve"> </w:t>
      </w:r>
      <w:r w:rsidRPr="006142F0">
        <w:t>the</w:t>
      </w:r>
      <w:r w:rsidRPr="006142F0">
        <w:rPr>
          <w:spacing w:val="-7"/>
        </w:rPr>
        <w:t xml:space="preserve"> </w:t>
      </w:r>
      <w:r w:rsidRPr="006142F0">
        <w:t>availability</w:t>
      </w:r>
      <w:r w:rsidRPr="006142F0">
        <w:rPr>
          <w:spacing w:val="-6"/>
        </w:rPr>
        <w:t xml:space="preserve"> </w:t>
      </w:r>
      <w:r w:rsidRPr="006142F0">
        <w:t>of</w:t>
      </w:r>
      <w:r w:rsidRPr="006142F0">
        <w:rPr>
          <w:spacing w:val="-6"/>
        </w:rPr>
        <w:t xml:space="preserve"> </w:t>
      </w:r>
      <w:r w:rsidRPr="006142F0">
        <w:t>Australian</w:t>
      </w:r>
      <w:r w:rsidRPr="006142F0">
        <w:rPr>
          <w:spacing w:val="-6"/>
        </w:rPr>
        <w:t xml:space="preserve"> </w:t>
      </w:r>
      <w:r w:rsidRPr="006142F0">
        <w:t>content,</w:t>
      </w:r>
      <w:r w:rsidRPr="006142F0">
        <w:rPr>
          <w:spacing w:val="-6"/>
        </w:rPr>
        <w:t xml:space="preserve"> </w:t>
      </w:r>
      <w:r w:rsidRPr="006142F0">
        <w:t>deepen</w:t>
      </w:r>
      <w:r w:rsidRPr="006142F0">
        <w:rPr>
          <w:spacing w:val="-6"/>
        </w:rPr>
        <w:t xml:space="preserve"> </w:t>
      </w:r>
      <w:r w:rsidRPr="006142F0">
        <w:t>media</w:t>
      </w:r>
      <w:r w:rsidRPr="006142F0">
        <w:rPr>
          <w:spacing w:val="-6"/>
        </w:rPr>
        <w:t xml:space="preserve"> </w:t>
      </w:r>
      <w:proofErr w:type="gramStart"/>
      <w:r w:rsidRPr="006142F0">
        <w:t>connections</w:t>
      </w:r>
      <w:proofErr w:type="gramEnd"/>
      <w:r w:rsidRPr="006142F0">
        <w:rPr>
          <w:spacing w:val="-6"/>
        </w:rPr>
        <w:t xml:space="preserve"> </w:t>
      </w:r>
      <w:r w:rsidRPr="006142F0">
        <w:t>and</w:t>
      </w:r>
      <w:r w:rsidRPr="006142F0">
        <w:rPr>
          <w:spacing w:val="-6"/>
        </w:rPr>
        <w:t xml:space="preserve"> </w:t>
      </w:r>
      <w:r w:rsidRPr="006142F0">
        <w:t>strengthen</w:t>
      </w:r>
      <w:r w:rsidRPr="006142F0">
        <w:rPr>
          <w:spacing w:val="-6"/>
        </w:rPr>
        <w:t xml:space="preserve"> </w:t>
      </w:r>
      <w:r w:rsidRPr="006142F0">
        <w:t>the resilience of media outlets in the region. It will support mutual understanding of Australia and our region.</w:t>
      </w:r>
    </w:p>
    <w:p w14:paraId="4554782A" w14:textId="77777777" w:rsidR="006142F0" w:rsidRPr="006142F0" w:rsidRDefault="006142F0" w:rsidP="006142F0">
      <w:pPr>
        <w:pStyle w:val="BodyText"/>
        <w:spacing w:before="12"/>
        <w:rPr>
          <w:sz w:val="17"/>
        </w:rPr>
      </w:pPr>
    </w:p>
    <w:p w14:paraId="5492B933" w14:textId="08BFFAB7" w:rsidR="006142F0" w:rsidRPr="006142F0" w:rsidRDefault="006142F0" w:rsidP="006142F0">
      <w:pPr>
        <w:pStyle w:val="BodyText"/>
        <w:spacing w:line="196" w:lineRule="auto"/>
        <w:ind w:right="520"/>
      </w:pPr>
      <w:r w:rsidRPr="006142F0">
        <w:t>Activities the Australian Government supports under this Strategy will foster a vibrant and independent media sector,</w:t>
      </w:r>
      <w:r w:rsidRPr="006142F0">
        <w:rPr>
          <w:spacing w:val="-8"/>
        </w:rPr>
        <w:t xml:space="preserve"> </w:t>
      </w:r>
      <w:r w:rsidRPr="006142F0">
        <w:t>present</w:t>
      </w:r>
      <w:r w:rsidRPr="006142F0">
        <w:rPr>
          <w:spacing w:val="-8"/>
        </w:rPr>
        <w:t xml:space="preserve"> </w:t>
      </w:r>
      <w:r w:rsidRPr="006142F0">
        <w:t>an</w:t>
      </w:r>
      <w:r w:rsidRPr="006142F0">
        <w:rPr>
          <w:spacing w:val="-8"/>
        </w:rPr>
        <w:t xml:space="preserve"> </w:t>
      </w:r>
      <w:r w:rsidRPr="006142F0">
        <w:t>accurate</w:t>
      </w:r>
      <w:r w:rsidRPr="006142F0">
        <w:rPr>
          <w:spacing w:val="-9"/>
        </w:rPr>
        <w:t xml:space="preserve"> </w:t>
      </w:r>
      <w:r w:rsidRPr="006142F0">
        <w:t>understanding</w:t>
      </w:r>
      <w:r w:rsidRPr="006142F0">
        <w:rPr>
          <w:spacing w:val="-8"/>
        </w:rPr>
        <w:t xml:space="preserve"> </w:t>
      </w:r>
      <w:r w:rsidRPr="006142F0">
        <w:t>of</w:t>
      </w:r>
      <w:r w:rsidRPr="006142F0">
        <w:rPr>
          <w:spacing w:val="-8"/>
        </w:rPr>
        <w:t xml:space="preserve"> </w:t>
      </w:r>
      <w:r w:rsidRPr="006142F0">
        <w:t>modern,</w:t>
      </w:r>
      <w:r w:rsidRPr="006142F0">
        <w:rPr>
          <w:spacing w:val="-8"/>
        </w:rPr>
        <w:t xml:space="preserve"> </w:t>
      </w:r>
      <w:r w:rsidRPr="006142F0">
        <w:t>multicultural</w:t>
      </w:r>
      <w:r w:rsidRPr="006142F0">
        <w:rPr>
          <w:spacing w:val="-8"/>
        </w:rPr>
        <w:t xml:space="preserve"> </w:t>
      </w:r>
      <w:r w:rsidRPr="006142F0">
        <w:t>Australia,</w:t>
      </w:r>
      <w:r w:rsidRPr="006142F0">
        <w:rPr>
          <w:spacing w:val="-8"/>
        </w:rPr>
        <w:t xml:space="preserve"> </w:t>
      </w:r>
      <w:r w:rsidRPr="006142F0">
        <w:t>and</w:t>
      </w:r>
      <w:r w:rsidRPr="006142F0">
        <w:rPr>
          <w:spacing w:val="-8"/>
        </w:rPr>
        <w:t xml:space="preserve"> </w:t>
      </w:r>
      <w:r w:rsidRPr="006142F0">
        <w:t>support</w:t>
      </w:r>
      <w:r w:rsidRPr="006142F0">
        <w:rPr>
          <w:spacing w:val="-8"/>
        </w:rPr>
        <w:t xml:space="preserve"> </w:t>
      </w:r>
      <w:r w:rsidRPr="006142F0">
        <w:t>deeper</w:t>
      </w:r>
      <w:r w:rsidRPr="006142F0">
        <w:rPr>
          <w:spacing w:val="-8"/>
        </w:rPr>
        <w:t xml:space="preserve"> </w:t>
      </w:r>
      <w:r w:rsidRPr="006142F0">
        <w:t xml:space="preserve">people-to-people </w:t>
      </w:r>
      <w:r w:rsidRPr="006142F0">
        <w:rPr>
          <w:spacing w:val="-2"/>
        </w:rPr>
        <w:t>engagement.</w:t>
      </w:r>
    </w:p>
    <w:p w14:paraId="4EC4163D" w14:textId="4497C3E2" w:rsidR="006142F0" w:rsidRPr="006142F0" w:rsidRDefault="006142F0"/>
    <w:p w14:paraId="0BC9E366" w14:textId="218B529A" w:rsidR="006142F0" w:rsidRDefault="006142F0" w:rsidP="006142F0">
      <w:pPr>
        <w:pStyle w:val="Heading2"/>
      </w:pPr>
      <w:r w:rsidRPr="006142F0">
        <w:rPr>
          <w:w w:val="95"/>
        </w:rPr>
        <w:t>The Strategy builds on Australia’s proud history of media engagement across the Indo-Pacific, with an aim to:</w:t>
      </w:r>
    </w:p>
    <w:p w14:paraId="78ECA9B2" w14:textId="77777777" w:rsidR="006142F0" w:rsidRPr="006142F0" w:rsidRDefault="006142F0" w:rsidP="006142F0"/>
    <w:p w14:paraId="5B2576D3" w14:textId="6F5BF0AD" w:rsidR="006142F0" w:rsidRPr="00415BED" w:rsidRDefault="006142F0" w:rsidP="00415BED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415BED">
        <w:rPr>
          <w:rFonts w:ascii="Calibri Light" w:eastAsia="Calibri Light" w:hAnsi="Calibri Light" w:cs="Calibri Light"/>
        </w:rPr>
        <w:t>Share Australian stories with the region, highlighting Australia’s relationships and people</w:t>
      </w:r>
      <w:r w:rsidR="40F0CEB0" w:rsidRPr="00415BED">
        <w:rPr>
          <w:rFonts w:ascii="Calibri Light" w:eastAsia="Calibri Light" w:hAnsi="Calibri Light" w:cs="Calibri Light"/>
        </w:rPr>
        <w:t>–</w:t>
      </w:r>
      <w:r w:rsidRPr="00415BED">
        <w:rPr>
          <w:rFonts w:ascii="Calibri Light" w:eastAsia="Calibri Light" w:hAnsi="Calibri Light" w:cs="Calibri Light"/>
        </w:rPr>
        <w:t>to</w:t>
      </w:r>
      <w:r w:rsidR="40F0CEB0" w:rsidRPr="00415BED">
        <w:rPr>
          <w:rFonts w:ascii="Calibri Light" w:eastAsia="Calibri Light" w:hAnsi="Calibri Light" w:cs="Calibri Light"/>
        </w:rPr>
        <w:t>-</w:t>
      </w:r>
      <w:r w:rsidRPr="00415BED">
        <w:rPr>
          <w:rFonts w:ascii="Calibri Light" w:eastAsia="Calibri Light" w:hAnsi="Calibri Light" w:cs="Calibri Light"/>
        </w:rPr>
        <w:t xml:space="preserve">people connections in the region, as well as providing trusted, reliable news and </w:t>
      </w:r>
      <w:proofErr w:type="gramStart"/>
      <w:r w:rsidRPr="00415BED">
        <w:rPr>
          <w:rFonts w:ascii="Calibri Light" w:eastAsia="Calibri Light" w:hAnsi="Calibri Light" w:cs="Calibri Light"/>
        </w:rPr>
        <w:t>information</w:t>
      </w:r>
      <w:proofErr w:type="gramEnd"/>
    </w:p>
    <w:p w14:paraId="474C7463" w14:textId="1FE6CD20" w:rsidR="006142F0" w:rsidRPr="00415BED" w:rsidRDefault="006142F0" w:rsidP="00415BED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515A0A0A">
        <w:rPr>
          <w:rFonts w:ascii="Calibri Light" w:eastAsia="Calibri Light" w:hAnsi="Calibri Light" w:cs="Calibri Light"/>
        </w:rPr>
        <w:t>Demonstrate Australia’s connections to the region</w:t>
      </w:r>
      <w:r w:rsidR="3B85FC52" w:rsidRPr="515A0A0A">
        <w:rPr>
          <w:rFonts w:ascii="Calibri Light" w:eastAsia="Calibri Light" w:hAnsi="Calibri Light" w:cs="Calibri Light"/>
        </w:rPr>
        <w:t>,</w:t>
      </w:r>
      <w:r w:rsidRPr="515A0A0A">
        <w:rPr>
          <w:rFonts w:ascii="Calibri Light" w:eastAsia="Calibri Light" w:hAnsi="Calibri Light" w:cs="Calibri Light"/>
        </w:rPr>
        <w:t xml:space="preserve"> and the contribution made by diaspora communities, </w:t>
      </w:r>
      <w:r w:rsidR="58D19B1E" w:rsidRPr="515A0A0A">
        <w:rPr>
          <w:rFonts w:ascii="Calibri Light" w:eastAsia="Calibri Light" w:hAnsi="Calibri Light" w:cs="Calibri Light"/>
        </w:rPr>
        <w:t xml:space="preserve">to </w:t>
      </w:r>
      <w:r w:rsidRPr="515A0A0A">
        <w:rPr>
          <w:rFonts w:ascii="Calibri Light" w:eastAsia="Calibri Light" w:hAnsi="Calibri Light" w:cs="Calibri Light"/>
        </w:rPr>
        <w:t xml:space="preserve">audiences in the region and in </w:t>
      </w:r>
      <w:proofErr w:type="gramStart"/>
      <w:r w:rsidRPr="515A0A0A">
        <w:rPr>
          <w:rFonts w:ascii="Calibri Light" w:eastAsia="Calibri Light" w:hAnsi="Calibri Light" w:cs="Calibri Light"/>
        </w:rPr>
        <w:t>Australia</w:t>
      </w:r>
      <w:proofErr w:type="gramEnd"/>
    </w:p>
    <w:p w14:paraId="5B19DDD8" w14:textId="77777777" w:rsidR="006142F0" w:rsidRPr="00415BED" w:rsidRDefault="006142F0" w:rsidP="00415BED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415BED">
        <w:rPr>
          <w:rFonts w:ascii="Calibri Light" w:eastAsia="Calibri Light" w:hAnsi="Calibri Light" w:cs="Calibri Light"/>
        </w:rPr>
        <w:t xml:space="preserve">Amplify First Nations Australians’ knowledge, voices, experiences and perspectives, to strengthen connections between Australia and the </w:t>
      </w:r>
      <w:proofErr w:type="gramStart"/>
      <w:r w:rsidRPr="00415BED">
        <w:rPr>
          <w:rFonts w:ascii="Calibri Light" w:eastAsia="Calibri Light" w:hAnsi="Calibri Light" w:cs="Calibri Light"/>
        </w:rPr>
        <w:t>region</w:t>
      </w:r>
      <w:proofErr w:type="gramEnd"/>
    </w:p>
    <w:p w14:paraId="0A60862F" w14:textId="25543FB9" w:rsidR="006142F0" w:rsidRPr="00415BED" w:rsidRDefault="006142F0" w:rsidP="00415BED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415BED">
        <w:rPr>
          <w:rFonts w:ascii="Calibri Light" w:eastAsia="Calibri Light" w:hAnsi="Calibri Light" w:cs="Calibri Light"/>
        </w:rPr>
        <w:t xml:space="preserve">Underscore Australia’s commitment to working with partner countries to enhance security, stability and prosperity in the region, our development and broader partnership credentials and membership of the </w:t>
      </w:r>
      <w:proofErr w:type="gramStart"/>
      <w:r w:rsidRPr="00415BED">
        <w:rPr>
          <w:rFonts w:ascii="Calibri Light" w:eastAsia="Calibri Light" w:hAnsi="Calibri Light" w:cs="Calibri Light"/>
        </w:rPr>
        <w:t>region</w:t>
      </w:r>
      <w:proofErr w:type="gramEnd"/>
    </w:p>
    <w:p w14:paraId="37334F04" w14:textId="2928AD03" w:rsidR="006142F0" w:rsidRDefault="006142F0" w:rsidP="521E447F">
      <w:pPr>
        <w:pStyle w:val="BodyText"/>
        <w:spacing w:before="93" w:line="196" w:lineRule="auto"/>
        <w:ind w:right="700"/>
        <w:jc w:val="both"/>
        <w:rPr>
          <w:color w:val="34657F"/>
        </w:rPr>
      </w:pPr>
    </w:p>
    <w:p w14:paraId="1ED84B01" w14:textId="42B86624" w:rsidR="006142F0" w:rsidRDefault="006142F0" w:rsidP="00355313">
      <w:pPr>
        <w:pStyle w:val="BodyText"/>
        <w:spacing w:line="196" w:lineRule="auto"/>
        <w:ind w:right="520"/>
      </w:pPr>
      <w:r w:rsidRPr="006142F0">
        <w:t>The</w:t>
      </w:r>
      <w:r>
        <w:t xml:space="preserve"> </w:t>
      </w:r>
      <w:r w:rsidRPr="006142F0">
        <w:t xml:space="preserve">Indo-Pacific region is diverse and fast changing, including its media markets. A transformative digital transition is impacting media globally and locally. In this context, the Government will </w:t>
      </w:r>
      <w:proofErr w:type="spellStart"/>
      <w:r w:rsidRPr="006142F0">
        <w:t>prioritise</w:t>
      </w:r>
      <w:proofErr w:type="spellEnd"/>
      <w:r w:rsidRPr="006142F0">
        <w:t xml:space="preserve"> investments that respond to this dynamic environment, are evidence-based, informed by audience preferences, and tailored to regional media markets.</w:t>
      </w:r>
    </w:p>
    <w:p w14:paraId="6AC219BC" w14:textId="77777777" w:rsidR="006142F0" w:rsidRPr="006142F0" w:rsidRDefault="006142F0" w:rsidP="006142F0">
      <w:pPr>
        <w:pStyle w:val="BodyText"/>
      </w:pPr>
    </w:p>
    <w:p w14:paraId="3362403A" w14:textId="77777777" w:rsidR="006142F0" w:rsidRDefault="006142F0" w:rsidP="006142F0">
      <w:pPr>
        <w:pStyle w:val="BodyText"/>
        <w:spacing w:line="196" w:lineRule="auto"/>
        <w:ind w:right="520"/>
      </w:pPr>
      <w:r w:rsidRPr="006142F0">
        <w:t xml:space="preserve">The Government is committed to working with partners across the region to listen, learn and collaborate to </w:t>
      </w:r>
      <w:proofErr w:type="spellStart"/>
      <w:r w:rsidRPr="006142F0">
        <w:t>maximise</w:t>
      </w:r>
      <w:proofErr w:type="spellEnd"/>
      <w:r w:rsidRPr="006142F0">
        <w:t xml:space="preserve"> our impact. We </w:t>
      </w:r>
      <w:proofErr w:type="spellStart"/>
      <w:r w:rsidRPr="006142F0">
        <w:t>recognise</w:t>
      </w:r>
      <w:proofErr w:type="spellEnd"/>
      <w:r w:rsidRPr="006142F0">
        <w:t xml:space="preserve"> that media markets vary significantly: from large, </w:t>
      </w:r>
      <w:proofErr w:type="gramStart"/>
      <w:r w:rsidRPr="006142F0">
        <w:t>diverse</w:t>
      </w:r>
      <w:proofErr w:type="gramEnd"/>
      <w:r w:rsidRPr="006142F0">
        <w:t xml:space="preserve"> and multi-platform media sectors in South and Southeast Asia, to the Pacific where traditional media remains central, alongside growing digital media consumption.</w:t>
      </w:r>
    </w:p>
    <w:p w14:paraId="1BA17B66" w14:textId="77777777" w:rsidR="006142F0" w:rsidRPr="006142F0" w:rsidRDefault="006142F0" w:rsidP="006142F0">
      <w:pPr>
        <w:pStyle w:val="BodyText"/>
        <w:spacing w:line="196" w:lineRule="auto"/>
        <w:ind w:right="815"/>
      </w:pPr>
    </w:p>
    <w:p w14:paraId="4428723C" w14:textId="01C31AE3" w:rsidR="006142F0" w:rsidRDefault="006142F0" w:rsidP="006142F0">
      <w:pPr>
        <w:pStyle w:val="BodyText"/>
        <w:spacing w:line="196" w:lineRule="auto"/>
        <w:ind w:right="815"/>
      </w:pPr>
      <w:r>
        <w:t xml:space="preserve">The Strategy is led by the Department of Foreign Affairs and Trade, and the Department of Infrastructure, Transport, Regional Development, </w:t>
      </w:r>
      <w:proofErr w:type="gramStart"/>
      <w:r>
        <w:t>Communications</w:t>
      </w:r>
      <w:proofErr w:type="gramEnd"/>
      <w:r>
        <w:t xml:space="preserve"> and the Arts. </w:t>
      </w:r>
      <w:r w:rsidR="000E65F7">
        <w:t xml:space="preserve">As Australia’s international broadcaster, </w:t>
      </w:r>
      <w:r w:rsidR="00B00649">
        <w:t>t</w:t>
      </w:r>
      <w:r>
        <w:t xml:space="preserve">he Australian Broadcasting Corporation (ABC) is a key implementing partner. The </w:t>
      </w:r>
      <w:r w:rsidR="03AA9F3C">
        <w:t>S</w:t>
      </w:r>
      <w:r>
        <w:t xml:space="preserve">trategy will be reviewed </w:t>
      </w:r>
      <w:r w:rsidR="00460105">
        <w:t>regularly</w:t>
      </w:r>
      <w:r w:rsidR="00643B7A">
        <w:t>.</w:t>
      </w:r>
    </w:p>
    <w:p w14:paraId="5630423E" w14:textId="77777777" w:rsidR="006142F0" w:rsidRDefault="006142F0"/>
    <w:p w14:paraId="0D4296BD" w14:textId="191E76C9" w:rsidR="006142F0" w:rsidRDefault="006142F0" w:rsidP="006142F0">
      <w:pPr>
        <w:pStyle w:val="Heading2"/>
      </w:pPr>
      <w:r>
        <w:lastRenderedPageBreak/>
        <w:t>The Strategy will</w:t>
      </w:r>
      <w:r w:rsidR="7F071611">
        <w:t>:</w:t>
      </w:r>
      <w:r>
        <w:t xml:space="preserve"> </w:t>
      </w:r>
    </w:p>
    <w:p w14:paraId="2D0FBBA5" w14:textId="77777777" w:rsidR="006142F0" w:rsidRPr="006142F0" w:rsidRDefault="006142F0" w:rsidP="006142F0">
      <w:pPr>
        <w:rPr>
          <w:sz w:val="24"/>
          <w:szCs w:val="24"/>
        </w:rPr>
      </w:pPr>
    </w:p>
    <w:p w14:paraId="0D11C4BA" w14:textId="46304FAF" w:rsidR="006142F0" w:rsidRPr="00AC07F9" w:rsidRDefault="006142F0" w:rsidP="00AC07F9">
      <w:pPr>
        <w:pStyle w:val="ListParagraph"/>
        <w:numPr>
          <w:ilvl w:val="0"/>
          <w:numId w:val="6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 xml:space="preserve">Support the creation and distribution of compelling Australian content that engages audiences and demonstrates Australia’s commitment to the Indo-Pacific </w:t>
      </w:r>
      <w:proofErr w:type="gramStart"/>
      <w:r w:rsidRPr="00AC07F9">
        <w:rPr>
          <w:rFonts w:ascii="Calibri Light" w:eastAsia="Calibri Light" w:hAnsi="Calibri Light" w:cs="Calibri Light"/>
        </w:rPr>
        <w:t>region</w:t>
      </w:r>
      <w:proofErr w:type="gramEnd"/>
    </w:p>
    <w:p w14:paraId="14482FBA" w14:textId="68D25FE0" w:rsidR="006142F0" w:rsidRPr="00AC07F9" w:rsidRDefault="006142F0" w:rsidP="00AC07F9">
      <w:pPr>
        <w:pStyle w:val="ListParagraph"/>
        <w:numPr>
          <w:ilvl w:val="0"/>
          <w:numId w:val="6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BE3E391" wp14:editId="209E1435">
                <wp:simplePos x="0" y="0"/>
                <wp:positionH relativeFrom="page">
                  <wp:posOffset>2150047</wp:posOffset>
                </wp:positionH>
                <wp:positionV relativeFrom="paragraph">
                  <wp:posOffset>130812</wp:posOffset>
                </wp:positionV>
                <wp:extent cx="81280" cy="2063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90DB30" w14:textId="0418EB89" w:rsidR="006142F0" w:rsidRDefault="006142F0" w:rsidP="006142F0">
                            <w:pPr>
                              <w:spacing w:before="12"/>
                              <w:rPr>
                                <w:rFonts w:ascii="Century Gothic"/>
                                <w:b/>
                                <w:sz w:val="2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3E391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169.3pt;margin-top:10.3pt;width:6.4pt;height:16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" filled="f" stroked="f">
                <v:textbox inset="0,0,0,0">
                  <w:txbxContent>
                    <w:p w14:paraId="7F90DB30" w14:textId="0418EB89" w:rsidR="006142F0" w:rsidRDefault="006142F0" w:rsidP="006142F0">
                      <w:pPr>
                        <w:spacing w:before="12"/>
                        <w:rPr>
                          <w:rFonts w:ascii="Century Gothic"/>
                          <w:b/>
                          <w:sz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7F9">
        <w:rPr>
          <w:rFonts w:ascii="Calibri Light" w:eastAsia="Calibri Light" w:hAnsi="Calibri Light" w:cs="Calibri Light"/>
        </w:rPr>
        <w:t xml:space="preserve">Enhance access in the Indo-Pacific to trusted, informative sources of media, including news and current </w:t>
      </w:r>
      <w:proofErr w:type="gramStart"/>
      <w:r w:rsidRPr="00AC07F9">
        <w:rPr>
          <w:rFonts w:ascii="Calibri Light" w:eastAsia="Calibri Light" w:hAnsi="Calibri Light" w:cs="Calibri Light"/>
        </w:rPr>
        <w:t>affairs</w:t>
      </w:r>
      <w:proofErr w:type="gramEnd"/>
    </w:p>
    <w:p w14:paraId="3D53717D" w14:textId="09EA80ED" w:rsidR="006142F0" w:rsidRPr="00AC07F9" w:rsidRDefault="006142F0" w:rsidP="00AC07F9">
      <w:pPr>
        <w:pStyle w:val="ListParagraph"/>
        <w:numPr>
          <w:ilvl w:val="0"/>
          <w:numId w:val="6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 xml:space="preserve">Boost connections between Australian-based media, content creators, and their Indo-Pacific counterparts, including through training and other </w:t>
      </w:r>
      <w:proofErr w:type="gramStart"/>
      <w:r w:rsidRPr="00AC07F9">
        <w:rPr>
          <w:rFonts w:ascii="Calibri Light" w:eastAsia="Calibri Light" w:hAnsi="Calibri Light" w:cs="Calibri Light"/>
        </w:rPr>
        <w:t>support</w:t>
      </w:r>
      <w:proofErr w:type="gramEnd"/>
    </w:p>
    <w:p w14:paraId="533C6FB3" w14:textId="77777777" w:rsidR="00024BFA" w:rsidRDefault="00024BFA" w:rsidP="00514D25"/>
    <w:p w14:paraId="083329F0" w14:textId="3B7687F6" w:rsidR="006142F0" w:rsidRDefault="00B8172C" w:rsidP="00514D25">
      <w:pPr>
        <w:pStyle w:val="Heading1"/>
        <w:spacing w:before="116" w:line="216" w:lineRule="auto"/>
        <w:ind w:righ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r w:rsidR="006142F0" w:rsidRPr="00024BFA">
        <w:rPr>
          <w:sz w:val="26"/>
          <w:szCs w:val="26"/>
        </w:rPr>
        <w:t xml:space="preserve">Support the creation and distribution of compelling Australian content that engages audiences and demonstrates Australia’s commitment to the Indo-Pacific </w:t>
      </w:r>
      <w:proofErr w:type="gramStart"/>
      <w:r w:rsidR="006142F0" w:rsidRPr="00024BFA">
        <w:rPr>
          <w:sz w:val="26"/>
          <w:szCs w:val="26"/>
        </w:rPr>
        <w:t>region</w:t>
      </w:r>
      <w:proofErr w:type="gramEnd"/>
    </w:p>
    <w:p w14:paraId="3CC8F80C" w14:textId="77777777" w:rsidR="006142F0" w:rsidRPr="006142F0" w:rsidRDefault="006142F0" w:rsidP="006142F0"/>
    <w:p w14:paraId="00C286F8" w14:textId="72CF258B" w:rsidR="006142F0" w:rsidRPr="00AC07F9" w:rsidRDefault="65569209" w:rsidP="006142F0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>Support</w:t>
      </w:r>
      <w:r w:rsidR="006142F0" w:rsidRPr="00AC07F9">
        <w:rPr>
          <w:rFonts w:ascii="Calibri Light" w:eastAsia="Calibri Light" w:hAnsi="Calibri Light" w:cs="Calibri Light"/>
        </w:rPr>
        <w:t xml:space="preserve"> the ABC to create more high-quality content that showcases Australian stories and perspectives, including news and current affairs, designed for target audiences in the Indo-Pacific</w:t>
      </w:r>
    </w:p>
    <w:p w14:paraId="132A2C8B" w14:textId="27DFB715" w:rsidR="006142F0" w:rsidRPr="00AC07F9" w:rsidRDefault="006142F0" w:rsidP="006142F0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536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 xml:space="preserve">Support initiatives that share important stories from the Indo-Pacific with Australian audiences and vice versa, highlighting the voices and lived experiences of the Indo-Pacific </w:t>
      </w:r>
      <w:proofErr w:type="gramStart"/>
      <w:r w:rsidRPr="00AC07F9">
        <w:rPr>
          <w:rFonts w:ascii="Calibri Light" w:eastAsia="Calibri Light" w:hAnsi="Calibri Light" w:cs="Calibri Light"/>
        </w:rPr>
        <w:t>region</w:t>
      </w:r>
      <w:proofErr w:type="gramEnd"/>
    </w:p>
    <w:p w14:paraId="53FB8399" w14:textId="77777777" w:rsidR="006142F0" w:rsidRPr="00AC07F9" w:rsidRDefault="006142F0" w:rsidP="006142F0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321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 xml:space="preserve">Expand the availability of Australian content to present Australian and regional talent and connect with people and communities across the </w:t>
      </w:r>
      <w:proofErr w:type="gramStart"/>
      <w:r w:rsidRPr="00AC07F9">
        <w:rPr>
          <w:rFonts w:ascii="Calibri Light" w:eastAsia="Calibri Light" w:hAnsi="Calibri Light" w:cs="Calibri Light"/>
        </w:rPr>
        <w:t>region</w:t>
      </w:r>
      <w:proofErr w:type="gramEnd"/>
    </w:p>
    <w:p w14:paraId="757B32B5" w14:textId="77777777" w:rsidR="006142F0" w:rsidRDefault="006142F0" w:rsidP="00752EC2"/>
    <w:p w14:paraId="3BC80DC9" w14:textId="493CE617" w:rsidR="006142F0" w:rsidRDefault="00B8172C" w:rsidP="006142F0">
      <w:pPr>
        <w:pStyle w:val="Heading1"/>
        <w:spacing w:before="116" w:line="216" w:lineRule="auto"/>
        <w:ind w:righ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="006142F0" w:rsidRPr="006142F0">
        <w:rPr>
          <w:sz w:val="26"/>
          <w:szCs w:val="26"/>
        </w:rPr>
        <w:t xml:space="preserve">Enhance access in the Indo-Pacific to trusted, informative sources of media, including news and current </w:t>
      </w:r>
      <w:proofErr w:type="gramStart"/>
      <w:r w:rsidR="006142F0" w:rsidRPr="006142F0">
        <w:rPr>
          <w:sz w:val="26"/>
          <w:szCs w:val="26"/>
        </w:rPr>
        <w:t>affairs</w:t>
      </w:r>
      <w:proofErr w:type="gramEnd"/>
    </w:p>
    <w:p w14:paraId="7614FCD8" w14:textId="77777777" w:rsidR="006142F0" w:rsidRPr="006142F0" w:rsidRDefault="006142F0" w:rsidP="006142F0"/>
    <w:p w14:paraId="04C5B8AE" w14:textId="77777777" w:rsidR="006142F0" w:rsidRPr="00AC07F9" w:rsidRDefault="006142F0" w:rsidP="00AC07F9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>Support investments that improve access to trusted and accurate content from the ABC, as well as the SBS and other Australian media</w:t>
      </w:r>
    </w:p>
    <w:p w14:paraId="304AAAD4" w14:textId="0FE037B1" w:rsidR="006142F0" w:rsidRPr="00AC07F9" w:rsidRDefault="006142F0" w:rsidP="00AC07F9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 xml:space="preserve">Support increased access for regional audiences to Australian media, including by expanding the ABC’s content distribution infrastructure and the </w:t>
      </w:r>
      <w:proofErr w:type="spellStart"/>
      <w:r w:rsidRPr="00AC07F9">
        <w:rPr>
          <w:rFonts w:ascii="Calibri Light" w:eastAsia="Calibri Light" w:hAnsi="Calibri Light" w:cs="Calibri Light"/>
        </w:rPr>
        <w:t>PacificAus</w:t>
      </w:r>
      <w:proofErr w:type="spellEnd"/>
      <w:r w:rsidRPr="00AC07F9">
        <w:rPr>
          <w:rFonts w:ascii="Calibri Light" w:eastAsia="Calibri Light" w:hAnsi="Calibri Light" w:cs="Calibri Light"/>
        </w:rPr>
        <w:t xml:space="preserve"> TV </w:t>
      </w:r>
      <w:proofErr w:type="gramStart"/>
      <w:r w:rsidR="1DE6E59F" w:rsidRPr="00AC07F9">
        <w:rPr>
          <w:rFonts w:ascii="Calibri Light" w:eastAsia="Calibri Light" w:hAnsi="Calibri Light" w:cs="Calibri Light"/>
        </w:rPr>
        <w:t>initiative</w:t>
      </w:r>
      <w:proofErr w:type="gramEnd"/>
    </w:p>
    <w:p w14:paraId="75721759" w14:textId="27C52DE3" w:rsidR="006142F0" w:rsidRPr="00AC07F9" w:rsidRDefault="006142F0" w:rsidP="00AC07F9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>Strengthen the region’s resilience to mis</w:t>
      </w:r>
      <w:r w:rsidR="31868DA7" w:rsidRPr="00AC07F9">
        <w:rPr>
          <w:rFonts w:ascii="Calibri Light" w:eastAsia="Calibri Light" w:hAnsi="Calibri Light" w:cs="Calibri Light"/>
        </w:rPr>
        <w:t>information</w:t>
      </w:r>
      <w:r w:rsidRPr="00AC07F9">
        <w:rPr>
          <w:rFonts w:ascii="Calibri Light" w:eastAsia="Calibri Light" w:hAnsi="Calibri Light" w:cs="Calibri Light"/>
        </w:rPr>
        <w:t xml:space="preserve"> and disinformation through programs that build the capacity of institutions and communities, support partnerships between Australian media </w:t>
      </w:r>
      <w:proofErr w:type="spellStart"/>
      <w:r w:rsidRPr="00AC07F9">
        <w:rPr>
          <w:rFonts w:ascii="Calibri Light" w:eastAsia="Calibri Light" w:hAnsi="Calibri Light" w:cs="Calibri Light"/>
        </w:rPr>
        <w:t>organisations</w:t>
      </w:r>
      <w:proofErr w:type="spellEnd"/>
      <w:r w:rsidRPr="00AC07F9">
        <w:rPr>
          <w:rFonts w:ascii="Calibri Light" w:eastAsia="Calibri Light" w:hAnsi="Calibri Light" w:cs="Calibri Light"/>
        </w:rPr>
        <w:t xml:space="preserve"> and counterparts in the Indo-Pacific, and increase awareness of challenges in the region’s information </w:t>
      </w:r>
      <w:proofErr w:type="gramStart"/>
      <w:r w:rsidRPr="00AC07F9">
        <w:rPr>
          <w:rFonts w:ascii="Calibri Light" w:eastAsia="Calibri Light" w:hAnsi="Calibri Light" w:cs="Calibri Light"/>
        </w:rPr>
        <w:t>environment</w:t>
      </w:r>
      <w:proofErr w:type="gramEnd"/>
    </w:p>
    <w:p w14:paraId="34F695E3" w14:textId="77777777" w:rsidR="006142F0" w:rsidRPr="00AC07F9" w:rsidRDefault="006142F0" w:rsidP="00AC07F9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 xml:space="preserve">Encourage more diverse distribution of Australian content, including through increased syndication and broadcasting arrangements, digital distribution and social media </w:t>
      </w:r>
      <w:proofErr w:type="gramStart"/>
      <w:r w:rsidRPr="00AC07F9">
        <w:rPr>
          <w:rFonts w:ascii="Calibri Light" w:eastAsia="Calibri Light" w:hAnsi="Calibri Light" w:cs="Calibri Light"/>
        </w:rPr>
        <w:t>platforms</w:t>
      </w:r>
      <w:proofErr w:type="gramEnd"/>
    </w:p>
    <w:p w14:paraId="72E0F64F" w14:textId="77777777" w:rsidR="006142F0" w:rsidRPr="00AC07F9" w:rsidRDefault="006142F0" w:rsidP="00AC07F9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>Work with partners to support access to free and open media sources across the Indo-Pacific</w:t>
      </w:r>
    </w:p>
    <w:p w14:paraId="6CF7C65F" w14:textId="6D61F0C3" w:rsidR="006142F0" w:rsidRDefault="00B8172C" w:rsidP="006142F0">
      <w:pPr>
        <w:pStyle w:val="Heading1"/>
        <w:tabs>
          <w:tab w:val="left" w:pos="1997"/>
        </w:tabs>
        <w:ind w:right="61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 </w:t>
      </w:r>
      <w:r w:rsidR="006142F0" w:rsidRPr="006142F0">
        <w:rPr>
          <w:sz w:val="26"/>
          <w:szCs w:val="26"/>
        </w:rPr>
        <w:t xml:space="preserve">Boost connections between Australian-based media, content creators, and their Indo-Pacific counterparts, including through training and other </w:t>
      </w:r>
      <w:proofErr w:type="gramStart"/>
      <w:r w:rsidR="006142F0" w:rsidRPr="006142F0">
        <w:rPr>
          <w:sz w:val="26"/>
          <w:szCs w:val="26"/>
        </w:rPr>
        <w:t>support</w:t>
      </w:r>
      <w:proofErr w:type="gramEnd"/>
    </w:p>
    <w:p w14:paraId="1918A108" w14:textId="77777777" w:rsidR="006142F0" w:rsidRPr="006142F0" w:rsidRDefault="006142F0" w:rsidP="006142F0"/>
    <w:p w14:paraId="3337D10A" w14:textId="1BE35889" w:rsidR="006142F0" w:rsidRPr="00AC07F9" w:rsidRDefault="006142F0" w:rsidP="00DA2003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>Build regional media capacity through training opportunities</w:t>
      </w:r>
      <w:r w:rsidR="004A0219" w:rsidRPr="00AC07F9">
        <w:rPr>
          <w:rFonts w:ascii="Calibri Light" w:eastAsia="Calibri Light" w:hAnsi="Calibri Light" w:cs="Calibri Light"/>
        </w:rPr>
        <w:t xml:space="preserve"> </w:t>
      </w:r>
      <w:r w:rsidRPr="00AC07F9">
        <w:rPr>
          <w:rFonts w:ascii="Calibri Light" w:eastAsia="Calibri Light" w:hAnsi="Calibri Light" w:cs="Calibri Light"/>
        </w:rPr>
        <w:t xml:space="preserve">including, for example, in </w:t>
      </w:r>
      <w:r w:rsidR="73227CE2" w:rsidRPr="00AC07F9">
        <w:rPr>
          <w:rFonts w:ascii="Calibri Light" w:eastAsia="Calibri Light" w:hAnsi="Calibri Light" w:cs="Calibri Light"/>
        </w:rPr>
        <w:t xml:space="preserve">fair </w:t>
      </w:r>
      <w:r w:rsidRPr="00AC07F9">
        <w:rPr>
          <w:rFonts w:ascii="Calibri Light" w:eastAsia="Calibri Light" w:hAnsi="Calibri Light" w:cs="Calibri Light"/>
        </w:rPr>
        <w:t>and balanced reporting, public interest journalism, and identifying mis</w:t>
      </w:r>
      <w:r w:rsidR="00352F54" w:rsidRPr="00AC07F9">
        <w:rPr>
          <w:rFonts w:ascii="Calibri Light" w:eastAsia="Calibri Light" w:hAnsi="Calibri Light" w:cs="Calibri Light"/>
        </w:rPr>
        <w:t>information</w:t>
      </w:r>
      <w:r w:rsidRPr="00AC07F9">
        <w:rPr>
          <w:rFonts w:ascii="Calibri Light" w:eastAsia="Calibri Light" w:hAnsi="Calibri Light" w:cs="Calibri Light"/>
        </w:rPr>
        <w:t xml:space="preserve"> and </w:t>
      </w:r>
      <w:proofErr w:type="gramStart"/>
      <w:r w:rsidRPr="00AC07F9">
        <w:rPr>
          <w:rFonts w:ascii="Calibri Light" w:eastAsia="Calibri Light" w:hAnsi="Calibri Light" w:cs="Calibri Light"/>
        </w:rPr>
        <w:t>disinformation</w:t>
      </w:r>
      <w:proofErr w:type="gramEnd"/>
    </w:p>
    <w:p w14:paraId="6C749893" w14:textId="1AE7D13A" w:rsidR="006142F0" w:rsidRPr="00AC07F9" w:rsidRDefault="006142F0" w:rsidP="00DA2003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>Support initiatives that contribute to gender equality, disability and social inclusion principles and inclusive reporting</w:t>
      </w:r>
    </w:p>
    <w:p w14:paraId="4A9D123B" w14:textId="0345A299" w:rsidR="006142F0" w:rsidRPr="00AC07F9" w:rsidRDefault="006142F0" w:rsidP="00DA2003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 xml:space="preserve">Support enhanced long-term resilience of Indo-Pacific media </w:t>
      </w:r>
      <w:proofErr w:type="spellStart"/>
      <w:proofErr w:type="gramStart"/>
      <w:r w:rsidRPr="00AC07F9">
        <w:rPr>
          <w:rFonts w:ascii="Calibri Light" w:eastAsia="Calibri Light" w:hAnsi="Calibri Light" w:cs="Calibri Light"/>
        </w:rPr>
        <w:t>organisations</w:t>
      </w:r>
      <w:proofErr w:type="spellEnd"/>
      <w:proofErr w:type="gramEnd"/>
    </w:p>
    <w:p w14:paraId="06D14A30" w14:textId="77777777" w:rsidR="006142F0" w:rsidRPr="00AC07F9" w:rsidRDefault="006142F0" w:rsidP="00DA2003">
      <w:pPr>
        <w:pStyle w:val="ListParagraph"/>
        <w:numPr>
          <w:ilvl w:val="0"/>
          <w:numId w:val="3"/>
        </w:numPr>
        <w:tabs>
          <w:tab w:val="left" w:pos="2357"/>
        </w:tabs>
        <w:spacing w:line="276" w:lineRule="auto"/>
        <w:ind w:right="1827"/>
        <w:rPr>
          <w:rFonts w:ascii="Calibri Light" w:eastAsia="Calibri Light" w:hAnsi="Calibri Light" w:cs="Calibri Light"/>
        </w:rPr>
      </w:pPr>
      <w:r w:rsidRPr="00AC07F9">
        <w:rPr>
          <w:rFonts w:ascii="Calibri Light" w:eastAsia="Calibri Light" w:hAnsi="Calibri Light" w:cs="Calibri Light"/>
        </w:rPr>
        <w:t>Promote exchanges and visits between media practitioners from Australia and the Indo-Pacific</w:t>
      </w:r>
    </w:p>
    <w:p w14:paraId="4DD176AE" w14:textId="7DB4BC54" w:rsidR="006142F0" w:rsidRDefault="006142F0"/>
    <w:sectPr w:rsidR="00614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DDE1" w14:textId="77777777" w:rsidR="00C8547E" w:rsidRDefault="00C8547E" w:rsidP="006142F0">
      <w:pPr>
        <w:spacing w:after="0" w:line="240" w:lineRule="auto"/>
      </w:pPr>
      <w:r>
        <w:separator/>
      </w:r>
    </w:p>
  </w:endnote>
  <w:endnote w:type="continuationSeparator" w:id="0">
    <w:p w14:paraId="56962E38" w14:textId="77777777" w:rsidR="00C8547E" w:rsidRDefault="00C8547E" w:rsidP="006142F0">
      <w:pPr>
        <w:spacing w:after="0" w:line="240" w:lineRule="auto"/>
      </w:pPr>
      <w:r>
        <w:continuationSeparator/>
      </w:r>
    </w:p>
  </w:endnote>
  <w:endnote w:type="continuationNotice" w:id="1">
    <w:p w14:paraId="499CE131" w14:textId="77777777" w:rsidR="00C8547E" w:rsidRDefault="00C85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4172" w14:textId="77777777" w:rsidR="00C8547E" w:rsidRDefault="00C8547E" w:rsidP="006142F0">
      <w:pPr>
        <w:spacing w:after="0" w:line="240" w:lineRule="auto"/>
      </w:pPr>
      <w:r>
        <w:separator/>
      </w:r>
    </w:p>
  </w:footnote>
  <w:footnote w:type="continuationSeparator" w:id="0">
    <w:p w14:paraId="73B91B73" w14:textId="77777777" w:rsidR="00C8547E" w:rsidRDefault="00C8547E" w:rsidP="006142F0">
      <w:pPr>
        <w:spacing w:after="0" w:line="240" w:lineRule="auto"/>
      </w:pPr>
      <w:r>
        <w:continuationSeparator/>
      </w:r>
    </w:p>
  </w:footnote>
  <w:footnote w:type="continuationNotice" w:id="1">
    <w:p w14:paraId="18D99787" w14:textId="77777777" w:rsidR="00C8547E" w:rsidRDefault="00C854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39A"/>
    <w:multiLevelType w:val="hybridMultilevel"/>
    <w:tmpl w:val="D43EEE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27C2"/>
    <w:multiLevelType w:val="hybridMultilevel"/>
    <w:tmpl w:val="D45A41AC"/>
    <w:lvl w:ilvl="0" w:tplc="CEAAD2A6">
      <w:numFmt w:val="bullet"/>
      <w:lvlText w:val="●"/>
      <w:lvlJc w:val="left"/>
      <w:pPr>
        <w:ind w:left="3434" w:hanging="216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position w:val="2"/>
        <w:sz w:val="26"/>
        <w:szCs w:val="26"/>
        <w:lang w:val="en-US" w:eastAsia="en-US" w:bidi="ar-SA"/>
      </w:rPr>
    </w:lvl>
    <w:lvl w:ilvl="1" w:tplc="D16C966A">
      <w:numFmt w:val="bullet"/>
      <w:lvlText w:val="•"/>
      <w:lvlJc w:val="left"/>
      <w:pPr>
        <w:ind w:left="4157" w:hanging="216"/>
      </w:pPr>
      <w:rPr>
        <w:rFonts w:hint="default"/>
        <w:lang w:val="en-US" w:eastAsia="en-US" w:bidi="ar-SA"/>
      </w:rPr>
    </w:lvl>
    <w:lvl w:ilvl="2" w:tplc="100E66BC">
      <w:numFmt w:val="bullet"/>
      <w:lvlText w:val="•"/>
      <w:lvlJc w:val="left"/>
      <w:pPr>
        <w:ind w:left="4875" w:hanging="216"/>
      </w:pPr>
      <w:rPr>
        <w:rFonts w:hint="default"/>
        <w:lang w:val="en-US" w:eastAsia="en-US" w:bidi="ar-SA"/>
      </w:rPr>
    </w:lvl>
    <w:lvl w:ilvl="3" w:tplc="B5E82F26">
      <w:numFmt w:val="bullet"/>
      <w:lvlText w:val="•"/>
      <w:lvlJc w:val="left"/>
      <w:pPr>
        <w:ind w:left="5593" w:hanging="216"/>
      </w:pPr>
      <w:rPr>
        <w:rFonts w:hint="default"/>
        <w:lang w:val="en-US" w:eastAsia="en-US" w:bidi="ar-SA"/>
      </w:rPr>
    </w:lvl>
    <w:lvl w:ilvl="4" w:tplc="4DA068C6">
      <w:numFmt w:val="bullet"/>
      <w:lvlText w:val="•"/>
      <w:lvlJc w:val="left"/>
      <w:pPr>
        <w:ind w:left="6311" w:hanging="216"/>
      </w:pPr>
      <w:rPr>
        <w:rFonts w:hint="default"/>
        <w:lang w:val="en-US" w:eastAsia="en-US" w:bidi="ar-SA"/>
      </w:rPr>
    </w:lvl>
    <w:lvl w:ilvl="5" w:tplc="11346178">
      <w:numFmt w:val="bullet"/>
      <w:lvlText w:val="•"/>
      <w:lvlJc w:val="left"/>
      <w:pPr>
        <w:ind w:left="7029" w:hanging="216"/>
      </w:pPr>
      <w:rPr>
        <w:rFonts w:hint="default"/>
        <w:lang w:val="en-US" w:eastAsia="en-US" w:bidi="ar-SA"/>
      </w:rPr>
    </w:lvl>
    <w:lvl w:ilvl="6" w:tplc="A536991C">
      <w:numFmt w:val="bullet"/>
      <w:lvlText w:val="•"/>
      <w:lvlJc w:val="left"/>
      <w:pPr>
        <w:ind w:left="7747" w:hanging="216"/>
      </w:pPr>
      <w:rPr>
        <w:rFonts w:hint="default"/>
        <w:lang w:val="en-US" w:eastAsia="en-US" w:bidi="ar-SA"/>
      </w:rPr>
    </w:lvl>
    <w:lvl w:ilvl="7" w:tplc="50706344">
      <w:numFmt w:val="bullet"/>
      <w:lvlText w:val="•"/>
      <w:lvlJc w:val="left"/>
      <w:pPr>
        <w:ind w:left="8465" w:hanging="216"/>
      </w:pPr>
      <w:rPr>
        <w:rFonts w:hint="default"/>
        <w:lang w:val="en-US" w:eastAsia="en-US" w:bidi="ar-SA"/>
      </w:rPr>
    </w:lvl>
    <w:lvl w:ilvl="8" w:tplc="96C0C80E">
      <w:numFmt w:val="bullet"/>
      <w:lvlText w:val="•"/>
      <w:lvlJc w:val="left"/>
      <w:pPr>
        <w:ind w:left="9182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14E42350"/>
    <w:multiLevelType w:val="hybridMultilevel"/>
    <w:tmpl w:val="C3B201D6"/>
    <w:lvl w:ilvl="0" w:tplc="C1127C3E">
      <w:numFmt w:val="bullet"/>
      <w:lvlText w:val="●"/>
      <w:lvlJc w:val="left"/>
      <w:pPr>
        <w:ind w:left="1177" w:hanging="18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4657F"/>
        <w:spacing w:val="0"/>
        <w:w w:val="100"/>
        <w:sz w:val="22"/>
        <w:szCs w:val="22"/>
        <w:lang w:val="en-US" w:eastAsia="en-US" w:bidi="ar-SA"/>
      </w:rPr>
    </w:lvl>
    <w:lvl w:ilvl="1" w:tplc="D37CD9FE">
      <w:numFmt w:val="bullet"/>
      <w:lvlText w:val="•"/>
      <w:lvlJc w:val="left"/>
      <w:pPr>
        <w:ind w:left="2164" w:hanging="183"/>
      </w:pPr>
      <w:rPr>
        <w:rFonts w:hint="default"/>
        <w:lang w:val="en-US" w:eastAsia="en-US" w:bidi="ar-SA"/>
      </w:rPr>
    </w:lvl>
    <w:lvl w:ilvl="2" w:tplc="71A06308">
      <w:numFmt w:val="bullet"/>
      <w:lvlText w:val="•"/>
      <w:lvlJc w:val="left"/>
      <w:pPr>
        <w:ind w:left="3149" w:hanging="183"/>
      </w:pPr>
      <w:rPr>
        <w:rFonts w:hint="default"/>
        <w:lang w:val="en-US" w:eastAsia="en-US" w:bidi="ar-SA"/>
      </w:rPr>
    </w:lvl>
    <w:lvl w:ilvl="3" w:tplc="B8285C4E">
      <w:numFmt w:val="bullet"/>
      <w:lvlText w:val="•"/>
      <w:lvlJc w:val="left"/>
      <w:pPr>
        <w:ind w:left="4133" w:hanging="183"/>
      </w:pPr>
      <w:rPr>
        <w:rFonts w:hint="default"/>
        <w:lang w:val="en-US" w:eastAsia="en-US" w:bidi="ar-SA"/>
      </w:rPr>
    </w:lvl>
    <w:lvl w:ilvl="4" w:tplc="7BE46E4A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5" w:tplc="A1A6D95A">
      <w:numFmt w:val="bullet"/>
      <w:lvlText w:val="•"/>
      <w:lvlJc w:val="left"/>
      <w:pPr>
        <w:ind w:left="6102" w:hanging="183"/>
      </w:pPr>
      <w:rPr>
        <w:rFonts w:hint="default"/>
        <w:lang w:val="en-US" w:eastAsia="en-US" w:bidi="ar-SA"/>
      </w:rPr>
    </w:lvl>
    <w:lvl w:ilvl="6" w:tplc="1048F346">
      <w:numFmt w:val="bullet"/>
      <w:lvlText w:val="•"/>
      <w:lvlJc w:val="left"/>
      <w:pPr>
        <w:ind w:left="7087" w:hanging="183"/>
      </w:pPr>
      <w:rPr>
        <w:rFonts w:hint="default"/>
        <w:lang w:val="en-US" w:eastAsia="en-US" w:bidi="ar-SA"/>
      </w:rPr>
    </w:lvl>
    <w:lvl w:ilvl="7" w:tplc="4C00EE6A">
      <w:numFmt w:val="bullet"/>
      <w:lvlText w:val="•"/>
      <w:lvlJc w:val="left"/>
      <w:pPr>
        <w:ind w:left="8071" w:hanging="183"/>
      </w:pPr>
      <w:rPr>
        <w:rFonts w:hint="default"/>
        <w:lang w:val="en-US" w:eastAsia="en-US" w:bidi="ar-SA"/>
      </w:rPr>
    </w:lvl>
    <w:lvl w:ilvl="8" w:tplc="FBB85044">
      <w:numFmt w:val="bullet"/>
      <w:lvlText w:val="•"/>
      <w:lvlJc w:val="left"/>
      <w:pPr>
        <w:ind w:left="9056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27E81F28"/>
    <w:multiLevelType w:val="hybridMultilevel"/>
    <w:tmpl w:val="CDFA84F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34657F"/>
        <w:spacing w:val="0"/>
        <w:w w:val="100"/>
        <w:sz w:val="24"/>
        <w:szCs w:val="24"/>
        <w:lang w:val="en-US" w:eastAsia="en-US" w:bidi="ar-SA"/>
      </w:rPr>
    </w:lvl>
    <w:lvl w:ilvl="1" w:tplc="7200CFB6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2" w:tplc="F66C3052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FE742CE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968E4F30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37926A1E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63E481B8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7" w:tplc="D44038B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2BA252E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E4462A"/>
    <w:multiLevelType w:val="hybridMultilevel"/>
    <w:tmpl w:val="F8264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8691E"/>
    <w:multiLevelType w:val="hybridMultilevel"/>
    <w:tmpl w:val="9110A0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34657F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num w:numId="1" w16cid:durableId="467091199">
    <w:abstractNumId w:val="2"/>
  </w:num>
  <w:num w:numId="2" w16cid:durableId="1199201069">
    <w:abstractNumId w:val="1"/>
  </w:num>
  <w:num w:numId="3" w16cid:durableId="74671054">
    <w:abstractNumId w:val="3"/>
  </w:num>
  <w:num w:numId="4" w16cid:durableId="213548762">
    <w:abstractNumId w:val="4"/>
  </w:num>
  <w:num w:numId="5" w16cid:durableId="482042392">
    <w:abstractNumId w:val="0"/>
  </w:num>
  <w:num w:numId="6" w16cid:durableId="1787696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F0"/>
    <w:rsid w:val="0001073B"/>
    <w:rsid w:val="000201E2"/>
    <w:rsid w:val="00024BFA"/>
    <w:rsid w:val="000A13BD"/>
    <w:rsid w:val="000E108A"/>
    <w:rsid w:val="000E65F7"/>
    <w:rsid w:val="001239CC"/>
    <w:rsid w:val="00143C22"/>
    <w:rsid w:val="001816DB"/>
    <w:rsid w:val="001D0007"/>
    <w:rsid w:val="001D3262"/>
    <w:rsid w:val="001F7443"/>
    <w:rsid w:val="00273375"/>
    <w:rsid w:val="002E442D"/>
    <w:rsid w:val="00352F54"/>
    <w:rsid w:val="00355313"/>
    <w:rsid w:val="003618FF"/>
    <w:rsid w:val="004112FD"/>
    <w:rsid w:val="00415BED"/>
    <w:rsid w:val="00460105"/>
    <w:rsid w:val="00461B55"/>
    <w:rsid w:val="00466802"/>
    <w:rsid w:val="004A0219"/>
    <w:rsid w:val="004B26D5"/>
    <w:rsid w:val="004D7B06"/>
    <w:rsid w:val="004E096F"/>
    <w:rsid w:val="00514D25"/>
    <w:rsid w:val="0052652D"/>
    <w:rsid w:val="00544A68"/>
    <w:rsid w:val="00585921"/>
    <w:rsid w:val="006142F0"/>
    <w:rsid w:val="00643B7A"/>
    <w:rsid w:val="006C1823"/>
    <w:rsid w:val="0073060A"/>
    <w:rsid w:val="00742E1F"/>
    <w:rsid w:val="00752EC2"/>
    <w:rsid w:val="007637D0"/>
    <w:rsid w:val="00790320"/>
    <w:rsid w:val="00793803"/>
    <w:rsid w:val="007D2614"/>
    <w:rsid w:val="00840B3A"/>
    <w:rsid w:val="008674CC"/>
    <w:rsid w:val="00871701"/>
    <w:rsid w:val="008B047C"/>
    <w:rsid w:val="008B649F"/>
    <w:rsid w:val="008C1369"/>
    <w:rsid w:val="0093676F"/>
    <w:rsid w:val="00953CF1"/>
    <w:rsid w:val="009C78D4"/>
    <w:rsid w:val="00AB2E7C"/>
    <w:rsid w:val="00AC07F9"/>
    <w:rsid w:val="00B00649"/>
    <w:rsid w:val="00B30048"/>
    <w:rsid w:val="00B8172C"/>
    <w:rsid w:val="00BA079C"/>
    <w:rsid w:val="00BD0313"/>
    <w:rsid w:val="00C83A55"/>
    <w:rsid w:val="00C8547E"/>
    <w:rsid w:val="00CB338C"/>
    <w:rsid w:val="00D136E1"/>
    <w:rsid w:val="00DA0112"/>
    <w:rsid w:val="00DA2003"/>
    <w:rsid w:val="00DC0430"/>
    <w:rsid w:val="00EE2389"/>
    <w:rsid w:val="00F27D1F"/>
    <w:rsid w:val="00FC2A07"/>
    <w:rsid w:val="03AA9F3C"/>
    <w:rsid w:val="03C68766"/>
    <w:rsid w:val="0A1AE2A7"/>
    <w:rsid w:val="0CBB9C48"/>
    <w:rsid w:val="0DA1601C"/>
    <w:rsid w:val="1659D1AF"/>
    <w:rsid w:val="17367013"/>
    <w:rsid w:val="18EFD605"/>
    <w:rsid w:val="198AB6E9"/>
    <w:rsid w:val="19C4C4C7"/>
    <w:rsid w:val="1ADD44D7"/>
    <w:rsid w:val="1B26874A"/>
    <w:rsid w:val="1DE6E59F"/>
    <w:rsid w:val="1DEB59A3"/>
    <w:rsid w:val="2119F71B"/>
    <w:rsid w:val="23B4C972"/>
    <w:rsid w:val="25AD40D7"/>
    <w:rsid w:val="2A491516"/>
    <w:rsid w:val="2E966FF7"/>
    <w:rsid w:val="31868DA7"/>
    <w:rsid w:val="39E6CBD8"/>
    <w:rsid w:val="3B85FC52"/>
    <w:rsid w:val="3F633D9B"/>
    <w:rsid w:val="40F0CEB0"/>
    <w:rsid w:val="4195EF48"/>
    <w:rsid w:val="41BABB4F"/>
    <w:rsid w:val="43AC0F5C"/>
    <w:rsid w:val="4AC9E0FE"/>
    <w:rsid w:val="4C4B7AC4"/>
    <w:rsid w:val="515A0A0A"/>
    <w:rsid w:val="521E447F"/>
    <w:rsid w:val="5279AADD"/>
    <w:rsid w:val="52EEB2B8"/>
    <w:rsid w:val="584A4D58"/>
    <w:rsid w:val="58D19B1E"/>
    <w:rsid w:val="5AF07651"/>
    <w:rsid w:val="5E312B07"/>
    <w:rsid w:val="5E6FFAD8"/>
    <w:rsid w:val="65569209"/>
    <w:rsid w:val="66D96A6D"/>
    <w:rsid w:val="6968F49D"/>
    <w:rsid w:val="7190D401"/>
    <w:rsid w:val="73227CE2"/>
    <w:rsid w:val="7F04F1DF"/>
    <w:rsid w:val="7F071611"/>
    <w:rsid w:val="7FE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A5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F0"/>
  </w:style>
  <w:style w:type="paragraph" w:styleId="Heading1">
    <w:name w:val="heading 1"/>
    <w:basedOn w:val="Normal"/>
    <w:next w:val="Normal"/>
    <w:link w:val="Heading1Char"/>
    <w:uiPriority w:val="9"/>
    <w:qFormat/>
    <w:rsid w:val="00614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142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42F0"/>
    <w:rPr>
      <w:rFonts w:ascii="Calibri Light" w:eastAsia="Calibri Light" w:hAnsi="Calibri Light" w:cs="Calibri Light"/>
      <w:lang w:val="en-US"/>
    </w:rPr>
  </w:style>
  <w:style w:type="paragraph" w:styleId="ListParagraph">
    <w:name w:val="List Paragraph"/>
    <w:basedOn w:val="Normal"/>
    <w:uiPriority w:val="1"/>
    <w:qFormat/>
    <w:rsid w:val="006142F0"/>
    <w:pPr>
      <w:widowControl w:val="0"/>
      <w:autoSpaceDE w:val="0"/>
      <w:autoSpaceDN w:val="0"/>
      <w:spacing w:after="0" w:line="240" w:lineRule="auto"/>
      <w:ind w:left="2357" w:hanging="360"/>
    </w:pPr>
    <w:rPr>
      <w:rFonts w:ascii="Calibri" w:eastAsia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14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9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39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FF"/>
  </w:style>
  <w:style w:type="paragraph" w:styleId="Footer">
    <w:name w:val="footer"/>
    <w:basedOn w:val="Normal"/>
    <w:link w:val="FooterChar"/>
    <w:uiPriority w:val="99"/>
    <w:unhideWhenUsed/>
    <w:rsid w:val="0036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FF"/>
  </w:style>
  <w:style w:type="paragraph" w:styleId="NoSpacing">
    <w:name w:val="No Spacing"/>
    <w:uiPriority w:val="1"/>
    <w:qFormat/>
    <w:rsid w:val="00BA0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b61d8-3fe4-4201-b7f1-bb9937d31954">
      <Terms xmlns="http://schemas.microsoft.com/office/infopath/2007/PartnerControls"/>
    </lcf76f155ced4ddcb4097134ff3c332f>
    <TaxCatchAll xmlns="9c642910-cdbf-4a87-813b-ed518d14a5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C8CE96F0A29439AC9AB3C51ADA9B8" ma:contentTypeVersion="13" ma:contentTypeDescription="Create a new document." ma:contentTypeScope="" ma:versionID="911a0e9e2b8a323e609c184a71079162">
  <xsd:schema xmlns:xsd="http://www.w3.org/2001/XMLSchema" xmlns:xs="http://www.w3.org/2001/XMLSchema" xmlns:p="http://schemas.microsoft.com/office/2006/metadata/properties" xmlns:ns2="d3cb61d8-3fe4-4201-b7f1-bb9937d31954" xmlns:ns3="9c642910-cdbf-4a87-813b-ed518d14a59a" targetNamespace="http://schemas.microsoft.com/office/2006/metadata/properties" ma:root="true" ma:fieldsID="b7fe658b4b645fdd5e4180b6d6be1a9f" ns2:_="" ns3:_="">
    <xsd:import namespace="d3cb61d8-3fe4-4201-b7f1-bb9937d31954"/>
    <xsd:import namespace="9c642910-cdbf-4a87-813b-ed518d14a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61d8-3fe4-4201-b7f1-bb9937d31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2910-cdbf-4a87-813b-ed518d14a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a9e27e-e118-4f69-8cf3-a87cf0c7d855}" ma:internalName="TaxCatchAll" ma:showField="CatchAllData" ma:web="9c642910-cdbf-4a87-813b-ed518d14a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0EBD2-A8DE-4CC5-BF14-4D31CE136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96CD7-2873-4BB8-8DC6-23197D9BC0BE}">
  <ds:schemaRefs>
    <ds:schemaRef ds:uri="http://purl.org/dc/dcmitype/"/>
    <ds:schemaRef ds:uri="http://schemas.microsoft.com/office/infopath/2007/PartnerControls"/>
    <ds:schemaRef ds:uri="d3cb61d8-3fe4-4201-b7f1-bb9937d3195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c642910-cdbf-4a87-813b-ed518d14a5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AC8893-A850-411E-B4BA-059542867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b61d8-3fe4-4201-b7f1-bb9937d31954"/>
    <ds:schemaRef ds:uri="9c642910-cdbf-4a87-813b-ed518d14a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4935</Characters>
  <Application>Microsoft Office Word</Application>
  <DocSecurity>4</DocSecurity>
  <Lines>114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Indo-Pacific Broadcasting Strategy - Accessible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Indo-Pacific Broadcasting Strategy</dc:title>
  <dc:subject/>
  <dc:creator/>
  <cp:keywords>[SEC=OFFICIAL]</cp:keywords>
  <dc:description/>
  <cp:lastModifiedBy/>
  <cp:revision>1</cp:revision>
  <dcterms:created xsi:type="dcterms:W3CDTF">2024-06-19T05:09:00Z</dcterms:created>
  <dcterms:modified xsi:type="dcterms:W3CDTF">2024-06-19T05:09:00Z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Note">
    <vt:lpwstr/>
  </property>
  <property fmtid="{D5CDD505-2E9C-101B-9397-08002B2CF9AE}" pid="5" name="PMHMAC">
    <vt:lpwstr>v=2022.1;a=SHA256;h=46ADF0C56970ECD22C82E29B92EB2BD21E2B2B5CF0795B64B6F78B3F7C591906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2023-12-08T01:34:26Z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DisplayValueSecClassificationWithQualifier">
    <vt:lpwstr>OFFICIAL</vt:lpwstr>
  </property>
  <property fmtid="{D5CDD505-2E9C-101B-9397-08002B2CF9AE}" pid="14" name="PM_Originating_FileId">
    <vt:lpwstr>6779D4FC56C14942B89ABD9B0F32B3C4</vt:lpwstr>
  </property>
  <property fmtid="{D5CDD505-2E9C-101B-9397-08002B2CF9AE}" pid="15" name="PM_ProtectiveMarkingValue_Footer">
    <vt:lpwstr>OFFICIAL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3E9DB5AB808CA91EB3E8EC398CDB7F67B110581D6BB28BC88565729DCE387350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A636B644426A1B4FD8EFEA3532771196</vt:lpwstr>
  </property>
  <property fmtid="{D5CDD505-2E9C-101B-9397-08002B2CF9AE}" pid="24" name="PM_Hash_Salt">
    <vt:lpwstr>13CB9294BD6B129A4BEB5B894C0F743B</vt:lpwstr>
  </property>
  <property fmtid="{D5CDD505-2E9C-101B-9397-08002B2CF9AE}" pid="25" name="PM_Hash_SHA1">
    <vt:lpwstr>DCCC874DF12F77A5AFE015ABFC03CDBA7CFC82C7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MediaServiceImageTags">
    <vt:lpwstr/>
  </property>
  <property fmtid="{D5CDD505-2E9C-101B-9397-08002B2CF9AE}" pid="30" name="ContentTypeId">
    <vt:lpwstr>0x0101005AEC8CE96F0A29439AC9AB3C51ADA9B8</vt:lpwstr>
  </property>
</Properties>
</file>